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C7F26" w14:textId="27D9B0FA" w:rsidR="00F84520" w:rsidRPr="00071AC3" w:rsidRDefault="00F84520" w:rsidP="00BA2730">
      <w:pPr>
        <w:pStyle w:val="Heading1-Statement"/>
      </w:pPr>
      <w:r w:rsidRPr="0031448B">
        <w:t>Statement 6:</w:t>
      </w:r>
      <w:r w:rsidRPr="0031448B">
        <w:br/>
      </w:r>
      <w:r w:rsidRPr="00071AC3">
        <w:t>Expenses and Net Capital Investment</w:t>
      </w:r>
    </w:p>
    <w:p w14:paraId="3D7590E0" w14:textId="3C4C863F" w:rsidR="00380035" w:rsidDel="00B608B6" w:rsidRDefault="00A32DD8" w:rsidP="00380035">
      <w:r>
        <w:t xml:space="preserve">This Statement </w:t>
      </w:r>
      <w:r w:rsidR="00380035">
        <w:t xml:space="preserve">presents </w:t>
      </w:r>
      <w:r w:rsidR="00380035" w:rsidDel="00B608B6">
        <w:t>estimates of Australian Government general government sector expenses</w:t>
      </w:r>
      <w:r w:rsidR="005E2F52" w:rsidRPr="005E2F52" w:rsidDel="00B608B6">
        <w:t xml:space="preserve"> </w:t>
      </w:r>
      <w:r w:rsidR="005E2F52" w:rsidDel="00B608B6">
        <w:t>and net capital investment</w:t>
      </w:r>
      <w:r w:rsidR="00380035">
        <w:t xml:space="preserve">, </w:t>
      </w:r>
      <w:r>
        <w:t xml:space="preserve">disaggregated into </w:t>
      </w:r>
      <w:r w:rsidR="00380035">
        <w:t>various functions of government,</w:t>
      </w:r>
      <w:r w:rsidR="005E2F52">
        <w:t xml:space="preserve"> </w:t>
      </w:r>
      <w:r w:rsidR="00380035">
        <w:t>on an</w:t>
      </w:r>
      <w:r w:rsidR="00380035" w:rsidDel="00B608B6">
        <w:t xml:space="preserve"> accrual accounting </w:t>
      </w:r>
      <w:r w:rsidR="00380035">
        <w:t>basis</w:t>
      </w:r>
      <w:r w:rsidR="00380035" w:rsidDel="00B608B6">
        <w:t xml:space="preserve">. </w:t>
      </w:r>
      <w:r w:rsidR="00023184">
        <w:t>The Government also reports spending on an underlying cash</w:t>
      </w:r>
      <w:r w:rsidR="00153268">
        <w:t xml:space="preserve"> basis (including details about payments) in </w:t>
      </w:r>
      <w:r w:rsidR="00153268" w:rsidRPr="00B274E4">
        <w:rPr>
          <w:rStyle w:val="Emphasis"/>
        </w:rPr>
        <w:t>Statement 3: Fiscal Strategy and Outlook</w:t>
      </w:r>
      <w:r w:rsidR="00153268" w:rsidRPr="00116D45">
        <w:rPr>
          <w:i/>
          <w:iCs/>
        </w:rPr>
        <w:t>.</w:t>
      </w:r>
    </w:p>
    <w:p w14:paraId="6F6F4D9F" w14:textId="21A82351" w:rsidR="00F84520" w:rsidRDefault="00AB1720" w:rsidP="00310588">
      <w:r>
        <w:t>The Government</w:t>
      </w:r>
      <w:r w:rsidR="00880824">
        <w:t xml:space="preserve"> </w:t>
      </w:r>
      <w:r w:rsidR="00A32DD8">
        <w:t xml:space="preserve">is </w:t>
      </w:r>
      <w:r w:rsidR="00880824">
        <w:t xml:space="preserve">focused on </w:t>
      </w:r>
      <w:r w:rsidR="00BF4657">
        <w:t>responsible economic management</w:t>
      </w:r>
      <w:r w:rsidR="00F37C00">
        <w:t>,</w:t>
      </w:r>
      <w:r w:rsidR="0031615C">
        <w:t xml:space="preserve"> responding to the challenges of today and investing in a better future</w:t>
      </w:r>
      <w:r w:rsidR="00F84520">
        <w:t>. In this Budget, t</w:t>
      </w:r>
      <w:r w:rsidR="00F84520" w:rsidRPr="00306723">
        <w:t xml:space="preserve">he </w:t>
      </w:r>
      <w:r w:rsidR="00F84520">
        <w:t>G</w:t>
      </w:r>
      <w:r w:rsidR="00417E66">
        <w:t>overnment</w:t>
      </w:r>
      <w:r w:rsidR="00F84520">
        <w:t xml:space="preserve"> is </w:t>
      </w:r>
      <w:r w:rsidR="00417E66">
        <w:t>invest</w:t>
      </w:r>
      <w:r w:rsidR="00F84520">
        <w:t>ing</w:t>
      </w:r>
      <w:r w:rsidR="00417E66">
        <w:t xml:space="preserve"> to </w:t>
      </w:r>
      <w:r w:rsidR="00A94161">
        <w:t>deal with unavoidable spending</w:t>
      </w:r>
      <w:r w:rsidR="00F84520">
        <w:t>,</w:t>
      </w:r>
      <w:r w:rsidR="00A94161">
        <w:t xml:space="preserve"> </w:t>
      </w:r>
      <w:r w:rsidR="00F84520">
        <w:t>easing</w:t>
      </w:r>
      <w:r w:rsidR="00417E66">
        <w:t xml:space="preserve"> </w:t>
      </w:r>
      <w:r w:rsidR="00417E66" w:rsidRPr="00002DB4">
        <w:t>cost</w:t>
      </w:r>
      <w:r w:rsidR="008D4F6B">
        <w:noBreakHyphen/>
      </w:r>
      <w:r w:rsidR="00417E66" w:rsidRPr="00002DB4">
        <w:t>of</w:t>
      </w:r>
      <w:r w:rsidR="008D4F6B">
        <w:noBreakHyphen/>
      </w:r>
      <w:r w:rsidR="00417E66" w:rsidRPr="00002DB4">
        <w:t>living</w:t>
      </w:r>
      <w:r w:rsidR="00417E66">
        <w:t xml:space="preserve"> pressures</w:t>
      </w:r>
      <w:r w:rsidR="00417E66" w:rsidRPr="00002DB4">
        <w:t xml:space="preserve">, </w:t>
      </w:r>
      <w:r w:rsidR="00F84520">
        <w:t>building more homes for Australians</w:t>
      </w:r>
      <w:r w:rsidR="00F84520" w:rsidRPr="00002DB4">
        <w:t xml:space="preserve">, </w:t>
      </w:r>
      <w:r w:rsidR="00F84520">
        <w:t xml:space="preserve">investing in </w:t>
      </w:r>
      <w:r w:rsidR="00F84520" w:rsidRPr="00002DB4">
        <w:t xml:space="preserve">a </w:t>
      </w:r>
      <w:r w:rsidR="00F84520">
        <w:t>F</w:t>
      </w:r>
      <w:r w:rsidR="00F84520" w:rsidRPr="00002DB4">
        <w:t xml:space="preserve">uture </w:t>
      </w:r>
      <w:r w:rsidR="00F84520">
        <w:t>M</w:t>
      </w:r>
      <w:r w:rsidR="00F84520" w:rsidRPr="00002DB4">
        <w:t>ade in Australia, strengthen</w:t>
      </w:r>
      <w:r w:rsidR="00F84520">
        <w:t>ing</w:t>
      </w:r>
      <w:r w:rsidR="00F84520" w:rsidRPr="00002DB4">
        <w:t xml:space="preserve"> Medicare </w:t>
      </w:r>
      <w:r w:rsidR="00F84520">
        <w:t xml:space="preserve">and </w:t>
      </w:r>
      <w:r w:rsidR="00F84520" w:rsidRPr="00002DB4">
        <w:t>the care economy</w:t>
      </w:r>
      <w:r w:rsidR="00F84520">
        <w:t>,</w:t>
      </w:r>
      <w:r w:rsidR="00F84520" w:rsidRPr="00002DB4">
        <w:t xml:space="preserve"> </w:t>
      </w:r>
      <w:r w:rsidR="00F84520">
        <w:t>and broadening</w:t>
      </w:r>
      <w:r w:rsidR="00F84520" w:rsidRPr="00002DB4">
        <w:t xml:space="preserve"> opportunity and </w:t>
      </w:r>
      <w:bookmarkStart w:id="0" w:name="_Hlk166179825"/>
      <w:r w:rsidR="00CD68D5" w:rsidRPr="00002DB4">
        <w:t>advanc</w:t>
      </w:r>
      <w:r w:rsidR="00CD68D5">
        <w:t>ing</w:t>
      </w:r>
      <w:bookmarkEnd w:id="0"/>
      <w:r w:rsidR="00F84520" w:rsidRPr="00002DB4">
        <w:t xml:space="preserve"> equali</w:t>
      </w:r>
      <w:r w:rsidR="00F84520">
        <w:t>ty.</w:t>
      </w:r>
    </w:p>
    <w:p w14:paraId="6243C6C0" w14:textId="42B5E247" w:rsidR="00380035" w:rsidRPr="002D4FCF" w:rsidRDefault="00380035" w:rsidP="00E858FC">
      <w:r>
        <w:t xml:space="preserve">General government sector expenses are expected to </w:t>
      </w:r>
      <w:r w:rsidRPr="001357A2">
        <w:t xml:space="preserve">remain </w:t>
      </w:r>
      <w:r w:rsidR="00B50833">
        <w:t>broadly</w:t>
      </w:r>
      <w:r w:rsidRPr="001357A2">
        <w:t xml:space="preserve"> stable</w:t>
      </w:r>
      <w:r>
        <w:t xml:space="preserve"> as a proportion </w:t>
      </w:r>
      <w:r w:rsidR="00C33728">
        <w:t xml:space="preserve">of GDP </w:t>
      </w:r>
      <w:r w:rsidR="00957B9D">
        <w:t>over the period 2024–25 to 2027–28</w:t>
      </w:r>
      <w:r>
        <w:t xml:space="preserve">, </w:t>
      </w:r>
      <w:bookmarkStart w:id="1" w:name="_Hlk165215783"/>
      <w:r>
        <w:t>reflecting the Government</w:t>
      </w:r>
      <w:r w:rsidR="008D4F6B">
        <w:t>’</w:t>
      </w:r>
      <w:r>
        <w:t xml:space="preserve">s commitment to </w:t>
      </w:r>
      <w:r w:rsidRPr="00002DB4">
        <w:t xml:space="preserve">provide </w:t>
      </w:r>
      <w:r>
        <w:t>support</w:t>
      </w:r>
      <w:r w:rsidRPr="00002DB4">
        <w:t xml:space="preserve"> to ease</w:t>
      </w:r>
      <w:r w:rsidR="00C33728">
        <w:t xml:space="preserve"> </w:t>
      </w:r>
      <w:r w:rsidRPr="00002DB4">
        <w:t>cost</w:t>
      </w:r>
      <w:r w:rsidR="008D4F6B">
        <w:noBreakHyphen/>
      </w:r>
      <w:r w:rsidRPr="00002DB4">
        <w:t>of</w:t>
      </w:r>
      <w:r w:rsidR="008D4F6B">
        <w:noBreakHyphen/>
      </w:r>
      <w:r w:rsidRPr="00002DB4">
        <w:t>living</w:t>
      </w:r>
      <w:r>
        <w:t xml:space="preserve"> </w:t>
      </w:r>
      <w:r w:rsidR="00C33728">
        <w:t xml:space="preserve">pressures </w:t>
      </w:r>
      <w:r w:rsidR="00381703">
        <w:t>on businesses and households</w:t>
      </w:r>
      <w:r>
        <w:t xml:space="preserve"> </w:t>
      </w:r>
      <w:r w:rsidRPr="002D4FCF">
        <w:t xml:space="preserve">and build a stronger foundation for sustainable economic growth. </w:t>
      </w:r>
      <w:bookmarkEnd w:id="1"/>
      <w:r w:rsidRPr="002D4FCF">
        <w:t>Total expenses are expected to be</w:t>
      </w:r>
      <w:r w:rsidR="008D617E">
        <w:t xml:space="preserve"> 2</w:t>
      </w:r>
      <w:r w:rsidRPr="002D4FCF">
        <w:t>6.</w:t>
      </w:r>
      <w:r w:rsidR="00AA2FAE" w:rsidRPr="002D4FCF">
        <w:t>6</w:t>
      </w:r>
      <w:r w:rsidR="008D617E">
        <w:t> </w:t>
      </w:r>
      <w:r w:rsidRPr="002D4FCF">
        <w:t>per cent of GDP in 2024–25 and to remain around that level over the period 2024–25 to 2027</w:t>
      </w:r>
      <w:r w:rsidRPr="002D4FCF">
        <w:rPr>
          <w:rFonts w:cs="Book Antiqua"/>
        </w:rPr>
        <w:t>–</w:t>
      </w:r>
      <w:r w:rsidRPr="002D4FCF">
        <w:t>28.</w:t>
      </w:r>
    </w:p>
    <w:p w14:paraId="5D2CAABC" w14:textId="6E9AD713" w:rsidR="00380035" w:rsidRPr="002D4FCF" w:rsidRDefault="00380035" w:rsidP="00E858FC">
      <w:r w:rsidRPr="002D4FCF">
        <w:t xml:space="preserve">Significant areas of </w:t>
      </w:r>
      <w:r w:rsidR="0033447C" w:rsidRPr="002D4FCF">
        <w:t xml:space="preserve">expenditure </w:t>
      </w:r>
      <w:r w:rsidRPr="002D4FCF">
        <w:t>in 2024</w:t>
      </w:r>
      <w:r w:rsidR="00796BBF" w:rsidRPr="002D4FCF">
        <w:t>–</w:t>
      </w:r>
      <w:r w:rsidRPr="002D4FCF">
        <w:t xml:space="preserve">25 will be in the </w:t>
      </w:r>
      <w:r w:rsidRPr="00495B38">
        <w:rPr>
          <w:rStyle w:val="Strong"/>
        </w:rPr>
        <w:t>social security and welfare</w:t>
      </w:r>
      <w:r w:rsidRPr="002D4FCF">
        <w:t xml:space="preserve"> (36.</w:t>
      </w:r>
      <w:r w:rsidR="00AA2FAE" w:rsidRPr="002D4FCF">
        <w:t>3</w:t>
      </w:r>
      <w:r w:rsidR="00124D28">
        <w:t> </w:t>
      </w:r>
      <w:r w:rsidRPr="002D4FCF">
        <w:t xml:space="preserve">per cent of total expenses), </w:t>
      </w:r>
      <w:r w:rsidRPr="00495B38">
        <w:rPr>
          <w:rStyle w:val="Strong"/>
        </w:rPr>
        <w:t>health</w:t>
      </w:r>
      <w:r w:rsidRPr="002D4FCF">
        <w:t xml:space="preserve"> (15.</w:t>
      </w:r>
      <w:r w:rsidR="00AA2FAE" w:rsidRPr="002D4FCF">
        <w:t>3</w:t>
      </w:r>
      <w:r w:rsidRPr="002D4FCF">
        <w:t xml:space="preserve"> per cent of total expenses), </w:t>
      </w:r>
      <w:r w:rsidRPr="00495B38">
        <w:rPr>
          <w:rStyle w:val="Strong"/>
        </w:rPr>
        <w:t>education</w:t>
      </w:r>
      <w:r w:rsidRPr="002D4FCF">
        <w:t xml:space="preserve"> (7.</w:t>
      </w:r>
      <w:r w:rsidR="00AA2FAE" w:rsidRPr="002D4FCF">
        <w:t>2</w:t>
      </w:r>
      <w:r w:rsidR="00124D28">
        <w:t> </w:t>
      </w:r>
      <w:r w:rsidRPr="002D4FCF">
        <w:t>per</w:t>
      </w:r>
      <w:r w:rsidR="00124D28">
        <w:t> </w:t>
      </w:r>
      <w:r w:rsidRPr="002D4FCF">
        <w:t xml:space="preserve">cent of total expenses) and </w:t>
      </w:r>
      <w:r w:rsidRPr="00495B38">
        <w:rPr>
          <w:rStyle w:val="Strong"/>
        </w:rPr>
        <w:t>defence</w:t>
      </w:r>
      <w:r w:rsidRPr="002D4FCF">
        <w:t xml:space="preserve"> (6.</w:t>
      </w:r>
      <w:r w:rsidR="00AA2FAE" w:rsidRPr="002D4FCF">
        <w:t>5</w:t>
      </w:r>
      <w:r w:rsidRPr="002D4FCF">
        <w:t xml:space="preserve"> per cent of total expenses)</w:t>
      </w:r>
      <w:r w:rsidR="0033447C" w:rsidRPr="002D4FCF">
        <w:t xml:space="preserve"> functions</w:t>
      </w:r>
      <w:r w:rsidRPr="002D4FCF">
        <w:t xml:space="preserve">. Together, these functions account for </w:t>
      </w:r>
      <w:r w:rsidR="00A25FA4" w:rsidRPr="002D4FCF">
        <w:t xml:space="preserve">approximately </w:t>
      </w:r>
      <w:r w:rsidRPr="002D4FCF">
        <w:t>65 per cent of all government expenses in 2024</w:t>
      </w:r>
      <w:r w:rsidRPr="002D4FCF">
        <w:rPr>
          <w:rFonts w:cs="Book Antiqua"/>
        </w:rPr>
        <w:t>–</w:t>
      </w:r>
      <w:r w:rsidRPr="002D4FCF">
        <w:t>25.</w:t>
      </w:r>
    </w:p>
    <w:p w14:paraId="159ED939" w14:textId="54DBF516" w:rsidR="00380035" w:rsidRDefault="00380035" w:rsidP="00380035">
      <w:r w:rsidRPr="002D4FCF">
        <w:t>Real growth in expenses</w:t>
      </w:r>
      <w:r w:rsidR="00957B9D" w:rsidRPr="00957B9D">
        <w:t xml:space="preserve"> </w:t>
      </w:r>
      <w:r w:rsidR="00957B9D">
        <w:t xml:space="preserve">over the period 2024–25 to 2027–28 </w:t>
      </w:r>
      <w:r w:rsidRPr="002D4FCF">
        <w:t xml:space="preserve">is expected to average </w:t>
      </w:r>
      <w:r w:rsidR="005E2F52" w:rsidRPr="002D4FCF">
        <w:t>2.</w:t>
      </w:r>
      <w:r w:rsidR="00AA626D" w:rsidRPr="002D4FCF">
        <w:t>0</w:t>
      </w:r>
      <w:r w:rsidRPr="002D4FCF">
        <w:t> per cent per </w:t>
      </w:r>
      <w:r w:rsidR="005E5BF0" w:rsidRPr="002D4FCF">
        <w:t>year</w:t>
      </w:r>
      <w:r w:rsidRPr="002D4FCF">
        <w:t xml:space="preserve">. The strongest real growth across </w:t>
      </w:r>
      <w:r w:rsidR="00C33728" w:rsidRPr="002D4FCF">
        <w:t>the period 2024–25</w:t>
      </w:r>
      <w:r w:rsidRPr="002D4FCF">
        <w:t xml:space="preserve"> </w:t>
      </w:r>
      <w:r w:rsidR="00C33728" w:rsidRPr="002D4FCF">
        <w:t xml:space="preserve">to 2027–28 </w:t>
      </w:r>
      <w:r w:rsidRPr="002D4FCF">
        <w:t xml:space="preserve">is expected to occur in the </w:t>
      </w:r>
      <w:r w:rsidRPr="00E109D5">
        <w:rPr>
          <w:rStyle w:val="Strong"/>
        </w:rPr>
        <w:t>defence</w:t>
      </w:r>
      <w:r w:rsidRPr="002D4FCF">
        <w:t xml:space="preserve"> (6.</w:t>
      </w:r>
      <w:r w:rsidR="00AA626D" w:rsidRPr="002D4FCF">
        <w:t>3</w:t>
      </w:r>
      <w:r w:rsidRPr="002D4FCF">
        <w:t xml:space="preserve"> per cent) and </w:t>
      </w:r>
      <w:r w:rsidRPr="00E109D5">
        <w:rPr>
          <w:rStyle w:val="Strong"/>
        </w:rPr>
        <w:t xml:space="preserve">social security and welfare </w:t>
      </w:r>
      <w:r w:rsidRPr="002D4FCF">
        <w:t>(5.</w:t>
      </w:r>
      <w:r w:rsidR="00AA626D" w:rsidRPr="002D4FCF">
        <w:t>6</w:t>
      </w:r>
      <w:r w:rsidR="005E5BF0" w:rsidRPr="002D4FCF">
        <w:t xml:space="preserve"> </w:t>
      </w:r>
      <w:r w:rsidRPr="002D4FCF">
        <w:t>per cent) functions</w:t>
      </w:r>
      <w:r>
        <w:t>.</w:t>
      </w:r>
    </w:p>
    <w:p w14:paraId="0A1CFE20" w14:textId="15564003" w:rsidR="00A03840" w:rsidRDefault="0085737E" w:rsidP="00380035">
      <w:r>
        <w:t>Major</w:t>
      </w:r>
      <w:r w:rsidR="00352909">
        <w:t xml:space="preserve"> expense trends </w:t>
      </w:r>
      <w:r w:rsidR="00957B9D">
        <w:t xml:space="preserve">over the period 2024–25 to 2027–28 </w:t>
      </w:r>
      <w:r w:rsidR="00272A06">
        <w:t>include movements in the following functions</w:t>
      </w:r>
      <w:r w:rsidR="00AE450F">
        <w:t>.</w:t>
      </w:r>
    </w:p>
    <w:p w14:paraId="5EC57182" w14:textId="381586B2" w:rsidR="007B179A" w:rsidRDefault="00391E20" w:rsidP="002D4FCF">
      <w:r w:rsidRPr="00E109D5">
        <w:rPr>
          <w:rStyle w:val="Strong"/>
        </w:rPr>
        <w:t>Social security and welfare</w:t>
      </w:r>
      <w:r>
        <w:t xml:space="preserve">: </w:t>
      </w:r>
      <w:r w:rsidR="0031177E">
        <w:t>t</w:t>
      </w:r>
      <w:r w:rsidR="00C10644">
        <w:t>he increase in expenses</w:t>
      </w:r>
      <w:r w:rsidR="002464C0">
        <w:t xml:space="preserve"> is largely </w:t>
      </w:r>
      <w:r w:rsidR="00DB0167">
        <w:t xml:space="preserve">due </w:t>
      </w:r>
      <w:r w:rsidR="002464C0">
        <w:t>to</w:t>
      </w:r>
      <w:r w:rsidR="00180280">
        <w:t xml:space="preserve"> the</w:t>
      </w:r>
      <w:r w:rsidR="00575F27">
        <w:t xml:space="preserve"> Government</w:t>
      </w:r>
      <w:r w:rsidR="008D4F6B">
        <w:t>’</w:t>
      </w:r>
      <w:r w:rsidR="00575F27">
        <w:t>s ongoing investment in assistance to people with disability</w:t>
      </w:r>
      <w:r w:rsidR="00A25FA4">
        <w:t>,</w:t>
      </w:r>
      <w:r w:rsidR="00575F27">
        <w:t xml:space="preserve"> both through the N</w:t>
      </w:r>
      <w:r w:rsidR="00B02BBB">
        <w:t xml:space="preserve">ational </w:t>
      </w:r>
      <w:r w:rsidR="00575F27">
        <w:t>D</w:t>
      </w:r>
      <w:r w:rsidR="00B02BBB">
        <w:t xml:space="preserve">isability </w:t>
      </w:r>
      <w:r w:rsidR="00575F27">
        <w:t>I</w:t>
      </w:r>
      <w:r w:rsidR="00B02BBB">
        <w:t xml:space="preserve">nsurance </w:t>
      </w:r>
      <w:r w:rsidR="00575F27">
        <w:t>S</w:t>
      </w:r>
      <w:r w:rsidR="00B02BBB">
        <w:t>cheme</w:t>
      </w:r>
      <w:r w:rsidR="00575F27">
        <w:t xml:space="preserve"> and</w:t>
      </w:r>
      <w:r w:rsidR="00BC1425">
        <w:t xml:space="preserve"> the Disability Support pension</w:t>
      </w:r>
      <w:r w:rsidR="00A25FA4">
        <w:t>,</w:t>
      </w:r>
      <w:r w:rsidR="00BC1425">
        <w:t xml:space="preserve"> </w:t>
      </w:r>
      <w:r w:rsidR="00A25FA4">
        <w:t xml:space="preserve">and </w:t>
      </w:r>
      <w:r w:rsidR="004444F0">
        <w:t>through</w:t>
      </w:r>
      <w:r w:rsidR="00BC1425">
        <w:t xml:space="preserve"> funding under the Aged Care</w:t>
      </w:r>
      <w:r w:rsidR="00D33AB3">
        <w:t xml:space="preserve"> Services program. </w:t>
      </w:r>
      <w:r w:rsidR="0031177E">
        <w:t xml:space="preserve">Expenses for services and payments, </w:t>
      </w:r>
      <w:r w:rsidR="00AE450F">
        <w:t xml:space="preserve">including </w:t>
      </w:r>
      <w:r w:rsidR="0031177E">
        <w:t>JobSeeker</w:t>
      </w:r>
      <w:r w:rsidR="00CC02DD">
        <w:t xml:space="preserve"> </w:t>
      </w:r>
      <w:r w:rsidR="00381703">
        <w:t xml:space="preserve">Payment </w:t>
      </w:r>
      <w:r w:rsidR="00CC02DD">
        <w:t xml:space="preserve">and </w:t>
      </w:r>
      <w:r w:rsidR="00722C45">
        <w:t xml:space="preserve">income support and </w:t>
      </w:r>
      <w:r w:rsidR="00CC02DD">
        <w:t>compensation payments to veterans</w:t>
      </w:r>
      <w:r w:rsidR="00AD2F9F">
        <w:t xml:space="preserve"> </w:t>
      </w:r>
      <w:r w:rsidR="002D4FCF">
        <w:t>are expected to</w:t>
      </w:r>
      <w:r w:rsidR="0031177E">
        <w:t xml:space="preserve"> increase </w:t>
      </w:r>
      <w:r w:rsidR="00957B9D">
        <w:t>over the period 2024–25 to 2027–28</w:t>
      </w:r>
      <w:r w:rsidR="00AE450F">
        <w:t>,</w:t>
      </w:r>
      <w:r w:rsidR="00957B9D">
        <w:t xml:space="preserve"> </w:t>
      </w:r>
      <w:r w:rsidR="0031177E">
        <w:t xml:space="preserve">as more recipients can more easily access </w:t>
      </w:r>
      <w:r w:rsidR="00A25FA4">
        <w:t>g</w:t>
      </w:r>
      <w:r w:rsidR="0031177E">
        <w:t>overnment services.</w:t>
      </w:r>
    </w:p>
    <w:p w14:paraId="29BA5639" w14:textId="3CBAC536" w:rsidR="00595813" w:rsidRDefault="00595813" w:rsidP="00124D28">
      <w:pPr>
        <w:keepLines/>
      </w:pPr>
      <w:r w:rsidRPr="00461D5B">
        <w:rPr>
          <w:rStyle w:val="Strong"/>
        </w:rPr>
        <w:lastRenderedPageBreak/>
        <w:t>Defence</w:t>
      </w:r>
      <w:r>
        <w:t>:</w:t>
      </w:r>
      <w:r w:rsidRPr="00E8788A">
        <w:t xml:space="preserve"> </w:t>
      </w:r>
      <w:r>
        <w:t xml:space="preserve">the increase in expenses reflects that under the </w:t>
      </w:r>
      <w:r w:rsidRPr="00461D5B">
        <w:rPr>
          <w:rStyle w:val="Emphasis"/>
        </w:rPr>
        <w:t>2024 National Defence Strategy</w:t>
      </w:r>
      <w:r>
        <w:rPr>
          <w:i/>
          <w:iCs/>
        </w:rPr>
        <w:t xml:space="preserve"> </w:t>
      </w:r>
      <w:r>
        <w:t xml:space="preserve">and the </w:t>
      </w:r>
      <w:r w:rsidRPr="00461D5B">
        <w:rPr>
          <w:rStyle w:val="Emphasis"/>
        </w:rPr>
        <w:t>Integrated Investment Program</w:t>
      </w:r>
      <w:r>
        <w:rPr>
          <w:i/>
          <w:iCs/>
        </w:rPr>
        <w:t xml:space="preserve">, </w:t>
      </w:r>
      <w:r>
        <w:t xml:space="preserve">the Government will invest to accelerate the delivery of </w:t>
      </w:r>
      <w:r w:rsidRPr="00A25FA4">
        <w:t>defence</w:t>
      </w:r>
      <w:r>
        <w:t xml:space="preserve"> capabilities to support an integrated, focused force that is </w:t>
      </w:r>
      <w:r w:rsidR="002D4FCF">
        <w:t xml:space="preserve">better </w:t>
      </w:r>
      <w:r>
        <w:t>positioned to safeguard Australia</w:t>
      </w:r>
      <w:r w:rsidR="008D4F6B">
        <w:t>’</w:t>
      </w:r>
      <w:r>
        <w:t>s security and prosperity.</w:t>
      </w:r>
    </w:p>
    <w:p w14:paraId="518EA6D0" w14:textId="3DBE0454" w:rsidR="00A32DD8" w:rsidRPr="00A32DD8" w:rsidRDefault="00A32DD8" w:rsidP="00595813">
      <w:r w:rsidRPr="0012386B">
        <w:rPr>
          <w:rStyle w:val="Strong"/>
        </w:rPr>
        <w:t>Education</w:t>
      </w:r>
      <w:r>
        <w:rPr>
          <w:b/>
          <w:bCs/>
        </w:rPr>
        <w:t xml:space="preserve">: </w:t>
      </w:r>
      <w:r w:rsidRPr="00A32DD8">
        <w:t>the increase in expenses reflect</w:t>
      </w:r>
      <w:r w:rsidR="00DB0167">
        <w:t>s</w:t>
      </w:r>
      <w:r w:rsidRPr="00A32DD8">
        <w:t xml:space="preserve"> the Government</w:t>
      </w:r>
      <w:r w:rsidR="008D4F6B">
        <w:t>’</w:t>
      </w:r>
      <w:r w:rsidRPr="00A32DD8">
        <w:t xml:space="preserve">s continued investment in improving education outcomes and supporting schools, higher education, and vocational education programs. </w:t>
      </w:r>
      <w:r w:rsidR="00AE450F">
        <w:t xml:space="preserve">Expenditure is driven by more </w:t>
      </w:r>
      <w:r>
        <w:t>funding to states and s</w:t>
      </w:r>
      <w:r w:rsidRPr="00A32DD8">
        <w:t xml:space="preserve">tudent enrolment growth, including higher enrolment rates for </w:t>
      </w:r>
      <w:r w:rsidR="009A03D0">
        <w:t>‘s</w:t>
      </w:r>
      <w:r w:rsidRPr="00A32DD8">
        <w:t xml:space="preserve">tudents with </w:t>
      </w:r>
      <w:r w:rsidR="009A03D0">
        <w:t>d</w:t>
      </w:r>
      <w:r w:rsidRPr="00A32DD8">
        <w:t>isability</w:t>
      </w:r>
      <w:r w:rsidR="009A03D0">
        <w:t>’</w:t>
      </w:r>
      <w:r w:rsidRPr="00A32DD8">
        <w:t xml:space="preserve">, </w:t>
      </w:r>
      <w:r w:rsidR="00AE450F">
        <w:t xml:space="preserve">which will </w:t>
      </w:r>
      <w:r w:rsidRPr="00A32DD8">
        <w:t xml:space="preserve">drive expenses for schools. Increased funding for universities and vocational education under the </w:t>
      </w:r>
      <w:r w:rsidRPr="0012386B">
        <w:rPr>
          <w:rStyle w:val="Emphasis"/>
        </w:rPr>
        <w:t>Australian Universities Accord</w:t>
      </w:r>
      <w:r w:rsidRPr="00A32DD8">
        <w:t xml:space="preserve"> and </w:t>
      </w:r>
      <w:r w:rsidRPr="0012386B">
        <w:rPr>
          <w:rStyle w:val="Emphasis"/>
        </w:rPr>
        <w:t>National Skills Agreement</w:t>
      </w:r>
      <w:r w:rsidRPr="00A32DD8">
        <w:t xml:space="preserve"> and the </w:t>
      </w:r>
      <w:r w:rsidR="00F84520">
        <w:t>changes to indexation arrangements</w:t>
      </w:r>
      <w:r w:rsidR="00F84520" w:rsidRPr="00A32DD8">
        <w:t xml:space="preserve"> </w:t>
      </w:r>
      <w:r w:rsidR="00F84520">
        <w:t>for</w:t>
      </w:r>
      <w:r w:rsidR="00F84520" w:rsidRPr="00A32DD8">
        <w:t xml:space="preserve"> </w:t>
      </w:r>
      <w:r w:rsidRPr="00A32DD8">
        <w:t xml:space="preserve">outstanding debt for student loans </w:t>
      </w:r>
      <w:r>
        <w:t>are also estimated to</w:t>
      </w:r>
      <w:r w:rsidRPr="00A32DD8">
        <w:t xml:space="preserve"> increase expenses</w:t>
      </w:r>
      <w:r w:rsidR="0012386B">
        <w:t>.</w:t>
      </w:r>
    </w:p>
    <w:p w14:paraId="05679AED" w14:textId="7CB7D8F8" w:rsidR="00A94161" w:rsidRPr="009A0357" w:rsidRDefault="00595813" w:rsidP="00A94161">
      <w:r w:rsidRPr="0012386B">
        <w:rPr>
          <w:rStyle w:val="Strong"/>
        </w:rPr>
        <w:t>Mining</w:t>
      </w:r>
      <w:r w:rsidR="00A25FA4" w:rsidRPr="0012386B">
        <w:rPr>
          <w:rStyle w:val="Strong"/>
        </w:rPr>
        <w:t>,</w:t>
      </w:r>
      <w:r w:rsidRPr="0012386B">
        <w:rPr>
          <w:rStyle w:val="Strong"/>
        </w:rPr>
        <w:t xml:space="preserve"> manufacturing and construction</w:t>
      </w:r>
      <w:r>
        <w:t>: the increase in expenses reflects the Government</w:t>
      </w:r>
      <w:r w:rsidR="008D4F6B">
        <w:t>’</w:t>
      </w:r>
      <w:r>
        <w:t>s continued investment in Australia</w:t>
      </w:r>
      <w:r w:rsidR="008D4F6B">
        <w:t>’</w:t>
      </w:r>
      <w:r>
        <w:t xml:space="preserve">s mining, manufacturing and construction industries. </w:t>
      </w:r>
      <w:r w:rsidRPr="002D4FCF">
        <w:t xml:space="preserve">Expenses for the Research and Development Tax Incentive continue to increase to support the research and development that is key to boosting </w:t>
      </w:r>
      <w:r w:rsidR="00A32DD8" w:rsidRPr="002D4FCF">
        <w:t xml:space="preserve">the </w:t>
      </w:r>
      <w:r w:rsidRPr="002D4FCF">
        <w:t xml:space="preserve">competitiveness and productivity </w:t>
      </w:r>
      <w:r w:rsidR="00A32DD8" w:rsidRPr="002D4FCF">
        <w:t xml:space="preserve">of </w:t>
      </w:r>
      <w:r w:rsidRPr="002D4FCF">
        <w:t>industry.</w:t>
      </w:r>
      <w:r w:rsidRPr="00CF5273">
        <w:t xml:space="preserve"> </w:t>
      </w:r>
    </w:p>
    <w:p w14:paraId="52CB94B1" w14:textId="0EEA8C3B" w:rsidR="00DF0878" w:rsidRDefault="00AD6376" w:rsidP="00D56D41">
      <w:r w:rsidRPr="0012386B">
        <w:rPr>
          <w:rStyle w:val="Strong"/>
        </w:rPr>
        <w:t>Fuel and energy</w:t>
      </w:r>
      <w:r>
        <w:t xml:space="preserve">: </w:t>
      </w:r>
      <w:r w:rsidR="00F5195B">
        <w:t xml:space="preserve">the increase in expenses in 2024–25 </w:t>
      </w:r>
      <w:r w:rsidR="00CD4103">
        <w:t>for</w:t>
      </w:r>
      <w:r w:rsidR="00BA4116">
        <w:t xml:space="preserve"> </w:t>
      </w:r>
      <w:r w:rsidR="00DB0167">
        <w:t>r</w:t>
      </w:r>
      <w:r w:rsidR="0050376F">
        <w:t xml:space="preserve">enewable </w:t>
      </w:r>
      <w:r w:rsidR="00DB0167">
        <w:t>e</w:t>
      </w:r>
      <w:r w:rsidR="0050376F">
        <w:t xml:space="preserve">nergy </w:t>
      </w:r>
      <w:r w:rsidR="00DB0167">
        <w:t xml:space="preserve">investments </w:t>
      </w:r>
      <w:r w:rsidR="00365344">
        <w:t>reflects the Government</w:t>
      </w:r>
      <w:r w:rsidR="008D4F6B">
        <w:t>’</w:t>
      </w:r>
      <w:r w:rsidR="00365344">
        <w:t>s commitment to growing Australia</w:t>
      </w:r>
      <w:r w:rsidR="008D4F6B">
        <w:t>’</w:t>
      </w:r>
      <w:r w:rsidR="00365344">
        <w:t>s renewable energy</w:t>
      </w:r>
      <w:r w:rsidR="00546937">
        <w:t xml:space="preserve"> capabilities through concessional loans made by the Clean Energy Finance Corporation</w:t>
      </w:r>
      <w:r w:rsidR="004D54FE">
        <w:t xml:space="preserve"> under </w:t>
      </w:r>
      <w:r w:rsidR="00C26913" w:rsidRPr="0012386B">
        <w:rPr>
          <w:rStyle w:val="Emphasis"/>
        </w:rPr>
        <w:t>Powering Austral</w:t>
      </w:r>
      <w:r w:rsidR="00003656" w:rsidRPr="0012386B">
        <w:rPr>
          <w:rStyle w:val="Emphasis"/>
        </w:rPr>
        <w:t>ia</w:t>
      </w:r>
      <w:r w:rsidR="008D4F6B">
        <w:rPr>
          <w:rStyle w:val="Emphasis"/>
        </w:rPr>
        <w:t xml:space="preserve"> – </w:t>
      </w:r>
      <w:r w:rsidR="00003656" w:rsidRPr="0012386B">
        <w:rPr>
          <w:rStyle w:val="Emphasis"/>
        </w:rPr>
        <w:t>Rewiring the Nation</w:t>
      </w:r>
      <w:r w:rsidR="00003656">
        <w:t xml:space="preserve">. </w:t>
      </w:r>
      <w:r w:rsidR="00A25FA4">
        <w:t>I</w:t>
      </w:r>
      <w:r w:rsidR="003259C4">
        <w:t>n the 2024</w:t>
      </w:r>
      <w:r w:rsidR="00A25FA4">
        <w:t>–</w:t>
      </w:r>
      <w:r w:rsidR="003259C4">
        <w:t>25 Budget</w:t>
      </w:r>
      <w:r w:rsidR="00A25FA4">
        <w:t xml:space="preserve">, the Government is </w:t>
      </w:r>
      <w:r w:rsidR="00F5195B">
        <w:t xml:space="preserve">also </w:t>
      </w:r>
      <w:r w:rsidR="00A25FA4">
        <w:t>investing</w:t>
      </w:r>
      <w:r w:rsidR="003259C4">
        <w:t xml:space="preserve"> in </w:t>
      </w:r>
      <w:r w:rsidR="00A25FA4">
        <w:t>t</w:t>
      </w:r>
      <w:r w:rsidR="007D3B75">
        <w:t xml:space="preserve">he </w:t>
      </w:r>
      <w:r w:rsidR="007D3B75" w:rsidRPr="0012386B">
        <w:rPr>
          <w:rStyle w:val="Emphasis"/>
        </w:rPr>
        <w:t>Future Made in Australia</w:t>
      </w:r>
      <w:r w:rsidR="007D3B75">
        <w:t xml:space="preserve"> agenda</w:t>
      </w:r>
      <w:r w:rsidR="00E20C2C">
        <w:t xml:space="preserve"> which</w:t>
      </w:r>
      <w:r w:rsidR="007D3B75">
        <w:t xml:space="preserve"> includes</w:t>
      </w:r>
      <w:r w:rsidR="00CD4103">
        <w:t xml:space="preserve"> further</w:t>
      </w:r>
      <w:r w:rsidR="007D3B75">
        <w:t xml:space="preserve"> Government investments into renewable energy and technology, which will </w:t>
      </w:r>
      <w:r w:rsidR="00A94161">
        <w:t xml:space="preserve">develop new clean energy industries and supply chains and </w:t>
      </w:r>
      <w:r w:rsidR="007D3B75">
        <w:t>contribute to Australia</w:t>
      </w:r>
      <w:r w:rsidR="008D4F6B">
        <w:t>’</w:t>
      </w:r>
      <w:r w:rsidR="007D3B75">
        <w:t xml:space="preserve">s efforts towards </w:t>
      </w:r>
      <w:r w:rsidR="007D3B75" w:rsidRPr="00AD1FC2">
        <w:t>achieving a global net zero economy</w:t>
      </w:r>
      <w:r w:rsidR="00E20C2C" w:rsidRPr="00AD1FC2">
        <w:t>. The Government is also</w:t>
      </w:r>
      <w:r w:rsidR="00540E43" w:rsidRPr="00AD1FC2">
        <w:t xml:space="preserve"> extend</w:t>
      </w:r>
      <w:r w:rsidR="00E20C2C" w:rsidRPr="00AD1FC2">
        <w:t>ing and expanding</w:t>
      </w:r>
      <w:r w:rsidR="00540E43" w:rsidRPr="00AD1FC2">
        <w:t xml:space="preserve"> the </w:t>
      </w:r>
      <w:r w:rsidR="00540E43" w:rsidRPr="0012386B">
        <w:rPr>
          <w:rStyle w:val="Emphasis"/>
        </w:rPr>
        <w:t>Energy Bill Relief Fund</w:t>
      </w:r>
      <w:r w:rsidR="00540E43" w:rsidRPr="00AD1FC2">
        <w:t xml:space="preserve"> </w:t>
      </w:r>
      <w:r w:rsidR="00E20C2C" w:rsidRPr="00AD1FC2">
        <w:t>to deliver cost</w:t>
      </w:r>
      <w:r w:rsidR="008D4F6B">
        <w:noBreakHyphen/>
      </w:r>
      <w:r w:rsidR="00E20C2C" w:rsidRPr="00AD1FC2">
        <w:t>of</w:t>
      </w:r>
      <w:r w:rsidR="008D4F6B">
        <w:noBreakHyphen/>
      </w:r>
      <w:r w:rsidR="00E20C2C" w:rsidRPr="00AD1FC2">
        <w:t xml:space="preserve">living relief to all </w:t>
      </w:r>
      <w:r w:rsidR="00A94161" w:rsidRPr="00AD1FC2">
        <w:t>Australian</w:t>
      </w:r>
      <w:r w:rsidR="00A94161">
        <w:t xml:space="preserve"> households</w:t>
      </w:r>
      <w:r w:rsidR="00AD1FC2" w:rsidRPr="00AD1FC2">
        <w:t xml:space="preserve"> and eligible businesses.</w:t>
      </w:r>
    </w:p>
    <w:p w14:paraId="20E2E991" w14:textId="67D01C73" w:rsidR="00DF0878" w:rsidRDefault="005C2995" w:rsidP="0054677F">
      <w:r w:rsidRPr="0012386B">
        <w:rPr>
          <w:rStyle w:val="Strong"/>
        </w:rPr>
        <w:t>Housing</w:t>
      </w:r>
      <w:r w:rsidR="00F9046B" w:rsidRPr="0012386B">
        <w:rPr>
          <w:rStyle w:val="Strong"/>
        </w:rPr>
        <w:t xml:space="preserve"> and community amenities</w:t>
      </w:r>
      <w:r w:rsidRPr="0012386B">
        <w:rPr>
          <w:rStyle w:val="Strong"/>
        </w:rPr>
        <w:t>:</w:t>
      </w:r>
      <w:r w:rsidRPr="00F51733">
        <w:rPr>
          <w:b/>
          <w:bCs/>
        </w:rPr>
        <w:t xml:space="preserve"> </w:t>
      </w:r>
      <w:r w:rsidR="00CD4103" w:rsidRPr="00F51733">
        <w:t>t</w:t>
      </w:r>
      <w:r w:rsidRPr="00F51733">
        <w:t>he Government is providing target</w:t>
      </w:r>
      <w:r w:rsidR="00A94161">
        <w:t>ed</w:t>
      </w:r>
      <w:r w:rsidRPr="00F51733">
        <w:t xml:space="preserve"> upfront investments into building more homes and liveable communities, and ensuring Australians have safe, secure, and affordable homes. I</w:t>
      </w:r>
      <w:r w:rsidR="00F9046B" w:rsidRPr="00F51733">
        <w:t xml:space="preserve">n the 2024–25 Budget, the Government is providing </w:t>
      </w:r>
      <w:r w:rsidR="00CD4103" w:rsidRPr="00F51733">
        <w:t xml:space="preserve">further </w:t>
      </w:r>
      <w:r w:rsidR="00F9046B" w:rsidRPr="00F51733">
        <w:t xml:space="preserve">support through the new </w:t>
      </w:r>
      <w:r w:rsidR="00F9046B" w:rsidRPr="0012386B">
        <w:rPr>
          <w:rStyle w:val="Emphasis"/>
        </w:rPr>
        <w:t>National Agreement on Social Housing and Homelessness</w:t>
      </w:r>
      <w:r w:rsidR="00F9046B" w:rsidRPr="00F51733">
        <w:t>, enabling infrastructure through the Housing Support Program, and the investments through the Housing Australia Future Fund.</w:t>
      </w:r>
    </w:p>
    <w:p w14:paraId="5A85BDB8" w14:textId="57CC226B" w:rsidR="00381703" w:rsidRPr="005C2995" w:rsidRDefault="00381703" w:rsidP="0054677F">
      <w:r>
        <w:t>Figures in the tables and text, and the analysis of trends, are presented in nominal terms, except in circumstances where real values are explicitly stated.</w:t>
      </w:r>
    </w:p>
    <w:p w14:paraId="258F9406" w14:textId="697A208E" w:rsidR="0058384E" w:rsidRPr="00D66947" w:rsidRDefault="0058384E" w:rsidP="00ED485A">
      <w:pPr>
        <w:sectPr w:rsidR="0058384E" w:rsidRPr="00D66947" w:rsidSect="00824B39">
          <w:headerReference w:type="even" r:id="rId11"/>
          <w:headerReference w:type="default" r:id="rId12"/>
          <w:footerReference w:type="even" r:id="rId13"/>
          <w:footerReference w:type="default" r:id="rId14"/>
          <w:headerReference w:type="first" r:id="rId15"/>
          <w:footerReference w:type="first" r:id="rId16"/>
          <w:pgSz w:w="11906" w:h="16838" w:code="9"/>
          <w:pgMar w:top="2835" w:right="2098" w:bottom="2466" w:left="2098" w:header="1814" w:footer="1814" w:gutter="0"/>
          <w:pgNumType w:start="189"/>
          <w:cols w:space="708"/>
          <w:titlePg/>
          <w:docGrid w:linePitch="360"/>
        </w:sectPr>
      </w:pPr>
    </w:p>
    <w:p w14:paraId="102E6AEC" w14:textId="77777777" w:rsidR="00ED485A" w:rsidRPr="00D66947" w:rsidRDefault="00ED485A" w:rsidP="00ED485A">
      <w:pPr>
        <w:pStyle w:val="ContentsHeading"/>
      </w:pPr>
      <w:r w:rsidRPr="00D66947">
        <w:lastRenderedPageBreak/>
        <w:t xml:space="preserve">Statement </w:t>
      </w:r>
      <w:r w:rsidRPr="00AA71F1">
        <w:t>contents</w:t>
      </w:r>
    </w:p>
    <w:p w14:paraId="410CCEE5" w14:textId="68E34AC6" w:rsidR="00F04792" w:rsidRDefault="00ED485A">
      <w:pPr>
        <w:pStyle w:val="TOC1"/>
        <w:rPr>
          <w:rFonts w:asciiTheme="minorHAnsi" w:eastAsiaTheme="minorEastAsia" w:hAnsiTheme="minorHAnsi" w:cstheme="minorBidi"/>
          <w:b w:val="0"/>
          <w:noProof/>
          <w:kern w:val="2"/>
          <w:sz w:val="22"/>
          <w:szCs w:val="22"/>
          <w14:ligatures w14:val="standardContextual"/>
        </w:rPr>
      </w:pPr>
      <w:r>
        <w:fldChar w:fldCharType="begin"/>
      </w:r>
      <w:r>
        <w:instrText xml:space="preserve"> TOC \h \z \u \t "Heading 2,1,Heading 3,2" </w:instrText>
      </w:r>
      <w:r>
        <w:fldChar w:fldCharType="separate"/>
      </w:r>
      <w:hyperlink w:anchor="_Toc166369413" w:history="1">
        <w:r w:rsidR="00F04792" w:rsidRPr="00A6633A">
          <w:rPr>
            <w:rStyle w:val="Hyperlink"/>
            <w:noProof/>
          </w:rPr>
          <w:t>Overview</w:t>
        </w:r>
        <w:r w:rsidR="00F04792">
          <w:rPr>
            <w:noProof/>
            <w:webHidden/>
          </w:rPr>
          <w:tab/>
        </w:r>
        <w:r w:rsidR="00F04792">
          <w:rPr>
            <w:noProof/>
            <w:webHidden/>
          </w:rPr>
          <w:fldChar w:fldCharType="begin"/>
        </w:r>
        <w:r w:rsidR="00F04792">
          <w:rPr>
            <w:noProof/>
            <w:webHidden/>
          </w:rPr>
          <w:instrText xml:space="preserve"> PAGEREF _Toc166369413 \h </w:instrText>
        </w:r>
        <w:r w:rsidR="00F04792">
          <w:rPr>
            <w:noProof/>
            <w:webHidden/>
          </w:rPr>
        </w:r>
        <w:r w:rsidR="00F04792">
          <w:rPr>
            <w:noProof/>
            <w:webHidden/>
          </w:rPr>
          <w:fldChar w:fldCharType="separate"/>
        </w:r>
        <w:r w:rsidR="00AB2EDC">
          <w:rPr>
            <w:noProof/>
            <w:webHidden/>
          </w:rPr>
          <w:t>193</w:t>
        </w:r>
        <w:r w:rsidR="00F04792">
          <w:rPr>
            <w:noProof/>
            <w:webHidden/>
          </w:rPr>
          <w:fldChar w:fldCharType="end"/>
        </w:r>
      </w:hyperlink>
    </w:p>
    <w:p w14:paraId="2369F079" w14:textId="3E849850" w:rsidR="00F04792" w:rsidRDefault="007528E4">
      <w:pPr>
        <w:pStyle w:val="TOC1"/>
        <w:rPr>
          <w:rFonts w:asciiTheme="minorHAnsi" w:eastAsiaTheme="minorEastAsia" w:hAnsiTheme="minorHAnsi" w:cstheme="minorBidi"/>
          <w:b w:val="0"/>
          <w:noProof/>
          <w:kern w:val="2"/>
          <w:sz w:val="22"/>
          <w:szCs w:val="22"/>
          <w14:ligatures w14:val="standardContextual"/>
        </w:rPr>
      </w:pPr>
      <w:hyperlink w:anchor="_Toc166369414" w:history="1">
        <w:r w:rsidR="00F04792" w:rsidRPr="00A6633A">
          <w:rPr>
            <w:rStyle w:val="Hyperlink"/>
            <w:noProof/>
          </w:rPr>
          <w:t>Estimated expenses by function</w:t>
        </w:r>
        <w:r w:rsidR="00F04792">
          <w:rPr>
            <w:noProof/>
            <w:webHidden/>
          </w:rPr>
          <w:tab/>
        </w:r>
        <w:r w:rsidR="00F04792">
          <w:rPr>
            <w:noProof/>
            <w:webHidden/>
          </w:rPr>
          <w:fldChar w:fldCharType="begin"/>
        </w:r>
        <w:r w:rsidR="00F04792">
          <w:rPr>
            <w:noProof/>
            <w:webHidden/>
          </w:rPr>
          <w:instrText xml:space="preserve"> PAGEREF _Toc166369414 \h </w:instrText>
        </w:r>
        <w:r w:rsidR="00F04792">
          <w:rPr>
            <w:noProof/>
            <w:webHidden/>
          </w:rPr>
        </w:r>
        <w:r w:rsidR="00F04792">
          <w:rPr>
            <w:noProof/>
            <w:webHidden/>
          </w:rPr>
          <w:fldChar w:fldCharType="separate"/>
        </w:r>
        <w:r w:rsidR="00AB2EDC">
          <w:rPr>
            <w:noProof/>
            <w:webHidden/>
          </w:rPr>
          <w:t>196</w:t>
        </w:r>
        <w:r w:rsidR="00F04792">
          <w:rPr>
            <w:noProof/>
            <w:webHidden/>
          </w:rPr>
          <w:fldChar w:fldCharType="end"/>
        </w:r>
      </w:hyperlink>
    </w:p>
    <w:p w14:paraId="323B1E29" w14:textId="023EA8C5" w:rsidR="00F04792" w:rsidRDefault="007528E4">
      <w:pPr>
        <w:pStyle w:val="TOC2"/>
        <w:rPr>
          <w:rFonts w:asciiTheme="minorHAnsi" w:eastAsiaTheme="minorEastAsia" w:hAnsiTheme="minorHAnsi" w:cstheme="minorBidi"/>
          <w:noProof/>
          <w:kern w:val="2"/>
          <w:sz w:val="22"/>
          <w:szCs w:val="22"/>
          <w14:ligatures w14:val="standardContextual"/>
        </w:rPr>
      </w:pPr>
      <w:hyperlink w:anchor="_Toc166369415" w:history="1">
        <w:r w:rsidR="00F04792" w:rsidRPr="00A6633A">
          <w:rPr>
            <w:rStyle w:val="Hyperlink"/>
            <w:noProof/>
          </w:rPr>
          <w:t>Program expenses</w:t>
        </w:r>
        <w:r w:rsidR="00F04792">
          <w:rPr>
            <w:noProof/>
            <w:webHidden/>
          </w:rPr>
          <w:tab/>
        </w:r>
        <w:r w:rsidR="00F04792">
          <w:rPr>
            <w:noProof/>
            <w:webHidden/>
          </w:rPr>
          <w:fldChar w:fldCharType="begin"/>
        </w:r>
        <w:r w:rsidR="00F04792">
          <w:rPr>
            <w:noProof/>
            <w:webHidden/>
          </w:rPr>
          <w:instrText xml:space="preserve"> PAGEREF _Toc166369415 \h </w:instrText>
        </w:r>
        <w:r w:rsidR="00F04792">
          <w:rPr>
            <w:noProof/>
            <w:webHidden/>
          </w:rPr>
        </w:r>
        <w:r w:rsidR="00F04792">
          <w:rPr>
            <w:noProof/>
            <w:webHidden/>
          </w:rPr>
          <w:fldChar w:fldCharType="separate"/>
        </w:r>
        <w:r w:rsidR="00AB2EDC">
          <w:rPr>
            <w:noProof/>
            <w:webHidden/>
          </w:rPr>
          <w:t>198</w:t>
        </w:r>
        <w:r w:rsidR="00F04792">
          <w:rPr>
            <w:noProof/>
            <w:webHidden/>
          </w:rPr>
          <w:fldChar w:fldCharType="end"/>
        </w:r>
      </w:hyperlink>
    </w:p>
    <w:p w14:paraId="2100DA52" w14:textId="1C4B86B5" w:rsidR="00F04792" w:rsidRDefault="007528E4">
      <w:pPr>
        <w:pStyle w:val="TOC2"/>
        <w:rPr>
          <w:rFonts w:asciiTheme="minorHAnsi" w:eastAsiaTheme="minorEastAsia" w:hAnsiTheme="minorHAnsi" w:cstheme="minorBidi"/>
          <w:noProof/>
          <w:kern w:val="2"/>
          <w:sz w:val="22"/>
          <w:szCs w:val="22"/>
          <w14:ligatures w14:val="standardContextual"/>
        </w:rPr>
      </w:pPr>
      <w:hyperlink w:anchor="_Toc166369416" w:history="1">
        <w:r w:rsidR="00F04792" w:rsidRPr="00A6633A">
          <w:rPr>
            <w:rStyle w:val="Hyperlink"/>
            <w:noProof/>
          </w:rPr>
          <w:t>Program payments</w:t>
        </w:r>
        <w:r w:rsidR="00F04792">
          <w:rPr>
            <w:noProof/>
            <w:webHidden/>
          </w:rPr>
          <w:tab/>
        </w:r>
        <w:r w:rsidR="00F04792">
          <w:rPr>
            <w:noProof/>
            <w:webHidden/>
          </w:rPr>
          <w:fldChar w:fldCharType="begin"/>
        </w:r>
        <w:r w:rsidR="00F04792">
          <w:rPr>
            <w:noProof/>
            <w:webHidden/>
          </w:rPr>
          <w:instrText xml:space="preserve"> PAGEREF _Toc166369416 \h </w:instrText>
        </w:r>
        <w:r w:rsidR="00F04792">
          <w:rPr>
            <w:noProof/>
            <w:webHidden/>
          </w:rPr>
        </w:r>
        <w:r w:rsidR="00F04792">
          <w:rPr>
            <w:noProof/>
            <w:webHidden/>
          </w:rPr>
          <w:fldChar w:fldCharType="separate"/>
        </w:r>
        <w:r w:rsidR="00AB2EDC">
          <w:rPr>
            <w:noProof/>
            <w:webHidden/>
          </w:rPr>
          <w:t>199</w:t>
        </w:r>
        <w:r w:rsidR="00F04792">
          <w:rPr>
            <w:noProof/>
            <w:webHidden/>
          </w:rPr>
          <w:fldChar w:fldCharType="end"/>
        </w:r>
      </w:hyperlink>
    </w:p>
    <w:p w14:paraId="38C443F2" w14:textId="55056702" w:rsidR="00F04792" w:rsidRDefault="007528E4">
      <w:pPr>
        <w:pStyle w:val="TOC1"/>
        <w:rPr>
          <w:rFonts w:asciiTheme="minorHAnsi" w:eastAsiaTheme="minorEastAsia" w:hAnsiTheme="minorHAnsi" w:cstheme="minorBidi"/>
          <w:b w:val="0"/>
          <w:noProof/>
          <w:kern w:val="2"/>
          <w:sz w:val="22"/>
          <w:szCs w:val="22"/>
          <w14:ligatures w14:val="standardContextual"/>
        </w:rPr>
      </w:pPr>
      <w:hyperlink w:anchor="_Toc166369417" w:history="1">
        <w:r w:rsidR="00F04792" w:rsidRPr="00A6633A">
          <w:rPr>
            <w:rStyle w:val="Hyperlink"/>
            <w:noProof/>
          </w:rPr>
          <w:t>General government sector expenses</w:t>
        </w:r>
        <w:r w:rsidR="00F04792">
          <w:rPr>
            <w:noProof/>
            <w:webHidden/>
          </w:rPr>
          <w:tab/>
        </w:r>
        <w:r w:rsidR="00F04792">
          <w:rPr>
            <w:noProof/>
            <w:webHidden/>
          </w:rPr>
          <w:fldChar w:fldCharType="begin"/>
        </w:r>
        <w:r w:rsidR="00F04792">
          <w:rPr>
            <w:noProof/>
            <w:webHidden/>
          </w:rPr>
          <w:instrText xml:space="preserve"> PAGEREF _Toc166369417 \h </w:instrText>
        </w:r>
        <w:r w:rsidR="00F04792">
          <w:rPr>
            <w:noProof/>
            <w:webHidden/>
          </w:rPr>
        </w:r>
        <w:r w:rsidR="00F04792">
          <w:rPr>
            <w:noProof/>
            <w:webHidden/>
          </w:rPr>
          <w:fldChar w:fldCharType="separate"/>
        </w:r>
        <w:r w:rsidR="00AB2EDC">
          <w:rPr>
            <w:noProof/>
            <w:webHidden/>
          </w:rPr>
          <w:t>200</w:t>
        </w:r>
        <w:r w:rsidR="00F04792">
          <w:rPr>
            <w:noProof/>
            <w:webHidden/>
          </w:rPr>
          <w:fldChar w:fldCharType="end"/>
        </w:r>
      </w:hyperlink>
    </w:p>
    <w:p w14:paraId="5C6F71AE" w14:textId="7E17A854" w:rsidR="00F04792" w:rsidRDefault="007528E4">
      <w:pPr>
        <w:pStyle w:val="TOC2"/>
        <w:rPr>
          <w:rFonts w:asciiTheme="minorHAnsi" w:eastAsiaTheme="minorEastAsia" w:hAnsiTheme="minorHAnsi" w:cstheme="minorBidi"/>
          <w:noProof/>
          <w:kern w:val="2"/>
          <w:sz w:val="22"/>
          <w:szCs w:val="22"/>
          <w14:ligatures w14:val="standardContextual"/>
        </w:rPr>
      </w:pPr>
      <w:hyperlink w:anchor="_Toc166369418" w:history="1">
        <w:r w:rsidR="00F04792" w:rsidRPr="00A6633A">
          <w:rPr>
            <w:rStyle w:val="Hyperlink"/>
            <w:noProof/>
          </w:rPr>
          <w:t>General public services</w:t>
        </w:r>
        <w:r w:rsidR="00F04792">
          <w:rPr>
            <w:noProof/>
            <w:webHidden/>
          </w:rPr>
          <w:tab/>
        </w:r>
        <w:r w:rsidR="00F04792">
          <w:rPr>
            <w:noProof/>
            <w:webHidden/>
          </w:rPr>
          <w:fldChar w:fldCharType="begin"/>
        </w:r>
        <w:r w:rsidR="00F04792">
          <w:rPr>
            <w:noProof/>
            <w:webHidden/>
          </w:rPr>
          <w:instrText xml:space="preserve"> PAGEREF _Toc166369418 \h </w:instrText>
        </w:r>
        <w:r w:rsidR="00F04792">
          <w:rPr>
            <w:noProof/>
            <w:webHidden/>
          </w:rPr>
        </w:r>
        <w:r w:rsidR="00F04792">
          <w:rPr>
            <w:noProof/>
            <w:webHidden/>
          </w:rPr>
          <w:fldChar w:fldCharType="separate"/>
        </w:r>
        <w:r w:rsidR="00AB2EDC">
          <w:rPr>
            <w:noProof/>
            <w:webHidden/>
          </w:rPr>
          <w:t>200</w:t>
        </w:r>
        <w:r w:rsidR="00F04792">
          <w:rPr>
            <w:noProof/>
            <w:webHidden/>
          </w:rPr>
          <w:fldChar w:fldCharType="end"/>
        </w:r>
      </w:hyperlink>
    </w:p>
    <w:p w14:paraId="3A690717" w14:textId="10E81849" w:rsidR="00F04792" w:rsidRDefault="007528E4">
      <w:pPr>
        <w:pStyle w:val="TOC2"/>
        <w:rPr>
          <w:rFonts w:asciiTheme="minorHAnsi" w:eastAsiaTheme="minorEastAsia" w:hAnsiTheme="minorHAnsi" w:cstheme="minorBidi"/>
          <w:noProof/>
          <w:kern w:val="2"/>
          <w:sz w:val="22"/>
          <w:szCs w:val="22"/>
          <w14:ligatures w14:val="standardContextual"/>
        </w:rPr>
      </w:pPr>
      <w:hyperlink w:anchor="_Toc166369419" w:history="1">
        <w:r w:rsidR="00F04792" w:rsidRPr="00A6633A">
          <w:rPr>
            <w:rStyle w:val="Hyperlink"/>
            <w:noProof/>
          </w:rPr>
          <w:t>Defence</w:t>
        </w:r>
        <w:r w:rsidR="00F04792">
          <w:rPr>
            <w:noProof/>
            <w:webHidden/>
          </w:rPr>
          <w:tab/>
        </w:r>
        <w:r w:rsidR="00F04792">
          <w:rPr>
            <w:noProof/>
            <w:webHidden/>
          </w:rPr>
          <w:tab/>
        </w:r>
        <w:r w:rsidR="00F04792">
          <w:rPr>
            <w:noProof/>
            <w:webHidden/>
          </w:rPr>
          <w:tab/>
        </w:r>
        <w:r w:rsidR="00F04792">
          <w:rPr>
            <w:noProof/>
            <w:webHidden/>
          </w:rPr>
          <w:fldChar w:fldCharType="begin"/>
        </w:r>
        <w:r w:rsidR="00F04792">
          <w:rPr>
            <w:noProof/>
            <w:webHidden/>
          </w:rPr>
          <w:instrText xml:space="preserve"> PAGEREF _Toc166369419 \h </w:instrText>
        </w:r>
        <w:r w:rsidR="00F04792">
          <w:rPr>
            <w:noProof/>
            <w:webHidden/>
          </w:rPr>
        </w:r>
        <w:r w:rsidR="00F04792">
          <w:rPr>
            <w:noProof/>
            <w:webHidden/>
          </w:rPr>
          <w:fldChar w:fldCharType="separate"/>
        </w:r>
        <w:r w:rsidR="00AB2EDC">
          <w:rPr>
            <w:noProof/>
            <w:webHidden/>
          </w:rPr>
          <w:t>202</w:t>
        </w:r>
        <w:r w:rsidR="00F04792">
          <w:rPr>
            <w:noProof/>
            <w:webHidden/>
          </w:rPr>
          <w:fldChar w:fldCharType="end"/>
        </w:r>
      </w:hyperlink>
    </w:p>
    <w:p w14:paraId="6A41BFE4" w14:textId="7C0821A7" w:rsidR="00F04792" w:rsidRDefault="007528E4">
      <w:pPr>
        <w:pStyle w:val="TOC2"/>
        <w:rPr>
          <w:rFonts w:asciiTheme="minorHAnsi" w:eastAsiaTheme="minorEastAsia" w:hAnsiTheme="minorHAnsi" w:cstheme="minorBidi"/>
          <w:noProof/>
          <w:kern w:val="2"/>
          <w:sz w:val="22"/>
          <w:szCs w:val="22"/>
          <w14:ligatures w14:val="standardContextual"/>
        </w:rPr>
      </w:pPr>
      <w:hyperlink w:anchor="_Toc166369420" w:history="1">
        <w:r w:rsidR="00F04792" w:rsidRPr="00A6633A">
          <w:rPr>
            <w:rStyle w:val="Hyperlink"/>
            <w:noProof/>
          </w:rPr>
          <w:t>Public order and safety</w:t>
        </w:r>
        <w:r w:rsidR="00F04792">
          <w:rPr>
            <w:noProof/>
            <w:webHidden/>
          </w:rPr>
          <w:tab/>
        </w:r>
        <w:r w:rsidR="00F04792">
          <w:rPr>
            <w:noProof/>
            <w:webHidden/>
          </w:rPr>
          <w:fldChar w:fldCharType="begin"/>
        </w:r>
        <w:r w:rsidR="00F04792">
          <w:rPr>
            <w:noProof/>
            <w:webHidden/>
          </w:rPr>
          <w:instrText xml:space="preserve"> PAGEREF _Toc166369420 \h </w:instrText>
        </w:r>
        <w:r w:rsidR="00F04792">
          <w:rPr>
            <w:noProof/>
            <w:webHidden/>
          </w:rPr>
        </w:r>
        <w:r w:rsidR="00F04792">
          <w:rPr>
            <w:noProof/>
            <w:webHidden/>
          </w:rPr>
          <w:fldChar w:fldCharType="separate"/>
        </w:r>
        <w:r w:rsidR="00AB2EDC">
          <w:rPr>
            <w:noProof/>
            <w:webHidden/>
          </w:rPr>
          <w:t>203</w:t>
        </w:r>
        <w:r w:rsidR="00F04792">
          <w:rPr>
            <w:noProof/>
            <w:webHidden/>
          </w:rPr>
          <w:fldChar w:fldCharType="end"/>
        </w:r>
      </w:hyperlink>
    </w:p>
    <w:p w14:paraId="776B730E" w14:textId="1C3A2F70" w:rsidR="00F04792" w:rsidRDefault="007528E4">
      <w:pPr>
        <w:pStyle w:val="TOC2"/>
        <w:rPr>
          <w:rFonts w:asciiTheme="minorHAnsi" w:eastAsiaTheme="minorEastAsia" w:hAnsiTheme="minorHAnsi" w:cstheme="minorBidi"/>
          <w:noProof/>
          <w:kern w:val="2"/>
          <w:sz w:val="22"/>
          <w:szCs w:val="22"/>
          <w14:ligatures w14:val="standardContextual"/>
        </w:rPr>
      </w:pPr>
      <w:hyperlink w:anchor="_Toc166369421" w:history="1">
        <w:r w:rsidR="00F04792" w:rsidRPr="00A6633A">
          <w:rPr>
            <w:rStyle w:val="Hyperlink"/>
            <w:noProof/>
          </w:rPr>
          <w:t>Education</w:t>
        </w:r>
        <w:r w:rsidR="00F04792">
          <w:rPr>
            <w:noProof/>
            <w:webHidden/>
          </w:rPr>
          <w:tab/>
        </w:r>
        <w:r w:rsidR="00F04792">
          <w:rPr>
            <w:noProof/>
            <w:webHidden/>
          </w:rPr>
          <w:tab/>
        </w:r>
        <w:r w:rsidR="00F04792">
          <w:rPr>
            <w:noProof/>
            <w:webHidden/>
          </w:rPr>
          <w:tab/>
        </w:r>
        <w:r w:rsidR="00F04792">
          <w:rPr>
            <w:noProof/>
            <w:webHidden/>
          </w:rPr>
          <w:fldChar w:fldCharType="begin"/>
        </w:r>
        <w:r w:rsidR="00F04792">
          <w:rPr>
            <w:noProof/>
            <w:webHidden/>
          </w:rPr>
          <w:instrText xml:space="preserve"> PAGEREF _Toc166369421 \h </w:instrText>
        </w:r>
        <w:r w:rsidR="00F04792">
          <w:rPr>
            <w:noProof/>
            <w:webHidden/>
          </w:rPr>
        </w:r>
        <w:r w:rsidR="00F04792">
          <w:rPr>
            <w:noProof/>
            <w:webHidden/>
          </w:rPr>
          <w:fldChar w:fldCharType="separate"/>
        </w:r>
        <w:r w:rsidR="00AB2EDC">
          <w:rPr>
            <w:noProof/>
            <w:webHidden/>
          </w:rPr>
          <w:t>204</w:t>
        </w:r>
        <w:r w:rsidR="00F04792">
          <w:rPr>
            <w:noProof/>
            <w:webHidden/>
          </w:rPr>
          <w:fldChar w:fldCharType="end"/>
        </w:r>
      </w:hyperlink>
    </w:p>
    <w:p w14:paraId="7029C922" w14:textId="057BE575" w:rsidR="00F04792" w:rsidRDefault="007528E4">
      <w:pPr>
        <w:pStyle w:val="TOC2"/>
        <w:rPr>
          <w:rFonts w:asciiTheme="minorHAnsi" w:eastAsiaTheme="minorEastAsia" w:hAnsiTheme="minorHAnsi" w:cstheme="minorBidi"/>
          <w:noProof/>
          <w:kern w:val="2"/>
          <w:sz w:val="22"/>
          <w:szCs w:val="22"/>
          <w14:ligatures w14:val="standardContextual"/>
        </w:rPr>
      </w:pPr>
      <w:hyperlink w:anchor="_Toc166369422" w:history="1">
        <w:r w:rsidR="00F04792" w:rsidRPr="00A6633A">
          <w:rPr>
            <w:rStyle w:val="Hyperlink"/>
            <w:noProof/>
          </w:rPr>
          <w:t>Health</w:t>
        </w:r>
        <w:r w:rsidR="00F04792">
          <w:rPr>
            <w:noProof/>
            <w:webHidden/>
          </w:rPr>
          <w:tab/>
        </w:r>
        <w:r w:rsidR="00F04792">
          <w:rPr>
            <w:noProof/>
            <w:webHidden/>
          </w:rPr>
          <w:tab/>
        </w:r>
        <w:r w:rsidR="00F04792">
          <w:rPr>
            <w:noProof/>
            <w:webHidden/>
          </w:rPr>
          <w:tab/>
        </w:r>
        <w:r w:rsidR="00F04792">
          <w:rPr>
            <w:noProof/>
            <w:webHidden/>
          </w:rPr>
          <w:fldChar w:fldCharType="begin"/>
        </w:r>
        <w:r w:rsidR="00F04792">
          <w:rPr>
            <w:noProof/>
            <w:webHidden/>
          </w:rPr>
          <w:instrText xml:space="preserve"> PAGEREF _Toc166369422 \h </w:instrText>
        </w:r>
        <w:r w:rsidR="00F04792">
          <w:rPr>
            <w:noProof/>
            <w:webHidden/>
          </w:rPr>
        </w:r>
        <w:r w:rsidR="00F04792">
          <w:rPr>
            <w:noProof/>
            <w:webHidden/>
          </w:rPr>
          <w:fldChar w:fldCharType="separate"/>
        </w:r>
        <w:r w:rsidR="00AB2EDC">
          <w:rPr>
            <w:noProof/>
            <w:webHidden/>
          </w:rPr>
          <w:t>206</w:t>
        </w:r>
        <w:r w:rsidR="00F04792">
          <w:rPr>
            <w:noProof/>
            <w:webHidden/>
          </w:rPr>
          <w:fldChar w:fldCharType="end"/>
        </w:r>
      </w:hyperlink>
    </w:p>
    <w:p w14:paraId="0E1610AB" w14:textId="14F117B8" w:rsidR="00F04792" w:rsidRDefault="007528E4">
      <w:pPr>
        <w:pStyle w:val="TOC2"/>
        <w:rPr>
          <w:rFonts w:asciiTheme="minorHAnsi" w:eastAsiaTheme="minorEastAsia" w:hAnsiTheme="minorHAnsi" w:cstheme="minorBidi"/>
          <w:noProof/>
          <w:kern w:val="2"/>
          <w:sz w:val="22"/>
          <w:szCs w:val="22"/>
          <w14:ligatures w14:val="standardContextual"/>
        </w:rPr>
      </w:pPr>
      <w:hyperlink w:anchor="_Toc166369423" w:history="1">
        <w:r w:rsidR="00F04792" w:rsidRPr="00A6633A">
          <w:rPr>
            <w:rStyle w:val="Hyperlink"/>
            <w:noProof/>
          </w:rPr>
          <w:t>Social security and welfare</w:t>
        </w:r>
        <w:r w:rsidR="00F04792">
          <w:rPr>
            <w:noProof/>
            <w:webHidden/>
          </w:rPr>
          <w:tab/>
        </w:r>
        <w:r w:rsidR="00F04792">
          <w:rPr>
            <w:noProof/>
            <w:webHidden/>
          </w:rPr>
          <w:fldChar w:fldCharType="begin"/>
        </w:r>
        <w:r w:rsidR="00F04792">
          <w:rPr>
            <w:noProof/>
            <w:webHidden/>
          </w:rPr>
          <w:instrText xml:space="preserve"> PAGEREF _Toc166369423 \h </w:instrText>
        </w:r>
        <w:r w:rsidR="00F04792">
          <w:rPr>
            <w:noProof/>
            <w:webHidden/>
          </w:rPr>
        </w:r>
        <w:r w:rsidR="00F04792">
          <w:rPr>
            <w:noProof/>
            <w:webHidden/>
          </w:rPr>
          <w:fldChar w:fldCharType="separate"/>
        </w:r>
        <w:r w:rsidR="00AB2EDC">
          <w:rPr>
            <w:noProof/>
            <w:webHidden/>
          </w:rPr>
          <w:t>209</w:t>
        </w:r>
        <w:r w:rsidR="00F04792">
          <w:rPr>
            <w:noProof/>
            <w:webHidden/>
          </w:rPr>
          <w:fldChar w:fldCharType="end"/>
        </w:r>
      </w:hyperlink>
    </w:p>
    <w:p w14:paraId="7F8A3893" w14:textId="0BEE9242" w:rsidR="00F04792" w:rsidRDefault="007528E4">
      <w:pPr>
        <w:pStyle w:val="TOC2"/>
        <w:rPr>
          <w:rFonts w:asciiTheme="minorHAnsi" w:eastAsiaTheme="minorEastAsia" w:hAnsiTheme="minorHAnsi" w:cstheme="minorBidi"/>
          <w:noProof/>
          <w:kern w:val="2"/>
          <w:sz w:val="22"/>
          <w:szCs w:val="22"/>
          <w14:ligatures w14:val="standardContextual"/>
        </w:rPr>
      </w:pPr>
      <w:hyperlink w:anchor="_Toc166369424" w:history="1">
        <w:r w:rsidR="00F04792" w:rsidRPr="00A6633A">
          <w:rPr>
            <w:rStyle w:val="Hyperlink"/>
            <w:noProof/>
          </w:rPr>
          <w:t>Housing and community amenities</w:t>
        </w:r>
        <w:r w:rsidR="00F04792">
          <w:rPr>
            <w:noProof/>
            <w:webHidden/>
          </w:rPr>
          <w:tab/>
        </w:r>
        <w:r w:rsidR="00F04792">
          <w:rPr>
            <w:noProof/>
            <w:webHidden/>
          </w:rPr>
          <w:fldChar w:fldCharType="begin"/>
        </w:r>
        <w:r w:rsidR="00F04792">
          <w:rPr>
            <w:noProof/>
            <w:webHidden/>
          </w:rPr>
          <w:instrText xml:space="preserve"> PAGEREF _Toc166369424 \h </w:instrText>
        </w:r>
        <w:r w:rsidR="00F04792">
          <w:rPr>
            <w:noProof/>
            <w:webHidden/>
          </w:rPr>
        </w:r>
        <w:r w:rsidR="00F04792">
          <w:rPr>
            <w:noProof/>
            <w:webHidden/>
          </w:rPr>
          <w:fldChar w:fldCharType="separate"/>
        </w:r>
        <w:r w:rsidR="00AB2EDC">
          <w:rPr>
            <w:noProof/>
            <w:webHidden/>
          </w:rPr>
          <w:t>212</w:t>
        </w:r>
        <w:r w:rsidR="00F04792">
          <w:rPr>
            <w:noProof/>
            <w:webHidden/>
          </w:rPr>
          <w:fldChar w:fldCharType="end"/>
        </w:r>
      </w:hyperlink>
    </w:p>
    <w:p w14:paraId="74A9520A" w14:textId="39E08A50" w:rsidR="00F04792" w:rsidRDefault="007528E4">
      <w:pPr>
        <w:pStyle w:val="TOC2"/>
        <w:rPr>
          <w:rFonts w:asciiTheme="minorHAnsi" w:eastAsiaTheme="minorEastAsia" w:hAnsiTheme="minorHAnsi" w:cstheme="minorBidi"/>
          <w:noProof/>
          <w:kern w:val="2"/>
          <w:sz w:val="22"/>
          <w:szCs w:val="22"/>
          <w14:ligatures w14:val="standardContextual"/>
        </w:rPr>
      </w:pPr>
      <w:hyperlink w:anchor="_Toc166369425" w:history="1">
        <w:r w:rsidR="00F04792" w:rsidRPr="00A6633A">
          <w:rPr>
            <w:rStyle w:val="Hyperlink"/>
            <w:noProof/>
          </w:rPr>
          <w:t>Recreation and culture</w:t>
        </w:r>
        <w:r w:rsidR="00F04792">
          <w:rPr>
            <w:noProof/>
            <w:webHidden/>
          </w:rPr>
          <w:tab/>
        </w:r>
        <w:r w:rsidR="00F04792">
          <w:rPr>
            <w:noProof/>
            <w:webHidden/>
          </w:rPr>
          <w:fldChar w:fldCharType="begin"/>
        </w:r>
        <w:r w:rsidR="00F04792">
          <w:rPr>
            <w:noProof/>
            <w:webHidden/>
          </w:rPr>
          <w:instrText xml:space="preserve"> PAGEREF _Toc166369425 \h </w:instrText>
        </w:r>
        <w:r w:rsidR="00F04792">
          <w:rPr>
            <w:noProof/>
            <w:webHidden/>
          </w:rPr>
        </w:r>
        <w:r w:rsidR="00F04792">
          <w:rPr>
            <w:noProof/>
            <w:webHidden/>
          </w:rPr>
          <w:fldChar w:fldCharType="separate"/>
        </w:r>
        <w:r w:rsidR="00AB2EDC">
          <w:rPr>
            <w:noProof/>
            <w:webHidden/>
          </w:rPr>
          <w:t>214</w:t>
        </w:r>
        <w:r w:rsidR="00F04792">
          <w:rPr>
            <w:noProof/>
            <w:webHidden/>
          </w:rPr>
          <w:fldChar w:fldCharType="end"/>
        </w:r>
      </w:hyperlink>
    </w:p>
    <w:p w14:paraId="1EBD468A" w14:textId="4E729B3F" w:rsidR="00F04792" w:rsidRDefault="007528E4">
      <w:pPr>
        <w:pStyle w:val="TOC2"/>
        <w:rPr>
          <w:rFonts w:asciiTheme="minorHAnsi" w:eastAsiaTheme="minorEastAsia" w:hAnsiTheme="minorHAnsi" w:cstheme="minorBidi"/>
          <w:noProof/>
          <w:kern w:val="2"/>
          <w:sz w:val="22"/>
          <w:szCs w:val="22"/>
          <w14:ligatures w14:val="standardContextual"/>
        </w:rPr>
      </w:pPr>
      <w:hyperlink w:anchor="_Toc166369426" w:history="1">
        <w:r w:rsidR="00F04792" w:rsidRPr="00A6633A">
          <w:rPr>
            <w:rStyle w:val="Hyperlink"/>
            <w:noProof/>
          </w:rPr>
          <w:t>Fuel and energy</w:t>
        </w:r>
        <w:r w:rsidR="00F04792">
          <w:rPr>
            <w:noProof/>
            <w:webHidden/>
          </w:rPr>
          <w:tab/>
        </w:r>
        <w:r w:rsidR="00F04792">
          <w:rPr>
            <w:noProof/>
            <w:webHidden/>
          </w:rPr>
          <w:fldChar w:fldCharType="begin"/>
        </w:r>
        <w:r w:rsidR="00F04792">
          <w:rPr>
            <w:noProof/>
            <w:webHidden/>
          </w:rPr>
          <w:instrText xml:space="preserve"> PAGEREF _Toc166369426 \h </w:instrText>
        </w:r>
        <w:r w:rsidR="00F04792">
          <w:rPr>
            <w:noProof/>
            <w:webHidden/>
          </w:rPr>
        </w:r>
        <w:r w:rsidR="00F04792">
          <w:rPr>
            <w:noProof/>
            <w:webHidden/>
          </w:rPr>
          <w:fldChar w:fldCharType="separate"/>
        </w:r>
        <w:r w:rsidR="00AB2EDC">
          <w:rPr>
            <w:noProof/>
            <w:webHidden/>
          </w:rPr>
          <w:t>216</w:t>
        </w:r>
        <w:r w:rsidR="00F04792">
          <w:rPr>
            <w:noProof/>
            <w:webHidden/>
          </w:rPr>
          <w:fldChar w:fldCharType="end"/>
        </w:r>
      </w:hyperlink>
    </w:p>
    <w:p w14:paraId="5E47EE2E" w14:textId="1C7FB109" w:rsidR="00F04792" w:rsidRDefault="007528E4">
      <w:pPr>
        <w:pStyle w:val="TOC2"/>
        <w:rPr>
          <w:rFonts w:asciiTheme="minorHAnsi" w:eastAsiaTheme="minorEastAsia" w:hAnsiTheme="minorHAnsi" w:cstheme="minorBidi"/>
          <w:noProof/>
          <w:kern w:val="2"/>
          <w:sz w:val="22"/>
          <w:szCs w:val="22"/>
          <w14:ligatures w14:val="standardContextual"/>
        </w:rPr>
      </w:pPr>
      <w:hyperlink w:anchor="_Toc166369427" w:history="1">
        <w:r w:rsidR="00F04792" w:rsidRPr="00A6633A">
          <w:rPr>
            <w:rStyle w:val="Hyperlink"/>
            <w:noProof/>
          </w:rPr>
          <w:t>Agriculture, forestry and fishing</w:t>
        </w:r>
        <w:r w:rsidR="00F04792">
          <w:rPr>
            <w:noProof/>
            <w:webHidden/>
          </w:rPr>
          <w:tab/>
        </w:r>
        <w:r w:rsidR="00F04792">
          <w:rPr>
            <w:noProof/>
            <w:webHidden/>
          </w:rPr>
          <w:fldChar w:fldCharType="begin"/>
        </w:r>
        <w:r w:rsidR="00F04792">
          <w:rPr>
            <w:noProof/>
            <w:webHidden/>
          </w:rPr>
          <w:instrText xml:space="preserve"> PAGEREF _Toc166369427 \h </w:instrText>
        </w:r>
        <w:r w:rsidR="00F04792">
          <w:rPr>
            <w:noProof/>
            <w:webHidden/>
          </w:rPr>
        </w:r>
        <w:r w:rsidR="00F04792">
          <w:rPr>
            <w:noProof/>
            <w:webHidden/>
          </w:rPr>
          <w:fldChar w:fldCharType="separate"/>
        </w:r>
        <w:r w:rsidR="00AB2EDC">
          <w:rPr>
            <w:noProof/>
            <w:webHidden/>
          </w:rPr>
          <w:t>217</w:t>
        </w:r>
        <w:r w:rsidR="00F04792">
          <w:rPr>
            <w:noProof/>
            <w:webHidden/>
          </w:rPr>
          <w:fldChar w:fldCharType="end"/>
        </w:r>
      </w:hyperlink>
    </w:p>
    <w:p w14:paraId="08893095" w14:textId="3C1CED7D" w:rsidR="00F04792" w:rsidRDefault="007528E4">
      <w:pPr>
        <w:pStyle w:val="TOC2"/>
        <w:rPr>
          <w:rFonts w:asciiTheme="minorHAnsi" w:eastAsiaTheme="minorEastAsia" w:hAnsiTheme="minorHAnsi" w:cstheme="minorBidi"/>
          <w:noProof/>
          <w:kern w:val="2"/>
          <w:sz w:val="22"/>
          <w:szCs w:val="22"/>
          <w14:ligatures w14:val="standardContextual"/>
        </w:rPr>
      </w:pPr>
      <w:hyperlink w:anchor="_Toc166369428" w:history="1">
        <w:r w:rsidR="00F04792" w:rsidRPr="00A6633A">
          <w:rPr>
            <w:rStyle w:val="Hyperlink"/>
            <w:noProof/>
          </w:rPr>
          <w:t>Mining, manufacturing and construction</w:t>
        </w:r>
        <w:r w:rsidR="00F04792">
          <w:rPr>
            <w:noProof/>
            <w:webHidden/>
          </w:rPr>
          <w:tab/>
        </w:r>
        <w:r w:rsidR="00F04792">
          <w:rPr>
            <w:noProof/>
            <w:webHidden/>
          </w:rPr>
          <w:fldChar w:fldCharType="begin"/>
        </w:r>
        <w:r w:rsidR="00F04792">
          <w:rPr>
            <w:noProof/>
            <w:webHidden/>
          </w:rPr>
          <w:instrText xml:space="preserve"> PAGEREF _Toc166369428 \h </w:instrText>
        </w:r>
        <w:r w:rsidR="00F04792">
          <w:rPr>
            <w:noProof/>
            <w:webHidden/>
          </w:rPr>
        </w:r>
        <w:r w:rsidR="00F04792">
          <w:rPr>
            <w:noProof/>
            <w:webHidden/>
          </w:rPr>
          <w:fldChar w:fldCharType="separate"/>
        </w:r>
        <w:r w:rsidR="00AB2EDC">
          <w:rPr>
            <w:noProof/>
            <w:webHidden/>
          </w:rPr>
          <w:t>218</w:t>
        </w:r>
        <w:r w:rsidR="00F04792">
          <w:rPr>
            <w:noProof/>
            <w:webHidden/>
          </w:rPr>
          <w:fldChar w:fldCharType="end"/>
        </w:r>
      </w:hyperlink>
    </w:p>
    <w:p w14:paraId="12197DC0" w14:textId="03EFBADC" w:rsidR="00F04792" w:rsidRDefault="007528E4">
      <w:pPr>
        <w:pStyle w:val="TOC2"/>
        <w:rPr>
          <w:rFonts w:asciiTheme="minorHAnsi" w:eastAsiaTheme="minorEastAsia" w:hAnsiTheme="minorHAnsi" w:cstheme="minorBidi"/>
          <w:noProof/>
          <w:kern w:val="2"/>
          <w:sz w:val="22"/>
          <w:szCs w:val="22"/>
          <w14:ligatures w14:val="standardContextual"/>
        </w:rPr>
      </w:pPr>
      <w:hyperlink w:anchor="_Toc166369429" w:history="1">
        <w:r w:rsidR="00F04792" w:rsidRPr="00A6633A">
          <w:rPr>
            <w:rStyle w:val="Hyperlink"/>
            <w:noProof/>
          </w:rPr>
          <w:t>Transport and communication</w:t>
        </w:r>
        <w:r w:rsidR="00F04792">
          <w:rPr>
            <w:noProof/>
            <w:webHidden/>
          </w:rPr>
          <w:tab/>
        </w:r>
        <w:r w:rsidR="00F04792">
          <w:rPr>
            <w:noProof/>
            <w:webHidden/>
          </w:rPr>
          <w:fldChar w:fldCharType="begin"/>
        </w:r>
        <w:r w:rsidR="00F04792">
          <w:rPr>
            <w:noProof/>
            <w:webHidden/>
          </w:rPr>
          <w:instrText xml:space="preserve"> PAGEREF _Toc166369429 \h </w:instrText>
        </w:r>
        <w:r w:rsidR="00F04792">
          <w:rPr>
            <w:noProof/>
            <w:webHidden/>
          </w:rPr>
        </w:r>
        <w:r w:rsidR="00F04792">
          <w:rPr>
            <w:noProof/>
            <w:webHidden/>
          </w:rPr>
          <w:fldChar w:fldCharType="separate"/>
        </w:r>
        <w:r w:rsidR="00AB2EDC">
          <w:rPr>
            <w:noProof/>
            <w:webHidden/>
          </w:rPr>
          <w:t>219</w:t>
        </w:r>
        <w:r w:rsidR="00F04792">
          <w:rPr>
            <w:noProof/>
            <w:webHidden/>
          </w:rPr>
          <w:fldChar w:fldCharType="end"/>
        </w:r>
      </w:hyperlink>
    </w:p>
    <w:p w14:paraId="76F9FC5F" w14:textId="1CB9F70E" w:rsidR="00F04792" w:rsidRDefault="007528E4">
      <w:pPr>
        <w:pStyle w:val="TOC2"/>
        <w:rPr>
          <w:rFonts w:asciiTheme="minorHAnsi" w:eastAsiaTheme="minorEastAsia" w:hAnsiTheme="minorHAnsi" w:cstheme="minorBidi"/>
          <w:noProof/>
          <w:kern w:val="2"/>
          <w:sz w:val="22"/>
          <w:szCs w:val="22"/>
          <w14:ligatures w14:val="standardContextual"/>
        </w:rPr>
      </w:pPr>
      <w:hyperlink w:anchor="_Toc166369430" w:history="1">
        <w:r w:rsidR="00F04792" w:rsidRPr="00A6633A">
          <w:rPr>
            <w:rStyle w:val="Hyperlink"/>
            <w:noProof/>
          </w:rPr>
          <w:t>Other economic affairs</w:t>
        </w:r>
        <w:r w:rsidR="00F04792">
          <w:rPr>
            <w:noProof/>
            <w:webHidden/>
          </w:rPr>
          <w:tab/>
        </w:r>
        <w:r w:rsidR="00F04792">
          <w:rPr>
            <w:noProof/>
            <w:webHidden/>
          </w:rPr>
          <w:fldChar w:fldCharType="begin"/>
        </w:r>
        <w:r w:rsidR="00F04792">
          <w:rPr>
            <w:noProof/>
            <w:webHidden/>
          </w:rPr>
          <w:instrText xml:space="preserve"> PAGEREF _Toc166369430 \h </w:instrText>
        </w:r>
        <w:r w:rsidR="00F04792">
          <w:rPr>
            <w:noProof/>
            <w:webHidden/>
          </w:rPr>
        </w:r>
        <w:r w:rsidR="00F04792">
          <w:rPr>
            <w:noProof/>
            <w:webHidden/>
          </w:rPr>
          <w:fldChar w:fldCharType="separate"/>
        </w:r>
        <w:r w:rsidR="00AB2EDC">
          <w:rPr>
            <w:noProof/>
            <w:webHidden/>
          </w:rPr>
          <w:t>220</w:t>
        </w:r>
        <w:r w:rsidR="00F04792">
          <w:rPr>
            <w:noProof/>
            <w:webHidden/>
          </w:rPr>
          <w:fldChar w:fldCharType="end"/>
        </w:r>
      </w:hyperlink>
    </w:p>
    <w:p w14:paraId="6F53CF9B" w14:textId="46CED277" w:rsidR="00F04792" w:rsidRDefault="007528E4">
      <w:pPr>
        <w:pStyle w:val="TOC2"/>
        <w:rPr>
          <w:rFonts w:asciiTheme="minorHAnsi" w:eastAsiaTheme="minorEastAsia" w:hAnsiTheme="minorHAnsi" w:cstheme="minorBidi"/>
          <w:noProof/>
          <w:kern w:val="2"/>
          <w:sz w:val="22"/>
          <w:szCs w:val="22"/>
          <w14:ligatures w14:val="standardContextual"/>
        </w:rPr>
      </w:pPr>
      <w:hyperlink w:anchor="_Toc166369431" w:history="1">
        <w:r w:rsidR="00F04792" w:rsidRPr="00A6633A">
          <w:rPr>
            <w:rStyle w:val="Hyperlink"/>
            <w:noProof/>
          </w:rPr>
          <w:t>Other purposes</w:t>
        </w:r>
        <w:r w:rsidR="00F04792">
          <w:rPr>
            <w:noProof/>
            <w:webHidden/>
          </w:rPr>
          <w:tab/>
        </w:r>
        <w:r w:rsidR="00F04792">
          <w:rPr>
            <w:noProof/>
            <w:webHidden/>
          </w:rPr>
          <w:fldChar w:fldCharType="begin"/>
        </w:r>
        <w:r w:rsidR="00F04792">
          <w:rPr>
            <w:noProof/>
            <w:webHidden/>
          </w:rPr>
          <w:instrText xml:space="preserve"> PAGEREF _Toc166369431 \h </w:instrText>
        </w:r>
        <w:r w:rsidR="00F04792">
          <w:rPr>
            <w:noProof/>
            <w:webHidden/>
          </w:rPr>
        </w:r>
        <w:r w:rsidR="00F04792">
          <w:rPr>
            <w:noProof/>
            <w:webHidden/>
          </w:rPr>
          <w:fldChar w:fldCharType="separate"/>
        </w:r>
        <w:r w:rsidR="00AB2EDC">
          <w:rPr>
            <w:noProof/>
            <w:webHidden/>
          </w:rPr>
          <w:t>223</w:t>
        </w:r>
        <w:r w:rsidR="00F04792">
          <w:rPr>
            <w:noProof/>
            <w:webHidden/>
          </w:rPr>
          <w:fldChar w:fldCharType="end"/>
        </w:r>
      </w:hyperlink>
    </w:p>
    <w:p w14:paraId="7D505A53" w14:textId="78855143" w:rsidR="00F04792" w:rsidRDefault="007528E4">
      <w:pPr>
        <w:pStyle w:val="TOC1"/>
        <w:rPr>
          <w:rFonts w:asciiTheme="minorHAnsi" w:eastAsiaTheme="minorEastAsia" w:hAnsiTheme="minorHAnsi" w:cstheme="minorBidi"/>
          <w:b w:val="0"/>
          <w:noProof/>
          <w:kern w:val="2"/>
          <w:sz w:val="22"/>
          <w:szCs w:val="22"/>
          <w14:ligatures w14:val="standardContextual"/>
        </w:rPr>
      </w:pPr>
      <w:hyperlink w:anchor="_Toc166369432" w:history="1">
        <w:r w:rsidR="00F04792" w:rsidRPr="00A6633A">
          <w:rPr>
            <w:rStyle w:val="Hyperlink"/>
            <w:noProof/>
          </w:rPr>
          <w:t>General government net capital investment</w:t>
        </w:r>
        <w:r w:rsidR="00F04792">
          <w:rPr>
            <w:noProof/>
            <w:webHidden/>
          </w:rPr>
          <w:tab/>
        </w:r>
        <w:r w:rsidR="00F04792">
          <w:rPr>
            <w:noProof/>
            <w:webHidden/>
          </w:rPr>
          <w:fldChar w:fldCharType="begin"/>
        </w:r>
        <w:r w:rsidR="00F04792">
          <w:rPr>
            <w:noProof/>
            <w:webHidden/>
          </w:rPr>
          <w:instrText xml:space="preserve"> PAGEREF _Toc166369432 \h </w:instrText>
        </w:r>
        <w:r w:rsidR="00F04792">
          <w:rPr>
            <w:noProof/>
            <w:webHidden/>
          </w:rPr>
        </w:r>
        <w:r w:rsidR="00F04792">
          <w:rPr>
            <w:noProof/>
            <w:webHidden/>
          </w:rPr>
          <w:fldChar w:fldCharType="separate"/>
        </w:r>
        <w:r w:rsidR="00AB2EDC">
          <w:rPr>
            <w:noProof/>
            <w:webHidden/>
          </w:rPr>
          <w:t>227</w:t>
        </w:r>
        <w:r w:rsidR="00F04792">
          <w:rPr>
            <w:noProof/>
            <w:webHidden/>
          </w:rPr>
          <w:fldChar w:fldCharType="end"/>
        </w:r>
      </w:hyperlink>
    </w:p>
    <w:p w14:paraId="0EA62D73" w14:textId="5A47E350" w:rsidR="00F04792" w:rsidRDefault="007528E4">
      <w:pPr>
        <w:pStyle w:val="TOC2"/>
        <w:rPr>
          <w:rFonts w:asciiTheme="minorHAnsi" w:eastAsiaTheme="minorEastAsia" w:hAnsiTheme="minorHAnsi" w:cstheme="minorBidi"/>
          <w:noProof/>
          <w:kern w:val="2"/>
          <w:sz w:val="22"/>
          <w:szCs w:val="22"/>
          <w14:ligatures w14:val="standardContextual"/>
        </w:rPr>
      </w:pPr>
      <w:hyperlink w:anchor="_Toc166369433" w:history="1">
        <w:r w:rsidR="00F04792" w:rsidRPr="00A6633A">
          <w:rPr>
            <w:rStyle w:val="Hyperlink"/>
            <w:noProof/>
          </w:rPr>
          <w:t>Reconciliation of net capital investment since the 2023–24 Budget</w:t>
        </w:r>
        <w:r w:rsidR="00F04792">
          <w:rPr>
            <w:noProof/>
            <w:webHidden/>
          </w:rPr>
          <w:tab/>
        </w:r>
        <w:r w:rsidR="00F04792">
          <w:rPr>
            <w:noProof/>
            <w:webHidden/>
          </w:rPr>
          <w:fldChar w:fldCharType="begin"/>
        </w:r>
        <w:r w:rsidR="00F04792">
          <w:rPr>
            <w:noProof/>
            <w:webHidden/>
          </w:rPr>
          <w:instrText xml:space="preserve"> PAGEREF _Toc166369433 \h </w:instrText>
        </w:r>
        <w:r w:rsidR="00F04792">
          <w:rPr>
            <w:noProof/>
            <w:webHidden/>
          </w:rPr>
        </w:r>
        <w:r w:rsidR="00F04792">
          <w:rPr>
            <w:noProof/>
            <w:webHidden/>
          </w:rPr>
          <w:fldChar w:fldCharType="separate"/>
        </w:r>
        <w:r w:rsidR="00AB2EDC">
          <w:rPr>
            <w:noProof/>
            <w:webHidden/>
          </w:rPr>
          <w:t>228</w:t>
        </w:r>
        <w:r w:rsidR="00F04792">
          <w:rPr>
            <w:noProof/>
            <w:webHidden/>
          </w:rPr>
          <w:fldChar w:fldCharType="end"/>
        </w:r>
      </w:hyperlink>
    </w:p>
    <w:p w14:paraId="182A3BAB" w14:textId="745D8FF5" w:rsidR="00F04792" w:rsidRDefault="007528E4">
      <w:pPr>
        <w:pStyle w:val="TOC2"/>
        <w:rPr>
          <w:rFonts w:asciiTheme="minorHAnsi" w:eastAsiaTheme="minorEastAsia" w:hAnsiTheme="minorHAnsi" w:cstheme="minorBidi"/>
          <w:noProof/>
          <w:kern w:val="2"/>
          <w:sz w:val="22"/>
          <w:szCs w:val="22"/>
          <w14:ligatures w14:val="standardContextual"/>
        </w:rPr>
      </w:pPr>
      <w:hyperlink w:anchor="_Toc166369434" w:history="1">
        <w:r w:rsidR="00F04792" w:rsidRPr="00A6633A">
          <w:rPr>
            <w:rStyle w:val="Hyperlink"/>
            <w:noProof/>
          </w:rPr>
          <w:t>Net capital investment estimates by function</w:t>
        </w:r>
        <w:r w:rsidR="00F04792">
          <w:rPr>
            <w:noProof/>
            <w:webHidden/>
          </w:rPr>
          <w:tab/>
        </w:r>
        <w:r w:rsidR="00F04792">
          <w:rPr>
            <w:noProof/>
            <w:webHidden/>
          </w:rPr>
          <w:fldChar w:fldCharType="begin"/>
        </w:r>
        <w:r w:rsidR="00F04792">
          <w:rPr>
            <w:noProof/>
            <w:webHidden/>
          </w:rPr>
          <w:instrText xml:space="preserve"> PAGEREF _Toc166369434 \h </w:instrText>
        </w:r>
        <w:r w:rsidR="00F04792">
          <w:rPr>
            <w:noProof/>
            <w:webHidden/>
          </w:rPr>
        </w:r>
        <w:r w:rsidR="00F04792">
          <w:rPr>
            <w:noProof/>
            <w:webHidden/>
          </w:rPr>
          <w:fldChar w:fldCharType="separate"/>
        </w:r>
        <w:r w:rsidR="00AB2EDC">
          <w:rPr>
            <w:noProof/>
            <w:webHidden/>
          </w:rPr>
          <w:t>229</w:t>
        </w:r>
        <w:r w:rsidR="00F04792">
          <w:rPr>
            <w:noProof/>
            <w:webHidden/>
          </w:rPr>
          <w:fldChar w:fldCharType="end"/>
        </w:r>
      </w:hyperlink>
    </w:p>
    <w:p w14:paraId="273FCD04" w14:textId="7EFA5D8D" w:rsidR="00F04792" w:rsidRDefault="007528E4">
      <w:pPr>
        <w:pStyle w:val="TOC1"/>
        <w:rPr>
          <w:rFonts w:asciiTheme="minorHAnsi" w:eastAsiaTheme="minorEastAsia" w:hAnsiTheme="minorHAnsi" w:cstheme="minorBidi"/>
          <w:b w:val="0"/>
          <w:noProof/>
          <w:kern w:val="2"/>
          <w:sz w:val="22"/>
          <w:szCs w:val="22"/>
          <w14:ligatures w14:val="standardContextual"/>
        </w:rPr>
      </w:pPr>
      <w:hyperlink w:anchor="_Toc166369435" w:history="1">
        <w:r w:rsidR="00F04792" w:rsidRPr="00A6633A">
          <w:rPr>
            <w:rStyle w:val="Hyperlink"/>
            <w:noProof/>
          </w:rPr>
          <w:t>Appendix A: Expense by function and sub</w:t>
        </w:r>
        <w:r w:rsidR="00F04792" w:rsidRPr="00A6633A">
          <w:rPr>
            <w:rStyle w:val="Hyperlink"/>
            <w:noProof/>
          </w:rPr>
          <w:noBreakHyphen/>
          <w:t>function</w:t>
        </w:r>
        <w:r w:rsidR="00F04792">
          <w:rPr>
            <w:noProof/>
            <w:webHidden/>
          </w:rPr>
          <w:tab/>
        </w:r>
        <w:r w:rsidR="00F04792">
          <w:rPr>
            <w:noProof/>
            <w:webHidden/>
          </w:rPr>
          <w:fldChar w:fldCharType="begin"/>
        </w:r>
        <w:r w:rsidR="00F04792">
          <w:rPr>
            <w:noProof/>
            <w:webHidden/>
          </w:rPr>
          <w:instrText xml:space="preserve"> PAGEREF _Toc166369435 \h </w:instrText>
        </w:r>
        <w:r w:rsidR="00F04792">
          <w:rPr>
            <w:noProof/>
            <w:webHidden/>
          </w:rPr>
        </w:r>
        <w:r w:rsidR="00F04792">
          <w:rPr>
            <w:noProof/>
            <w:webHidden/>
          </w:rPr>
          <w:fldChar w:fldCharType="separate"/>
        </w:r>
        <w:r w:rsidR="00AB2EDC">
          <w:rPr>
            <w:noProof/>
            <w:webHidden/>
          </w:rPr>
          <w:t>231</w:t>
        </w:r>
        <w:r w:rsidR="00F04792">
          <w:rPr>
            <w:noProof/>
            <w:webHidden/>
          </w:rPr>
          <w:fldChar w:fldCharType="end"/>
        </w:r>
      </w:hyperlink>
    </w:p>
    <w:p w14:paraId="0D05051F" w14:textId="55A8C747" w:rsidR="00ED485A" w:rsidRPr="00453533" w:rsidRDefault="00ED485A" w:rsidP="00077E62">
      <w:pPr>
        <w:rPr>
          <w:lang w:val="en-US"/>
        </w:rPr>
        <w:sectPr w:rsidR="00ED485A" w:rsidRPr="00453533" w:rsidSect="00C42D6E">
          <w:headerReference w:type="even" r:id="rId17"/>
          <w:headerReference w:type="default" r:id="rId18"/>
          <w:footerReference w:type="even" r:id="rId19"/>
          <w:footerReference w:type="default" r:id="rId20"/>
          <w:headerReference w:type="first" r:id="rId21"/>
          <w:footerReference w:type="first" r:id="rId22"/>
          <w:pgSz w:w="11906" w:h="16838" w:code="9"/>
          <w:pgMar w:top="2835" w:right="2098" w:bottom="2466" w:left="2098" w:header="1814" w:footer="1814" w:gutter="0"/>
          <w:cols w:space="708"/>
          <w:titlePg/>
          <w:docGrid w:linePitch="360"/>
        </w:sectPr>
      </w:pPr>
      <w:r>
        <w:rPr>
          <w:noProof/>
          <w:lang w:val="en-US"/>
        </w:rPr>
        <w:fldChar w:fldCharType="end"/>
      </w:r>
    </w:p>
    <w:p w14:paraId="14A23AC0" w14:textId="77777777" w:rsidR="00ED485A" w:rsidRPr="000177D7" w:rsidRDefault="00ED485A" w:rsidP="00ED485A">
      <w:pPr>
        <w:pStyle w:val="Heading1"/>
      </w:pPr>
      <w:bookmarkStart w:id="2" w:name="_Toc71406500"/>
      <w:bookmarkStart w:id="3" w:name="_Toc99203674"/>
      <w:bookmarkStart w:id="4" w:name="_Toc117358167"/>
      <w:r w:rsidRPr="000177D7">
        <w:lastRenderedPageBreak/>
        <w:t>Statement 6: Expenses and Net Capital</w:t>
      </w:r>
      <w:r>
        <w:t> </w:t>
      </w:r>
      <w:r w:rsidRPr="000177D7">
        <w:t>Investment</w:t>
      </w:r>
      <w:bookmarkEnd w:id="2"/>
      <w:bookmarkEnd w:id="3"/>
      <w:bookmarkEnd w:id="4"/>
    </w:p>
    <w:p w14:paraId="2EB48BFA" w14:textId="77777777" w:rsidR="00ED485A" w:rsidRPr="000177D7" w:rsidRDefault="00ED485A" w:rsidP="00ED485A">
      <w:pPr>
        <w:pStyle w:val="Heading2"/>
      </w:pPr>
      <w:bookmarkStart w:id="5" w:name="_Toc4577266"/>
      <w:bookmarkStart w:id="6" w:name="_Toc4689177"/>
      <w:bookmarkStart w:id="7" w:name="_Toc99203675"/>
      <w:bookmarkStart w:id="8" w:name="_Toc117358168"/>
      <w:bookmarkStart w:id="9" w:name="_Toc166369413"/>
      <w:r w:rsidRPr="000177D7">
        <w:t>Overview</w:t>
      </w:r>
      <w:bookmarkEnd w:id="5"/>
      <w:bookmarkEnd w:id="6"/>
      <w:bookmarkEnd w:id="7"/>
      <w:bookmarkEnd w:id="8"/>
      <w:bookmarkEnd w:id="9"/>
    </w:p>
    <w:p w14:paraId="44AE6635" w14:textId="4BD82186" w:rsidR="00380035" w:rsidRDefault="00380035" w:rsidP="0054677F">
      <w:bookmarkStart w:id="10" w:name="_Hlk165134269"/>
      <w:r>
        <w:t xml:space="preserve">Australian Government general government sector expenses are expected to increase from </w:t>
      </w:r>
      <w:r w:rsidRPr="002D4FCF">
        <w:t>$</w:t>
      </w:r>
      <w:r w:rsidR="00A25FA4" w:rsidRPr="002D4FCF">
        <w:t>691.1</w:t>
      </w:r>
      <w:r w:rsidRPr="002D4FCF">
        <w:rPr>
          <w:shd w:val="clear" w:color="auto" w:fill="FFFFFF" w:themeFill="background1"/>
        </w:rPr>
        <w:t> billion in 202</w:t>
      </w:r>
      <w:r w:rsidR="00A25FA4" w:rsidRPr="002D4FCF">
        <w:rPr>
          <w:shd w:val="clear" w:color="auto" w:fill="FFFFFF" w:themeFill="background1"/>
        </w:rPr>
        <w:t>3</w:t>
      </w:r>
      <w:r w:rsidR="00796BBF" w:rsidRPr="002D4FCF">
        <w:t>–</w:t>
      </w:r>
      <w:r w:rsidRPr="002D4FCF">
        <w:rPr>
          <w:shd w:val="clear" w:color="auto" w:fill="FFFFFF" w:themeFill="background1"/>
        </w:rPr>
        <w:t>2</w:t>
      </w:r>
      <w:r w:rsidR="00A25FA4" w:rsidRPr="002D4FCF">
        <w:rPr>
          <w:shd w:val="clear" w:color="auto" w:fill="FFFFFF" w:themeFill="background1"/>
        </w:rPr>
        <w:t>4</w:t>
      </w:r>
      <w:r w:rsidRPr="002D4FCF">
        <w:rPr>
          <w:shd w:val="clear" w:color="auto" w:fill="FFFFFF" w:themeFill="background1"/>
        </w:rPr>
        <w:t xml:space="preserve"> to $8</w:t>
      </w:r>
      <w:r w:rsidR="00AA2FAE" w:rsidRPr="002D4FCF">
        <w:rPr>
          <w:shd w:val="clear" w:color="auto" w:fill="FFFFFF" w:themeFill="background1"/>
        </w:rPr>
        <w:t xml:space="preserve">29.8 </w:t>
      </w:r>
      <w:r w:rsidRPr="002D4FCF">
        <w:rPr>
          <w:shd w:val="clear" w:color="auto" w:fill="FFFFFF" w:themeFill="background1"/>
        </w:rPr>
        <w:t>billion</w:t>
      </w:r>
      <w:r w:rsidRPr="002D4FCF">
        <w:t xml:space="preserve"> in</w:t>
      </w:r>
      <w:r>
        <w:t xml:space="preserve"> 2027–28, with expenses as a percentage of GDP</w:t>
      </w:r>
      <w:r w:rsidR="00A25FA4">
        <w:t xml:space="preserve"> </w:t>
      </w:r>
      <w:r w:rsidR="00B50833">
        <w:t xml:space="preserve">marginally </w:t>
      </w:r>
      <w:r w:rsidR="00A25FA4">
        <w:t>decreasing</w:t>
      </w:r>
      <w:r w:rsidRPr="00002DB4">
        <w:t xml:space="preserve"> </w:t>
      </w:r>
      <w:r w:rsidR="00957B9D">
        <w:t>over the period 2024–25 to 2027–28</w:t>
      </w:r>
      <w:r w:rsidRPr="00002DB4">
        <w:t>.</w:t>
      </w:r>
    </w:p>
    <w:p w14:paraId="7193E8E6" w14:textId="282A3E63" w:rsidR="00380035" w:rsidRDefault="00380035" w:rsidP="0054677F">
      <w:pPr>
        <w:rPr>
          <w:shd w:val="clear" w:color="auto" w:fill="B5F7FF" w:themeFill="accent4" w:themeFillTint="33"/>
        </w:rPr>
      </w:pPr>
      <w:r w:rsidRPr="0029105F">
        <w:t xml:space="preserve">Spending in this Budget </w:t>
      </w:r>
      <w:r>
        <w:t>is</w:t>
      </w:r>
      <w:r w:rsidRPr="0029105F">
        <w:t xml:space="preserve"> focused on easing cost</w:t>
      </w:r>
      <w:r w:rsidR="008D4F6B">
        <w:noBreakHyphen/>
      </w:r>
      <w:r w:rsidRPr="0029105F">
        <w:t>of</w:t>
      </w:r>
      <w:r w:rsidR="008D4F6B">
        <w:noBreakHyphen/>
      </w:r>
      <w:r w:rsidRPr="0029105F">
        <w:t>living pressures</w:t>
      </w:r>
      <w:r>
        <w:t xml:space="preserve"> for Australians</w:t>
      </w:r>
      <w:r w:rsidRPr="0029105F">
        <w:t xml:space="preserve">, </w:t>
      </w:r>
      <w:r w:rsidR="00BA469A">
        <w:t xml:space="preserve">investing in </w:t>
      </w:r>
      <w:r>
        <w:t xml:space="preserve">a </w:t>
      </w:r>
      <w:r w:rsidR="00A9609A">
        <w:t>F</w:t>
      </w:r>
      <w:r>
        <w:t xml:space="preserve">uture </w:t>
      </w:r>
      <w:r w:rsidR="00A9609A">
        <w:t>M</w:t>
      </w:r>
      <w:r>
        <w:t xml:space="preserve">ade in Australia, driving the energy transition, </w:t>
      </w:r>
      <w:r w:rsidRPr="0029105F">
        <w:t>strengthening Medicare and the care economy</w:t>
      </w:r>
      <w:r>
        <w:t>, and supporting Australians to meet their housing needs</w:t>
      </w:r>
      <w:r w:rsidR="00A94161">
        <w:t xml:space="preserve">. The Budget also addresses significant unavoidable spending pressures </w:t>
      </w:r>
      <w:r w:rsidR="00A94161" w:rsidRPr="00E40434">
        <w:t>to ensure Australians do</w:t>
      </w:r>
      <w:r w:rsidR="00CF4AFB">
        <w:t xml:space="preserve"> </w:t>
      </w:r>
      <w:r w:rsidR="00A94161" w:rsidRPr="00E40434">
        <w:t>n</w:t>
      </w:r>
      <w:r w:rsidR="00CF4AFB">
        <w:t>o</w:t>
      </w:r>
      <w:r w:rsidR="00A94161" w:rsidRPr="00E40434">
        <w:t>t see a cut to the programs and services they rely on</w:t>
      </w:r>
      <w:r w:rsidR="00A94161">
        <w:t>.</w:t>
      </w:r>
    </w:p>
    <w:bookmarkEnd w:id="10"/>
    <w:p w14:paraId="391AE6B8" w14:textId="05260EFA" w:rsidR="00085B29" w:rsidRDefault="00F53FD5" w:rsidP="00085B29">
      <w:pPr>
        <w:pStyle w:val="TableHeading"/>
        <w:rPr>
          <w:rFonts w:asciiTheme="minorHAnsi" w:eastAsiaTheme="minorHAnsi" w:hAnsiTheme="minorHAnsi" w:cstheme="minorBidi"/>
          <w:sz w:val="22"/>
          <w:szCs w:val="22"/>
          <w:lang w:eastAsia="en-US"/>
        </w:rPr>
      </w:pPr>
      <w:r>
        <w:t>Table </w:t>
      </w:r>
      <w:r w:rsidR="00ED485A" w:rsidRPr="000177D7">
        <w:t>6.1.1: Estimates of general government sector expenses</w:t>
      </w:r>
      <w:bookmarkStart w:id="11" w:name="_1776942723"/>
      <w:bookmarkStart w:id="12" w:name="_1776945553"/>
      <w:bookmarkEnd w:id="11"/>
      <w:bookmarkEnd w:id="12"/>
    </w:p>
    <w:tbl>
      <w:tblPr>
        <w:tblW w:w="7711" w:type="dxa"/>
        <w:tblCellMar>
          <w:left w:w="0" w:type="dxa"/>
          <w:right w:w="28" w:type="dxa"/>
        </w:tblCellMar>
        <w:tblLook w:val="04A0" w:firstRow="1" w:lastRow="0" w:firstColumn="1" w:lastColumn="0" w:noHBand="0" w:noVBand="1"/>
      </w:tblPr>
      <w:tblGrid>
        <w:gridCol w:w="2422"/>
        <w:gridCol w:w="834"/>
        <w:gridCol w:w="15"/>
        <w:gridCol w:w="819"/>
        <w:gridCol w:w="63"/>
        <w:gridCol w:w="199"/>
        <w:gridCol w:w="63"/>
        <w:gridCol w:w="776"/>
        <w:gridCol w:w="839"/>
        <w:gridCol w:w="839"/>
        <w:gridCol w:w="834"/>
        <w:gridCol w:w="8"/>
      </w:tblGrid>
      <w:tr w:rsidR="00085B29" w:rsidRPr="00085B29" w14:paraId="1153F4E1" w14:textId="77777777" w:rsidTr="00204B48">
        <w:trPr>
          <w:gridAfter w:val="1"/>
          <w:wAfter w:w="5" w:type="pct"/>
          <w:trHeight w:hRule="exact" w:val="225"/>
        </w:trPr>
        <w:tc>
          <w:tcPr>
            <w:tcW w:w="1570" w:type="pct"/>
            <w:tcBorders>
              <w:top w:val="single" w:sz="4" w:space="0" w:color="293F5B"/>
              <w:left w:val="nil"/>
              <w:bottom w:val="nil"/>
              <w:right w:val="nil"/>
            </w:tcBorders>
            <w:shd w:val="clear" w:color="000000" w:fill="FFFFFF"/>
            <w:noWrap/>
            <w:vAlign w:val="center"/>
            <w:hideMark/>
          </w:tcPr>
          <w:p w14:paraId="7A9D3817" w14:textId="11746387" w:rsidR="00085B29" w:rsidRPr="00085B29" w:rsidRDefault="00085B29" w:rsidP="00085B29">
            <w:pPr>
              <w:spacing w:before="0" w:after="0" w:line="240" w:lineRule="auto"/>
              <w:rPr>
                <w:rFonts w:ascii="Arial" w:hAnsi="Arial" w:cs="Arial"/>
                <w:color w:val="000000"/>
                <w:sz w:val="16"/>
                <w:szCs w:val="16"/>
              </w:rPr>
            </w:pPr>
            <w:r w:rsidRPr="00085B29">
              <w:rPr>
                <w:rFonts w:ascii="Arial" w:hAnsi="Arial" w:cs="Arial"/>
                <w:color w:val="000000"/>
                <w:sz w:val="16"/>
                <w:szCs w:val="16"/>
              </w:rPr>
              <w:t> </w:t>
            </w:r>
          </w:p>
        </w:tc>
        <w:tc>
          <w:tcPr>
            <w:tcW w:w="551" w:type="pct"/>
            <w:gridSpan w:val="2"/>
            <w:tcBorders>
              <w:top w:val="single" w:sz="4" w:space="0" w:color="293F5B"/>
              <w:left w:val="nil"/>
              <w:bottom w:val="single" w:sz="4" w:space="0" w:color="293F5B"/>
              <w:right w:val="nil"/>
            </w:tcBorders>
            <w:shd w:val="clear" w:color="000000" w:fill="FFFFFF"/>
            <w:noWrap/>
            <w:vAlign w:val="center"/>
            <w:hideMark/>
          </w:tcPr>
          <w:p w14:paraId="7C7DB427" w14:textId="77777777" w:rsidR="00085B29" w:rsidRPr="00085B29" w:rsidRDefault="00085B29" w:rsidP="00085B29">
            <w:pPr>
              <w:spacing w:before="0" w:after="0" w:line="240" w:lineRule="auto"/>
              <w:jc w:val="right"/>
              <w:rPr>
                <w:rFonts w:ascii="Arial" w:hAnsi="Arial" w:cs="Arial"/>
                <w:sz w:val="16"/>
                <w:szCs w:val="16"/>
              </w:rPr>
            </w:pPr>
            <w:r w:rsidRPr="00085B29">
              <w:rPr>
                <w:rFonts w:ascii="Arial" w:hAnsi="Arial" w:cs="Arial"/>
                <w:sz w:val="16"/>
                <w:szCs w:val="16"/>
              </w:rPr>
              <w:t>MYEFO</w:t>
            </w:r>
          </w:p>
        </w:tc>
        <w:tc>
          <w:tcPr>
            <w:tcW w:w="572" w:type="pct"/>
            <w:gridSpan w:val="2"/>
            <w:tcBorders>
              <w:top w:val="single" w:sz="4" w:space="0" w:color="293F5B"/>
              <w:left w:val="nil"/>
              <w:bottom w:val="single" w:sz="4" w:space="0" w:color="293F5B"/>
              <w:right w:val="nil"/>
            </w:tcBorders>
            <w:shd w:val="clear" w:color="000000" w:fill="FFFFFF"/>
            <w:noWrap/>
            <w:vAlign w:val="center"/>
            <w:hideMark/>
          </w:tcPr>
          <w:p w14:paraId="7D752849" w14:textId="77777777" w:rsidR="00085B29" w:rsidRPr="00085B29" w:rsidRDefault="00085B29" w:rsidP="00204B48">
            <w:pPr>
              <w:spacing w:before="0" w:after="0" w:line="240" w:lineRule="auto"/>
              <w:ind w:right="-170"/>
              <w:jc w:val="center"/>
              <w:rPr>
                <w:rFonts w:ascii="Arial" w:hAnsi="Arial" w:cs="Arial"/>
                <w:color w:val="000000"/>
                <w:sz w:val="16"/>
                <w:szCs w:val="16"/>
              </w:rPr>
            </w:pPr>
            <w:r w:rsidRPr="00085B29">
              <w:rPr>
                <w:rFonts w:ascii="Arial" w:hAnsi="Arial" w:cs="Arial"/>
                <w:color w:val="000000"/>
                <w:sz w:val="16"/>
                <w:szCs w:val="16"/>
              </w:rPr>
              <w:t>Revised</w:t>
            </w:r>
          </w:p>
        </w:tc>
        <w:tc>
          <w:tcPr>
            <w:tcW w:w="170" w:type="pct"/>
            <w:gridSpan w:val="2"/>
            <w:tcBorders>
              <w:top w:val="single" w:sz="4" w:space="0" w:color="293F5B"/>
              <w:left w:val="nil"/>
              <w:bottom w:val="single" w:sz="4" w:space="0" w:color="293F5B"/>
              <w:right w:val="nil"/>
            </w:tcBorders>
            <w:shd w:val="clear" w:color="000000" w:fill="FFFFFF"/>
            <w:noWrap/>
            <w:vAlign w:val="center"/>
            <w:hideMark/>
          </w:tcPr>
          <w:p w14:paraId="12977CEC" w14:textId="77777777" w:rsidR="00085B29" w:rsidRPr="00085B29" w:rsidRDefault="00085B29" w:rsidP="00085B29">
            <w:pPr>
              <w:spacing w:before="0" w:after="0" w:line="240" w:lineRule="auto"/>
              <w:jc w:val="right"/>
              <w:rPr>
                <w:rFonts w:ascii="Arial" w:hAnsi="Arial" w:cs="Arial"/>
                <w:color w:val="000000"/>
                <w:sz w:val="16"/>
                <w:szCs w:val="16"/>
              </w:rPr>
            </w:pPr>
            <w:r w:rsidRPr="00085B29">
              <w:rPr>
                <w:rFonts w:ascii="Arial" w:hAnsi="Arial" w:cs="Arial"/>
                <w:color w:val="000000"/>
                <w:sz w:val="16"/>
                <w:szCs w:val="16"/>
              </w:rPr>
              <w:t> </w:t>
            </w:r>
          </w:p>
        </w:tc>
        <w:tc>
          <w:tcPr>
            <w:tcW w:w="2132" w:type="pct"/>
            <w:gridSpan w:val="4"/>
            <w:tcBorders>
              <w:top w:val="single" w:sz="4" w:space="0" w:color="auto"/>
              <w:left w:val="nil"/>
              <w:bottom w:val="single" w:sz="4" w:space="0" w:color="293F5B"/>
              <w:right w:val="nil"/>
            </w:tcBorders>
            <w:shd w:val="clear" w:color="000000" w:fill="FFFFFF"/>
            <w:noWrap/>
            <w:vAlign w:val="center"/>
            <w:hideMark/>
          </w:tcPr>
          <w:p w14:paraId="58A01BB6" w14:textId="77777777" w:rsidR="00085B29" w:rsidRPr="00085B29" w:rsidRDefault="00085B29" w:rsidP="00204B48">
            <w:pPr>
              <w:spacing w:before="0" w:after="0" w:line="240" w:lineRule="auto"/>
              <w:ind w:right="-113"/>
              <w:jc w:val="center"/>
              <w:rPr>
                <w:rFonts w:ascii="Arial" w:hAnsi="Arial" w:cs="Arial"/>
                <w:color w:val="000000"/>
                <w:sz w:val="16"/>
                <w:szCs w:val="16"/>
              </w:rPr>
            </w:pPr>
            <w:r w:rsidRPr="00085B29">
              <w:rPr>
                <w:rFonts w:ascii="Arial" w:hAnsi="Arial" w:cs="Arial"/>
                <w:color w:val="000000"/>
                <w:sz w:val="16"/>
                <w:szCs w:val="16"/>
              </w:rPr>
              <w:t>Estimates</w:t>
            </w:r>
          </w:p>
        </w:tc>
      </w:tr>
      <w:tr w:rsidR="00B81C32" w:rsidRPr="00085B29" w14:paraId="0A6E3251" w14:textId="77777777" w:rsidTr="00204B48">
        <w:trPr>
          <w:trHeight w:hRule="exact" w:val="225"/>
        </w:trPr>
        <w:tc>
          <w:tcPr>
            <w:tcW w:w="1570" w:type="pct"/>
            <w:tcBorders>
              <w:top w:val="nil"/>
              <w:left w:val="nil"/>
              <w:bottom w:val="nil"/>
              <w:right w:val="nil"/>
            </w:tcBorders>
            <w:shd w:val="clear" w:color="000000" w:fill="FFFFFF"/>
            <w:noWrap/>
            <w:vAlign w:val="center"/>
            <w:hideMark/>
          </w:tcPr>
          <w:p w14:paraId="5CE61475" w14:textId="77777777" w:rsidR="00085B29" w:rsidRPr="00085B29" w:rsidRDefault="00085B29" w:rsidP="00085B29">
            <w:pPr>
              <w:spacing w:before="0" w:after="0" w:line="240" w:lineRule="auto"/>
              <w:rPr>
                <w:rFonts w:ascii="Arial" w:hAnsi="Arial" w:cs="Arial"/>
                <w:color w:val="000000"/>
                <w:sz w:val="16"/>
                <w:szCs w:val="16"/>
              </w:rPr>
            </w:pPr>
            <w:r w:rsidRPr="00085B29">
              <w:rPr>
                <w:rFonts w:ascii="Arial" w:hAnsi="Arial" w:cs="Arial"/>
                <w:color w:val="000000"/>
                <w:sz w:val="16"/>
                <w:szCs w:val="16"/>
              </w:rPr>
              <w:t> </w:t>
            </w:r>
          </w:p>
        </w:tc>
        <w:tc>
          <w:tcPr>
            <w:tcW w:w="541" w:type="pct"/>
            <w:tcBorders>
              <w:top w:val="single" w:sz="4" w:space="0" w:color="293F5B"/>
              <w:left w:val="nil"/>
              <w:bottom w:val="single" w:sz="4" w:space="0" w:color="293F5B"/>
              <w:right w:val="nil"/>
            </w:tcBorders>
            <w:shd w:val="clear" w:color="000000" w:fill="FFFFFF"/>
            <w:noWrap/>
            <w:vAlign w:val="center"/>
            <w:hideMark/>
          </w:tcPr>
          <w:p w14:paraId="01ABB99B" w14:textId="77777777" w:rsidR="00085B29" w:rsidRPr="00085B29" w:rsidRDefault="00085B29" w:rsidP="00085B29">
            <w:pPr>
              <w:spacing w:before="0" w:after="0" w:line="240" w:lineRule="auto"/>
              <w:jc w:val="right"/>
              <w:rPr>
                <w:rFonts w:ascii="Arial" w:hAnsi="Arial" w:cs="Arial"/>
                <w:color w:val="000000"/>
                <w:sz w:val="16"/>
                <w:szCs w:val="16"/>
              </w:rPr>
            </w:pPr>
            <w:r w:rsidRPr="00085B29">
              <w:rPr>
                <w:rFonts w:ascii="Arial" w:hAnsi="Arial" w:cs="Arial"/>
                <w:color w:val="000000"/>
                <w:sz w:val="16"/>
                <w:szCs w:val="16"/>
              </w:rPr>
              <w:t>2023-24</w:t>
            </w:r>
          </w:p>
        </w:tc>
        <w:tc>
          <w:tcPr>
            <w:tcW w:w="541" w:type="pct"/>
            <w:gridSpan w:val="2"/>
            <w:tcBorders>
              <w:top w:val="single" w:sz="4" w:space="0" w:color="293F5B"/>
              <w:left w:val="nil"/>
              <w:bottom w:val="single" w:sz="4" w:space="0" w:color="293F5B"/>
              <w:right w:val="nil"/>
            </w:tcBorders>
            <w:shd w:val="clear" w:color="000000" w:fill="FFFFFF"/>
            <w:noWrap/>
            <w:vAlign w:val="center"/>
            <w:hideMark/>
          </w:tcPr>
          <w:p w14:paraId="33FC0E68" w14:textId="77777777" w:rsidR="00085B29" w:rsidRPr="00085B29" w:rsidRDefault="00085B29" w:rsidP="00085B29">
            <w:pPr>
              <w:spacing w:before="0" w:after="0" w:line="240" w:lineRule="auto"/>
              <w:jc w:val="right"/>
              <w:rPr>
                <w:rFonts w:ascii="Arial" w:hAnsi="Arial" w:cs="Arial"/>
                <w:color w:val="000000"/>
                <w:sz w:val="16"/>
                <w:szCs w:val="16"/>
              </w:rPr>
            </w:pPr>
            <w:r w:rsidRPr="00085B29">
              <w:rPr>
                <w:rFonts w:ascii="Arial" w:hAnsi="Arial" w:cs="Arial"/>
                <w:color w:val="000000"/>
                <w:sz w:val="16"/>
                <w:szCs w:val="16"/>
              </w:rPr>
              <w:t>2023-24</w:t>
            </w:r>
          </w:p>
        </w:tc>
        <w:tc>
          <w:tcPr>
            <w:tcW w:w="170" w:type="pct"/>
            <w:gridSpan w:val="2"/>
            <w:tcBorders>
              <w:top w:val="single" w:sz="4" w:space="0" w:color="293F5B"/>
              <w:left w:val="nil"/>
              <w:bottom w:val="single" w:sz="4" w:space="0" w:color="293F5B"/>
              <w:right w:val="nil"/>
            </w:tcBorders>
            <w:shd w:val="clear" w:color="000000" w:fill="FFFFFF"/>
            <w:noWrap/>
            <w:vAlign w:val="center"/>
            <w:hideMark/>
          </w:tcPr>
          <w:p w14:paraId="67C16DDE" w14:textId="77777777" w:rsidR="00085B29" w:rsidRPr="00085B29" w:rsidRDefault="00085B29" w:rsidP="00085B29">
            <w:pPr>
              <w:spacing w:before="0" w:after="0" w:line="240" w:lineRule="auto"/>
              <w:jc w:val="right"/>
              <w:rPr>
                <w:rFonts w:ascii="Arial" w:hAnsi="Arial" w:cs="Arial"/>
                <w:color w:val="000000"/>
                <w:sz w:val="16"/>
                <w:szCs w:val="16"/>
              </w:rPr>
            </w:pPr>
            <w:r w:rsidRPr="00085B29">
              <w:rPr>
                <w:rFonts w:ascii="Arial" w:hAnsi="Arial" w:cs="Arial"/>
                <w:color w:val="000000"/>
                <w:sz w:val="16"/>
                <w:szCs w:val="16"/>
              </w:rPr>
              <w:t> </w:t>
            </w:r>
          </w:p>
        </w:tc>
        <w:tc>
          <w:tcPr>
            <w:tcW w:w="544" w:type="pct"/>
            <w:gridSpan w:val="2"/>
            <w:tcBorders>
              <w:top w:val="single" w:sz="4" w:space="0" w:color="293F5B"/>
              <w:left w:val="nil"/>
              <w:bottom w:val="single" w:sz="4" w:space="0" w:color="293F5B"/>
              <w:right w:val="nil"/>
            </w:tcBorders>
            <w:shd w:val="clear" w:color="000000" w:fill="E6F2FF"/>
            <w:noWrap/>
            <w:vAlign w:val="center"/>
            <w:hideMark/>
          </w:tcPr>
          <w:p w14:paraId="02A0D670" w14:textId="77777777" w:rsidR="00085B29" w:rsidRPr="00085B29" w:rsidRDefault="00085B29" w:rsidP="00085B29">
            <w:pPr>
              <w:spacing w:before="0" w:after="0" w:line="240" w:lineRule="auto"/>
              <w:jc w:val="right"/>
              <w:rPr>
                <w:rFonts w:ascii="Arial" w:hAnsi="Arial" w:cs="Arial"/>
                <w:color w:val="000000"/>
                <w:sz w:val="16"/>
                <w:szCs w:val="16"/>
              </w:rPr>
            </w:pPr>
            <w:r w:rsidRPr="00085B29">
              <w:rPr>
                <w:rFonts w:ascii="Arial" w:hAnsi="Arial" w:cs="Arial"/>
                <w:color w:val="000000"/>
                <w:sz w:val="16"/>
                <w:szCs w:val="16"/>
              </w:rPr>
              <w:t>2024-25</w:t>
            </w:r>
          </w:p>
        </w:tc>
        <w:tc>
          <w:tcPr>
            <w:tcW w:w="544" w:type="pct"/>
            <w:tcBorders>
              <w:top w:val="single" w:sz="4" w:space="0" w:color="293F5B"/>
              <w:left w:val="nil"/>
              <w:bottom w:val="single" w:sz="4" w:space="0" w:color="293F5B"/>
              <w:right w:val="nil"/>
            </w:tcBorders>
            <w:shd w:val="clear" w:color="000000" w:fill="FFFFFF"/>
            <w:noWrap/>
            <w:vAlign w:val="center"/>
            <w:hideMark/>
          </w:tcPr>
          <w:p w14:paraId="6F4F32AB" w14:textId="77777777" w:rsidR="00085B29" w:rsidRPr="00085B29" w:rsidRDefault="00085B29" w:rsidP="00085B29">
            <w:pPr>
              <w:spacing w:before="0" w:after="0" w:line="240" w:lineRule="auto"/>
              <w:jc w:val="right"/>
              <w:rPr>
                <w:rFonts w:ascii="Arial" w:hAnsi="Arial" w:cs="Arial"/>
                <w:color w:val="000000"/>
                <w:sz w:val="16"/>
                <w:szCs w:val="16"/>
              </w:rPr>
            </w:pPr>
            <w:r w:rsidRPr="00085B29">
              <w:rPr>
                <w:rFonts w:ascii="Arial" w:hAnsi="Arial" w:cs="Arial"/>
                <w:color w:val="000000"/>
                <w:sz w:val="16"/>
                <w:szCs w:val="16"/>
              </w:rPr>
              <w:t>2025-26</w:t>
            </w:r>
          </w:p>
        </w:tc>
        <w:tc>
          <w:tcPr>
            <w:tcW w:w="544" w:type="pct"/>
            <w:tcBorders>
              <w:top w:val="single" w:sz="4" w:space="0" w:color="293F5B"/>
              <w:left w:val="nil"/>
              <w:bottom w:val="single" w:sz="4" w:space="0" w:color="293F5B"/>
              <w:right w:val="nil"/>
            </w:tcBorders>
            <w:shd w:val="clear" w:color="000000" w:fill="FFFFFF"/>
            <w:noWrap/>
            <w:vAlign w:val="center"/>
            <w:hideMark/>
          </w:tcPr>
          <w:p w14:paraId="4C57BBDD" w14:textId="77777777" w:rsidR="00085B29" w:rsidRPr="00085B29" w:rsidRDefault="00085B29" w:rsidP="00085B29">
            <w:pPr>
              <w:spacing w:before="0" w:after="0" w:line="240" w:lineRule="auto"/>
              <w:jc w:val="right"/>
              <w:rPr>
                <w:rFonts w:ascii="Arial" w:hAnsi="Arial" w:cs="Arial"/>
                <w:color w:val="000000"/>
                <w:sz w:val="16"/>
                <w:szCs w:val="16"/>
              </w:rPr>
            </w:pPr>
            <w:r w:rsidRPr="00085B29">
              <w:rPr>
                <w:rFonts w:ascii="Arial" w:hAnsi="Arial" w:cs="Arial"/>
                <w:color w:val="000000"/>
                <w:sz w:val="16"/>
                <w:szCs w:val="16"/>
              </w:rPr>
              <w:t>2026-27</w:t>
            </w:r>
          </w:p>
        </w:tc>
        <w:tc>
          <w:tcPr>
            <w:tcW w:w="546" w:type="pct"/>
            <w:gridSpan w:val="2"/>
            <w:tcBorders>
              <w:top w:val="single" w:sz="4" w:space="0" w:color="293F5B"/>
              <w:left w:val="nil"/>
              <w:bottom w:val="single" w:sz="4" w:space="0" w:color="293F5B"/>
              <w:right w:val="nil"/>
            </w:tcBorders>
            <w:shd w:val="clear" w:color="000000" w:fill="FFFFFF"/>
            <w:noWrap/>
            <w:vAlign w:val="center"/>
            <w:hideMark/>
          </w:tcPr>
          <w:p w14:paraId="5CCEF3DC" w14:textId="77777777" w:rsidR="00085B29" w:rsidRPr="00085B29" w:rsidRDefault="00085B29" w:rsidP="00085B29">
            <w:pPr>
              <w:spacing w:before="0" w:after="0" w:line="240" w:lineRule="auto"/>
              <w:jc w:val="right"/>
              <w:rPr>
                <w:rFonts w:ascii="Arial" w:hAnsi="Arial" w:cs="Arial"/>
                <w:color w:val="000000"/>
                <w:sz w:val="16"/>
                <w:szCs w:val="16"/>
              </w:rPr>
            </w:pPr>
            <w:r w:rsidRPr="00085B29">
              <w:rPr>
                <w:rFonts w:ascii="Arial" w:hAnsi="Arial" w:cs="Arial"/>
                <w:color w:val="000000"/>
                <w:sz w:val="16"/>
                <w:szCs w:val="16"/>
              </w:rPr>
              <w:t>2027-28</w:t>
            </w:r>
          </w:p>
        </w:tc>
      </w:tr>
      <w:tr w:rsidR="00B81C32" w:rsidRPr="00085B29" w14:paraId="4503AC48" w14:textId="77777777" w:rsidTr="00204B48">
        <w:trPr>
          <w:trHeight w:hRule="exact" w:val="225"/>
        </w:trPr>
        <w:tc>
          <w:tcPr>
            <w:tcW w:w="1570" w:type="pct"/>
            <w:tcBorders>
              <w:top w:val="nil"/>
              <w:left w:val="nil"/>
              <w:bottom w:val="nil"/>
              <w:right w:val="nil"/>
            </w:tcBorders>
            <w:shd w:val="clear" w:color="000000" w:fill="FFFFFF"/>
            <w:noWrap/>
            <w:vAlign w:val="center"/>
            <w:hideMark/>
          </w:tcPr>
          <w:p w14:paraId="408CF669" w14:textId="77777777" w:rsidR="00085B29" w:rsidRPr="00085B29" w:rsidRDefault="00085B29" w:rsidP="00085B29">
            <w:pPr>
              <w:spacing w:before="0" w:after="0" w:line="240" w:lineRule="auto"/>
              <w:rPr>
                <w:rFonts w:ascii="Arial" w:hAnsi="Arial" w:cs="Arial"/>
                <w:b/>
                <w:bCs/>
                <w:color w:val="000000"/>
                <w:sz w:val="16"/>
                <w:szCs w:val="16"/>
              </w:rPr>
            </w:pPr>
            <w:r w:rsidRPr="00085B29">
              <w:rPr>
                <w:rFonts w:ascii="Arial" w:hAnsi="Arial" w:cs="Arial"/>
                <w:b/>
                <w:bCs/>
                <w:color w:val="000000"/>
                <w:sz w:val="16"/>
                <w:szCs w:val="16"/>
              </w:rPr>
              <w:t>Total expenses ($b)</w:t>
            </w:r>
          </w:p>
        </w:tc>
        <w:tc>
          <w:tcPr>
            <w:tcW w:w="541" w:type="pct"/>
            <w:tcBorders>
              <w:top w:val="single" w:sz="4" w:space="0" w:color="293F5B"/>
              <w:left w:val="nil"/>
              <w:bottom w:val="nil"/>
              <w:right w:val="nil"/>
            </w:tcBorders>
            <w:shd w:val="clear" w:color="000000" w:fill="FFFFFF"/>
            <w:noWrap/>
            <w:vAlign w:val="center"/>
            <w:hideMark/>
          </w:tcPr>
          <w:p w14:paraId="7AD601B1" w14:textId="77777777" w:rsidR="00085B29" w:rsidRPr="00085B29" w:rsidRDefault="00085B29" w:rsidP="00085B29">
            <w:pPr>
              <w:spacing w:before="0" w:after="0" w:line="240" w:lineRule="auto"/>
              <w:jc w:val="right"/>
              <w:rPr>
                <w:rFonts w:ascii="Arial" w:hAnsi="Arial" w:cs="Arial"/>
                <w:b/>
                <w:bCs/>
                <w:color w:val="000000"/>
                <w:sz w:val="16"/>
                <w:szCs w:val="16"/>
              </w:rPr>
            </w:pPr>
            <w:r w:rsidRPr="00085B29">
              <w:rPr>
                <w:rFonts w:ascii="Arial" w:hAnsi="Arial" w:cs="Arial"/>
                <w:b/>
                <w:bCs/>
                <w:color w:val="000000"/>
                <w:sz w:val="16"/>
                <w:szCs w:val="16"/>
              </w:rPr>
              <w:t>689.3</w:t>
            </w:r>
          </w:p>
        </w:tc>
        <w:tc>
          <w:tcPr>
            <w:tcW w:w="541" w:type="pct"/>
            <w:gridSpan w:val="2"/>
            <w:tcBorders>
              <w:top w:val="single" w:sz="4" w:space="0" w:color="293F5B"/>
              <w:left w:val="nil"/>
              <w:bottom w:val="nil"/>
              <w:right w:val="nil"/>
            </w:tcBorders>
            <w:shd w:val="clear" w:color="000000" w:fill="FFFFFF"/>
            <w:noWrap/>
            <w:vAlign w:val="center"/>
            <w:hideMark/>
          </w:tcPr>
          <w:p w14:paraId="7F0BE48C" w14:textId="77777777" w:rsidR="00085B29" w:rsidRPr="00085B29" w:rsidRDefault="00085B29" w:rsidP="00085B29">
            <w:pPr>
              <w:spacing w:before="0" w:after="0" w:line="240" w:lineRule="auto"/>
              <w:jc w:val="right"/>
              <w:rPr>
                <w:rFonts w:ascii="Arial" w:hAnsi="Arial" w:cs="Arial"/>
                <w:b/>
                <w:bCs/>
                <w:color w:val="000000"/>
                <w:sz w:val="16"/>
                <w:szCs w:val="16"/>
              </w:rPr>
            </w:pPr>
            <w:r w:rsidRPr="00085B29">
              <w:rPr>
                <w:rFonts w:ascii="Arial" w:hAnsi="Arial" w:cs="Arial"/>
                <w:b/>
                <w:bCs/>
                <w:color w:val="000000"/>
                <w:sz w:val="16"/>
                <w:szCs w:val="16"/>
              </w:rPr>
              <w:t>691.1</w:t>
            </w:r>
          </w:p>
        </w:tc>
        <w:tc>
          <w:tcPr>
            <w:tcW w:w="170" w:type="pct"/>
            <w:gridSpan w:val="2"/>
            <w:tcBorders>
              <w:top w:val="single" w:sz="4" w:space="0" w:color="293F5B"/>
              <w:left w:val="nil"/>
              <w:bottom w:val="nil"/>
              <w:right w:val="nil"/>
            </w:tcBorders>
            <w:shd w:val="clear" w:color="000000" w:fill="FFFFFF"/>
            <w:noWrap/>
            <w:vAlign w:val="center"/>
            <w:hideMark/>
          </w:tcPr>
          <w:p w14:paraId="064BDBCE" w14:textId="77777777" w:rsidR="00085B29" w:rsidRPr="00085B29" w:rsidRDefault="00085B29" w:rsidP="00085B29">
            <w:pPr>
              <w:spacing w:before="0" w:after="0" w:line="240" w:lineRule="auto"/>
              <w:jc w:val="right"/>
              <w:rPr>
                <w:rFonts w:ascii="Arial" w:hAnsi="Arial" w:cs="Arial"/>
                <w:b/>
                <w:bCs/>
                <w:color w:val="000000"/>
                <w:sz w:val="16"/>
                <w:szCs w:val="16"/>
              </w:rPr>
            </w:pPr>
            <w:r w:rsidRPr="00085B29">
              <w:rPr>
                <w:rFonts w:ascii="Arial" w:hAnsi="Arial" w:cs="Arial"/>
                <w:b/>
                <w:bCs/>
                <w:color w:val="000000"/>
                <w:sz w:val="16"/>
                <w:szCs w:val="16"/>
              </w:rPr>
              <w:t> </w:t>
            </w:r>
          </w:p>
        </w:tc>
        <w:tc>
          <w:tcPr>
            <w:tcW w:w="544" w:type="pct"/>
            <w:gridSpan w:val="2"/>
            <w:tcBorders>
              <w:top w:val="single" w:sz="4" w:space="0" w:color="293F5B"/>
              <w:left w:val="nil"/>
              <w:bottom w:val="nil"/>
              <w:right w:val="nil"/>
            </w:tcBorders>
            <w:shd w:val="clear" w:color="000000" w:fill="E6F2FF"/>
            <w:noWrap/>
            <w:vAlign w:val="center"/>
            <w:hideMark/>
          </w:tcPr>
          <w:p w14:paraId="273C1493" w14:textId="77777777" w:rsidR="00085B29" w:rsidRPr="00085B29" w:rsidRDefault="00085B29" w:rsidP="00085B29">
            <w:pPr>
              <w:spacing w:before="0" w:after="0" w:line="240" w:lineRule="auto"/>
              <w:jc w:val="right"/>
              <w:rPr>
                <w:rFonts w:ascii="Arial" w:hAnsi="Arial" w:cs="Arial"/>
                <w:b/>
                <w:color w:val="000000"/>
                <w:sz w:val="16"/>
                <w:szCs w:val="16"/>
              </w:rPr>
            </w:pPr>
            <w:r w:rsidRPr="00085B29">
              <w:rPr>
                <w:rFonts w:ascii="Arial" w:hAnsi="Arial" w:cs="Arial"/>
                <w:b/>
                <w:color w:val="000000"/>
                <w:sz w:val="16"/>
                <w:szCs w:val="16"/>
              </w:rPr>
              <w:t>734.5</w:t>
            </w:r>
          </w:p>
        </w:tc>
        <w:tc>
          <w:tcPr>
            <w:tcW w:w="544" w:type="pct"/>
            <w:tcBorders>
              <w:top w:val="single" w:sz="4" w:space="0" w:color="293F5B"/>
              <w:left w:val="nil"/>
              <w:bottom w:val="nil"/>
              <w:right w:val="nil"/>
            </w:tcBorders>
            <w:shd w:val="clear" w:color="000000" w:fill="FFFFFF"/>
            <w:noWrap/>
            <w:vAlign w:val="center"/>
            <w:hideMark/>
          </w:tcPr>
          <w:p w14:paraId="46EE21B8" w14:textId="77777777" w:rsidR="00085B29" w:rsidRPr="00085B29" w:rsidRDefault="00085B29" w:rsidP="00085B29">
            <w:pPr>
              <w:spacing w:before="0" w:after="0" w:line="240" w:lineRule="auto"/>
              <w:jc w:val="right"/>
              <w:rPr>
                <w:rFonts w:ascii="Arial" w:hAnsi="Arial" w:cs="Arial"/>
                <w:b/>
                <w:bCs/>
                <w:color w:val="000000"/>
                <w:sz w:val="16"/>
                <w:szCs w:val="16"/>
              </w:rPr>
            </w:pPr>
            <w:r w:rsidRPr="00085B29">
              <w:rPr>
                <w:rFonts w:ascii="Arial" w:hAnsi="Arial" w:cs="Arial"/>
                <w:b/>
                <w:bCs/>
                <w:color w:val="000000"/>
                <w:sz w:val="16"/>
                <w:szCs w:val="16"/>
              </w:rPr>
              <w:t>767.3</w:t>
            </w:r>
          </w:p>
        </w:tc>
        <w:tc>
          <w:tcPr>
            <w:tcW w:w="544" w:type="pct"/>
            <w:tcBorders>
              <w:top w:val="single" w:sz="4" w:space="0" w:color="293F5B"/>
              <w:left w:val="nil"/>
              <w:bottom w:val="nil"/>
              <w:right w:val="nil"/>
            </w:tcBorders>
            <w:shd w:val="clear" w:color="000000" w:fill="FFFFFF"/>
            <w:noWrap/>
            <w:vAlign w:val="center"/>
            <w:hideMark/>
          </w:tcPr>
          <w:p w14:paraId="38907346" w14:textId="77777777" w:rsidR="00085B29" w:rsidRPr="00085B29" w:rsidRDefault="00085B29" w:rsidP="00085B29">
            <w:pPr>
              <w:spacing w:before="0" w:after="0" w:line="240" w:lineRule="auto"/>
              <w:jc w:val="right"/>
              <w:rPr>
                <w:rFonts w:ascii="Arial" w:hAnsi="Arial" w:cs="Arial"/>
                <w:b/>
                <w:bCs/>
                <w:color w:val="000000"/>
                <w:sz w:val="16"/>
                <w:szCs w:val="16"/>
              </w:rPr>
            </w:pPr>
            <w:r w:rsidRPr="00085B29">
              <w:rPr>
                <w:rFonts w:ascii="Arial" w:hAnsi="Arial" w:cs="Arial"/>
                <w:b/>
                <w:bCs/>
                <w:color w:val="000000"/>
                <w:sz w:val="16"/>
                <w:szCs w:val="16"/>
              </w:rPr>
              <w:t>793.8</w:t>
            </w:r>
          </w:p>
        </w:tc>
        <w:tc>
          <w:tcPr>
            <w:tcW w:w="546" w:type="pct"/>
            <w:gridSpan w:val="2"/>
            <w:tcBorders>
              <w:top w:val="single" w:sz="4" w:space="0" w:color="293F5B"/>
              <w:left w:val="nil"/>
              <w:bottom w:val="nil"/>
              <w:right w:val="nil"/>
            </w:tcBorders>
            <w:shd w:val="clear" w:color="000000" w:fill="FFFFFF"/>
            <w:noWrap/>
            <w:vAlign w:val="center"/>
            <w:hideMark/>
          </w:tcPr>
          <w:p w14:paraId="18A31FB2" w14:textId="77777777" w:rsidR="00085B29" w:rsidRPr="00085B29" w:rsidRDefault="00085B29" w:rsidP="00085B29">
            <w:pPr>
              <w:spacing w:before="0" w:after="0" w:line="240" w:lineRule="auto"/>
              <w:jc w:val="right"/>
              <w:rPr>
                <w:rFonts w:ascii="Arial" w:hAnsi="Arial" w:cs="Arial"/>
                <w:b/>
                <w:bCs/>
                <w:color w:val="000000"/>
                <w:sz w:val="16"/>
                <w:szCs w:val="16"/>
              </w:rPr>
            </w:pPr>
            <w:r w:rsidRPr="00085B29">
              <w:rPr>
                <w:rFonts w:ascii="Arial" w:hAnsi="Arial" w:cs="Arial"/>
                <w:b/>
                <w:bCs/>
                <w:color w:val="000000"/>
                <w:sz w:val="16"/>
                <w:szCs w:val="16"/>
              </w:rPr>
              <w:t>829.8</w:t>
            </w:r>
          </w:p>
        </w:tc>
      </w:tr>
      <w:tr w:rsidR="00B81C32" w:rsidRPr="00085B29" w14:paraId="70571903" w14:textId="77777777" w:rsidTr="00204B48">
        <w:trPr>
          <w:trHeight w:hRule="exact" w:val="225"/>
        </w:trPr>
        <w:tc>
          <w:tcPr>
            <w:tcW w:w="1570" w:type="pct"/>
            <w:tcBorders>
              <w:top w:val="nil"/>
              <w:left w:val="nil"/>
              <w:bottom w:val="nil"/>
              <w:right w:val="nil"/>
            </w:tcBorders>
            <w:shd w:val="clear" w:color="000000" w:fill="FFFFFF"/>
            <w:noWrap/>
            <w:vAlign w:val="center"/>
            <w:hideMark/>
          </w:tcPr>
          <w:p w14:paraId="38F51DF9" w14:textId="77777777" w:rsidR="00085B29" w:rsidRPr="00085B29" w:rsidRDefault="00085B29" w:rsidP="00085B29">
            <w:pPr>
              <w:spacing w:before="0" w:after="0" w:line="240" w:lineRule="auto"/>
              <w:rPr>
                <w:rFonts w:ascii="Arial" w:hAnsi="Arial" w:cs="Arial"/>
                <w:color w:val="000000"/>
                <w:sz w:val="16"/>
                <w:szCs w:val="16"/>
              </w:rPr>
            </w:pPr>
            <w:r w:rsidRPr="00085B29">
              <w:rPr>
                <w:rFonts w:ascii="Arial" w:hAnsi="Arial" w:cs="Arial"/>
                <w:color w:val="000000"/>
                <w:sz w:val="16"/>
                <w:szCs w:val="16"/>
              </w:rPr>
              <w:t xml:space="preserve">Real growth on </w:t>
            </w:r>
          </w:p>
        </w:tc>
        <w:tc>
          <w:tcPr>
            <w:tcW w:w="541" w:type="pct"/>
            <w:tcBorders>
              <w:top w:val="nil"/>
              <w:left w:val="nil"/>
              <w:bottom w:val="nil"/>
              <w:right w:val="nil"/>
            </w:tcBorders>
            <w:shd w:val="clear" w:color="000000" w:fill="FFFFFF"/>
            <w:noWrap/>
            <w:vAlign w:val="center"/>
            <w:hideMark/>
          </w:tcPr>
          <w:p w14:paraId="2E8BAECD" w14:textId="77777777" w:rsidR="00085B29" w:rsidRPr="00085B29" w:rsidRDefault="00085B29" w:rsidP="00085B29">
            <w:pPr>
              <w:spacing w:before="0" w:after="0" w:line="240" w:lineRule="auto"/>
              <w:rPr>
                <w:rFonts w:ascii="Arial" w:hAnsi="Arial" w:cs="Arial"/>
                <w:b/>
                <w:bCs/>
                <w:color w:val="000000"/>
                <w:sz w:val="16"/>
                <w:szCs w:val="16"/>
              </w:rPr>
            </w:pPr>
            <w:r w:rsidRPr="00085B29">
              <w:rPr>
                <w:rFonts w:ascii="Arial" w:hAnsi="Arial" w:cs="Arial"/>
                <w:b/>
                <w:bCs/>
                <w:color w:val="000000"/>
                <w:sz w:val="16"/>
                <w:szCs w:val="16"/>
              </w:rPr>
              <w:t> </w:t>
            </w:r>
          </w:p>
        </w:tc>
        <w:tc>
          <w:tcPr>
            <w:tcW w:w="541" w:type="pct"/>
            <w:gridSpan w:val="2"/>
            <w:tcBorders>
              <w:top w:val="nil"/>
              <w:left w:val="nil"/>
              <w:bottom w:val="nil"/>
              <w:right w:val="nil"/>
            </w:tcBorders>
            <w:shd w:val="clear" w:color="000000" w:fill="FFFFFF"/>
            <w:noWrap/>
            <w:vAlign w:val="center"/>
            <w:hideMark/>
          </w:tcPr>
          <w:p w14:paraId="3FBDC40B" w14:textId="77777777" w:rsidR="00085B29" w:rsidRPr="00085B29" w:rsidRDefault="00085B29" w:rsidP="00085B29">
            <w:pPr>
              <w:spacing w:before="0" w:after="0" w:line="240" w:lineRule="auto"/>
              <w:rPr>
                <w:rFonts w:ascii="Arial" w:hAnsi="Arial" w:cs="Arial"/>
                <w:b/>
                <w:bCs/>
                <w:color w:val="000000"/>
                <w:sz w:val="16"/>
                <w:szCs w:val="16"/>
              </w:rPr>
            </w:pPr>
            <w:r w:rsidRPr="00085B29">
              <w:rPr>
                <w:rFonts w:ascii="Arial" w:hAnsi="Arial" w:cs="Arial"/>
                <w:b/>
                <w:bCs/>
                <w:color w:val="000000"/>
                <w:sz w:val="16"/>
                <w:szCs w:val="16"/>
              </w:rPr>
              <w:t> </w:t>
            </w:r>
          </w:p>
        </w:tc>
        <w:tc>
          <w:tcPr>
            <w:tcW w:w="170" w:type="pct"/>
            <w:gridSpan w:val="2"/>
            <w:tcBorders>
              <w:top w:val="nil"/>
              <w:left w:val="nil"/>
              <w:bottom w:val="nil"/>
              <w:right w:val="nil"/>
            </w:tcBorders>
            <w:shd w:val="clear" w:color="000000" w:fill="FFFFFF"/>
            <w:noWrap/>
            <w:vAlign w:val="center"/>
            <w:hideMark/>
          </w:tcPr>
          <w:p w14:paraId="6E169E1A" w14:textId="77777777" w:rsidR="00085B29" w:rsidRPr="00085B29" w:rsidRDefault="00085B29" w:rsidP="00085B29">
            <w:pPr>
              <w:spacing w:before="0" w:after="0" w:line="240" w:lineRule="auto"/>
              <w:rPr>
                <w:rFonts w:ascii="Arial" w:hAnsi="Arial" w:cs="Arial"/>
                <w:b/>
                <w:bCs/>
                <w:color w:val="000000"/>
                <w:sz w:val="16"/>
                <w:szCs w:val="16"/>
              </w:rPr>
            </w:pPr>
            <w:r w:rsidRPr="00085B29">
              <w:rPr>
                <w:rFonts w:ascii="Arial" w:hAnsi="Arial" w:cs="Arial"/>
                <w:b/>
                <w:bCs/>
                <w:color w:val="000000"/>
                <w:sz w:val="16"/>
                <w:szCs w:val="16"/>
              </w:rPr>
              <w:t> </w:t>
            </w:r>
          </w:p>
        </w:tc>
        <w:tc>
          <w:tcPr>
            <w:tcW w:w="544" w:type="pct"/>
            <w:gridSpan w:val="2"/>
            <w:tcBorders>
              <w:top w:val="nil"/>
              <w:left w:val="nil"/>
              <w:bottom w:val="nil"/>
              <w:right w:val="nil"/>
            </w:tcBorders>
            <w:shd w:val="clear" w:color="000000" w:fill="E6F2FF"/>
            <w:noWrap/>
            <w:vAlign w:val="center"/>
            <w:hideMark/>
          </w:tcPr>
          <w:p w14:paraId="74BC4FEA" w14:textId="77777777" w:rsidR="00085B29" w:rsidRPr="00085B29" w:rsidRDefault="00085B29" w:rsidP="00085B29">
            <w:pPr>
              <w:spacing w:before="0" w:after="0" w:line="240" w:lineRule="auto"/>
              <w:rPr>
                <w:rFonts w:ascii="Arial" w:hAnsi="Arial" w:cs="Arial"/>
                <w:b/>
                <w:color w:val="000000"/>
                <w:sz w:val="16"/>
                <w:szCs w:val="16"/>
              </w:rPr>
            </w:pPr>
            <w:r w:rsidRPr="00085B29">
              <w:rPr>
                <w:rFonts w:ascii="Arial" w:hAnsi="Arial" w:cs="Arial"/>
                <w:b/>
                <w:color w:val="000000"/>
                <w:sz w:val="16"/>
                <w:szCs w:val="16"/>
              </w:rPr>
              <w:t> </w:t>
            </w:r>
          </w:p>
        </w:tc>
        <w:tc>
          <w:tcPr>
            <w:tcW w:w="544" w:type="pct"/>
            <w:tcBorders>
              <w:top w:val="nil"/>
              <w:left w:val="nil"/>
              <w:bottom w:val="nil"/>
              <w:right w:val="nil"/>
            </w:tcBorders>
            <w:shd w:val="clear" w:color="000000" w:fill="FFFFFF"/>
            <w:noWrap/>
            <w:vAlign w:val="center"/>
            <w:hideMark/>
          </w:tcPr>
          <w:p w14:paraId="7752C99A" w14:textId="77777777" w:rsidR="00085B29" w:rsidRPr="00085B29" w:rsidRDefault="00085B29" w:rsidP="00085B29">
            <w:pPr>
              <w:spacing w:before="0" w:after="0" w:line="240" w:lineRule="auto"/>
              <w:rPr>
                <w:rFonts w:ascii="Arial" w:hAnsi="Arial" w:cs="Arial"/>
                <w:b/>
                <w:bCs/>
                <w:color w:val="000000"/>
                <w:sz w:val="16"/>
                <w:szCs w:val="16"/>
              </w:rPr>
            </w:pPr>
            <w:r w:rsidRPr="00085B29">
              <w:rPr>
                <w:rFonts w:ascii="Arial" w:hAnsi="Arial" w:cs="Arial"/>
                <w:b/>
                <w:bCs/>
                <w:color w:val="000000"/>
                <w:sz w:val="16"/>
                <w:szCs w:val="16"/>
              </w:rPr>
              <w:t> </w:t>
            </w:r>
          </w:p>
        </w:tc>
        <w:tc>
          <w:tcPr>
            <w:tcW w:w="544" w:type="pct"/>
            <w:tcBorders>
              <w:top w:val="nil"/>
              <w:left w:val="nil"/>
              <w:bottom w:val="nil"/>
              <w:right w:val="nil"/>
            </w:tcBorders>
            <w:shd w:val="clear" w:color="000000" w:fill="FFFFFF"/>
            <w:noWrap/>
            <w:vAlign w:val="center"/>
            <w:hideMark/>
          </w:tcPr>
          <w:p w14:paraId="3E0D140E" w14:textId="77777777" w:rsidR="00085B29" w:rsidRPr="00085B29" w:rsidRDefault="00085B29" w:rsidP="00085B29">
            <w:pPr>
              <w:spacing w:before="0" w:after="0" w:line="240" w:lineRule="auto"/>
              <w:rPr>
                <w:rFonts w:ascii="Arial" w:hAnsi="Arial" w:cs="Arial"/>
                <w:b/>
                <w:bCs/>
                <w:color w:val="000000"/>
                <w:sz w:val="16"/>
                <w:szCs w:val="16"/>
              </w:rPr>
            </w:pPr>
            <w:r w:rsidRPr="00085B29">
              <w:rPr>
                <w:rFonts w:ascii="Arial" w:hAnsi="Arial" w:cs="Arial"/>
                <w:b/>
                <w:bCs/>
                <w:color w:val="000000"/>
                <w:sz w:val="16"/>
                <w:szCs w:val="16"/>
              </w:rPr>
              <w:t> </w:t>
            </w:r>
          </w:p>
        </w:tc>
        <w:tc>
          <w:tcPr>
            <w:tcW w:w="546" w:type="pct"/>
            <w:gridSpan w:val="2"/>
            <w:tcBorders>
              <w:top w:val="nil"/>
              <w:left w:val="nil"/>
              <w:bottom w:val="nil"/>
              <w:right w:val="nil"/>
            </w:tcBorders>
            <w:shd w:val="clear" w:color="000000" w:fill="FFFFFF"/>
            <w:noWrap/>
            <w:vAlign w:val="center"/>
            <w:hideMark/>
          </w:tcPr>
          <w:p w14:paraId="16C72159" w14:textId="77777777" w:rsidR="00085B29" w:rsidRPr="00085B29" w:rsidRDefault="00085B29" w:rsidP="00085B29">
            <w:pPr>
              <w:spacing w:before="0" w:after="0" w:line="240" w:lineRule="auto"/>
              <w:rPr>
                <w:rFonts w:ascii="Arial" w:hAnsi="Arial" w:cs="Arial"/>
                <w:b/>
                <w:bCs/>
                <w:color w:val="000000"/>
                <w:sz w:val="16"/>
                <w:szCs w:val="16"/>
              </w:rPr>
            </w:pPr>
            <w:r w:rsidRPr="00085B29">
              <w:rPr>
                <w:rFonts w:ascii="Arial" w:hAnsi="Arial" w:cs="Arial"/>
                <w:b/>
                <w:bCs/>
                <w:color w:val="000000"/>
                <w:sz w:val="16"/>
                <w:szCs w:val="16"/>
              </w:rPr>
              <w:t> </w:t>
            </w:r>
          </w:p>
        </w:tc>
      </w:tr>
      <w:tr w:rsidR="00B81C32" w:rsidRPr="00085B29" w14:paraId="0D202B92" w14:textId="77777777" w:rsidTr="00204B48">
        <w:trPr>
          <w:trHeight w:hRule="exact" w:val="225"/>
        </w:trPr>
        <w:tc>
          <w:tcPr>
            <w:tcW w:w="1570" w:type="pct"/>
            <w:tcBorders>
              <w:top w:val="nil"/>
              <w:left w:val="nil"/>
              <w:bottom w:val="nil"/>
              <w:right w:val="nil"/>
            </w:tcBorders>
            <w:shd w:val="clear" w:color="000000" w:fill="FFFFFF"/>
            <w:noWrap/>
            <w:vAlign w:val="center"/>
            <w:hideMark/>
          </w:tcPr>
          <w:p w14:paraId="58678572" w14:textId="77777777" w:rsidR="00085B29" w:rsidRPr="00085B29" w:rsidRDefault="00085B29" w:rsidP="00085B29">
            <w:pPr>
              <w:spacing w:before="0" w:after="0" w:line="240" w:lineRule="auto"/>
              <w:ind w:left="170"/>
              <w:rPr>
                <w:rFonts w:ascii="Arial" w:hAnsi="Arial" w:cs="Arial"/>
                <w:color w:val="000000"/>
                <w:sz w:val="16"/>
                <w:szCs w:val="16"/>
              </w:rPr>
            </w:pPr>
            <w:r w:rsidRPr="00085B29">
              <w:rPr>
                <w:rFonts w:ascii="Arial" w:hAnsi="Arial" w:cs="Arial"/>
                <w:color w:val="000000"/>
                <w:sz w:val="16"/>
                <w:szCs w:val="16"/>
              </w:rPr>
              <w:t>previous year (%)(a)</w:t>
            </w:r>
          </w:p>
        </w:tc>
        <w:tc>
          <w:tcPr>
            <w:tcW w:w="541" w:type="pct"/>
            <w:tcBorders>
              <w:top w:val="nil"/>
              <w:left w:val="nil"/>
              <w:bottom w:val="nil"/>
              <w:right w:val="nil"/>
            </w:tcBorders>
            <w:shd w:val="clear" w:color="000000" w:fill="FFFFFF"/>
            <w:noWrap/>
            <w:vAlign w:val="center"/>
            <w:hideMark/>
          </w:tcPr>
          <w:p w14:paraId="16773BE9" w14:textId="77777777" w:rsidR="00085B29" w:rsidRPr="00085B29" w:rsidRDefault="00085B29" w:rsidP="00085B29">
            <w:pPr>
              <w:spacing w:before="0" w:after="0" w:line="240" w:lineRule="auto"/>
              <w:jc w:val="right"/>
              <w:rPr>
                <w:rFonts w:ascii="Arial" w:hAnsi="Arial" w:cs="Arial"/>
                <w:color w:val="000000"/>
                <w:sz w:val="16"/>
                <w:szCs w:val="16"/>
              </w:rPr>
            </w:pPr>
            <w:r w:rsidRPr="00085B29">
              <w:rPr>
                <w:rFonts w:ascii="Arial" w:hAnsi="Arial" w:cs="Arial"/>
                <w:color w:val="000000"/>
                <w:sz w:val="16"/>
                <w:szCs w:val="16"/>
              </w:rPr>
              <w:t>3.6</w:t>
            </w:r>
          </w:p>
        </w:tc>
        <w:tc>
          <w:tcPr>
            <w:tcW w:w="541" w:type="pct"/>
            <w:gridSpan w:val="2"/>
            <w:tcBorders>
              <w:top w:val="nil"/>
              <w:left w:val="nil"/>
              <w:bottom w:val="nil"/>
              <w:right w:val="nil"/>
            </w:tcBorders>
            <w:shd w:val="clear" w:color="000000" w:fill="FFFFFF"/>
            <w:noWrap/>
            <w:vAlign w:val="center"/>
            <w:hideMark/>
          </w:tcPr>
          <w:p w14:paraId="774216C8" w14:textId="77777777" w:rsidR="00085B29" w:rsidRPr="00085B29" w:rsidRDefault="00085B29" w:rsidP="00085B29">
            <w:pPr>
              <w:spacing w:before="0" w:after="0" w:line="240" w:lineRule="auto"/>
              <w:jc w:val="right"/>
              <w:rPr>
                <w:rFonts w:ascii="Arial" w:hAnsi="Arial" w:cs="Arial"/>
                <w:color w:val="000000"/>
                <w:sz w:val="16"/>
                <w:szCs w:val="16"/>
              </w:rPr>
            </w:pPr>
            <w:r w:rsidRPr="00085B29">
              <w:rPr>
                <w:rFonts w:ascii="Arial" w:hAnsi="Arial" w:cs="Arial"/>
                <w:color w:val="000000"/>
                <w:sz w:val="16"/>
                <w:szCs w:val="16"/>
              </w:rPr>
              <w:t>4.2</w:t>
            </w:r>
          </w:p>
        </w:tc>
        <w:tc>
          <w:tcPr>
            <w:tcW w:w="170" w:type="pct"/>
            <w:gridSpan w:val="2"/>
            <w:tcBorders>
              <w:top w:val="nil"/>
              <w:left w:val="nil"/>
              <w:bottom w:val="nil"/>
              <w:right w:val="nil"/>
            </w:tcBorders>
            <w:shd w:val="clear" w:color="000000" w:fill="FFFFFF"/>
            <w:noWrap/>
            <w:vAlign w:val="center"/>
            <w:hideMark/>
          </w:tcPr>
          <w:p w14:paraId="3D70FF40" w14:textId="77777777" w:rsidR="00085B29" w:rsidRPr="00085B29" w:rsidRDefault="00085B29" w:rsidP="00085B29">
            <w:pPr>
              <w:spacing w:before="0" w:after="0" w:line="240" w:lineRule="auto"/>
              <w:jc w:val="right"/>
              <w:rPr>
                <w:rFonts w:ascii="Arial" w:hAnsi="Arial" w:cs="Arial"/>
                <w:color w:val="000000"/>
                <w:sz w:val="16"/>
                <w:szCs w:val="16"/>
              </w:rPr>
            </w:pPr>
            <w:r w:rsidRPr="00085B29">
              <w:rPr>
                <w:rFonts w:ascii="Arial" w:hAnsi="Arial" w:cs="Arial"/>
                <w:color w:val="000000"/>
                <w:sz w:val="16"/>
                <w:szCs w:val="16"/>
              </w:rPr>
              <w:t> </w:t>
            </w:r>
          </w:p>
        </w:tc>
        <w:tc>
          <w:tcPr>
            <w:tcW w:w="544" w:type="pct"/>
            <w:gridSpan w:val="2"/>
            <w:tcBorders>
              <w:top w:val="nil"/>
              <w:left w:val="nil"/>
              <w:bottom w:val="nil"/>
              <w:right w:val="nil"/>
            </w:tcBorders>
            <w:shd w:val="clear" w:color="000000" w:fill="E6F2FF"/>
            <w:noWrap/>
            <w:vAlign w:val="center"/>
            <w:hideMark/>
          </w:tcPr>
          <w:p w14:paraId="32FD192F" w14:textId="77777777" w:rsidR="00085B29" w:rsidRPr="00085B29" w:rsidRDefault="00085B29" w:rsidP="00085B29">
            <w:pPr>
              <w:spacing w:before="0" w:after="0" w:line="240" w:lineRule="auto"/>
              <w:jc w:val="right"/>
              <w:rPr>
                <w:rFonts w:ascii="Arial" w:hAnsi="Arial" w:cs="Arial"/>
                <w:color w:val="000000"/>
                <w:sz w:val="16"/>
                <w:szCs w:val="16"/>
              </w:rPr>
            </w:pPr>
            <w:r w:rsidRPr="00085B29">
              <w:rPr>
                <w:rFonts w:ascii="Arial" w:hAnsi="Arial" w:cs="Arial"/>
                <w:color w:val="000000"/>
                <w:sz w:val="16"/>
                <w:szCs w:val="16"/>
              </w:rPr>
              <w:t>3.4</w:t>
            </w:r>
          </w:p>
        </w:tc>
        <w:tc>
          <w:tcPr>
            <w:tcW w:w="544" w:type="pct"/>
            <w:tcBorders>
              <w:top w:val="nil"/>
              <w:left w:val="nil"/>
              <w:bottom w:val="nil"/>
              <w:right w:val="nil"/>
            </w:tcBorders>
            <w:shd w:val="clear" w:color="000000" w:fill="FFFFFF"/>
            <w:noWrap/>
            <w:vAlign w:val="center"/>
            <w:hideMark/>
          </w:tcPr>
          <w:p w14:paraId="32BBFF3C" w14:textId="77777777" w:rsidR="00085B29" w:rsidRPr="00085B29" w:rsidRDefault="00085B29" w:rsidP="00085B29">
            <w:pPr>
              <w:spacing w:before="0" w:after="0" w:line="240" w:lineRule="auto"/>
              <w:jc w:val="right"/>
              <w:rPr>
                <w:rFonts w:ascii="Arial" w:hAnsi="Arial" w:cs="Arial"/>
                <w:color w:val="000000"/>
                <w:sz w:val="16"/>
                <w:szCs w:val="16"/>
              </w:rPr>
            </w:pPr>
            <w:r w:rsidRPr="00085B29">
              <w:rPr>
                <w:rFonts w:ascii="Arial" w:hAnsi="Arial" w:cs="Arial"/>
                <w:color w:val="000000"/>
                <w:sz w:val="16"/>
                <w:szCs w:val="16"/>
              </w:rPr>
              <w:t>1.4</w:t>
            </w:r>
          </w:p>
        </w:tc>
        <w:tc>
          <w:tcPr>
            <w:tcW w:w="544" w:type="pct"/>
            <w:tcBorders>
              <w:top w:val="nil"/>
              <w:left w:val="nil"/>
              <w:bottom w:val="nil"/>
              <w:right w:val="nil"/>
            </w:tcBorders>
            <w:shd w:val="clear" w:color="000000" w:fill="FFFFFF"/>
            <w:noWrap/>
            <w:vAlign w:val="center"/>
            <w:hideMark/>
          </w:tcPr>
          <w:p w14:paraId="713B6E7F" w14:textId="77777777" w:rsidR="00085B29" w:rsidRPr="00085B29" w:rsidRDefault="00085B29" w:rsidP="00085B29">
            <w:pPr>
              <w:spacing w:before="0" w:after="0" w:line="240" w:lineRule="auto"/>
              <w:jc w:val="right"/>
              <w:rPr>
                <w:rFonts w:ascii="Arial" w:hAnsi="Arial" w:cs="Arial"/>
                <w:color w:val="000000"/>
                <w:sz w:val="16"/>
                <w:szCs w:val="16"/>
              </w:rPr>
            </w:pPr>
            <w:r w:rsidRPr="00085B29">
              <w:rPr>
                <w:rFonts w:ascii="Arial" w:hAnsi="Arial" w:cs="Arial"/>
                <w:color w:val="000000"/>
                <w:sz w:val="16"/>
                <w:szCs w:val="16"/>
              </w:rPr>
              <w:t>1.1</w:t>
            </w:r>
          </w:p>
        </w:tc>
        <w:tc>
          <w:tcPr>
            <w:tcW w:w="546" w:type="pct"/>
            <w:gridSpan w:val="2"/>
            <w:tcBorders>
              <w:top w:val="nil"/>
              <w:left w:val="nil"/>
              <w:bottom w:val="nil"/>
              <w:right w:val="nil"/>
            </w:tcBorders>
            <w:shd w:val="clear" w:color="000000" w:fill="FFFFFF"/>
            <w:noWrap/>
            <w:vAlign w:val="center"/>
            <w:hideMark/>
          </w:tcPr>
          <w:p w14:paraId="100AE5D7" w14:textId="77777777" w:rsidR="00085B29" w:rsidRPr="00085B29" w:rsidRDefault="00085B29" w:rsidP="00085B29">
            <w:pPr>
              <w:spacing w:before="0" w:after="0" w:line="240" w:lineRule="auto"/>
              <w:jc w:val="right"/>
              <w:rPr>
                <w:rFonts w:ascii="Arial" w:hAnsi="Arial" w:cs="Arial"/>
                <w:color w:val="000000"/>
                <w:sz w:val="16"/>
                <w:szCs w:val="16"/>
              </w:rPr>
            </w:pPr>
            <w:r w:rsidRPr="00085B29">
              <w:rPr>
                <w:rFonts w:ascii="Arial" w:hAnsi="Arial" w:cs="Arial"/>
                <w:color w:val="000000"/>
                <w:sz w:val="16"/>
                <w:szCs w:val="16"/>
              </w:rPr>
              <w:t>2.0</w:t>
            </w:r>
          </w:p>
        </w:tc>
      </w:tr>
      <w:tr w:rsidR="00B81C32" w:rsidRPr="00085B29" w14:paraId="70E9EA66" w14:textId="77777777" w:rsidTr="00204B48">
        <w:trPr>
          <w:trHeight w:hRule="exact" w:val="225"/>
        </w:trPr>
        <w:tc>
          <w:tcPr>
            <w:tcW w:w="1570" w:type="pct"/>
            <w:tcBorders>
              <w:top w:val="nil"/>
              <w:left w:val="nil"/>
              <w:bottom w:val="single" w:sz="4" w:space="0" w:color="293F5B"/>
              <w:right w:val="nil"/>
            </w:tcBorders>
            <w:shd w:val="clear" w:color="000000" w:fill="FFFFFF"/>
            <w:noWrap/>
            <w:vAlign w:val="center"/>
            <w:hideMark/>
          </w:tcPr>
          <w:p w14:paraId="263437F0" w14:textId="77777777" w:rsidR="00085B29" w:rsidRPr="00085B29" w:rsidRDefault="00085B29" w:rsidP="00085B29">
            <w:pPr>
              <w:spacing w:before="0" w:after="0" w:line="240" w:lineRule="auto"/>
              <w:rPr>
                <w:rFonts w:ascii="Arial" w:hAnsi="Arial" w:cs="Arial"/>
                <w:sz w:val="16"/>
                <w:szCs w:val="16"/>
              </w:rPr>
            </w:pPr>
            <w:r w:rsidRPr="00085B29">
              <w:rPr>
                <w:rFonts w:ascii="Arial" w:hAnsi="Arial" w:cs="Arial"/>
                <w:sz w:val="16"/>
                <w:szCs w:val="16"/>
              </w:rPr>
              <w:t>Per cent of GDP</w:t>
            </w:r>
          </w:p>
        </w:tc>
        <w:tc>
          <w:tcPr>
            <w:tcW w:w="541" w:type="pct"/>
            <w:tcBorders>
              <w:top w:val="nil"/>
              <w:left w:val="nil"/>
              <w:bottom w:val="single" w:sz="4" w:space="0" w:color="293F5B"/>
              <w:right w:val="nil"/>
            </w:tcBorders>
            <w:shd w:val="clear" w:color="000000" w:fill="FFFFFF"/>
            <w:noWrap/>
            <w:vAlign w:val="center"/>
            <w:hideMark/>
          </w:tcPr>
          <w:p w14:paraId="3C52B8FF" w14:textId="77777777" w:rsidR="00085B29" w:rsidRPr="00085B29" w:rsidRDefault="00085B29" w:rsidP="00085B29">
            <w:pPr>
              <w:spacing w:before="0" w:after="0" w:line="240" w:lineRule="auto"/>
              <w:jc w:val="right"/>
              <w:rPr>
                <w:rFonts w:ascii="Arial" w:hAnsi="Arial" w:cs="Arial"/>
                <w:sz w:val="16"/>
                <w:szCs w:val="16"/>
              </w:rPr>
            </w:pPr>
            <w:r w:rsidRPr="00085B29">
              <w:rPr>
                <w:rFonts w:ascii="Arial" w:hAnsi="Arial" w:cs="Arial"/>
                <w:sz w:val="16"/>
                <w:szCs w:val="16"/>
              </w:rPr>
              <w:t>25.8</w:t>
            </w:r>
          </w:p>
        </w:tc>
        <w:tc>
          <w:tcPr>
            <w:tcW w:w="541" w:type="pct"/>
            <w:gridSpan w:val="2"/>
            <w:tcBorders>
              <w:top w:val="nil"/>
              <w:left w:val="nil"/>
              <w:bottom w:val="single" w:sz="4" w:space="0" w:color="293F5B"/>
              <w:right w:val="nil"/>
            </w:tcBorders>
            <w:shd w:val="clear" w:color="000000" w:fill="FFFFFF"/>
            <w:noWrap/>
            <w:vAlign w:val="center"/>
            <w:hideMark/>
          </w:tcPr>
          <w:p w14:paraId="4C8FDB10" w14:textId="77777777" w:rsidR="00085B29" w:rsidRPr="00085B29" w:rsidRDefault="00085B29" w:rsidP="00085B29">
            <w:pPr>
              <w:spacing w:before="0" w:after="0" w:line="240" w:lineRule="auto"/>
              <w:jc w:val="right"/>
              <w:rPr>
                <w:rFonts w:ascii="Arial" w:hAnsi="Arial" w:cs="Arial"/>
                <w:sz w:val="16"/>
                <w:szCs w:val="16"/>
              </w:rPr>
            </w:pPr>
            <w:r w:rsidRPr="00085B29">
              <w:rPr>
                <w:rFonts w:ascii="Arial" w:hAnsi="Arial" w:cs="Arial"/>
                <w:sz w:val="16"/>
                <w:szCs w:val="16"/>
              </w:rPr>
              <w:t>25.7</w:t>
            </w:r>
          </w:p>
        </w:tc>
        <w:tc>
          <w:tcPr>
            <w:tcW w:w="170" w:type="pct"/>
            <w:gridSpan w:val="2"/>
            <w:tcBorders>
              <w:top w:val="nil"/>
              <w:left w:val="nil"/>
              <w:bottom w:val="single" w:sz="4" w:space="0" w:color="293F5B"/>
              <w:right w:val="nil"/>
            </w:tcBorders>
            <w:shd w:val="clear" w:color="000000" w:fill="FFFFFF"/>
            <w:noWrap/>
            <w:vAlign w:val="center"/>
            <w:hideMark/>
          </w:tcPr>
          <w:p w14:paraId="45D3D924" w14:textId="77777777" w:rsidR="00085B29" w:rsidRPr="00085B29" w:rsidRDefault="00085B29" w:rsidP="00085B29">
            <w:pPr>
              <w:spacing w:before="0" w:after="0" w:line="240" w:lineRule="auto"/>
              <w:jc w:val="right"/>
              <w:rPr>
                <w:rFonts w:ascii="Arial" w:hAnsi="Arial" w:cs="Arial"/>
                <w:sz w:val="16"/>
                <w:szCs w:val="16"/>
              </w:rPr>
            </w:pPr>
            <w:r w:rsidRPr="00085B29">
              <w:rPr>
                <w:rFonts w:ascii="Arial" w:hAnsi="Arial" w:cs="Arial"/>
                <w:sz w:val="16"/>
                <w:szCs w:val="16"/>
              </w:rPr>
              <w:t> </w:t>
            </w:r>
          </w:p>
        </w:tc>
        <w:tc>
          <w:tcPr>
            <w:tcW w:w="544" w:type="pct"/>
            <w:gridSpan w:val="2"/>
            <w:tcBorders>
              <w:top w:val="nil"/>
              <w:left w:val="nil"/>
              <w:bottom w:val="single" w:sz="4" w:space="0" w:color="293F5B"/>
              <w:right w:val="nil"/>
            </w:tcBorders>
            <w:shd w:val="clear" w:color="000000" w:fill="E6F2FF"/>
            <w:noWrap/>
            <w:vAlign w:val="center"/>
            <w:hideMark/>
          </w:tcPr>
          <w:p w14:paraId="6B3E1C3B" w14:textId="77777777" w:rsidR="00085B29" w:rsidRPr="00085B29" w:rsidRDefault="00085B29" w:rsidP="00085B29">
            <w:pPr>
              <w:spacing w:before="0" w:after="0" w:line="240" w:lineRule="auto"/>
              <w:jc w:val="right"/>
              <w:rPr>
                <w:rFonts w:ascii="Arial" w:hAnsi="Arial" w:cs="Arial"/>
                <w:sz w:val="16"/>
                <w:szCs w:val="16"/>
              </w:rPr>
            </w:pPr>
            <w:r w:rsidRPr="00085B29">
              <w:rPr>
                <w:rFonts w:ascii="Arial" w:hAnsi="Arial" w:cs="Arial"/>
                <w:sz w:val="16"/>
                <w:szCs w:val="16"/>
              </w:rPr>
              <w:t>26.6</w:t>
            </w:r>
          </w:p>
        </w:tc>
        <w:tc>
          <w:tcPr>
            <w:tcW w:w="544" w:type="pct"/>
            <w:tcBorders>
              <w:top w:val="nil"/>
              <w:left w:val="nil"/>
              <w:bottom w:val="single" w:sz="4" w:space="0" w:color="293F5B"/>
              <w:right w:val="nil"/>
            </w:tcBorders>
            <w:shd w:val="clear" w:color="000000" w:fill="FFFFFF"/>
            <w:noWrap/>
            <w:vAlign w:val="center"/>
            <w:hideMark/>
          </w:tcPr>
          <w:p w14:paraId="48CE01B0" w14:textId="77777777" w:rsidR="00085B29" w:rsidRPr="00085B29" w:rsidRDefault="00085B29" w:rsidP="00085B29">
            <w:pPr>
              <w:spacing w:before="0" w:after="0" w:line="240" w:lineRule="auto"/>
              <w:jc w:val="right"/>
              <w:rPr>
                <w:rFonts w:ascii="Arial" w:hAnsi="Arial" w:cs="Arial"/>
                <w:sz w:val="16"/>
                <w:szCs w:val="16"/>
              </w:rPr>
            </w:pPr>
            <w:r w:rsidRPr="00085B29">
              <w:rPr>
                <w:rFonts w:ascii="Arial" w:hAnsi="Arial" w:cs="Arial"/>
                <w:sz w:val="16"/>
                <w:szCs w:val="16"/>
              </w:rPr>
              <w:t>26.7</w:t>
            </w:r>
          </w:p>
        </w:tc>
        <w:tc>
          <w:tcPr>
            <w:tcW w:w="544" w:type="pct"/>
            <w:tcBorders>
              <w:top w:val="nil"/>
              <w:left w:val="nil"/>
              <w:bottom w:val="single" w:sz="4" w:space="0" w:color="293F5B"/>
              <w:right w:val="nil"/>
            </w:tcBorders>
            <w:shd w:val="clear" w:color="000000" w:fill="FFFFFF"/>
            <w:noWrap/>
            <w:vAlign w:val="center"/>
            <w:hideMark/>
          </w:tcPr>
          <w:p w14:paraId="22239954" w14:textId="77777777" w:rsidR="00085B29" w:rsidRPr="00085B29" w:rsidRDefault="00085B29" w:rsidP="00085B29">
            <w:pPr>
              <w:spacing w:before="0" w:after="0" w:line="240" w:lineRule="auto"/>
              <w:jc w:val="right"/>
              <w:rPr>
                <w:rFonts w:ascii="Arial" w:hAnsi="Arial" w:cs="Arial"/>
                <w:sz w:val="16"/>
                <w:szCs w:val="16"/>
              </w:rPr>
            </w:pPr>
            <w:r w:rsidRPr="00085B29">
              <w:rPr>
                <w:rFonts w:ascii="Arial" w:hAnsi="Arial" w:cs="Arial"/>
                <w:sz w:val="16"/>
                <w:szCs w:val="16"/>
              </w:rPr>
              <w:t>26.3</w:t>
            </w:r>
          </w:p>
        </w:tc>
        <w:tc>
          <w:tcPr>
            <w:tcW w:w="546" w:type="pct"/>
            <w:gridSpan w:val="2"/>
            <w:tcBorders>
              <w:top w:val="nil"/>
              <w:left w:val="nil"/>
              <w:bottom w:val="single" w:sz="4" w:space="0" w:color="293F5B"/>
              <w:right w:val="nil"/>
            </w:tcBorders>
            <w:shd w:val="clear" w:color="000000" w:fill="FFFFFF"/>
            <w:noWrap/>
            <w:vAlign w:val="center"/>
            <w:hideMark/>
          </w:tcPr>
          <w:p w14:paraId="4ABDDD91" w14:textId="77777777" w:rsidR="00085B29" w:rsidRPr="00085B29" w:rsidRDefault="00085B29" w:rsidP="00085B29">
            <w:pPr>
              <w:spacing w:before="0" w:after="0" w:line="240" w:lineRule="auto"/>
              <w:jc w:val="right"/>
              <w:rPr>
                <w:rFonts w:ascii="Arial" w:hAnsi="Arial" w:cs="Arial"/>
                <w:sz w:val="16"/>
                <w:szCs w:val="16"/>
              </w:rPr>
            </w:pPr>
            <w:r w:rsidRPr="00085B29">
              <w:rPr>
                <w:rFonts w:ascii="Arial" w:hAnsi="Arial" w:cs="Arial"/>
                <w:sz w:val="16"/>
                <w:szCs w:val="16"/>
              </w:rPr>
              <w:t>26.1</w:t>
            </w:r>
          </w:p>
        </w:tc>
      </w:tr>
    </w:tbl>
    <w:p w14:paraId="50A64C2F" w14:textId="3CD65274" w:rsidR="00CD2DED" w:rsidRPr="000177D7" w:rsidRDefault="00CD2DED" w:rsidP="00CD2DED">
      <w:pPr>
        <w:pStyle w:val="ChartandTableFootnoteAlpha"/>
      </w:pPr>
      <w:r w:rsidRPr="00157131">
        <w:t xml:space="preserve"> </w:t>
      </w:r>
      <w:r w:rsidRPr="000177D7">
        <w:t>Real growth is calculated using the Consumer Price Index.</w:t>
      </w:r>
    </w:p>
    <w:p w14:paraId="16C58C3B" w14:textId="77777777" w:rsidR="00CD2DED" w:rsidRPr="001B1307" w:rsidRDefault="00CD2DED" w:rsidP="00CD2DED">
      <w:pPr>
        <w:pStyle w:val="TableLine"/>
      </w:pPr>
    </w:p>
    <w:p w14:paraId="38DDE88E" w14:textId="14A46A19" w:rsidR="00380035" w:rsidRPr="002D4FCF" w:rsidRDefault="00380035" w:rsidP="00380035">
      <w:r w:rsidRPr="002D4FCF">
        <w:t xml:space="preserve">Average annual real growth in expenses </w:t>
      </w:r>
      <w:r w:rsidR="00957B9D">
        <w:t xml:space="preserve">over the period 2024–25 to 2027–28 </w:t>
      </w:r>
      <w:r w:rsidRPr="002D4FCF">
        <w:t xml:space="preserve">is expected to be </w:t>
      </w:r>
      <w:r w:rsidR="00AA626D" w:rsidRPr="002D4FCF">
        <w:t>2.0</w:t>
      </w:r>
      <w:r w:rsidRPr="002D4FCF">
        <w:t> per cent</w:t>
      </w:r>
      <w:r w:rsidR="00A25FA4" w:rsidRPr="002D4FCF">
        <w:t>,</w:t>
      </w:r>
      <w:r w:rsidR="00280DE5" w:rsidRPr="002D4FCF">
        <w:t xml:space="preserve"> which</w:t>
      </w:r>
      <w:r w:rsidR="00AA2FAE" w:rsidRPr="002D4FCF">
        <w:t xml:space="preserve"> </w:t>
      </w:r>
      <w:r w:rsidRPr="002D4FCF">
        <w:t>shows the Government</w:t>
      </w:r>
      <w:r w:rsidR="008D4F6B">
        <w:t>’</w:t>
      </w:r>
      <w:r w:rsidRPr="002D4FCF">
        <w:t>s commitment to responsible</w:t>
      </w:r>
      <w:r w:rsidR="00280DE5" w:rsidRPr="002D4FCF">
        <w:t xml:space="preserve"> and</w:t>
      </w:r>
      <w:r w:rsidR="00AA2FAE" w:rsidRPr="002D4FCF">
        <w:t xml:space="preserve"> </w:t>
      </w:r>
      <w:r w:rsidRPr="002D4FCF">
        <w:t>sustainable economic and fiscal managemen</w:t>
      </w:r>
      <w:r w:rsidR="00A32DD8" w:rsidRPr="002D4FCF">
        <w:t>t</w:t>
      </w:r>
      <w:r w:rsidRPr="002D4FCF">
        <w:t>.</w:t>
      </w:r>
    </w:p>
    <w:p w14:paraId="43C47461" w14:textId="21615F93" w:rsidR="00796BBF" w:rsidRDefault="00380035" w:rsidP="00380035">
      <w:r w:rsidRPr="002D4FCF">
        <w:t>As a percentage of GDP, total expenses are expected to be 26.</w:t>
      </w:r>
      <w:r w:rsidR="00AA626D" w:rsidRPr="002D4FCF">
        <w:t>6</w:t>
      </w:r>
      <w:r w:rsidRPr="002D4FCF">
        <w:t> per</w:t>
      </w:r>
      <w:r>
        <w:t> cent</w:t>
      </w:r>
      <w:r w:rsidRPr="0021687D">
        <w:t xml:space="preserve"> in 202</w:t>
      </w:r>
      <w:r>
        <w:t>4</w:t>
      </w:r>
      <w:r w:rsidRPr="00002DB4">
        <w:rPr>
          <w:rFonts w:cs="Book Antiqua"/>
        </w:rPr>
        <w:t>–</w:t>
      </w:r>
      <w:r w:rsidRPr="0021687D">
        <w:t>2</w:t>
      </w:r>
      <w:r>
        <w:t>5</w:t>
      </w:r>
      <w:r w:rsidRPr="0021687D">
        <w:t xml:space="preserve"> and </w:t>
      </w:r>
      <w:r w:rsidRPr="005E2F52">
        <w:t xml:space="preserve">are </w:t>
      </w:r>
      <w:r w:rsidRPr="00AA626D">
        <w:t xml:space="preserve">projected to </w:t>
      </w:r>
      <w:r w:rsidR="00A25FA4">
        <w:t>marginally decrease</w:t>
      </w:r>
      <w:r w:rsidR="00AA626D" w:rsidRPr="00AA626D">
        <w:t xml:space="preserve"> </w:t>
      </w:r>
      <w:r w:rsidR="00957B9D">
        <w:t>over the period 2024–25 to 2027–28</w:t>
      </w:r>
      <w:r w:rsidRPr="00AA626D">
        <w:t>.</w:t>
      </w:r>
    </w:p>
    <w:p w14:paraId="593998D2" w14:textId="67D474B9" w:rsidR="00AA626D" w:rsidRDefault="00380035" w:rsidP="00AA626D">
      <w:r w:rsidRPr="0021687D">
        <w:t xml:space="preserve">More detail about </w:t>
      </w:r>
      <w:r w:rsidR="00D3590A">
        <w:t>general government sector</w:t>
      </w:r>
      <w:r w:rsidRPr="0021687D">
        <w:t xml:space="preserve"> expense</w:t>
      </w:r>
      <w:r>
        <w:t>s can be seen at a program level for the top 20 programs by expense in Table 6.3.1.</w:t>
      </w:r>
    </w:p>
    <w:p w14:paraId="77C71F0B" w14:textId="20717D08" w:rsidR="00A62344" w:rsidRDefault="00AA626D" w:rsidP="00A62344">
      <w:pPr>
        <w:pStyle w:val="TableHeading"/>
        <w:rPr>
          <w:rFonts w:asciiTheme="minorHAnsi" w:eastAsiaTheme="minorHAnsi" w:hAnsiTheme="minorHAnsi" w:cstheme="minorBidi"/>
          <w:sz w:val="22"/>
          <w:szCs w:val="22"/>
          <w:lang w:eastAsia="en-US"/>
        </w:rPr>
      </w:pPr>
      <w:r>
        <w:t>Table </w:t>
      </w:r>
      <w:r w:rsidRPr="000177D7">
        <w:t>6.1.2: Estimates of general government sector payments</w:t>
      </w:r>
      <w:bookmarkStart w:id="13" w:name="_1727774241"/>
      <w:bookmarkStart w:id="14" w:name="_1742907904"/>
      <w:bookmarkStart w:id="15" w:name="_1776945565"/>
      <w:bookmarkEnd w:id="13"/>
      <w:bookmarkEnd w:id="14"/>
      <w:bookmarkEnd w:id="15"/>
    </w:p>
    <w:tbl>
      <w:tblPr>
        <w:tblW w:w="7716" w:type="dxa"/>
        <w:tblLook w:val="04A0" w:firstRow="1" w:lastRow="0" w:firstColumn="1" w:lastColumn="0" w:noHBand="0" w:noVBand="1"/>
      </w:tblPr>
      <w:tblGrid>
        <w:gridCol w:w="2421"/>
        <w:gridCol w:w="839"/>
        <w:gridCol w:w="110"/>
        <w:gridCol w:w="729"/>
        <w:gridCol w:w="120"/>
        <w:gridCol w:w="141"/>
        <w:gridCol w:w="120"/>
        <w:gridCol w:w="719"/>
        <w:gridCol w:w="839"/>
        <w:gridCol w:w="839"/>
        <w:gridCol w:w="839"/>
      </w:tblGrid>
      <w:tr w:rsidR="00A62344" w:rsidRPr="00A62344" w14:paraId="24C4ED0B" w14:textId="77777777" w:rsidTr="00204B48">
        <w:trPr>
          <w:trHeight w:val="225"/>
        </w:trPr>
        <w:tc>
          <w:tcPr>
            <w:tcW w:w="2421" w:type="dxa"/>
            <w:tcBorders>
              <w:top w:val="single" w:sz="4" w:space="0" w:color="293F5B"/>
              <w:left w:val="nil"/>
              <w:bottom w:val="nil"/>
              <w:right w:val="nil"/>
            </w:tcBorders>
            <w:shd w:val="clear" w:color="000000" w:fill="FFFFFF"/>
            <w:noWrap/>
            <w:vAlign w:val="center"/>
            <w:hideMark/>
          </w:tcPr>
          <w:p w14:paraId="03B9C070" w14:textId="00953962" w:rsidR="00A62344" w:rsidRPr="00A62344" w:rsidRDefault="00A62344" w:rsidP="00A62344">
            <w:pPr>
              <w:spacing w:before="0" w:after="0" w:line="240" w:lineRule="auto"/>
              <w:rPr>
                <w:rFonts w:ascii="Arial" w:hAnsi="Arial" w:cs="Arial"/>
                <w:color w:val="000000"/>
                <w:sz w:val="16"/>
                <w:szCs w:val="16"/>
              </w:rPr>
            </w:pPr>
            <w:r w:rsidRPr="00A62344">
              <w:rPr>
                <w:rFonts w:ascii="Arial" w:hAnsi="Arial" w:cs="Arial"/>
                <w:color w:val="000000"/>
                <w:sz w:val="16"/>
                <w:szCs w:val="16"/>
              </w:rPr>
              <w:t> </w:t>
            </w:r>
          </w:p>
        </w:tc>
        <w:tc>
          <w:tcPr>
            <w:tcW w:w="949" w:type="dxa"/>
            <w:gridSpan w:val="2"/>
            <w:tcBorders>
              <w:top w:val="single" w:sz="4" w:space="0" w:color="293F5B"/>
              <w:left w:val="nil"/>
              <w:bottom w:val="single" w:sz="4" w:space="0" w:color="293F5B"/>
              <w:right w:val="nil"/>
            </w:tcBorders>
            <w:shd w:val="clear" w:color="000000" w:fill="FFFFFF"/>
            <w:noWrap/>
            <w:vAlign w:val="center"/>
            <w:hideMark/>
          </w:tcPr>
          <w:p w14:paraId="08183546" w14:textId="77777777" w:rsidR="00A62344" w:rsidRPr="00A62344" w:rsidRDefault="00A62344" w:rsidP="00204B48">
            <w:pPr>
              <w:spacing w:before="0" w:after="0" w:line="240" w:lineRule="auto"/>
              <w:ind w:right="57"/>
              <w:jc w:val="right"/>
              <w:rPr>
                <w:rFonts w:ascii="Arial" w:hAnsi="Arial" w:cs="Arial"/>
                <w:sz w:val="16"/>
                <w:szCs w:val="16"/>
              </w:rPr>
            </w:pPr>
            <w:r w:rsidRPr="00A62344">
              <w:rPr>
                <w:rFonts w:ascii="Arial" w:hAnsi="Arial" w:cs="Arial"/>
                <w:sz w:val="16"/>
                <w:szCs w:val="16"/>
              </w:rPr>
              <w:t>MYEFO</w:t>
            </w:r>
          </w:p>
        </w:tc>
        <w:tc>
          <w:tcPr>
            <w:tcW w:w="849" w:type="dxa"/>
            <w:gridSpan w:val="2"/>
            <w:tcBorders>
              <w:top w:val="single" w:sz="4" w:space="0" w:color="293F5B"/>
              <w:left w:val="nil"/>
              <w:bottom w:val="single" w:sz="4" w:space="0" w:color="293F5B"/>
              <w:right w:val="nil"/>
            </w:tcBorders>
            <w:shd w:val="clear" w:color="000000" w:fill="FFFFFF"/>
            <w:noWrap/>
            <w:vAlign w:val="center"/>
            <w:hideMark/>
          </w:tcPr>
          <w:p w14:paraId="23C074D4" w14:textId="77777777" w:rsidR="00A62344" w:rsidRPr="00A62344" w:rsidRDefault="00A62344" w:rsidP="00A62344">
            <w:pPr>
              <w:spacing w:before="0" w:after="0" w:line="240" w:lineRule="auto"/>
              <w:jc w:val="center"/>
              <w:rPr>
                <w:rFonts w:ascii="Arial" w:hAnsi="Arial" w:cs="Arial"/>
                <w:color w:val="000000"/>
                <w:sz w:val="16"/>
                <w:szCs w:val="16"/>
              </w:rPr>
            </w:pPr>
            <w:r w:rsidRPr="00A62344">
              <w:rPr>
                <w:rFonts w:ascii="Arial" w:hAnsi="Arial" w:cs="Arial"/>
                <w:color w:val="000000"/>
                <w:sz w:val="16"/>
                <w:szCs w:val="16"/>
              </w:rPr>
              <w:t>Revised</w:t>
            </w:r>
          </w:p>
        </w:tc>
        <w:tc>
          <w:tcPr>
            <w:tcW w:w="261" w:type="dxa"/>
            <w:gridSpan w:val="2"/>
            <w:tcBorders>
              <w:top w:val="single" w:sz="4" w:space="0" w:color="293F5B"/>
              <w:left w:val="nil"/>
              <w:bottom w:val="single" w:sz="4" w:space="0" w:color="293F5B"/>
              <w:right w:val="nil"/>
            </w:tcBorders>
            <w:shd w:val="clear" w:color="000000" w:fill="FFFFFF"/>
            <w:noWrap/>
            <w:vAlign w:val="center"/>
            <w:hideMark/>
          </w:tcPr>
          <w:p w14:paraId="294EBDE9" w14:textId="77777777" w:rsidR="00A62344" w:rsidRPr="00A62344" w:rsidRDefault="00A62344" w:rsidP="00A62344">
            <w:pPr>
              <w:spacing w:before="0" w:after="0" w:line="240" w:lineRule="auto"/>
              <w:jc w:val="right"/>
              <w:rPr>
                <w:rFonts w:ascii="Arial" w:hAnsi="Arial" w:cs="Arial"/>
                <w:color w:val="000000"/>
                <w:sz w:val="16"/>
                <w:szCs w:val="16"/>
              </w:rPr>
            </w:pPr>
            <w:r w:rsidRPr="00A62344">
              <w:rPr>
                <w:rFonts w:ascii="Arial" w:hAnsi="Arial" w:cs="Arial"/>
                <w:color w:val="000000"/>
                <w:sz w:val="16"/>
                <w:szCs w:val="16"/>
              </w:rPr>
              <w:t> </w:t>
            </w:r>
          </w:p>
        </w:tc>
        <w:tc>
          <w:tcPr>
            <w:tcW w:w="3236" w:type="dxa"/>
            <w:gridSpan w:val="4"/>
            <w:tcBorders>
              <w:top w:val="single" w:sz="4" w:space="0" w:color="293F5B"/>
              <w:left w:val="nil"/>
              <w:bottom w:val="nil"/>
              <w:right w:val="nil"/>
            </w:tcBorders>
            <w:shd w:val="clear" w:color="000000" w:fill="FFFFFF"/>
            <w:noWrap/>
            <w:vAlign w:val="center"/>
            <w:hideMark/>
          </w:tcPr>
          <w:p w14:paraId="4CD865C4" w14:textId="77777777" w:rsidR="00A62344" w:rsidRPr="00A62344" w:rsidRDefault="00A62344" w:rsidP="00A62344">
            <w:pPr>
              <w:spacing w:before="0" w:after="0" w:line="240" w:lineRule="auto"/>
              <w:jc w:val="center"/>
              <w:rPr>
                <w:rFonts w:ascii="Arial" w:hAnsi="Arial" w:cs="Arial"/>
                <w:color w:val="000000"/>
                <w:sz w:val="16"/>
                <w:szCs w:val="16"/>
              </w:rPr>
            </w:pPr>
            <w:r w:rsidRPr="00A62344">
              <w:rPr>
                <w:rFonts w:ascii="Arial" w:hAnsi="Arial" w:cs="Arial"/>
                <w:color w:val="000000"/>
                <w:sz w:val="16"/>
                <w:szCs w:val="16"/>
              </w:rPr>
              <w:t>Estimates</w:t>
            </w:r>
          </w:p>
        </w:tc>
      </w:tr>
      <w:tr w:rsidR="00A62344" w:rsidRPr="00A62344" w14:paraId="314C1711" w14:textId="77777777" w:rsidTr="00204B48">
        <w:trPr>
          <w:trHeight w:val="225"/>
        </w:trPr>
        <w:tc>
          <w:tcPr>
            <w:tcW w:w="2421" w:type="dxa"/>
            <w:tcBorders>
              <w:top w:val="nil"/>
              <w:left w:val="nil"/>
              <w:bottom w:val="nil"/>
              <w:right w:val="nil"/>
            </w:tcBorders>
            <w:shd w:val="clear" w:color="000000" w:fill="FFFFFF"/>
            <w:noWrap/>
            <w:vAlign w:val="center"/>
            <w:hideMark/>
          </w:tcPr>
          <w:p w14:paraId="31C6747F" w14:textId="77777777" w:rsidR="00A62344" w:rsidRPr="00A62344" w:rsidRDefault="00A62344" w:rsidP="00A62344">
            <w:pPr>
              <w:spacing w:before="0" w:after="0" w:line="240" w:lineRule="auto"/>
              <w:rPr>
                <w:rFonts w:ascii="Arial" w:hAnsi="Arial" w:cs="Arial"/>
                <w:color w:val="000000"/>
                <w:sz w:val="16"/>
                <w:szCs w:val="16"/>
              </w:rPr>
            </w:pPr>
            <w:r w:rsidRPr="00A62344">
              <w:rPr>
                <w:rFonts w:ascii="Arial" w:hAnsi="Arial" w:cs="Arial"/>
                <w:color w:val="000000"/>
                <w:sz w:val="16"/>
                <w:szCs w:val="16"/>
              </w:rPr>
              <w:t> </w:t>
            </w:r>
          </w:p>
        </w:tc>
        <w:tc>
          <w:tcPr>
            <w:tcW w:w="839" w:type="dxa"/>
            <w:tcBorders>
              <w:top w:val="single" w:sz="4" w:space="0" w:color="293F5B"/>
              <w:left w:val="nil"/>
              <w:bottom w:val="single" w:sz="4" w:space="0" w:color="293F5B"/>
              <w:right w:val="nil"/>
            </w:tcBorders>
            <w:shd w:val="clear" w:color="000000" w:fill="FFFFFF"/>
            <w:noWrap/>
            <w:vAlign w:val="center"/>
            <w:hideMark/>
          </w:tcPr>
          <w:p w14:paraId="256FFA24" w14:textId="77777777" w:rsidR="00A62344" w:rsidRPr="00A62344" w:rsidRDefault="00A62344" w:rsidP="00204B48">
            <w:pPr>
              <w:spacing w:before="0" w:after="0" w:line="240" w:lineRule="auto"/>
              <w:ind w:right="-74"/>
              <w:jc w:val="right"/>
              <w:rPr>
                <w:rFonts w:ascii="Arial" w:hAnsi="Arial" w:cs="Arial"/>
                <w:color w:val="000000"/>
                <w:sz w:val="16"/>
                <w:szCs w:val="16"/>
              </w:rPr>
            </w:pPr>
            <w:r w:rsidRPr="00A62344">
              <w:rPr>
                <w:rFonts w:ascii="Arial" w:hAnsi="Arial" w:cs="Arial"/>
                <w:color w:val="000000"/>
                <w:sz w:val="16"/>
                <w:szCs w:val="16"/>
              </w:rPr>
              <w:t>2023-24</w:t>
            </w:r>
          </w:p>
        </w:tc>
        <w:tc>
          <w:tcPr>
            <w:tcW w:w="839" w:type="dxa"/>
            <w:gridSpan w:val="2"/>
            <w:tcBorders>
              <w:top w:val="single" w:sz="4" w:space="0" w:color="293F5B"/>
              <w:left w:val="nil"/>
              <w:bottom w:val="single" w:sz="4" w:space="0" w:color="293F5B"/>
              <w:right w:val="nil"/>
            </w:tcBorders>
            <w:shd w:val="clear" w:color="000000" w:fill="FFFFFF"/>
            <w:noWrap/>
            <w:vAlign w:val="center"/>
            <w:hideMark/>
          </w:tcPr>
          <w:p w14:paraId="53DBEDED" w14:textId="77777777" w:rsidR="00A62344" w:rsidRPr="00A62344" w:rsidRDefault="00A62344" w:rsidP="00204B48">
            <w:pPr>
              <w:spacing w:before="0" w:after="0" w:line="240" w:lineRule="auto"/>
              <w:ind w:right="-91"/>
              <w:jc w:val="right"/>
              <w:rPr>
                <w:rFonts w:ascii="Arial" w:hAnsi="Arial" w:cs="Arial"/>
                <w:color w:val="000000"/>
                <w:sz w:val="16"/>
                <w:szCs w:val="16"/>
              </w:rPr>
            </w:pPr>
            <w:r w:rsidRPr="00A62344">
              <w:rPr>
                <w:rFonts w:ascii="Arial" w:hAnsi="Arial" w:cs="Arial"/>
                <w:color w:val="000000"/>
                <w:sz w:val="16"/>
                <w:szCs w:val="16"/>
              </w:rPr>
              <w:t>2023-24</w:t>
            </w:r>
          </w:p>
        </w:tc>
        <w:tc>
          <w:tcPr>
            <w:tcW w:w="261" w:type="dxa"/>
            <w:gridSpan w:val="2"/>
            <w:tcBorders>
              <w:top w:val="single" w:sz="4" w:space="0" w:color="293F5B"/>
              <w:left w:val="nil"/>
              <w:bottom w:val="single" w:sz="4" w:space="0" w:color="293F5B"/>
              <w:right w:val="nil"/>
            </w:tcBorders>
            <w:shd w:val="clear" w:color="000000" w:fill="FFFFFF"/>
            <w:noWrap/>
            <w:vAlign w:val="center"/>
            <w:hideMark/>
          </w:tcPr>
          <w:p w14:paraId="37437570" w14:textId="77777777" w:rsidR="00A62344" w:rsidRPr="00A62344" w:rsidRDefault="00A62344" w:rsidP="00204B48">
            <w:pPr>
              <w:spacing w:before="0" w:after="0" w:line="240" w:lineRule="auto"/>
              <w:ind w:right="-74"/>
              <w:jc w:val="right"/>
              <w:rPr>
                <w:rFonts w:ascii="Arial" w:hAnsi="Arial" w:cs="Arial"/>
                <w:color w:val="000000"/>
                <w:sz w:val="16"/>
                <w:szCs w:val="16"/>
              </w:rPr>
            </w:pPr>
            <w:r w:rsidRPr="00A62344">
              <w:rPr>
                <w:rFonts w:ascii="Arial" w:hAnsi="Arial" w:cs="Arial"/>
                <w:color w:val="000000"/>
                <w:sz w:val="16"/>
                <w:szCs w:val="16"/>
              </w:rPr>
              <w:t> </w:t>
            </w:r>
          </w:p>
        </w:tc>
        <w:tc>
          <w:tcPr>
            <w:tcW w:w="839" w:type="dxa"/>
            <w:gridSpan w:val="2"/>
            <w:tcBorders>
              <w:top w:val="single" w:sz="4" w:space="0" w:color="293F5B"/>
              <w:left w:val="nil"/>
              <w:bottom w:val="single" w:sz="4" w:space="0" w:color="293F5B"/>
              <w:right w:val="nil"/>
            </w:tcBorders>
            <w:shd w:val="clear" w:color="000000" w:fill="E6F2FF"/>
            <w:noWrap/>
            <w:vAlign w:val="center"/>
            <w:hideMark/>
          </w:tcPr>
          <w:p w14:paraId="31FD2972" w14:textId="77777777" w:rsidR="00A62344" w:rsidRPr="00A62344" w:rsidRDefault="00A62344" w:rsidP="00204B48">
            <w:pPr>
              <w:spacing w:before="0" w:after="0" w:line="240" w:lineRule="auto"/>
              <w:ind w:right="-74"/>
              <w:jc w:val="right"/>
              <w:rPr>
                <w:rFonts w:ascii="Arial" w:hAnsi="Arial" w:cs="Arial"/>
                <w:color w:val="000000"/>
                <w:sz w:val="16"/>
                <w:szCs w:val="16"/>
              </w:rPr>
            </w:pPr>
            <w:r w:rsidRPr="00A62344">
              <w:rPr>
                <w:rFonts w:ascii="Arial" w:hAnsi="Arial" w:cs="Arial"/>
                <w:color w:val="000000"/>
                <w:sz w:val="16"/>
                <w:szCs w:val="16"/>
              </w:rPr>
              <w:t>2024-25</w:t>
            </w:r>
          </w:p>
        </w:tc>
        <w:tc>
          <w:tcPr>
            <w:tcW w:w="839" w:type="dxa"/>
            <w:tcBorders>
              <w:top w:val="single" w:sz="4" w:space="0" w:color="293F5B"/>
              <w:left w:val="nil"/>
              <w:bottom w:val="single" w:sz="4" w:space="0" w:color="293F5B"/>
              <w:right w:val="nil"/>
            </w:tcBorders>
            <w:shd w:val="clear" w:color="000000" w:fill="FFFFFF"/>
            <w:noWrap/>
            <w:vAlign w:val="center"/>
            <w:hideMark/>
          </w:tcPr>
          <w:p w14:paraId="582BD97F" w14:textId="77777777" w:rsidR="00A62344" w:rsidRPr="00A62344" w:rsidRDefault="00A62344" w:rsidP="00204B48">
            <w:pPr>
              <w:spacing w:before="0" w:after="0" w:line="240" w:lineRule="auto"/>
              <w:ind w:right="-74"/>
              <w:jc w:val="right"/>
              <w:rPr>
                <w:rFonts w:ascii="Arial" w:hAnsi="Arial" w:cs="Arial"/>
                <w:color w:val="000000"/>
                <w:sz w:val="16"/>
                <w:szCs w:val="16"/>
              </w:rPr>
            </w:pPr>
            <w:r w:rsidRPr="00A62344">
              <w:rPr>
                <w:rFonts w:ascii="Arial" w:hAnsi="Arial" w:cs="Arial"/>
                <w:color w:val="000000"/>
                <w:sz w:val="16"/>
                <w:szCs w:val="16"/>
              </w:rPr>
              <w:t>2025-26</w:t>
            </w:r>
          </w:p>
        </w:tc>
        <w:tc>
          <w:tcPr>
            <w:tcW w:w="839" w:type="dxa"/>
            <w:tcBorders>
              <w:top w:val="single" w:sz="4" w:space="0" w:color="293F5B"/>
              <w:left w:val="nil"/>
              <w:bottom w:val="single" w:sz="4" w:space="0" w:color="293F5B"/>
              <w:right w:val="nil"/>
            </w:tcBorders>
            <w:shd w:val="clear" w:color="000000" w:fill="FFFFFF"/>
            <w:noWrap/>
            <w:vAlign w:val="center"/>
            <w:hideMark/>
          </w:tcPr>
          <w:p w14:paraId="2543CA3C" w14:textId="77777777" w:rsidR="00A62344" w:rsidRPr="00A62344" w:rsidRDefault="00A62344" w:rsidP="00204B48">
            <w:pPr>
              <w:spacing w:before="0" w:after="0" w:line="240" w:lineRule="auto"/>
              <w:ind w:right="-74"/>
              <w:jc w:val="right"/>
              <w:rPr>
                <w:rFonts w:ascii="Arial" w:hAnsi="Arial" w:cs="Arial"/>
                <w:color w:val="000000"/>
                <w:sz w:val="16"/>
                <w:szCs w:val="16"/>
              </w:rPr>
            </w:pPr>
            <w:r w:rsidRPr="00A62344">
              <w:rPr>
                <w:rFonts w:ascii="Arial" w:hAnsi="Arial" w:cs="Arial"/>
                <w:color w:val="000000"/>
                <w:sz w:val="16"/>
                <w:szCs w:val="16"/>
              </w:rPr>
              <w:t>2026-27</w:t>
            </w:r>
          </w:p>
        </w:tc>
        <w:tc>
          <w:tcPr>
            <w:tcW w:w="839" w:type="dxa"/>
            <w:tcBorders>
              <w:top w:val="single" w:sz="4" w:space="0" w:color="293F5B"/>
              <w:left w:val="nil"/>
              <w:bottom w:val="single" w:sz="4" w:space="0" w:color="293F5B"/>
              <w:right w:val="nil"/>
            </w:tcBorders>
            <w:shd w:val="clear" w:color="000000" w:fill="FFFFFF"/>
            <w:noWrap/>
            <w:vAlign w:val="center"/>
            <w:hideMark/>
          </w:tcPr>
          <w:p w14:paraId="34B22542" w14:textId="77777777" w:rsidR="00A62344" w:rsidRPr="00A62344" w:rsidRDefault="00A62344" w:rsidP="00204B48">
            <w:pPr>
              <w:spacing w:before="0" w:after="0" w:line="240" w:lineRule="auto"/>
              <w:ind w:right="-74"/>
              <w:jc w:val="right"/>
              <w:rPr>
                <w:rFonts w:ascii="Arial" w:hAnsi="Arial" w:cs="Arial"/>
                <w:color w:val="000000"/>
                <w:sz w:val="16"/>
                <w:szCs w:val="16"/>
              </w:rPr>
            </w:pPr>
            <w:r w:rsidRPr="00A62344">
              <w:rPr>
                <w:rFonts w:ascii="Arial" w:hAnsi="Arial" w:cs="Arial"/>
                <w:color w:val="000000"/>
                <w:sz w:val="16"/>
                <w:szCs w:val="16"/>
              </w:rPr>
              <w:t>2027-28</w:t>
            </w:r>
          </w:p>
        </w:tc>
      </w:tr>
      <w:tr w:rsidR="00A62344" w:rsidRPr="00A62344" w14:paraId="3DAC1606" w14:textId="77777777" w:rsidTr="00204B48">
        <w:trPr>
          <w:trHeight w:val="225"/>
        </w:trPr>
        <w:tc>
          <w:tcPr>
            <w:tcW w:w="2421" w:type="dxa"/>
            <w:tcBorders>
              <w:top w:val="nil"/>
              <w:left w:val="nil"/>
              <w:bottom w:val="nil"/>
              <w:right w:val="nil"/>
            </w:tcBorders>
            <w:shd w:val="clear" w:color="000000" w:fill="FFFFFF"/>
            <w:noWrap/>
            <w:vAlign w:val="center"/>
            <w:hideMark/>
          </w:tcPr>
          <w:p w14:paraId="4F1DA298" w14:textId="77777777" w:rsidR="00A62344" w:rsidRPr="00A62344" w:rsidRDefault="00A62344" w:rsidP="00A62344">
            <w:pPr>
              <w:spacing w:before="0" w:after="0" w:line="240" w:lineRule="auto"/>
              <w:rPr>
                <w:rFonts w:ascii="Arial" w:hAnsi="Arial" w:cs="Arial"/>
                <w:b/>
                <w:bCs/>
                <w:color w:val="000000"/>
                <w:sz w:val="16"/>
                <w:szCs w:val="16"/>
              </w:rPr>
            </w:pPr>
            <w:r w:rsidRPr="00A62344">
              <w:rPr>
                <w:rFonts w:ascii="Arial" w:hAnsi="Arial" w:cs="Arial"/>
                <w:b/>
                <w:bCs/>
                <w:color w:val="000000"/>
                <w:sz w:val="16"/>
                <w:szCs w:val="16"/>
              </w:rPr>
              <w:t>Total payments ($b)</w:t>
            </w:r>
          </w:p>
        </w:tc>
        <w:tc>
          <w:tcPr>
            <w:tcW w:w="839" w:type="dxa"/>
            <w:tcBorders>
              <w:top w:val="single" w:sz="4" w:space="0" w:color="293F5B"/>
              <w:left w:val="nil"/>
              <w:bottom w:val="nil"/>
              <w:right w:val="nil"/>
            </w:tcBorders>
            <w:shd w:val="clear" w:color="000000" w:fill="FFFFFF"/>
            <w:noWrap/>
            <w:vAlign w:val="center"/>
            <w:hideMark/>
          </w:tcPr>
          <w:p w14:paraId="3EF37CA2" w14:textId="77777777" w:rsidR="00A62344" w:rsidRPr="00A62344" w:rsidRDefault="00A62344" w:rsidP="00204B48">
            <w:pPr>
              <w:spacing w:before="0" w:after="0" w:line="240" w:lineRule="auto"/>
              <w:ind w:right="-74"/>
              <w:jc w:val="right"/>
              <w:rPr>
                <w:rFonts w:ascii="Arial" w:hAnsi="Arial" w:cs="Arial"/>
                <w:b/>
                <w:bCs/>
                <w:color w:val="000000"/>
                <w:sz w:val="16"/>
                <w:szCs w:val="16"/>
              </w:rPr>
            </w:pPr>
            <w:r w:rsidRPr="00A62344">
              <w:rPr>
                <w:rFonts w:ascii="Arial" w:hAnsi="Arial" w:cs="Arial"/>
                <w:b/>
                <w:bCs/>
                <w:color w:val="000000"/>
                <w:sz w:val="16"/>
                <w:szCs w:val="16"/>
              </w:rPr>
              <w:t>686.4</w:t>
            </w:r>
          </w:p>
        </w:tc>
        <w:tc>
          <w:tcPr>
            <w:tcW w:w="839" w:type="dxa"/>
            <w:gridSpan w:val="2"/>
            <w:tcBorders>
              <w:top w:val="single" w:sz="4" w:space="0" w:color="293F5B"/>
              <w:left w:val="nil"/>
              <w:bottom w:val="nil"/>
              <w:right w:val="nil"/>
            </w:tcBorders>
            <w:shd w:val="clear" w:color="000000" w:fill="FFFFFF"/>
            <w:noWrap/>
            <w:vAlign w:val="center"/>
            <w:hideMark/>
          </w:tcPr>
          <w:p w14:paraId="1E011D68" w14:textId="77777777" w:rsidR="00A62344" w:rsidRPr="00A62344" w:rsidRDefault="00A62344" w:rsidP="00204B48">
            <w:pPr>
              <w:spacing w:before="0" w:after="0" w:line="240" w:lineRule="auto"/>
              <w:ind w:right="-91"/>
              <w:jc w:val="right"/>
              <w:rPr>
                <w:rFonts w:ascii="Arial" w:hAnsi="Arial" w:cs="Arial"/>
                <w:b/>
                <w:bCs/>
                <w:color w:val="000000"/>
                <w:sz w:val="16"/>
                <w:szCs w:val="16"/>
              </w:rPr>
            </w:pPr>
            <w:r w:rsidRPr="00A62344">
              <w:rPr>
                <w:rFonts w:ascii="Arial" w:hAnsi="Arial" w:cs="Arial"/>
                <w:b/>
                <w:bCs/>
                <w:color w:val="000000"/>
                <w:sz w:val="16"/>
                <w:szCs w:val="16"/>
              </w:rPr>
              <w:t>683.0</w:t>
            </w:r>
          </w:p>
        </w:tc>
        <w:tc>
          <w:tcPr>
            <w:tcW w:w="261" w:type="dxa"/>
            <w:gridSpan w:val="2"/>
            <w:tcBorders>
              <w:top w:val="single" w:sz="4" w:space="0" w:color="293F5B"/>
              <w:left w:val="nil"/>
              <w:bottom w:val="nil"/>
              <w:right w:val="nil"/>
            </w:tcBorders>
            <w:shd w:val="clear" w:color="000000" w:fill="FFFFFF"/>
            <w:noWrap/>
            <w:vAlign w:val="center"/>
            <w:hideMark/>
          </w:tcPr>
          <w:p w14:paraId="2BD1EE5B" w14:textId="77777777" w:rsidR="00A62344" w:rsidRPr="00A62344" w:rsidRDefault="00A62344" w:rsidP="00204B48">
            <w:pPr>
              <w:spacing w:before="0" w:after="0" w:line="240" w:lineRule="auto"/>
              <w:ind w:right="-74"/>
              <w:jc w:val="right"/>
              <w:rPr>
                <w:rFonts w:ascii="Arial" w:hAnsi="Arial" w:cs="Arial"/>
                <w:b/>
                <w:bCs/>
                <w:color w:val="000000"/>
                <w:sz w:val="16"/>
                <w:szCs w:val="16"/>
              </w:rPr>
            </w:pPr>
            <w:r w:rsidRPr="00A62344">
              <w:rPr>
                <w:rFonts w:ascii="Arial" w:hAnsi="Arial" w:cs="Arial"/>
                <w:b/>
                <w:bCs/>
                <w:color w:val="000000"/>
                <w:sz w:val="16"/>
                <w:szCs w:val="16"/>
              </w:rPr>
              <w:t> </w:t>
            </w:r>
          </w:p>
        </w:tc>
        <w:tc>
          <w:tcPr>
            <w:tcW w:w="839" w:type="dxa"/>
            <w:gridSpan w:val="2"/>
            <w:tcBorders>
              <w:top w:val="single" w:sz="4" w:space="0" w:color="293F5B"/>
              <w:left w:val="nil"/>
              <w:bottom w:val="nil"/>
              <w:right w:val="nil"/>
            </w:tcBorders>
            <w:shd w:val="clear" w:color="000000" w:fill="E6F2FF"/>
            <w:noWrap/>
            <w:vAlign w:val="center"/>
            <w:hideMark/>
          </w:tcPr>
          <w:p w14:paraId="2FB1EF27" w14:textId="77777777" w:rsidR="00A62344" w:rsidRPr="00A62344" w:rsidRDefault="00A62344" w:rsidP="00204B48">
            <w:pPr>
              <w:spacing w:before="0" w:after="0" w:line="240" w:lineRule="auto"/>
              <w:ind w:right="-74"/>
              <w:jc w:val="right"/>
              <w:rPr>
                <w:rFonts w:ascii="Arial" w:hAnsi="Arial" w:cs="Arial"/>
                <w:b/>
                <w:bCs/>
                <w:color w:val="000000"/>
                <w:sz w:val="16"/>
                <w:szCs w:val="16"/>
              </w:rPr>
            </w:pPr>
            <w:r w:rsidRPr="00A62344">
              <w:rPr>
                <w:rFonts w:ascii="Arial" w:hAnsi="Arial" w:cs="Arial"/>
                <w:b/>
                <w:bCs/>
                <w:color w:val="000000"/>
                <w:sz w:val="16"/>
                <w:szCs w:val="16"/>
              </w:rPr>
              <w:t>726.7</w:t>
            </w:r>
          </w:p>
        </w:tc>
        <w:tc>
          <w:tcPr>
            <w:tcW w:w="839" w:type="dxa"/>
            <w:tcBorders>
              <w:top w:val="single" w:sz="4" w:space="0" w:color="293F5B"/>
              <w:left w:val="nil"/>
              <w:bottom w:val="nil"/>
              <w:right w:val="nil"/>
            </w:tcBorders>
            <w:shd w:val="clear" w:color="000000" w:fill="FFFFFF"/>
            <w:noWrap/>
            <w:vAlign w:val="center"/>
            <w:hideMark/>
          </w:tcPr>
          <w:p w14:paraId="583079B1" w14:textId="77777777" w:rsidR="00A62344" w:rsidRPr="00A62344" w:rsidRDefault="00A62344" w:rsidP="00204B48">
            <w:pPr>
              <w:spacing w:before="0" w:after="0" w:line="240" w:lineRule="auto"/>
              <w:ind w:right="-74"/>
              <w:jc w:val="right"/>
              <w:rPr>
                <w:rFonts w:ascii="Arial" w:hAnsi="Arial" w:cs="Arial"/>
                <w:b/>
                <w:bCs/>
                <w:color w:val="000000"/>
                <w:sz w:val="16"/>
                <w:szCs w:val="16"/>
              </w:rPr>
            </w:pPr>
            <w:r w:rsidRPr="00A62344">
              <w:rPr>
                <w:rFonts w:ascii="Arial" w:hAnsi="Arial" w:cs="Arial"/>
                <w:b/>
                <w:bCs/>
                <w:color w:val="000000"/>
                <w:sz w:val="16"/>
                <w:szCs w:val="16"/>
              </w:rPr>
              <w:t>762.2</w:t>
            </w:r>
          </w:p>
        </w:tc>
        <w:tc>
          <w:tcPr>
            <w:tcW w:w="839" w:type="dxa"/>
            <w:tcBorders>
              <w:top w:val="single" w:sz="4" w:space="0" w:color="293F5B"/>
              <w:left w:val="nil"/>
              <w:bottom w:val="nil"/>
              <w:right w:val="nil"/>
            </w:tcBorders>
            <w:shd w:val="clear" w:color="000000" w:fill="FFFFFF"/>
            <w:noWrap/>
            <w:vAlign w:val="center"/>
            <w:hideMark/>
          </w:tcPr>
          <w:p w14:paraId="56B962ED" w14:textId="77777777" w:rsidR="00A62344" w:rsidRPr="00A62344" w:rsidRDefault="00A62344" w:rsidP="00204B48">
            <w:pPr>
              <w:spacing w:before="0" w:after="0" w:line="240" w:lineRule="auto"/>
              <w:ind w:right="-74"/>
              <w:jc w:val="right"/>
              <w:rPr>
                <w:rFonts w:ascii="Arial" w:hAnsi="Arial" w:cs="Arial"/>
                <w:b/>
                <w:bCs/>
                <w:color w:val="000000"/>
                <w:sz w:val="16"/>
                <w:szCs w:val="16"/>
              </w:rPr>
            </w:pPr>
            <w:r w:rsidRPr="00A62344">
              <w:rPr>
                <w:rFonts w:ascii="Arial" w:hAnsi="Arial" w:cs="Arial"/>
                <w:b/>
                <w:bCs/>
                <w:color w:val="000000"/>
                <w:sz w:val="16"/>
                <w:szCs w:val="16"/>
              </w:rPr>
              <w:t>786.7</w:t>
            </w:r>
          </w:p>
        </w:tc>
        <w:tc>
          <w:tcPr>
            <w:tcW w:w="839" w:type="dxa"/>
            <w:tcBorders>
              <w:top w:val="single" w:sz="4" w:space="0" w:color="293F5B"/>
              <w:left w:val="nil"/>
              <w:bottom w:val="nil"/>
              <w:right w:val="nil"/>
            </w:tcBorders>
            <w:shd w:val="clear" w:color="000000" w:fill="FFFFFF"/>
            <w:noWrap/>
            <w:vAlign w:val="center"/>
            <w:hideMark/>
          </w:tcPr>
          <w:p w14:paraId="2114FFF5" w14:textId="77777777" w:rsidR="00A62344" w:rsidRPr="00A62344" w:rsidRDefault="00A62344" w:rsidP="00204B48">
            <w:pPr>
              <w:spacing w:before="0" w:after="0" w:line="240" w:lineRule="auto"/>
              <w:ind w:right="-74"/>
              <w:jc w:val="right"/>
              <w:rPr>
                <w:rFonts w:ascii="Arial" w:hAnsi="Arial" w:cs="Arial"/>
                <w:b/>
                <w:bCs/>
                <w:color w:val="000000"/>
                <w:sz w:val="16"/>
                <w:szCs w:val="16"/>
              </w:rPr>
            </w:pPr>
            <w:r w:rsidRPr="00A62344">
              <w:rPr>
                <w:rFonts w:ascii="Arial" w:hAnsi="Arial" w:cs="Arial"/>
                <w:b/>
                <w:bCs/>
                <w:color w:val="000000"/>
                <w:sz w:val="16"/>
                <w:szCs w:val="16"/>
              </w:rPr>
              <w:t>826.2</w:t>
            </w:r>
          </w:p>
        </w:tc>
      </w:tr>
      <w:tr w:rsidR="00A62344" w:rsidRPr="00A62344" w14:paraId="6CD269D2" w14:textId="77777777" w:rsidTr="00204B48">
        <w:trPr>
          <w:trHeight w:val="225"/>
        </w:trPr>
        <w:tc>
          <w:tcPr>
            <w:tcW w:w="2421" w:type="dxa"/>
            <w:tcBorders>
              <w:top w:val="nil"/>
              <w:left w:val="nil"/>
              <w:bottom w:val="nil"/>
              <w:right w:val="nil"/>
            </w:tcBorders>
            <w:shd w:val="clear" w:color="000000" w:fill="FFFFFF"/>
            <w:noWrap/>
            <w:vAlign w:val="center"/>
            <w:hideMark/>
          </w:tcPr>
          <w:p w14:paraId="0DD5AA9E" w14:textId="77777777" w:rsidR="00A62344" w:rsidRPr="00A62344" w:rsidRDefault="00A62344" w:rsidP="00A62344">
            <w:pPr>
              <w:spacing w:before="0" w:after="0" w:line="240" w:lineRule="auto"/>
              <w:rPr>
                <w:rFonts w:ascii="Arial" w:hAnsi="Arial" w:cs="Arial"/>
                <w:color w:val="000000"/>
                <w:sz w:val="16"/>
                <w:szCs w:val="16"/>
              </w:rPr>
            </w:pPr>
            <w:r w:rsidRPr="00A62344">
              <w:rPr>
                <w:rFonts w:ascii="Arial" w:hAnsi="Arial" w:cs="Arial"/>
                <w:color w:val="000000"/>
                <w:sz w:val="16"/>
                <w:szCs w:val="16"/>
              </w:rPr>
              <w:t xml:space="preserve">Real growth on </w:t>
            </w:r>
          </w:p>
        </w:tc>
        <w:tc>
          <w:tcPr>
            <w:tcW w:w="839" w:type="dxa"/>
            <w:tcBorders>
              <w:top w:val="nil"/>
              <w:left w:val="nil"/>
              <w:bottom w:val="nil"/>
              <w:right w:val="nil"/>
            </w:tcBorders>
            <w:shd w:val="clear" w:color="000000" w:fill="FFFFFF"/>
            <w:noWrap/>
            <w:vAlign w:val="center"/>
            <w:hideMark/>
          </w:tcPr>
          <w:p w14:paraId="58FF18FC" w14:textId="77777777" w:rsidR="00A62344" w:rsidRPr="00A62344" w:rsidRDefault="00A62344" w:rsidP="00204B48">
            <w:pPr>
              <w:spacing w:before="0" w:after="0" w:line="240" w:lineRule="auto"/>
              <w:ind w:right="-74"/>
              <w:rPr>
                <w:rFonts w:ascii="Arial" w:hAnsi="Arial" w:cs="Arial"/>
                <w:b/>
                <w:bCs/>
                <w:color w:val="000000"/>
                <w:sz w:val="16"/>
                <w:szCs w:val="16"/>
              </w:rPr>
            </w:pPr>
            <w:r w:rsidRPr="00A62344">
              <w:rPr>
                <w:rFonts w:ascii="Arial" w:hAnsi="Arial" w:cs="Arial"/>
                <w:b/>
                <w:bCs/>
                <w:color w:val="000000"/>
                <w:sz w:val="16"/>
                <w:szCs w:val="16"/>
              </w:rPr>
              <w:t> </w:t>
            </w:r>
          </w:p>
        </w:tc>
        <w:tc>
          <w:tcPr>
            <w:tcW w:w="839" w:type="dxa"/>
            <w:gridSpan w:val="2"/>
            <w:tcBorders>
              <w:top w:val="nil"/>
              <w:left w:val="nil"/>
              <w:bottom w:val="nil"/>
              <w:right w:val="nil"/>
            </w:tcBorders>
            <w:shd w:val="clear" w:color="000000" w:fill="FFFFFF"/>
            <w:noWrap/>
            <w:vAlign w:val="center"/>
            <w:hideMark/>
          </w:tcPr>
          <w:p w14:paraId="4D6E4E1E" w14:textId="77777777" w:rsidR="00A62344" w:rsidRPr="00A62344" w:rsidRDefault="00A62344" w:rsidP="00204B48">
            <w:pPr>
              <w:spacing w:before="0" w:after="0" w:line="240" w:lineRule="auto"/>
              <w:ind w:right="-91"/>
              <w:rPr>
                <w:rFonts w:ascii="Arial" w:hAnsi="Arial" w:cs="Arial"/>
                <w:b/>
                <w:bCs/>
                <w:color w:val="000000"/>
                <w:sz w:val="16"/>
                <w:szCs w:val="16"/>
              </w:rPr>
            </w:pPr>
            <w:r w:rsidRPr="00A62344">
              <w:rPr>
                <w:rFonts w:ascii="Arial" w:hAnsi="Arial" w:cs="Arial"/>
                <w:b/>
                <w:bCs/>
                <w:color w:val="000000"/>
                <w:sz w:val="16"/>
                <w:szCs w:val="16"/>
              </w:rPr>
              <w:t> </w:t>
            </w:r>
          </w:p>
        </w:tc>
        <w:tc>
          <w:tcPr>
            <w:tcW w:w="261" w:type="dxa"/>
            <w:gridSpan w:val="2"/>
            <w:tcBorders>
              <w:top w:val="nil"/>
              <w:left w:val="nil"/>
              <w:bottom w:val="nil"/>
              <w:right w:val="nil"/>
            </w:tcBorders>
            <w:shd w:val="clear" w:color="000000" w:fill="FFFFFF"/>
            <w:noWrap/>
            <w:vAlign w:val="center"/>
            <w:hideMark/>
          </w:tcPr>
          <w:p w14:paraId="1BB7B52F" w14:textId="77777777" w:rsidR="00A62344" w:rsidRPr="00A62344" w:rsidRDefault="00A62344" w:rsidP="00204B48">
            <w:pPr>
              <w:spacing w:before="0" w:after="0" w:line="240" w:lineRule="auto"/>
              <w:ind w:right="-74"/>
              <w:rPr>
                <w:rFonts w:ascii="Arial" w:hAnsi="Arial" w:cs="Arial"/>
                <w:b/>
                <w:bCs/>
                <w:color w:val="000000"/>
                <w:sz w:val="16"/>
                <w:szCs w:val="16"/>
              </w:rPr>
            </w:pPr>
            <w:r w:rsidRPr="00A62344">
              <w:rPr>
                <w:rFonts w:ascii="Arial" w:hAnsi="Arial" w:cs="Arial"/>
                <w:b/>
                <w:bCs/>
                <w:color w:val="000000"/>
                <w:sz w:val="16"/>
                <w:szCs w:val="16"/>
              </w:rPr>
              <w:t> </w:t>
            </w:r>
          </w:p>
        </w:tc>
        <w:tc>
          <w:tcPr>
            <w:tcW w:w="839" w:type="dxa"/>
            <w:gridSpan w:val="2"/>
            <w:tcBorders>
              <w:top w:val="nil"/>
              <w:left w:val="nil"/>
              <w:bottom w:val="nil"/>
              <w:right w:val="nil"/>
            </w:tcBorders>
            <w:shd w:val="clear" w:color="000000" w:fill="E6F2FF"/>
            <w:noWrap/>
            <w:vAlign w:val="center"/>
            <w:hideMark/>
          </w:tcPr>
          <w:p w14:paraId="71AE8F35" w14:textId="77777777" w:rsidR="00A62344" w:rsidRPr="00A62344" w:rsidRDefault="00A62344" w:rsidP="00204B48">
            <w:pPr>
              <w:spacing w:before="0" w:after="0" w:line="240" w:lineRule="auto"/>
              <w:ind w:right="-74"/>
              <w:rPr>
                <w:rFonts w:ascii="Arial" w:hAnsi="Arial" w:cs="Arial"/>
                <w:b/>
                <w:bCs/>
                <w:color w:val="000000"/>
                <w:sz w:val="16"/>
                <w:szCs w:val="16"/>
              </w:rPr>
            </w:pPr>
            <w:r w:rsidRPr="00A62344">
              <w:rPr>
                <w:rFonts w:ascii="Arial" w:hAnsi="Arial" w:cs="Arial"/>
                <w:b/>
                <w:bCs/>
                <w:color w:val="000000"/>
                <w:sz w:val="16"/>
                <w:szCs w:val="16"/>
              </w:rPr>
              <w:t> </w:t>
            </w:r>
          </w:p>
        </w:tc>
        <w:tc>
          <w:tcPr>
            <w:tcW w:w="839" w:type="dxa"/>
            <w:tcBorders>
              <w:top w:val="nil"/>
              <w:left w:val="nil"/>
              <w:bottom w:val="nil"/>
              <w:right w:val="nil"/>
            </w:tcBorders>
            <w:shd w:val="clear" w:color="000000" w:fill="FFFFFF"/>
            <w:noWrap/>
            <w:vAlign w:val="center"/>
            <w:hideMark/>
          </w:tcPr>
          <w:p w14:paraId="50B8DADD" w14:textId="77777777" w:rsidR="00A62344" w:rsidRPr="00A62344" w:rsidRDefault="00A62344" w:rsidP="00204B48">
            <w:pPr>
              <w:spacing w:before="0" w:after="0" w:line="240" w:lineRule="auto"/>
              <w:ind w:right="-74"/>
              <w:rPr>
                <w:rFonts w:ascii="Arial" w:hAnsi="Arial" w:cs="Arial"/>
                <w:b/>
                <w:bCs/>
                <w:color w:val="000000"/>
                <w:sz w:val="16"/>
                <w:szCs w:val="16"/>
              </w:rPr>
            </w:pPr>
            <w:r w:rsidRPr="00A62344">
              <w:rPr>
                <w:rFonts w:ascii="Arial" w:hAnsi="Arial" w:cs="Arial"/>
                <w:b/>
                <w:bCs/>
                <w:color w:val="000000"/>
                <w:sz w:val="16"/>
                <w:szCs w:val="16"/>
              </w:rPr>
              <w:t> </w:t>
            </w:r>
          </w:p>
        </w:tc>
        <w:tc>
          <w:tcPr>
            <w:tcW w:w="839" w:type="dxa"/>
            <w:tcBorders>
              <w:top w:val="nil"/>
              <w:left w:val="nil"/>
              <w:bottom w:val="nil"/>
              <w:right w:val="nil"/>
            </w:tcBorders>
            <w:shd w:val="clear" w:color="000000" w:fill="FFFFFF"/>
            <w:noWrap/>
            <w:vAlign w:val="center"/>
            <w:hideMark/>
          </w:tcPr>
          <w:p w14:paraId="5EB13ECE" w14:textId="77777777" w:rsidR="00A62344" w:rsidRPr="00A62344" w:rsidRDefault="00A62344" w:rsidP="00204B48">
            <w:pPr>
              <w:spacing w:before="0" w:after="0" w:line="240" w:lineRule="auto"/>
              <w:ind w:right="-74"/>
              <w:rPr>
                <w:rFonts w:ascii="Arial" w:hAnsi="Arial" w:cs="Arial"/>
                <w:b/>
                <w:bCs/>
                <w:color w:val="000000"/>
                <w:sz w:val="16"/>
                <w:szCs w:val="16"/>
              </w:rPr>
            </w:pPr>
            <w:r w:rsidRPr="00A62344">
              <w:rPr>
                <w:rFonts w:ascii="Arial" w:hAnsi="Arial" w:cs="Arial"/>
                <w:b/>
                <w:bCs/>
                <w:color w:val="000000"/>
                <w:sz w:val="16"/>
                <w:szCs w:val="16"/>
              </w:rPr>
              <w:t> </w:t>
            </w:r>
          </w:p>
        </w:tc>
        <w:tc>
          <w:tcPr>
            <w:tcW w:w="839" w:type="dxa"/>
            <w:tcBorders>
              <w:top w:val="nil"/>
              <w:left w:val="nil"/>
              <w:bottom w:val="nil"/>
              <w:right w:val="nil"/>
            </w:tcBorders>
            <w:shd w:val="clear" w:color="000000" w:fill="FFFFFF"/>
            <w:noWrap/>
            <w:vAlign w:val="center"/>
            <w:hideMark/>
          </w:tcPr>
          <w:p w14:paraId="50C33B9A" w14:textId="77777777" w:rsidR="00A62344" w:rsidRPr="00A62344" w:rsidRDefault="00A62344" w:rsidP="00204B48">
            <w:pPr>
              <w:spacing w:before="0" w:after="0" w:line="240" w:lineRule="auto"/>
              <w:ind w:right="-74"/>
              <w:rPr>
                <w:rFonts w:ascii="Arial" w:hAnsi="Arial" w:cs="Arial"/>
                <w:b/>
                <w:bCs/>
                <w:color w:val="000000"/>
                <w:sz w:val="16"/>
                <w:szCs w:val="16"/>
              </w:rPr>
            </w:pPr>
            <w:r w:rsidRPr="00A62344">
              <w:rPr>
                <w:rFonts w:ascii="Arial" w:hAnsi="Arial" w:cs="Arial"/>
                <w:b/>
                <w:bCs/>
                <w:color w:val="000000"/>
                <w:sz w:val="16"/>
                <w:szCs w:val="16"/>
              </w:rPr>
              <w:t> </w:t>
            </w:r>
          </w:p>
        </w:tc>
      </w:tr>
      <w:tr w:rsidR="00A62344" w:rsidRPr="00A62344" w14:paraId="75A21D1C" w14:textId="77777777" w:rsidTr="00204B48">
        <w:trPr>
          <w:trHeight w:val="225"/>
        </w:trPr>
        <w:tc>
          <w:tcPr>
            <w:tcW w:w="2421" w:type="dxa"/>
            <w:tcBorders>
              <w:top w:val="nil"/>
              <w:left w:val="nil"/>
              <w:bottom w:val="nil"/>
              <w:right w:val="nil"/>
            </w:tcBorders>
            <w:shd w:val="clear" w:color="000000" w:fill="FFFFFF"/>
            <w:noWrap/>
            <w:vAlign w:val="center"/>
            <w:hideMark/>
          </w:tcPr>
          <w:p w14:paraId="5F328630" w14:textId="77777777" w:rsidR="00A62344" w:rsidRPr="00A62344" w:rsidRDefault="00A62344" w:rsidP="00A62344">
            <w:pPr>
              <w:spacing w:before="0" w:after="0" w:line="240" w:lineRule="auto"/>
              <w:ind w:firstLineChars="100" w:firstLine="160"/>
              <w:rPr>
                <w:rFonts w:ascii="Arial" w:hAnsi="Arial" w:cs="Arial"/>
                <w:color w:val="000000"/>
                <w:sz w:val="16"/>
                <w:szCs w:val="16"/>
              </w:rPr>
            </w:pPr>
            <w:r w:rsidRPr="00A62344">
              <w:rPr>
                <w:rFonts w:ascii="Arial" w:hAnsi="Arial" w:cs="Arial"/>
                <w:color w:val="000000"/>
                <w:sz w:val="16"/>
                <w:szCs w:val="16"/>
              </w:rPr>
              <w:t>previous year (%)(a)</w:t>
            </w:r>
          </w:p>
        </w:tc>
        <w:tc>
          <w:tcPr>
            <w:tcW w:w="839" w:type="dxa"/>
            <w:tcBorders>
              <w:top w:val="nil"/>
              <w:left w:val="nil"/>
              <w:bottom w:val="nil"/>
              <w:right w:val="nil"/>
            </w:tcBorders>
            <w:shd w:val="clear" w:color="000000" w:fill="FFFFFF"/>
            <w:noWrap/>
            <w:vAlign w:val="center"/>
            <w:hideMark/>
          </w:tcPr>
          <w:p w14:paraId="3052C4AB" w14:textId="77777777" w:rsidR="00A62344" w:rsidRPr="00A62344" w:rsidRDefault="00A62344" w:rsidP="00204B48">
            <w:pPr>
              <w:spacing w:before="0" w:after="0" w:line="240" w:lineRule="auto"/>
              <w:ind w:right="-74"/>
              <w:jc w:val="right"/>
              <w:rPr>
                <w:rFonts w:ascii="Arial" w:hAnsi="Arial" w:cs="Arial"/>
                <w:color w:val="000000"/>
                <w:sz w:val="16"/>
                <w:szCs w:val="16"/>
              </w:rPr>
            </w:pPr>
            <w:r w:rsidRPr="00A62344">
              <w:rPr>
                <w:rFonts w:ascii="Arial" w:hAnsi="Arial" w:cs="Arial"/>
                <w:color w:val="000000"/>
                <w:sz w:val="16"/>
                <w:szCs w:val="16"/>
              </w:rPr>
              <w:t>4.7</w:t>
            </w:r>
          </w:p>
        </w:tc>
        <w:tc>
          <w:tcPr>
            <w:tcW w:w="839" w:type="dxa"/>
            <w:gridSpan w:val="2"/>
            <w:tcBorders>
              <w:top w:val="nil"/>
              <w:left w:val="nil"/>
              <w:bottom w:val="nil"/>
              <w:right w:val="nil"/>
            </w:tcBorders>
            <w:shd w:val="clear" w:color="000000" w:fill="FFFFFF"/>
            <w:noWrap/>
            <w:vAlign w:val="center"/>
            <w:hideMark/>
          </w:tcPr>
          <w:p w14:paraId="724F96CE" w14:textId="77777777" w:rsidR="00A62344" w:rsidRPr="00A62344" w:rsidRDefault="00A62344" w:rsidP="00204B48">
            <w:pPr>
              <w:spacing w:before="0" w:after="0" w:line="240" w:lineRule="auto"/>
              <w:ind w:right="-91"/>
              <w:jc w:val="right"/>
              <w:rPr>
                <w:rFonts w:ascii="Arial" w:hAnsi="Arial" w:cs="Arial"/>
                <w:color w:val="000000"/>
                <w:sz w:val="16"/>
                <w:szCs w:val="16"/>
              </w:rPr>
            </w:pPr>
            <w:r w:rsidRPr="00A62344">
              <w:rPr>
                <w:rFonts w:ascii="Arial" w:hAnsi="Arial" w:cs="Arial"/>
                <w:color w:val="000000"/>
                <w:sz w:val="16"/>
                <w:szCs w:val="16"/>
              </w:rPr>
              <w:t>4.5</w:t>
            </w:r>
          </w:p>
        </w:tc>
        <w:tc>
          <w:tcPr>
            <w:tcW w:w="261" w:type="dxa"/>
            <w:gridSpan w:val="2"/>
            <w:tcBorders>
              <w:top w:val="nil"/>
              <w:left w:val="nil"/>
              <w:bottom w:val="nil"/>
              <w:right w:val="nil"/>
            </w:tcBorders>
            <w:shd w:val="clear" w:color="000000" w:fill="FFFFFF"/>
            <w:noWrap/>
            <w:vAlign w:val="center"/>
            <w:hideMark/>
          </w:tcPr>
          <w:p w14:paraId="72594FFF" w14:textId="77777777" w:rsidR="00A62344" w:rsidRPr="00A62344" w:rsidRDefault="00A62344" w:rsidP="00204B48">
            <w:pPr>
              <w:spacing w:before="0" w:after="0" w:line="240" w:lineRule="auto"/>
              <w:ind w:right="-74"/>
              <w:jc w:val="right"/>
              <w:rPr>
                <w:rFonts w:ascii="Arial" w:hAnsi="Arial" w:cs="Arial"/>
                <w:color w:val="000000"/>
                <w:sz w:val="16"/>
                <w:szCs w:val="16"/>
              </w:rPr>
            </w:pPr>
            <w:r w:rsidRPr="00A62344">
              <w:rPr>
                <w:rFonts w:ascii="Arial" w:hAnsi="Arial" w:cs="Arial"/>
                <w:color w:val="000000"/>
                <w:sz w:val="16"/>
                <w:szCs w:val="16"/>
              </w:rPr>
              <w:t> </w:t>
            </w:r>
          </w:p>
        </w:tc>
        <w:tc>
          <w:tcPr>
            <w:tcW w:w="839" w:type="dxa"/>
            <w:gridSpan w:val="2"/>
            <w:tcBorders>
              <w:top w:val="nil"/>
              <w:left w:val="nil"/>
              <w:bottom w:val="nil"/>
              <w:right w:val="nil"/>
            </w:tcBorders>
            <w:shd w:val="clear" w:color="000000" w:fill="E6F2FF"/>
            <w:noWrap/>
            <w:vAlign w:val="center"/>
            <w:hideMark/>
          </w:tcPr>
          <w:p w14:paraId="675EF0E1" w14:textId="77777777" w:rsidR="00A62344" w:rsidRPr="00A62344" w:rsidRDefault="00A62344" w:rsidP="00204B48">
            <w:pPr>
              <w:spacing w:before="0" w:after="0" w:line="240" w:lineRule="auto"/>
              <w:ind w:right="-74"/>
              <w:jc w:val="right"/>
              <w:rPr>
                <w:rFonts w:ascii="Arial" w:hAnsi="Arial" w:cs="Arial"/>
                <w:color w:val="000000"/>
                <w:sz w:val="16"/>
                <w:szCs w:val="16"/>
              </w:rPr>
            </w:pPr>
            <w:r w:rsidRPr="00A62344">
              <w:rPr>
                <w:rFonts w:ascii="Arial" w:hAnsi="Arial" w:cs="Arial"/>
                <w:color w:val="000000"/>
                <w:sz w:val="16"/>
                <w:szCs w:val="16"/>
              </w:rPr>
              <w:t>3.6</w:t>
            </w:r>
          </w:p>
        </w:tc>
        <w:tc>
          <w:tcPr>
            <w:tcW w:w="839" w:type="dxa"/>
            <w:tcBorders>
              <w:top w:val="nil"/>
              <w:left w:val="nil"/>
              <w:bottom w:val="nil"/>
              <w:right w:val="nil"/>
            </w:tcBorders>
            <w:shd w:val="clear" w:color="000000" w:fill="FFFFFF"/>
            <w:noWrap/>
            <w:vAlign w:val="center"/>
            <w:hideMark/>
          </w:tcPr>
          <w:p w14:paraId="404BE2B2" w14:textId="77777777" w:rsidR="00A62344" w:rsidRPr="00A62344" w:rsidRDefault="00A62344" w:rsidP="00204B48">
            <w:pPr>
              <w:spacing w:before="0" w:after="0" w:line="240" w:lineRule="auto"/>
              <w:ind w:right="-74"/>
              <w:jc w:val="right"/>
              <w:rPr>
                <w:rFonts w:ascii="Arial" w:hAnsi="Arial" w:cs="Arial"/>
                <w:color w:val="000000"/>
                <w:sz w:val="16"/>
                <w:szCs w:val="16"/>
              </w:rPr>
            </w:pPr>
            <w:r w:rsidRPr="00A62344">
              <w:rPr>
                <w:rFonts w:ascii="Arial" w:hAnsi="Arial" w:cs="Arial"/>
                <w:color w:val="000000"/>
                <w:sz w:val="16"/>
                <w:szCs w:val="16"/>
              </w:rPr>
              <w:t>1.8</w:t>
            </w:r>
          </w:p>
        </w:tc>
        <w:tc>
          <w:tcPr>
            <w:tcW w:w="839" w:type="dxa"/>
            <w:tcBorders>
              <w:top w:val="nil"/>
              <w:left w:val="nil"/>
              <w:bottom w:val="nil"/>
              <w:right w:val="nil"/>
            </w:tcBorders>
            <w:shd w:val="clear" w:color="000000" w:fill="FFFFFF"/>
            <w:noWrap/>
            <w:vAlign w:val="center"/>
            <w:hideMark/>
          </w:tcPr>
          <w:p w14:paraId="3A44A347" w14:textId="77777777" w:rsidR="00A62344" w:rsidRPr="00A62344" w:rsidRDefault="00A62344" w:rsidP="00204B48">
            <w:pPr>
              <w:spacing w:before="0" w:after="0" w:line="240" w:lineRule="auto"/>
              <w:ind w:right="-74"/>
              <w:jc w:val="right"/>
              <w:rPr>
                <w:rFonts w:ascii="Arial" w:hAnsi="Arial" w:cs="Arial"/>
                <w:color w:val="000000"/>
                <w:sz w:val="16"/>
                <w:szCs w:val="16"/>
              </w:rPr>
            </w:pPr>
            <w:r w:rsidRPr="00A62344">
              <w:rPr>
                <w:rFonts w:ascii="Arial" w:hAnsi="Arial" w:cs="Arial"/>
                <w:color w:val="000000"/>
                <w:sz w:val="16"/>
                <w:szCs w:val="16"/>
              </w:rPr>
              <w:t>0.8</w:t>
            </w:r>
          </w:p>
        </w:tc>
        <w:tc>
          <w:tcPr>
            <w:tcW w:w="839" w:type="dxa"/>
            <w:tcBorders>
              <w:top w:val="nil"/>
              <w:left w:val="nil"/>
              <w:bottom w:val="nil"/>
              <w:right w:val="nil"/>
            </w:tcBorders>
            <w:shd w:val="clear" w:color="000000" w:fill="FFFFFF"/>
            <w:noWrap/>
            <w:vAlign w:val="center"/>
            <w:hideMark/>
          </w:tcPr>
          <w:p w14:paraId="7638A1BF" w14:textId="77777777" w:rsidR="00A62344" w:rsidRPr="00A62344" w:rsidRDefault="00A62344" w:rsidP="00204B48">
            <w:pPr>
              <w:spacing w:before="0" w:after="0" w:line="240" w:lineRule="auto"/>
              <w:ind w:right="-74"/>
              <w:jc w:val="right"/>
              <w:rPr>
                <w:rFonts w:ascii="Arial" w:hAnsi="Arial" w:cs="Arial"/>
                <w:color w:val="000000"/>
                <w:sz w:val="16"/>
                <w:szCs w:val="16"/>
              </w:rPr>
            </w:pPr>
            <w:r w:rsidRPr="00A62344">
              <w:rPr>
                <w:rFonts w:ascii="Arial" w:hAnsi="Arial" w:cs="Arial"/>
                <w:color w:val="000000"/>
                <w:sz w:val="16"/>
                <w:szCs w:val="16"/>
              </w:rPr>
              <w:t>2.4</w:t>
            </w:r>
          </w:p>
        </w:tc>
      </w:tr>
      <w:tr w:rsidR="00A62344" w:rsidRPr="00A62344" w14:paraId="20C91942" w14:textId="77777777" w:rsidTr="00204B48">
        <w:trPr>
          <w:trHeight w:val="225"/>
        </w:trPr>
        <w:tc>
          <w:tcPr>
            <w:tcW w:w="2421" w:type="dxa"/>
            <w:tcBorders>
              <w:top w:val="nil"/>
              <w:left w:val="nil"/>
              <w:bottom w:val="single" w:sz="4" w:space="0" w:color="293F5B"/>
              <w:right w:val="nil"/>
            </w:tcBorders>
            <w:shd w:val="clear" w:color="000000" w:fill="FFFFFF"/>
            <w:noWrap/>
            <w:vAlign w:val="center"/>
            <w:hideMark/>
          </w:tcPr>
          <w:p w14:paraId="6743BDC5" w14:textId="77777777" w:rsidR="00A62344" w:rsidRPr="00A62344" w:rsidRDefault="00A62344" w:rsidP="00A62344">
            <w:pPr>
              <w:spacing w:before="0" w:after="0" w:line="240" w:lineRule="auto"/>
              <w:rPr>
                <w:rFonts w:ascii="Arial" w:hAnsi="Arial" w:cs="Arial"/>
                <w:sz w:val="16"/>
                <w:szCs w:val="16"/>
              </w:rPr>
            </w:pPr>
            <w:r w:rsidRPr="00A62344">
              <w:rPr>
                <w:rFonts w:ascii="Arial" w:hAnsi="Arial" w:cs="Arial"/>
                <w:sz w:val="16"/>
                <w:szCs w:val="16"/>
              </w:rPr>
              <w:t>Per cent of GDP</w:t>
            </w:r>
          </w:p>
        </w:tc>
        <w:tc>
          <w:tcPr>
            <w:tcW w:w="839" w:type="dxa"/>
            <w:tcBorders>
              <w:top w:val="nil"/>
              <w:left w:val="nil"/>
              <w:bottom w:val="single" w:sz="4" w:space="0" w:color="293F5B"/>
              <w:right w:val="nil"/>
            </w:tcBorders>
            <w:shd w:val="clear" w:color="000000" w:fill="FFFFFF"/>
            <w:noWrap/>
            <w:vAlign w:val="center"/>
            <w:hideMark/>
          </w:tcPr>
          <w:p w14:paraId="2CD41F7C" w14:textId="77777777" w:rsidR="00A62344" w:rsidRPr="00A62344" w:rsidRDefault="00A62344" w:rsidP="00204B48">
            <w:pPr>
              <w:spacing w:before="0" w:after="0" w:line="240" w:lineRule="auto"/>
              <w:ind w:right="-74"/>
              <w:jc w:val="right"/>
              <w:rPr>
                <w:rFonts w:ascii="Arial" w:hAnsi="Arial" w:cs="Arial"/>
                <w:sz w:val="16"/>
                <w:szCs w:val="16"/>
              </w:rPr>
            </w:pPr>
            <w:r w:rsidRPr="00A62344">
              <w:rPr>
                <w:rFonts w:ascii="Arial" w:hAnsi="Arial" w:cs="Arial"/>
                <w:sz w:val="16"/>
                <w:szCs w:val="16"/>
              </w:rPr>
              <w:t>25.7</w:t>
            </w:r>
          </w:p>
        </w:tc>
        <w:tc>
          <w:tcPr>
            <w:tcW w:w="839" w:type="dxa"/>
            <w:gridSpan w:val="2"/>
            <w:tcBorders>
              <w:top w:val="nil"/>
              <w:left w:val="nil"/>
              <w:bottom w:val="single" w:sz="4" w:space="0" w:color="293F5B"/>
              <w:right w:val="nil"/>
            </w:tcBorders>
            <w:shd w:val="clear" w:color="000000" w:fill="FFFFFF"/>
            <w:noWrap/>
            <w:vAlign w:val="center"/>
            <w:hideMark/>
          </w:tcPr>
          <w:p w14:paraId="60C8A79E" w14:textId="77777777" w:rsidR="00A62344" w:rsidRPr="00A62344" w:rsidRDefault="00A62344" w:rsidP="00204B48">
            <w:pPr>
              <w:spacing w:before="0" w:after="0" w:line="240" w:lineRule="auto"/>
              <w:ind w:right="-91"/>
              <w:jc w:val="right"/>
              <w:rPr>
                <w:rFonts w:ascii="Arial" w:hAnsi="Arial" w:cs="Arial"/>
                <w:sz w:val="16"/>
                <w:szCs w:val="16"/>
              </w:rPr>
            </w:pPr>
            <w:r w:rsidRPr="00A62344">
              <w:rPr>
                <w:rFonts w:ascii="Arial" w:hAnsi="Arial" w:cs="Arial"/>
                <w:sz w:val="16"/>
                <w:szCs w:val="16"/>
              </w:rPr>
              <w:t>25.4</w:t>
            </w:r>
          </w:p>
        </w:tc>
        <w:tc>
          <w:tcPr>
            <w:tcW w:w="261" w:type="dxa"/>
            <w:gridSpan w:val="2"/>
            <w:tcBorders>
              <w:top w:val="nil"/>
              <w:left w:val="nil"/>
              <w:bottom w:val="single" w:sz="4" w:space="0" w:color="293F5B"/>
              <w:right w:val="nil"/>
            </w:tcBorders>
            <w:shd w:val="clear" w:color="000000" w:fill="FFFFFF"/>
            <w:noWrap/>
            <w:vAlign w:val="center"/>
            <w:hideMark/>
          </w:tcPr>
          <w:p w14:paraId="0CD354DC" w14:textId="77777777" w:rsidR="00A62344" w:rsidRPr="00A62344" w:rsidRDefault="00A62344" w:rsidP="00204B48">
            <w:pPr>
              <w:spacing w:before="0" w:after="0" w:line="240" w:lineRule="auto"/>
              <w:ind w:right="-74"/>
              <w:jc w:val="right"/>
              <w:rPr>
                <w:rFonts w:ascii="Arial" w:hAnsi="Arial" w:cs="Arial"/>
                <w:sz w:val="16"/>
                <w:szCs w:val="16"/>
              </w:rPr>
            </w:pPr>
            <w:r w:rsidRPr="00A62344">
              <w:rPr>
                <w:rFonts w:ascii="Arial" w:hAnsi="Arial" w:cs="Arial"/>
                <w:sz w:val="16"/>
                <w:szCs w:val="16"/>
              </w:rPr>
              <w:t> </w:t>
            </w:r>
          </w:p>
        </w:tc>
        <w:tc>
          <w:tcPr>
            <w:tcW w:w="839" w:type="dxa"/>
            <w:gridSpan w:val="2"/>
            <w:tcBorders>
              <w:top w:val="nil"/>
              <w:left w:val="nil"/>
              <w:bottom w:val="single" w:sz="4" w:space="0" w:color="293F5B"/>
              <w:right w:val="nil"/>
            </w:tcBorders>
            <w:shd w:val="clear" w:color="000000" w:fill="E6F2FF"/>
            <w:noWrap/>
            <w:vAlign w:val="center"/>
            <w:hideMark/>
          </w:tcPr>
          <w:p w14:paraId="226B2416" w14:textId="77777777" w:rsidR="00A62344" w:rsidRPr="00A62344" w:rsidRDefault="00A62344" w:rsidP="00204B48">
            <w:pPr>
              <w:spacing w:before="0" w:after="0" w:line="240" w:lineRule="auto"/>
              <w:ind w:right="-74"/>
              <w:jc w:val="right"/>
              <w:rPr>
                <w:rFonts w:ascii="Arial" w:hAnsi="Arial" w:cs="Arial"/>
                <w:sz w:val="16"/>
                <w:szCs w:val="16"/>
              </w:rPr>
            </w:pPr>
            <w:r w:rsidRPr="00A62344">
              <w:rPr>
                <w:rFonts w:ascii="Arial" w:hAnsi="Arial" w:cs="Arial"/>
                <w:sz w:val="16"/>
                <w:szCs w:val="16"/>
              </w:rPr>
              <w:t>26.4</w:t>
            </w:r>
          </w:p>
        </w:tc>
        <w:tc>
          <w:tcPr>
            <w:tcW w:w="839" w:type="dxa"/>
            <w:tcBorders>
              <w:top w:val="nil"/>
              <w:left w:val="nil"/>
              <w:bottom w:val="single" w:sz="4" w:space="0" w:color="293F5B"/>
              <w:right w:val="nil"/>
            </w:tcBorders>
            <w:shd w:val="clear" w:color="000000" w:fill="FFFFFF"/>
            <w:noWrap/>
            <w:vAlign w:val="center"/>
            <w:hideMark/>
          </w:tcPr>
          <w:p w14:paraId="03542142" w14:textId="77777777" w:rsidR="00A62344" w:rsidRPr="00A62344" w:rsidRDefault="00A62344" w:rsidP="00204B48">
            <w:pPr>
              <w:spacing w:before="0" w:after="0" w:line="240" w:lineRule="auto"/>
              <w:ind w:right="-74"/>
              <w:jc w:val="right"/>
              <w:rPr>
                <w:rFonts w:ascii="Arial" w:hAnsi="Arial" w:cs="Arial"/>
                <w:sz w:val="16"/>
                <w:szCs w:val="16"/>
              </w:rPr>
            </w:pPr>
            <w:r w:rsidRPr="00A62344">
              <w:rPr>
                <w:rFonts w:ascii="Arial" w:hAnsi="Arial" w:cs="Arial"/>
                <w:sz w:val="16"/>
                <w:szCs w:val="16"/>
              </w:rPr>
              <w:t>26.6</w:t>
            </w:r>
          </w:p>
        </w:tc>
        <w:tc>
          <w:tcPr>
            <w:tcW w:w="839" w:type="dxa"/>
            <w:tcBorders>
              <w:top w:val="nil"/>
              <w:left w:val="nil"/>
              <w:bottom w:val="single" w:sz="4" w:space="0" w:color="293F5B"/>
              <w:right w:val="nil"/>
            </w:tcBorders>
            <w:shd w:val="clear" w:color="000000" w:fill="FFFFFF"/>
            <w:noWrap/>
            <w:vAlign w:val="center"/>
            <w:hideMark/>
          </w:tcPr>
          <w:p w14:paraId="4D8C9C78" w14:textId="77777777" w:rsidR="00A62344" w:rsidRPr="00A62344" w:rsidRDefault="00A62344" w:rsidP="00204B48">
            <w:pPr>
              <w:spacing w:before="0" w:after="0" w:line="240" w:lineRule="auto"/>
              <w:ind w:right="-74"/>
              <w:jc w:val="right"/>
              <w:rPr>
                <w:rFonts w:ascii="Arial" w:hAnsi="Arial" w:cs="Arial"/>
                <w:sz w:val="16"/>
                <w:szCs w:val="16"/>
              </w:rPr>
            </w:pPr>
            <w:r w:rsidRPr="00A62344">
              <w:rPr>
                <w:rFonts w:ascii="Arial" w:hAnsi="Arial" w:cs="Arial"/>
                <w:sz w:val="16"/>
                <w:szCs w:val="16"/>
              </w:rPr>
              <w:t>26.0</w:t>
            </w:r>
          </w:p>
        </w:tc>
        <w:tc>
          <w:tcPr>
            <w:tcW w:w="839" w:type="dxa"/>
            <w:tcBorders>
              <w:top w:val="nil"/>
              <w:left w:val="nil"/>
              <w:bottom w:val="single" w:sz="4" w:space="0" w:color="293F5B"/>
              <w:right w:val="nil"/>
            </w:tcBorders>
            <w:shd w:val="clear" w:color="000000" w:fill="FFFFFF"/>
            <w:noWrap/>
            <w:vAlign w:val="center"/>
            <w:hideMark/>
          </w:tcPr>
          <w:p w14:paraId="265B89FB" w14:textId="77777777" w:rsidR="00A62344" w:rsidRPr="00A62344" w:rsidRDefault="00A62344" w:rsidP="00204B48">
            <w:pPr>
              <w:spacing w:before="0" w:after="0" w:line="240" w:lineRule="auto"/>
              <w:ind w:right="-74"/>
              <w:jc w:val="right"/>
              <w:rPr>
                <w:rFonts w:ascii="Arial" w:hAnsi="Arial" w:cs="Arial"/>
                <w:sz w:val="16"/>
                <w:szCs w:val="16"/>
              </w:rPr>
            </w:pPr>
            <w:r w:rsidRPr="00A62344">
              <w:rPr>
                <w:rFonts w:ascii="Arial" w:hAnsi="Arial" w:cs="Arial"/>
                <w:sz w:val="16"/>
                <w:szCs w:val="16"/>
              </w:rPr>
              <w:t>26.0</w:t>
            </w:r>
          </w:p>
        </w:tc>
      </w:tr>
    </w:tbl>
    <w:p w14:paraId="51BBF6EF" w14:textId="21F3C8F7" w:rsidR="001025E2" w:rsidRPr="000177D7" w:rsidRDefault="001025E2" w:rsidP="00105CC4">
      <w:pPr>
        <w:pStyle w:val="ChartandTableFootnoteAlpha"/>
      </w:pPr>
      <w:r w:rsidRPr="00157131">
        <w:t xml:space="preserve"> </w:t>
      </w:r>
      <w:r w:rsidRPr="000177D7">
        <w:t>Real growth is calculated using the Consumer Price Index.</w:t>
      </w:r>
    </w:p>
    <w:p w14:paraId="07EA5FAC" w14:textId="77777777" w:rsidR="00AA626D" w:rsidRPr="001B1307" w:rsidRDefault="00AA626D" w:rsidP="001B1307">
      <w:pPr>
        <w:pStyle w:val="TableLine"/>
      </w:pPr>
    </w:p>
    <w:p w14:paraId="35269E58" w14:textId="467B8931" w:rsidR="00280DE5" w:rsidRDefault="00603726" w:rsidP="00280DE5">
      <w:r>
        <w:t>P</w:t>
      </w:r>
      <w:r w:rsidR="00280DE5" w:rsidRPr="002269CD">
        <w:t>ayment estimates are the cash equivalent of the accrual</w:t>
      </w:r>
      <w:r w:rsidR="008D4F6B">
        <w:noBreakHyphen/>
      </w:r>
      <w:r w:rsidR="00280DE5" w:rsidRPr="002269CD">
        <w:t>based expense estimates. Changes in payments are generally driven by the same factors as expenses.</w:t>
      </w:r>
    </w:p>
    <w:p w14:paraId="5C21A2B8" w14:textId="44F3B3FB" w:rsidR="00AA626D" w:rsidRDefault="00AA626D" w:rsidP="00B31B15">
      <w:pPr>
        <w:keepLines/>
      </w:pPr>
      <w:r>
        <w:lastRenderedPageBreak/>
        <w:t>Government payments are expected to increase in both nominal and real terms over the period 2024–25 to 2027–28</w:t>
      </w:r>
      <w:r w:rsidR="00095420">
        <w:t>,</w:t>
      </w:r>
      <w:r>
        <w:t xml:space="preserve"> with average annual real growth estimated </w:t>
      </w:r>
      <w:r w:rsidRPr="002D4FCF">
        <w:t>to be 2.2 per cent</w:t>
      </w:r>
      <w:r>
        <w:t>.</w:t>
      </w:r>
    </w:p>
    <w:p w14:paraId="039430E5" w14:textId="544C6F30" w:rsidR="00603726" w:rsidRPr="000177D7" w:rsidRDefault="00603726" w:rsidP="00280DE5">
      <w:r>
        <w:t xml:space="preserve">As a percentage of GDP, total payments are expected to be 26.4 per cent in 2024–25 and </w:t>
      </w:r>
      <w:r w:rsidR="002D4FCF">
        <w:t>are projected to marginally decrease</w:t>
      </w:r>
      <w:r>
        <w:t xml:space="preserve"> </w:t>
      </w:r>
      <w:r w:rsidR="00957B9D">
        <w:t>over the period 2024–25 to 2027–28</w:t>
      </w:r>
      <w:r w:rsidR="002D4FCF">
        <w:t>.</w:t>
      </w:r>
    </w:p>
    <w:p w14:paraId="6B575DD8" w14:textId="5C8ED803" w:rsidR="00A32DD8" w:rsidRDefault="00280DE5" w:rsidP="00134421">
      <w:r>
        <w:t xml:space="preserve">More detail about </w:t>
      </w:r>
      <w:r w:rsidR="00D3590A">
        <w:t>general government sector</w:t>
      </w:r>
      <w:r>
        <w:t xml:space="preserve"> payments can be seen at a program level for the top 20 programs by payment in Table 6.3.2 and in </w:t>
      </w:r>
      <w:r w:rsidRPr="00DE2A6C">
        <w:rPr>
          <w:rStyle w:val="Emphasis"/>
        </w:rPr>
        <w:t>Statement 3: Fiscal Strategy and Outlook</w:t>
      </w:r>
      <w:r>
        <w:rPr>
          <w:i/>
          <w:iCs/>
        </w:rPr>
        <w:t>.</w:t>
      </w:r>
    </w:p>
    <w:p w14:paraId="711D27CD" w14:textId="35BEF5A6" w:rsidR="00280DE5" w:rsidRPr="000177D7" w:rsidRDefault="00280DE5" w:rsidP="00280DE5">
      <w:bookmarkStart w:id="16" w:name="_Hlk166149214"/>
      <w:r>
        <w:t>Table </w:t>
      </w:r>
      <w:r w:rsidRPr="000177D7">
        <w:t xml:space="preserve">6.2 provides a reconciliation of expense estimates between the </w:t>
      </w:r>
      <w:r>
        <w:t>2023</w:t>
      </w:r>
      <w:r w:rsidRPr="00002DB4">
        <w:rPr>
          <w:rFonts w:cs="Book Antiqua"/>
        </w:rPr>
        <w:t>–</w:t>
      </w:r>
      <w:r>
        <w:t xml:space="preserve">24 Budget </w:t>
      </w:r>
      <w:r w:rsidRPr="000177D7">
        <w:t>and the 202</w:t>
      </w:r>
      <w:r>
        <w:t>4</w:t>
      </w:r>
      <w:r>
        <w:rPr>
          <w:rFonts w:cs="Book Antiqua"/>
        </w:rPr>
        <w:t>–</w:t>
      </w:r>
      <w:r w:rsidRPr="000177D7">
        <w:t>2</w:t>
      </w:r>
      <w:r>
        <w:t>5</w:t>
      </w:r>
      <w:r w:rsidRPr="000177D7">
        <w:t xml:space="preserve"> Budget</w:t>
      </w:r>
      <w:r>
        <w:t>.</w:t>
      </w:r>
    </w:p>
    <w:p w14:paraId="5F4D0391" w14:textId="52BFC4F5" w:rsidR="00046B00" w:rsidRDefault="00F53FD5" w:rsidP="00046B00">
      <w:pPr>
        <w:pStyle w:val="TableHeading"/>
        <w:rPr>
          <w:rFonts w:asciiTheme="minorHAnsi" w:eastAsiaTheme="minorHAnsi" w:hAnsiTheme="minorHAnsi" w:cstheme="minorBidi"/>
          <w:sz w:val="22"/>
          <w:szCs w:val="22"/>
          <w:lang w:eastAsia="en-US"/>
        </w:rPr>
      </w:pPr>
      <w:r>
        <w:t>Table </w:t>
      </w:r>
      <w:r w:rsidR="00ED485A" w:rsidRPr="000177D7">
        <w:t xml:space="preserve">6.2: Reconciliation of expense </w:t>
      </w:r>
      <w:r w:rsidR="00ED485A" w:rsidRPr="0083290A">
        <w:t>estimate</w:t>
      </w:r>
      <w:bookmarkStart w:id="17" w:name="_1744905104"/>
      <w:bookmarkEnd w:id="17"/>
      <w:r w:rsidR="0004553C" w:rsidRPr="0083290A">
        <w:t>s</w:t>
      </w:r>
      <w:bookmarkStart w:id="18" w:name="_1776946106"/>
      <w:bookmarkEnd w:id="18"/>
    </w:p>
    <w:tbl>
      <w:tblPr>
        <w:tblW w:w="5000" w:type="pct"/>
        <w:tblCellMar>
          <w:left w:w="0" w:type="dxa"/>
          <w:right w:w="28" w:type="dxa"/>
        </w:tblCellMar>
        <w:tblLook w:val="04A0" w:firstRow="1" w:lastRow="0" w:firstColumn="1" w:lastColumn="0" w:noHBand="0" w:noVBand="1"/>
      </w:tblPr>
      <w:tblGrid>
        <w:gridCol w:w="3393"/>
        <w:gridCol w:w="846"/>
        <w:gridCol w:w="838"/>
        <w:gridCol w:w="837"/>
        <w:gridCol w:w="845"/>
        <w:gridCol w:w="106"/>
        <w:gridCol w:w="845"/>
      </w:tblGrid>
      <w:tr w:rsidR="00046B00" w:rsidRPr="00046B00" w14:paraId="12FBA153" w14:textId="77777777" w:rsidTr="00046B00">
        <w:trPr>
          <w:divId w:val="491213208"/>
          <w:trHeight w:hRule="exact" w:val="225"/>
        </w:trPr>
        <w:tc>
          <w:tcPr>
            <w:tcW w:w="2199" w:type="pct"/>
            <w:tcBorders>
              <w:top w:val="single" w:sz="4" w:space="0" w:color="293F5B"/>
              <w:left w:val="nil"/>
              <w:bottom w:val="nil"/>
              <w:right w:val="nil"/>
            </w:tcBorders>
            <w:shd w:val="clear" w:color="000000" w:fill="FFFFFF"/>
            <w:noWrap/>
            <w:vAlign w:val="center"/>
            <w:hideMark/>
          </w:tcPr>
          <w:p w14:paraId="435E9062" w14:textId="44B14265" w:rsidR="00046B00" w:rsidRPr="00046B00" w:rsidRDefault="00046B00" w:rsidP="00046B00">
            <w:pPr>
              <w:spacing w:before="0" w:after="0" w:line="240" w:lineRule="auto"/>
              <w:rPr>
                <w:rFonts w:ascii="Arial" w:hAnsi="Arial" w:cs="Arial"/>
                <w:sz w:val="16"/>
                <w:szCs w:val="16"/>
              </w:rPr>
            </w:pPr>
            <w:r w:rsidRPr="00046B00">
              <w:rPr>
                <w:rFonts w:ascii="Arial" w:hAnsi="Arial" w:cs="Arial"/>
                <w:sz w:val="16"/>
                <w:szCs w:val="16"/>
              </w:rPr>
              <w:t> </w:t>
            </w:r>
          </w:p>
        </w:tc>
        <w:tc>
          <w:tcPr>
            <w:tcW w:w="548" w:type="pct"/>
            <w:tcBorders>
              <w:top w:val="single" w:sz="4" w:space="0" w:color="293F5B"/>
              <w:left w:val="nil"/>
              <w:bottom w:val="single" w:sz="4" w:space="0" w:color="293F5B"/>
              <w:right w:val="nil"/>
            </w:tcBorders>
            <w:shd w:val="clear" w:color="000000" w:fill="FFFFFF"/>
            <w:noWrap/>
            <w:vAlign w:val="center"/>
            <w:hideMark/>
          </w:tcPr>
          <w:p w14:paraId="1DD5DF4A" w14:textId="77777777" w:rsidR="00046B00" w:rsidRPr="00046B00" w:rsidRDefault="00046B00" w:rsidP="00046B00">
            <w:pPr>
              <w:spacing w:before="0" w:after="0" w:line="240" w:lineRule="auto"/>
              <w:rPr>
                <w:rFonts w:ascii="Arial" w:hAnsi="Arial" w:cs="Arial"/>
                <w:sz w:val="16"/>
                <w:szCs w:val="16"/>
              </w:rPr>
            </w:pPr>
            <w:r w:rsidRPr="00046B00">
              <w:rPr>
                <w:rFonts w:ascii="Arial" w:hAnsi="Arial" w:cs="Arial"/>
                <w:sz w:val="16"/>
                <w:szCs w:val="16"/>
              </w:rPr>
              <w:t> </w:t>
            </w:r>
          </w:p>
        </w:tc>
        <w:tc>
          <w:tcPr>
            <w:tcW w:w="1086" w:type="pct"/>
            <w:gridSpan w:val="2"/>
            <w:tcBorders>
              <w:top w:val="single" w:sz="4" w:space="0" w:color="293F5B"/>
              <w:left w:val="nil"/>
              <w:bottom w:val="single" w:sz="4" w:space="0" w:color="293F5B"/>
              <w:right w:val="nil"/>
            </w:tcBorders>
            <w:shd w:val="clear" w:color="000000" w:fill="FFFFFF"/>
            <w:noWrap/>
            <w:vAlign w:val="center"/>
            <w:hideMark/>
          </w:tcPr>
          <w:p w14:paraId="30E3CBA3" w14:textId="77777777" w:rsidR="00046B00" w:rsidRPr="00046B00" w:rsidRDefault="00046B00" w:rsidP="00046B00">
            <w:pPr>
              <w:spacing w:before="0" w:after="0" w:line="240" w:lineRule="auto"/>
              <w:jc w:val="center"/>
              <w:rPr>
                <w:rFonts w:ascii="Arial" w:hAnsi="Arial" w:cs="Arial"/>
                <w:sz w:val="16"/>
                <w:szCs w:val="16"/>
              </w:rPr>
            </w:pPr>
            <w:r w:rsidRPr="00046B00">
              <w:rPr>
                <w:rFonts w:ascii="Arial" w:hAnsi="Arial" w:cs="Arial"/>
                <w:sz w:val="16"/>
                <w:szCs w:val="16"/>
              </w:rPr>
              <w:t>Estimates</w:t>
            </w:r>
          </w:p>
        </w:tc>
        <w:tc>
          <w:tcPr>
            <w:tcW w:w="548" w:type="pct"/>
            <w:tcBorders>
              <w:top w:val="single" w:sz="4" w:space="0" w:color="293F5B"/>
              <w:left w:val="nil"/>
              <w:bottom w:val="single" w:sz="4" w:space="0" w:color="293F5B"/>
              <w:right w:val="nil"/>
            </w:tcBorders>
            <w:shd w:val="clear" w:color="000000" w:fill="FFFFFF"/>
            <w:noWrap/>
            <w:vAlign w:val="center"/>
            <w:hideMark/>
          </w:tcPr>
          <w:p w14:paraId="2E07F712" w14:textId="77777777" w:rsidR="00046B00" w:rsidRPr="00046B00" w:rsidRDefault="00046B00" w:rsidP="00046B00">
            <w:pPr>
              <w:spacing w:before="0" w:after="0" w:line="240" w:lineRule="auto"/>
              <w:rPr>
                <w:rFonts w:ascii="Arial" w:hAnsi="Arial" w:cs="Arial"/>
                <w:sz w:val="16"/>
                <w:szCs w:val="16"/>
              </w:rPr>
            </w:pPr>
            <w:r w:rsidRPr="00046B00">
              <w:rPr>
                <w:rFonts w:ascii="Arial" w:hAnsi="Arial" w:cs="Arial"/>
                <w:sz w:val="16"/>
                <w:szCs w:val="16"/>
              </w:rPr>
              <w:t> </w:t>
            </w:r>
          </w:p>
        </w:tc>
        <w:tc>
          <w:tcPr>
            <w:tcW w:w="69" w:type="pct"/>
            <w:tcBorders>
              <w:top w:val="single" w:sz="4" w:space="0" w:color="293F5B"/>
              <w:left w:val="nil"/>
              <w:bottom w:val="nil"/>
              <w:right w:val="nil"/>
            </w:tcBorders>
            <w:shd w:val="clear" w:color="000000" w:fill="FFFFFF"/>
            <w:noWrap/>
            <w:vAlign w:val="center"/>
            <w:hideMark/>
          </w:tcPr>
          <w:p w14:paraId="029E32A1" w14:textId="77777777" w:rsidR="00046B00" w:rsidRPr="00046B00" w:rsidRDefault="00046B00" w:rsidP="00046B00">
            <w:pPr>
              <w:spacing w:before="0" w:after="0" w:line="240" w:lineRule="auto"/>
              <w:rPr>
                <w:rFonts w:ascii="Arial" w:hAnsi="Arial" w:cs="Arial"/>
                <w:sz w:val="16"/>
                <w:szCs w:val="16"/>
              </w:rPr>
            </w:pPr>
            <w:r w:rsidRPr="00046B00">
              <w:rPr>
                <w:rFonts w:ascii="Arial" w:hAnsi="Arial" w:cs="Arial"/>
                <w:sz w:val="16"/>
                <w:szCs w:val="16"/>
              </w:rPr>
              <w:t> </w:t>
            </w:r>
          </w:p>
        </w:tc>
        <w:tc>
          <w:tcPr>
            <w:tcW w:w="548" w:type="pct"/>
            <w:tcBorders>
              <w:top w:val="single" w:sz="4" w:space="0" w:color="293F5B"/>
              <w:left w:val="nil"/>
              <w:bottom w:val="single" w:sz="4" w:space="0" w:color="293F5B"/>
              <w:right w:val="nil"/>
            </w:tcBorders>
            <w:shd w:val="clear" w:color="000000" w:fill="FFFFFF"/>
            <w:noWrap/>
            <w:vAlign w:val="center"/>
            <w:hideMark/>
          </w:tcPr>
          <w:p w14:paraId="0A08E9BD" w14:textId="77777777" w:rsidR="00046B00" w:rsidRPr="00046B00" w:rsidRDefault="00046B00" w:rsidP="00046B00">
            <w:pPr>
              <w:spacing w:before="0" w:after="0" w:line="240" w:lineRule="auto"/>
              <w:rPr>
                <w:rFonts w:ascii="Arial" w:hAnsi="Arial" w:cs="Arial"/>
                <w:sz w:val="16"/>
                <w:szCs w:val="16"/>
              </w:rPr>
            </w:pPr>
            <w:r w:rsidRPr="00046B00">
              <w:rPr>
                <w:rFonts w:ascii="Arial" w:hAnsi="Arial" w:cs="Arial"/>
                <w:sz w:val="16"/>
                <w:szCs w:val="16"/>
              </w:rPr>
              <w:t> </w:t>
            </w:r>
          </w:p>
        </w:tc>
      </w:tr>
      <w:tr w:rsidR="00046B00" w:rsidRPr="00046B00" w14:paraId="1AC0B8F0" w14:textId="77777777" w:rsidTr="00046B00">
        <w:trPr>
          <w:divId w:val="491213208"/>
          <w:trHeight w:hRule="exact" w:val="225"/>
        </w:trPr>
        <w:tc>
          <w:tcPr>
            <w:tcW w:w="2199" w:type="pct"/>
            <w:tcBorders>
              <w:top w:val="nil"/>
              <w:left w:val="nil"/>
              <w:bottom w:val="nil"/>
              <w:right w:val="nil"/>
            </w:tcBorders>
            <w:shd w:val="clear" w:color="000000" w:fill="FFFFFF"/>
            <w:noWrap/>
            <w:vAlign w:val="bottom"/>
            <w:hideMark/>
          </w:tcPr>
          <w:p w14:paraId="5A68B752" w14:textId="77777777" w:rsidR="00046B00" w:rsidRPr="00046B00" w:rsidRDefault="00046B00" w:rsidP="00046B00">
            <w:pPr>
              <w:spacing w:before="0" w:after="0" w:line="240" w:lineRule="auto"/>
              <w:rPr>
                <w:rFonts w:ascii="Arial" w:hAnsi="Arial" w:cs="Arial"/>
                <w:sz w:val="16"/>
                <w:szCs w:val="16"/>
              </w:rPr>
            </w:pPr>
            <w:r w:rsidRPr="00046B00">
              <w:rPr>
                <w:rFonts w:ascii="Arial" w:hAnsi="Arial" w:cs="Arial"/>
                <w:sz w:val="16"/>
                <w:szCs w:val="16"/>
              </w:rPr>
              <w:t> </w:t>
            </w:r>
          </w:p>
        </w:tc>
        <w:tc>
          <w:tcPr>
            <w:tcW w:w="548" w:type="pct"/>
            <w:tcBorders>
              <w:top w:val="single" w:sz="4" w:space="0" w:color="293F5B"/>
              <w:left w:val="nil"/>
              <w:bottom w:val="nil"/>
              <w:right w:val="nil"/>
            </w:tcBorders>
            <w:shd w:val="clear" w:color="000000" w:fill="FFFFFF"/>
            <w:noWrap/>
            <w:vAlign w:val="center"/>
            <w:hideMark/>
          </w:tcPr>
          <w:p w14:paraId="7E4DAEFF" w14:textId="77777777" w:rsidR="00046B00" w:rsidRPr="00046B00" w:rsidRDefault="00046B00" w:rsidP="00046B00">
            <w:pPr>
              <w:spacing w:before="0" w:after="0" w:line="240" w:lineRule="auto"/>
              <w:jc w:val="right"/>
              <w:rPr>
                <w:rFonts w:ascii="Arial" w:hAnsi="Arial" w:cs="Arial"/>
                <w:sz w:val="16"/>
                <w:szCs w:val="16"/>
              </w:rPr>
            </w:pPr>
            <w:r w:rsidRPr="00046B00">
              <w:rPr>
                <w:rFonts w:ascii="Arial" w:hAnsi="Arial" w:cs="Arial"/>
                <w:sz w:val="16"/>
                <w:szCs w:val="16"/>
              </w:rPr>
              <w:t>2023-24</w:t>
            </w:r>
          </w:p>
        </w:tc>
        <w:tc>
          <w:tcPr>
            <w:tcW w:w="543" w:type="pct"/>
            <w:tcBorders>
              <w:top w:val="single" w:sz="4" w:space="0" w:color="293F5B"/>
              <w:left w:val="nil"/>
              <w:bottom w:val="nil"/>
              <w:right w:val="nil"/>
            </w:tcBorders>
            <w:shd w:val="clear" w:color="000000" w:fill="E6F2FF"/>
            <w:noWrap/>
            <w:vAlign w:val="center"/>
            <w:hideMark/>
          </w:tcPr>
          <w:p w14:paraId="053F6BDE" w14:textId="77777777" w:rsidR="00046B00" w:rsidRPr="00046B00" w:rsidRDefault="00046B00" w:rsidP="00046B00">
            <w:pPr>
              <w:spacing w:before="0" w:after="0" w:line="240" w:lineRule="auto"/>
              <w:jc w:val="right"/>
              <w:rPr>
                <w:rFonts w:ascii="Arial" w:hAnsi="Arial" w:cs="Arial"/>
                <w:sz w:val="16"/>
                <w:szCs w:val="16"/>
              </w:rPr>
            </w:pPr>
            <w:r w:rsidRPr="00046B00">
              <w:rPr>
                <w:rFonts w:ascii="Arial" w:hAnsi="Arial" w:cs="Arial"/>
                <w:sz w:val="16"/>
                <w:szCs w:val="16"/>
              </w:rPr>
              <w:t>2024-25</w:t>
            </w:r>
          </w:p>
        </w:tc>
        <w:tc>
          <w:tcPr>
            <w:tcW w:w="543" w:type="pct"/>
            <w:tcBorders>
              <w:top w:val="single" w:sz="4" w:space="0" w:color="293F5B"/>
              <w:left w:val="nil"/>
              <w:bottom w:val="nil"/>
              <w:right w:val="nil"/>
            </w:tcBorders>
            <w:shd w:val="clear" w:color="000000" w:fill="FFFFFF"/>
            <w:noWrap/>
            <w:vAlign w:val="center"/>
            <w:hideMark/>
          </w:tcPr>
          <w:p w14:paraId="6D19E79B" w14:textId="77777777" w:rsidR="00046B00" w:rsidRPr="00046B00" w:rsidRDefault="00046B00" w:rsidP="00046B00">
            <w:pPr>
              <w:spacing w:before="0" w:after="0" w:line="240" w:lineRule="auto"/>
              <w:jc w:val="right"/>
              <w:rPr>
                <w:rFonts w:ascii="Arial" w:hAnsi="Arial" w:cs="Arial"/>
                <w:sz w:val="16"/>
                <w:szCs w:val="16"/>
              </w:rPr>
            </w:pPr>
            <w:r w:rsidRPr="00046B00">
              <w:rPr>
                <w:rFonts w:ascii="Arial" w:hAnsi="Arial" w:cs="Arial"/>
                <w:sz w:val="16"/>
                <w:szCs w:val="16"/>
              </w:rPr>
              <w:t>2025-26</w:t>
            </w:r>
          </w:p>
        </w:tc>
        <w:tc>
          <w:tcPr>
            <w:tcW w:w="548" w:type="pct"/>
            <w:tcBorders>
              <w:top w:val="single" w:sz="4" w:space="0" w:color="293F5B"/>
              <w:left w:val="nil"/>
              <w:bottom w:val="nil"/>
              <w:right w:val="nil"/>
            </w:tcBorders>
            <w:shd w:val="clear" w:color="000000" w:fill="FFFFFF"/>
            <w:noWrap/>
            <w:vAlign w:val="center"/>
            <w:hideMark/>
          </w:tcPr>
          <w:p w14:paraId="15D71BD9" w14:textId="77777777" w:rsidR="00046B00" w:rsidRPr="00046B00" w:rsidRDefault="00046B00" w:rsidP="00046B00">
            <w:pPr>
              <w:spacing w:before="0" w:after="0" w:line="240" w:lineRule="auto"/>
              <w:jc w:val="right"/>
              <w:rPr>
                <w:rFonts w:ascii="Arial" w:hAnsi="Arial" w:cs="Arial"/>
                <w:sz w:val="16"/>
                <w:szCs w:val="16"/>
              </w:rPr>
            </w:pPr>
            <w:r w:rsidRPr="00046B00">
              <w:rPr>
                <w:rFonts w:ascii="Arial" w:hAnsi="Arial" w:cs="Arial"/>
                <w:sz w:val="16"/>
                <w:szCs w:val="16"/>
              </w:rPr>
              <w:t>2026-27</w:t>
            </w:r>
          </w:p>
        </w:tc>
        <w:tc>
          <w:tcPr>
            <w:tcW w:w="69" w:type="pct"/>
            <w:tcBorders>
              <w:top w:val="nil"/>
              <w:left w:val="nil"/>
              <w:bottom w:val="nil"/>
              <w:right w:val="nil"/>
            </w:tcBorders>
            <w:shd w:val="clear" w:color="000000" w:fill="FFFFFF"/>
            <w:noWrap/>
            <w:vAlign w:val="center"/>
            <w:hideMark/>
          </w:tcPr>
          <w:p w14:paraId="78541517" w14:textId="77777777" w:rsidR="00046B00" w:rsidRPr="00046B00" w:rsidRDefault="00046B00" w:rsidP="00046B00">
            <w:pPr>
              <w:spacing w:before="0" w:after="0" w:line="240" w:lineRule="auto"/>
              <w:jc w:val="right"/>
              <w:rPr>
                <w:rFonts w:ascii="Arial" w:hAnsi="Arial" w:cs="Arial"/>
                <w:sz w:val="16"/>
                <w:szCs w:val="16"/>
              </w:rPr>
            </w:pPr>
            <w:r w:rsidRPr="00046B00">
              <w:rPr>
                <w:rFonts w:ascii="Arial" w:hAnsi="Arial" w:cs="Arial"/>
                <w:sz w:val="16"/>
                <w:szCs w:val="16"/>
              </w:rPr>
              <w:t> </w:t>
            </w:r>
          </w:p>
        </w:tc>
        <w:tc>
          <w:tcPr>
            <w:tcW w:w="548" w:type="pct"/>
            <w:tcBorders>
              <w:top w:val="single" w:sz="4" w:space="0" w:color="293F5B"/>
              <w:left w:val="nil"/>
              <w:bottom w:val="nil"/>
              <w:right w:val="nil"/>
            </w:tcBorders>
            <w:shd w:val="clear" w:color="000000" w:fill="FFFFFF"/>
            <w:noWrap/>
            <w:vAlign w:val="center"/>
            <w:hideMark/>
          </w:tcPr>
          <w:p w14:paraId="4CBA1B93" w14:textId="77777777" w:rsidR="00046B00" w:rsidRPr="00046B00" w:rsidRDefault="00046B00" w:rsidP="00046B00">
            <w:pPr>
              <w:spacing w:before="0" w:after="0" w:line="240" w:lineRule="auto"/>
              <w:jc w:val="right"/>
              <w:rPr>
                <w:rFonts w:ascii="Arial" w:hAnsi="Arial" w:cs="Arial"/>
                <w:sz w:val="16"/>
                <w:szCs w:val="16"/>
              </w:rPr>
            </w:pPr>
            <w:r w:rsidRPr="00046B00">
              <w:rPr>
                <w:rFonts w:ascii="Arial" w:hAnsi="Arial" w:cs="Arial"/>
                <w:sz w:val="16"/>
                <w:szCs w:val="16"/>
              </w:rPr>
              <w:t>Total</w:t>
            </w:r>
          </w:p>
        </w:tc>
      </w:tr>
      <w:tr w:rsidR="00046B00" w:rsidRPr="00046B00" w14:paraId="5E40B8C3" w14:textId="77777777" w:rsidTr="00046B00">
        <w:trPr>
          <w:divId w:val="491213208"/>
          <w:trHeight w:hRule="exact" w:val="225"/>
        </w:trPr>
        <w:tc>
          <w:tcPr>
            <w:tcW w:w="2199" w:type="pct"/>
            <w:tcBorders>
              <w:top w:val="nil"/>
              <w:left w:val="nil"/>
              <w:bottom w:val="nil"/>
              <w:right w:val="nil"/>
            </w:tcBorders>
            <w:shd w:val="clear" w:color="000000" w:fill="FFFFFF"/>
            <w:noWrap/>
            <w:vAlign w:val="center"/>
            <w:hideMark/>
          </w:tcPr>
          <w:p w14:paraId="6E837D31" w14:textId="77777777" w:rsidR="00046B00" w:rsidRPr="00046B00" w:rsidRDefault="00046B00" w:rsidP="00046B00">
            <w:pPr>
              <w:spacing w:before="0" w:after="0" w:line="240" w:lineRule="auto"/>
              <w:rPr>
                <w:rFonts w:ascii="Arial" w:hAnsi="Arial" w:cs="Arial"/>
                <w:sz w:val="16"/>
                <w:szCs w:val="16"/>
              </w:rPr>
            </w:pPr>
            <w:r w:rsidRPr="00046B00">
              <w:rPr>
                <w:rFonts w:ascii="Arial" w:hAnsi="Arial" w:cs="Arial"/>
                <w:sz w:val="16"/>
                <w:szCs w:val="16"/>
              </w:rPr>
              <w:t> </w:t>
            </w:r>
          </w:p>
        </w:tc>
        <w:tc>
          <w:tcPr>
            <w:tcW w:w="548" w:type="pct"/>
            <w:tcBorders>
              <w:top w:val="nil"/>
              <w:left w:val="nil"/>
              <w:bottom w:val="single" w:sz="4" w:space="0" w:color="293F5B"/>
              <w:right w:val="nil"/>
            </w:tcBorders>
            <w:shd w:val="clear" w:color="000000" w:fill="FFFFFF"/>
            <w:noWrap/>
            <w:vAlign w:val="center"/>
            <w:hideMark/>
          </w:tcPr>
          <w:p w14:paraId="4566AEDF" w14:textId="77777777" w:rsidR="00046B00" w:rsidRPr="00046B00" w:rsidRDefault="00046B00" w:rsidP="00046B00">
            <w:pPr>
              <w:spacing w:before="0" w:after="0" w:line="240" w:lineRule="auto"/>
              <w:jc w:val="right"/>
              <w:rPr>
                <w:rFonts w:ascii="Arial" w:hAnsi="Arial" w:cs="Arial"/>
                <w:sz w:val="16"/>
                <w:szCs w:val="16"/>
              </w:rPr>
            </w:pPr>
            <w:r w:rsidRPr="00046B00">
              <w:rPr>
                <w:rFonts w:ascii="Arial" w:hAnsi="Arial" w:cs="Arial"/>
                <w:sz w:val="16"/>
                <w:szCs w:val="16"/>
              </w:rPr>
              <w:t>$m</w:t>
            </w:r>
          </w:p>
        </w:tc>
        <w:tc>
          <w:tcPr>
            <w:tcW w:w="543" w:type="pct"/>
            <w:tcBorders>
              <w:top w:val="nil"/>
              <w:left w:val="nil"/>
              <w:bottom w:val="single" w:sz="4" w:space="0" w:color="293F5B"/>
              <w:right w:val="nil"/>
            </w:tcBorders>
            <w:shd w:val="clear" w:color="000000" w:fill="E6F2FF"/>
            <w:noWrap/>
            <w:vAlign w:val="center"/>
            <w:hideMark/>
          </w:tcPr>
          <w:p w14:paraId="0F4F7469" w14:textId="77777777" w:rsidR="00046B00" w:rsidRPr="00046B00" w:rsidRDefault="00046B00" w:rsidP="00046B00">
            <w:pPr>
              <w:spacing w:before="0" w:after="0" w:line="240" w:lineRule="auto"/>
              <w:jc w:val="right"/>
              <w:rPr>
                <w:rFonts w:ascii="Arial" w:hAnsi="Arial" w:cs="Arial"/>
                <w:sz w:val="16"/>
                <w:szCs w:val="16"/>
              </w:rPr>
            </w:pPr>
            <w:r w:rsidRPr="00046B00">
              <w:rPr>
                <w:rFonts w:ascii="Arial" w:hAnsi="Arial" w:cs="Arial"/>
                <w:sz w:val="16"/>
                <w:szCs w:val="16"/>
              </w:rPr>
              <w:t>$m</w:t>
            </w:r>
          </w:p>
        </w:tc>
        <w:tc>
          <w:tcPr>
            <w:tcW w:w="543" w:type="pct"/>
            <w:tcBorders>
              <w:top w:val="nil"/>
              <w:left w:val="nil"/>
              <w:bottom w:val="single" w:sz="4" w:space="0" w:color="293F5B"/>
              <w:right w:val="nil"/>
            </w:tcBorders>
            <w:shd w:val="clear" w:color="000000" w:fill="FFFFFF"/>
            <w:noWrap/>
            <w:vAlign w:val="center"/>
            <w:hideMark/>
          </w:tcPr>
          <w:p w14:paraId="763199FC" w14:textId="77777777" w:rsidR="00046B00" w:rsidRPr="00046B00" w:rsidRDefault="00046B00" w:rsidP="00046B00">
            <w:pPr>
              <w:spacing w:before="0" w:after="0" w:line="240" w:lineRule="auto"/>
              <w:jc w:val="right"/>
              <w:rPr>
                <w:rFonts w:ascii="Arial" w:hAnsi="Arial" w:cs="Arial"/>
                <w:sz w:val="16"/>
                <w:szCs w:val="16"/>
              </w:rPr>
            </w:pPr>
            <w:r w:rsidRPr="00046B00">
              <w:rPr>
                <w:rFonts w:ascii="Arial" w:hAnsi="Arial" w:cs="Arial"/>
                <w:sz w:val="16"/>
                <w:szCs w:val="16"/>
              </w:rPr>
              <w:t>$m</w:t>
            </w:r>
          </w:p>
        </w:tc>
        <w:tc>
          <w:tcPr>
            <w:tcW w:w="548" w:type="pct"/>
            <w:tcBorders>
              <w:top w:val="nil"/>
              <w:left w:val="nil"/>
              <w:bottom w:val="single" w:sz="4" w:space="0" w:color="293F5B"/>
              <w:right w:val="nil"/>
            </w:tcBorders>
            <w:shd w:val="clear" w:color="000000" w:fill="FFFFFF"/>
            <w:noWrap/>
            <w:vAlign w:val="center"/>
            <w:hideMark/>
          </w:tcPr>
          <w:p w14:paraId="67ED6170" w14:textId="77777777" w:rsidR="00046B00" w:rsidRPr="00046B00" w:rsidRDefault="00046B00" w:rsidP="00046B00">
            <w:pPr>
              <w:spacing w:before="0" w:after="0" w:line="240" w:lineRule="auto"/>
              <w:jc w:val="right"/>
              <w:rPr>
                <w:rFonts w:ascii="Arial" w:hAnsi="Arial" w:cs="Arial"/>
                <w:sz w:val="16"/>
                <w:szCs w:val="16"/>
              </w:rPr>
            </w:pPr>
            <w:r w:rsidRPr="00046B00">
              <w:rPr>
                <w:rFonts w:ascii="Arial" w:hAnsi="Arial" w:cs="Arial"/>
                <w:sz w:val="16"/>
                <w:szCs w:val="16"/>
              </w:rPr>
              <w:t>$m</w:t>
            </w:r>
          </w:p>
        </w:tc>
        <w:tc>
          <w:tcPr>
            <w:tcW w:w="69" w:type="pct"/>
            <w:tcBorders>
              <w:top w:val="nil"/>
              <w:left w:val="nil"/>
              <w:bottom w:val="nil"/>
              <w:right w:val="nil"/>
            </w:tcBorders>
            <w:shd w:val="clear" w:color="000000" w:fill="FFFFFF"/>
            <w:noWrap/>
            <w:vAlign w:val="center"/>
            <w:hideMark/>
          </w:tcPr>
          <w:p w14:paraId="18C0007F" w14:textId="77777777" w:rsidR="00046B00" w:rsidRPr="00046B00" w:rsidRDefault="00046B00" w:rsidP="00046B00">
            <w:pPr>
              <w:spacing w:before="0" w:after="0" w:line="240" w:lineRule="auto"/>
              <w:jc w:val="right"/>
              <w:rPr>
                <w:rFonts w:ascii="Arial" w:hAnsi="Arial" w:cs="Arial"/>
                <w:sz w:val="16"/>
                <w:szCs w:val="16"/>
              </w:rPr>
            </w:pPr>
            <w:r w:rsidRPr="00046B00">
              <w:rPr>
                <w:rFonts w:ascii="Arial" w:hAnsi="Arial" w:cs="Arial"/>
                <w:sz w:val="16"/>
                <w:szCs w:val="16"/>
              </w:rPr>
              <w:t> </w:t>
            </w:r>
          </w:p>
        </w:tc>
        <w:tc>
          <w:tcPr>
            <w:tcW w:w="548" w:type="pct"/>
            <w:tcBorders>
              <w:top w:val="nil"/>
              <w:left w:val="nil"/>
              <w:bottom w:val="single" w:sz="4" w:space="0" w:color="293F5B"/>
              <w:right w:val="nil"/>
            </w:tcBorders>
            <w:shd w:val="clear" w:color="000000" w:fill="FFFFFF"/>
            <w:noWrap/>
            <w:vAlign w:val="center"/>
            <w:hideMark/>
          </w:tcPr>
          <w:p w14:paraId="18DFD6D0" w14:textId="77777777" w:rsidR="00046B00" w:rsidRPr="00046B00" w:rsidRDefault="00046B00" w:rsidP="00046B00">
            <w:pPr>
              <w:spacing w:before="0" w:after="0" w:line="240" w:lineRule="auto"/>
              <w:jc w:val="right"/>
              <w:rPr>
                <w:rFonts w:ascii="Arial" w:hAnsi="Arial" w:cs="Arial"/>
                <w:sz w:val="16"/>
                <w:szCs w:val="16"/>
              </w:rPr>
            </w:pPr>
            <w:r w:rsidRPr="00046B00">
              <w:rPr>
                <w:rFonts w:ascii="Arial" w:hAnsi="Arial" w:cs="Arial"/>
                <w:sz w:val="16"/>
                <w:szCs w:val="16"/>
              </w:rPr>
              <w:t>$m</w:t>
            </w:r>
          </w:p>
        </w:tc>
      </w:tr>
      <w:tr w:rsidR="00046B00" w:rsidRPr="00046B00" w14:paraId="06525BD2" w14:textId="77777777" w:rsidTr="00046B00">
        <w:trPr>
          <w:divId w:val="491213208"/>
          <w:trHeight w:hRule="exact" w:val="225"/>
        </w:trPr>
        <w:tc>
          <w:tcPr>
            <w:tcW w:w="2199" w:type="pct"/>
            <w:tcBorders>
              <w:top w:val="nil"/>
              <w:left w:val="nil"/>
              <w:bottom w:val="nil"/>
              <w:right w:val="nil"/>
            </w:tcBorders>
            <w:shd w:val="clear" w:color="000000" w:fill="FFFFFF"/>
            <w:noWrap/>
            <w:vAlign w:val="center"/>
            <w:hideMark/>
          </w:tcPr>
          <w:p w14:paraId="73FCEA74" w14:textId="77777777" w:rsidR="00046B00" w:rsidRPr="00046B00" w:rsidRDefault="00046B00" w:rsidP="00046B00">
            <w:pPr>
              <w:spacing w:before="0" w:after="0" w:line="240" w:lineRule="auto"/>
              <w:rPr>
                <w:rFonts w:ascii="Arial" w:hAnsi="Arial" w:cs="Arial"/>
                <w:b/>
                <w:bCs/>
                <w:sz w:val="16"/>
                <w:szCs w:val="16"/>
              </w:rPr>
            </w:pPr>
            <w:r w:rsidRPr="00046B00">
              <w:rPr>
                <w:rFonts w:ascii="Arial" w:hAnsi="Arial" w:cs="Arial"/>
                <w:b/>
                <w:bCs/>
                <w:sz w:val="16"/>
                <w:szCs w:val="16"/>
              </w:rPr>
              <w:t>2023-24 Budget expenses</w:t>
            </w:r>
          </w:p>
        </w:tc>
        <w:tc>
          <w:tcPr>
            <w:tcW w:w="548" w:type="pct"/>
            <w:tcBorders>
              <w:top w:val="nil"/>
              <w:left w:val="nil"/>
              <w:bottom w:val="nil"/>
              <w:right w:val="nil"/>
            </w:tcBorders>
            <w:shd w:val="clear" w:color="000000" w:fill="FFFFFF"/>
            <w:noWrap/>
            <w:vAlign w:val="center"/>
            <w:hideMark/>
          </w:tcPr>
          <w:p w14:paraId="48BB4745" w14:textId="77777777" w:rsidR="00046B00" w:rsidRPr="00046B00" w:rsidRDefault="00046B00" w:rsidP="00046B00">
            <w:pPr>
              <w:spacing w:before="0" w:after="0" w:line="240" w:lineRule="auto"/>
              <w:jc w:val="right"/>
              <w:rPr>
                <w:rFonts w:ascii="Arial" w:hAnsi="Arial" w:cs="Arial"/>
                <w:b/>
                <w:bCs/>
                <w:sz w:val="16"/>
                <w:szCs w:val="16"/>
              </w:rPr>
            </w:pPr>
            <w:r w:rsidRPr="00046B00">
              <w:rPr>
                <w:rFonts w:ascii="Arial" w:hAnsi="Arial" w:cs="Arial"/>
                <w:b/>
                <w:bCs/>
                <w:sz w:val="16"/>
                <w:szCs w:val="16"/>
              </w:rPr>
              <w:t>684,085</w:t>
            </w:r>
          </w:p>
        </w:tc>
        <w:tc>
          <w:tcPr>
            <w:tcW w:w="543" w:type="pct"/>
            <w:tcBorders>
              <w:top w:val="nil"/>
              <w:left w:val="nil"/>
              <w:bottom w:val="nil"/>
              <w:right w:val="nil"/>
            </w:tcBorders>
            <w:shd w:val="clear" w:color="000000" w:fill="E6F2FF"/>
            <w:noWrap/>
            <w:vAlign w:val="center"/>
            <w:hideMark/>
          </w:tcPr>
          <w:p w14:paraId="53AA07E5" w14:textId="77777777" w:rsidR="00046B00" w:rsidRPr="00046B00" w:rsidRDefault="00046B00" w:rsidP="00046B00">
            <w:pPr>
              <w:spacing w:before="0" w:after="0" w:line="240" w:lineRule="auto"/>
              <w:jc w:val="right"/>
              <w:rPr>
                <w:rFonts w:ascii="Arial" w:hAnsi="Arial" w:cs="Arial"/>
                <w:b/>
                <w:bCs/>
                <w:sz w:val="16"/>
                <w:szCs w:val="16"/>
              </w:rPr>
            </w:pPr>
            <w:r w:rsidRPr="00046B00">
              <w:rPr>
                <w:rFonts w:ascii="Arial" w:hAnsi="Arial" w:cs="Arial"/>
                <w:b/>
                <w:bCs/>
                <w:sz w:val="16"/>
                <w:szCs w:val="16"/>
              </w:rPr>
              <w:t>715,382</w:t>
            </w:r>
          </w:p>
        </w:tc>
        <w:tc>
          <w:tcPr>
            <w:tcW w:w="543" w:type="pct"/>
            <w:tcBorders>
              <w:top w:val="nil"/>
              <w:left w:val="nil"/>
              <w:bottom w:val="nil"/>
              <w:right w:val="nil"/>
            </w:tcBorders>
            <w:shd w:val="clear" w:color="000000" w:fill="FFFFFF"/>
            <w:noWrap/>
            <w:vAlign w:val="center"/>
            <w:hideMark/>
          </w:tcPr>
          <w:p w14:paraId="3CFDB043" w14:textId="77777777" w:rsidR="00046B00" w:rsidRPr="00046B00" w:rsidRDefault="00046B00" w:rsidP="00046B00">
            <w:pPr>
              <w:spacing w:before="0" w:after="0" w:line="240" w:lineRule="auto"/>
              <w:jc w:val="right"/>
              <w:rPr>
                <w:rFonts w:ascii="Arial" w:hAnsi="Arial" w:cs="Arial"/>
                <w:b/>
                <w:bCs/>
                <w:sz w:val="16"/>
                <w:szCs w:val="16"/>
              </w:rPr>
            </w:pPr>
            <w:r w:rsidRPr="00046B00">
              <w:rPr>
                <w:rFonts w:ascii="Arial" w:hAnsi="Arial" w:cs="Arial"/>
                <w:b/>
                <w:bCs/>
                <w:sz w:val="16"/>
                <w:szCs w:val="16"/>
              </w:rPr>
              <w:t>743,324</w:t>
            </w:r>
          </w:p>
        </w:tc>
        <w:tc>
          <w:tcPr>
            <w:tcW w:w="548" w:type="pct"/>
            <w:tcBorders>
              <w:top w:val="nil"/>
              <w:left w:val="nil"/>
              <w:bottom w:val="nil"/>
              <w:right w:val="nil"/>
            </w:tcBorders>
            <w:shd w:val="clear" w:color="000000" w:fill="FFFFFF"/>
            <w:noWrap/>
            <w:vAlign w:val="center"/>
            <w:hideMark/>
          </w:tcPr>
          <w:p w14:paraId="6B5FCC89" w14:textId="77777777" w:rsidR="00046B00" w:rsidRPr="00046B00" w:rsidRDefault="00046B00" w:rsidP="00046B00">
            <w:pPr>
              <w:spacing w:before="0" w:after="0" w:line="240" w:lineRule="auto"/>
              <w:jc w:val="right"/>
              <w:rPr>
                <w:rFonts w:ascii="Arial" w:hAnsi="Arial" w:cs="Arial"/>
                <w:b/>
                <w:bCs/>
                <w:sz w:val="16"/>
                <w:szCs w:val="16"/>
              </w:rPr>
            </w:pPr>
            <w:r w:rsidRPr="00046B00">
              <w:rPr>
                <w:rFonts w:ascii="Arial" w:hAnsi="Arial" w:cs="Arial"/>
                <w:b/>
                <w:bCs/>
                <w:sz w:val="16"/>
                <w:szCs w:val="16"/>
              </w:rPr>
              <w:t>771,779</w:t>
            </w:r>
          </w:p>
        </w:tc>
        <w:tc>
          <w:tcPr>
            <w:tcW w:w="69" w:type="pct"/>
            <w:tcBorders>
              <w:top w:val="nil"/>
              <w:left w:val="nil"/>
              <w:bottom w:val="nil"/>
              <w:right w:val="nil"/>
            </w:tcBorders>
            <w:shd w:val="clear" w:color="000000" w:fill="FFFFFF"/>
            <w:noWrap/>
            <w:vAlign w:val="center"/>
            <w:hideMark/>
          </w:tcPr>
          <w:p w14:paraId="55368793" w14:textId="77777777" w:rsidR="00046B00" w:rsidRPr="00046B00" w:rsidRDefault="00046B00" w:rsidP="00046B00">
            <w:pPr>
              <w:spacing w:before="0" w:after="0" w:line="240" w:lineRule="auto"/>
              <w:rPr>
                <w:rFonts w:ascii="Arial" w:hAnsi="Arial" w:cs="Arial"/>
                <w:b/>
                <w:bCs/>
                <w:sz w:val="16"/>
                <w:szCs w:val="16"/>
              </w:rPr>
            </w:pPr>
            <w:r w:rsidRPr="00046B00">
              <w:rPr>
                <w:rFonts w:ascii="Arial" w:hAnsi="Arial" w:cs="Arial"/>
                <w:b/>
                <w:bCs/>
                <w:sz w:val="16"/>
                <w:szCs w:val="16"/>
              </w:rPr>
              <w:t> </w:t>
            </w:r>
          </w:p>
        </w:tc>
        <w:tc>
          <w:tcPr>
            <w:tcW w:w="548" w:type="pct"/>
            <w:tcBorders>
              <w:top w:val="nil"/>
              <w:left w:val="nil"/>
              <w:bottom w:val="nil"/>
              <w:right w:val="nil"/>
            </w:tcBorders>
            <w:shd w:val="clear" w:color="000000" w:fill="FFFFFF"/>
            <w:noWrap/>
            <w:vAlign w:val="center"/>
            <w:hideMark/>
          </w:tcPr>
          <w:p w14:paraId="27FBEA25" w14:textId="77777777" w:rsidR="00046B00" w:rsidRPr="00046B00" w:rsidRDefault="00046B00" w:rsidP="00046B00">
            <w:pPr>
              <w:spacing w:before="0" w:after="0" w:line="240" w:lineRule="auto"/>
              <w:jc w:val="right"/>
              <w:rPr>
                <w:rFonts w:ascii="Arial" w:hAnsi="Arial" w:cs="Arial"/>
                <w:b/>
                <w:bCs/>
                <w:sz w:val="16"/>
                <w:szCs w:val="16"/>
              </w:rPr>
            </w:pPr>
            <w:r w:rsidRPr="00046B00">
              <w:rPr>
                <w:rFonts w:ascii="Arial" w:hAnsi="Arial" w:cs="Arial"/>
                <w:b/>
                <w:bCs/>
                <w:sz w:val="16"/>
                <w:szCs w:val="16"/>
              </w:rPr>
              <w:t>2,914,570</w:t>
            </w:r>
          </w:p>
        </w:tc>
      </w:tr>
      <w:tr w:rsidR="00046B00" w:rsidRPr="00046B00" w14:paraId="7F8521A2" w14:textId="77777777" w:rsidTr="00046B00">
        <w:trPr>
          <w:divId w:val="491213208"/>
          <w:trHeight w:hRule="exact" w:val="60"/>
        </w:trPr>
        <w:tc>
          <w:tcPr>
            <w:tcW w:w="2199" w:type="pct"/>
            <w:tcBorders>
              <w:top w:val="nil"/>
              <w:left w:val="nil"/>
              <w:bottom w:val="nil"/>
              <w:right w:val="nil"/>
            </w:tcBorders>
            <w:shd w:val="clear" w:color="000000" w:fill="FFFFFF"/>
            <w:noWrap/>
            <w:vAlign w:val="center"/>
            <w:hideMark/>
          </w:tcPr>
          <w:p w14:paraId="20993A9E" w14:textId="77777777" w:rsidR="00046B00" w:rsidRPr="00046B00" w:rsidRDefault="00046B00" w:rsidP="00046B00">
            <w:pPr>
              <w:spacing w:before="0" w:after="0" w:line="240" w:lineRule="auto"/>
              <w:rPr>
                <w:rFonts w:ascii="Arial" w:hAnsi="Arial" w:cs="Arial"/>
                <w:sz w:val="16"/>
                <w:szCs w:val="16"/>
              </w:rPr>
            </w:pPr>
            <w:r w:rsidRPr="00046B00">
              <w:rPr>
                <w:rFonts w:ascii="Arial" w:hAnsi="Arial" w:cs="Arial"/>
                <w:sz w:val="16"/>
                <w:szCs w:val="16"/>
              </w:rPr>
              <w:t> </w:t>
            </w:r>
          </w:p>
        </w:tc>
        <w:tc>
          <w:tcPr>
            <w:tcW w:w="548" w:type="pct"/>
            <w:tcBorders>
              <w:top w:val="nil"/>
              <w:left w:val="nil"/>
              <w:bottom w:val="nil"/>
              <w:right w:val="nil"/>
            </w:tcBorders>
            <w:shd w:val="clear" w:color="000000" w:fill="FFFFFF"/>
            <w:noWrap/>
            <w:vAlign w:val="center"/>
            <w:hideMark/>
          </w:tcPr>
          <w:p w14:paraId="316A8323" w14:textId="77777777" w:rsidR="00046B00" w:rsidRPr="00046B00" w:rsidRDefault="00046B00" w:rsidP="00046B00">
            <w:pPr>
              <w:spacing w:before="0" w:after="0" w:line="240" w:lineRule="auto"/>
              <w:jc w:val="right"/>
              <w:rPr>
                <w:rFonts w:ascii="Arial" w:hAnsi="Arial" w:cs="Arial"/>
                <w:sz w:val="16"/>
                <w:szCs w:val="16"/>
              </w:rPr>
            </w:pPr>
            <w:r w:rsidRPr="00046B00">
              <w:rPr>
                <w:rFonts w:ascii="Arial" w:hAnsi="Arial" w:cs="Arial"/>
                <w:sz w:val="16"/>
                <w:szCs w:val="16"/>
              </w:rPr>
              <w:t> </w:t>
            </w:r>
          </w:p>
        </w:tc>
        <w:tc>
          <w:tcPr>
            <w:tcW w:w="543" w:type="pct"/>
            <w:tcBorders>
              <w:top w:val="nil"/>
              <w:left w:val="nil"/>
              <w:bottom w:val="nil"/>
              <w:right w:val="nil"/>
            </w:tcBorders>
            <w:shd w:val="clear" w:color="000000" w:fill="E6F2FF"/>
            <w:noWrap/>
            <w:vAlign w:val="center"/>
            <w:hideMark/>
          </w:tcPr>
          <w:p w14:paraId="5E3590FB" w14:textId="77777777" w:rsidR="00046B00" w:rsidRPr="00046B00" w:rsidRDefault="00046B00" w:rsidP="00046B00">
            <w:pPr>
              <w:spacing w:before="0" w:after="0" w:line="240" w:lineRule="auto"/>
              <w:jc w:val="right"/>
              <w:rPr>
                <w:rFonts w:ascii="Arial" w:hAnsi="Arial" w:cs="Arial"/>
                <w:sz w:val="16"/>
                <w:szCs w:val="16"/>
              </w:rPr>
            </w:pPr>
            <w:r w:rsidRPr="00046B00">
              <w:rPr>
                <w:rFonts w:ascii="Arial" w:hAnsi="Arial" w:cs="Arial"/>
                <w:sz w:val="16"/>
                <w:szCs w:val="16"/>
              </w:rPr>
              <w:t> </w:t>
            </w:r>
          </w:p>
        </w:tc>
        <w:tc>
          <w:tcPr>
            <w:tcW w:w="543" w:type="pct"/>
            <w:tcBorders>
              <w:top w:val="nil"/>
              <w:left w:val="nil"/>
              <w:bottom w:val="nil"/>
              <w:right w:val="nil"/>
            </w:tcBorders>
            <w:shd w:val="clear" w:color="000000" w:fill="FFFFFF"/>
            <w:noWrap/>
            <w:vAlign w:val="center"/>
            <w:hideMark/>
          </w:tcPr>
          <w:p w14:paraId="4807E106" w14:textId="77777777" w:rsidR="00046B00" w:rsidRPr="00046B00" w:rsidRDefault="00046B00" w:rsidP="00046B00">
            <w:pPr>
              <w:spacing w:before="0" w:after="0" w:line="240" w:lineRule="auto"/>
              <w:jc w:val="right"/>
              <w:rPr>
                <w:rFonts w:ascii="Arial" w:hAnsi="Arial" w:cs="Arial"/>
                <w:sz w:val="16"/>
                <w:szCs w:val="16"/>
              </w:rPr>
            </w:pPr>
            <w:r w:rsidRPr="00046B00">
              <w:rPr>
                <w:rFonts w:ascii="Arial" w:hAnsi="Arial" w:cs="Arial"/>
                <w:sz w:val="16"/>
                <w:szCs w:val="16"/>
              </w:rPr>
              <w:t> </w:t>
            </w:r>
          </w:p>
        </w:tc>
        <w:tc>
          <w:tcPr>
            <w:tcW w:w="548" w:type="pct"/>
            <w:tcBorders>
              <w:top w:val="nil"/>
              <w:left w:val="nil"/>
              <w:bottom w:val="nil"/>
              <w:right w:val="nil"/>
            </w:tcBorders>
            <w:shd w:val="clear" w:color="000000" w:fill="FFFFFF"/>
            <w:noWrap/>
            <w:vAlign w:val="center"/>
            <w:hideMark/>
          </w:tcPr>
          <w:p w14:paraId="715075F9" w14:textId="77777777" w:rsidR="00046B00" w:rsidRPr="00046B00" w:rsidRDefault="00046B00" w:rsidP="00046B00">
            <w:pPr>
              <w:spacing w:before="0" w:after="0" w:line="240" w:lineRule="auto"/>
              <w:jc w:val="right"/>
              <w:rPr>
                <w:rFonts w:ascii="Arial" w:hAnsi="Arial" w:cs="Arial"/>
                <w:sz w:val="16"/>
                <w:szCs w:val="16"/>
              </w:rPr>
            </w:pPr>
            <w:r w:rsidRPr="00046B00">
              <w:rPr>
                <w:rFonts w:ascii="Arial" w:hAnsi="Arial" w:cs="Arial"/>
                <w:sz w:val="16"/>
                <w:szCs w:val="16"/>
              </w:rPr>
              <w:t> </w:t>
            </w:r>
          </w:p>
        </w:tc>
        <w:tc>
          <w:tcPr>
            <w:tcW w:w="69" w:type="pct"/>
            <w:tcBorders>
              <w:top w:val="nil"/>
              <w:left w:val="nil"/>
              <w:bottom w:val="nil"/>
              <w:right w:val="nil"/>
            </w:tcBorders>
            <w:shd w:val="clear" w:color="000000" w:fill="FFFFFF"/>
            <w:noWrap/>
            <w:vAlign w:val="center"/>
            <w:hideMark/>
          </w:tcPr>
          <w:p w14:paraId="36CAC6A5" w14:textId="77777777" w:rsidR="00046B00" w:rsidRPr="00046B00" w:rsidRDefault="00046B00" w:rsidP="00046B00">
            <w:pPr>
              <w:spacing w:before="0" w:after="0" w:line="240" w:lineRule="auto"/>
              <w:jc w:val="right"/>
              <w:rPr>
                <w:rFonts w:ascii="Arial" w:hAnsi="Arial" w:cs="Arial"/>
                <w:sz w:val="16"/>
                <w:szCs w:val="16"/>
              </w:rPr>
            </w:pPr>
            <w:r w:rsidRPr="00046B00">
              <w:rPr>
                <w:rFonts w:ascii="Arial" w:hAnsi="Arial" w:cs="Arial"/>
                <w:sz w:val="16"/>
                <w:szCs w:val="16"/>
              </w:rPr>
              <w:t> </w:t>
            </w:r>
          </w:p>
        </w:tc>
        <w:tc>
          <w:tcPr>
            <w:tcW w:w="548" w:type="pct"/>
            <w:tcBorders>
              <w:top w:val="nil"/>
              <w:left w:val="nil"/>
              <w:bottom w:val="nil"/>
              <w:right w:val="nil"/>
            </w:tcBorders>
            <w:shd w:val="clear" w:color="000000" w:fill="FFFFFF"/>
            <w:noWrap/>
            <w:vAlign w:val="center"/>
            <w:hideMark/>
          </w:tcPr>
          <w:p w14:paraId="1C338514" w14:textId="77777777" w:rsidR="00046B00" w:rsidRPr="00046B00" w:rsidRDefault="00046B00" w:rsidP="00046B00">
            <w:pPr>
              <w:spacing w:before="0" w:after="0" w:line="240" w:lineRule="auto"/>
              <w:rPr>
                <w:rFonts w:ascii="Arial" w:hAnsi="Arial" w:cs="Arial"/>
                <w:sz w:val="16"/>
                <w:szCs w:val="16"/>
              </w:rPr>
            </w:pPr>
            <w:r w:rsidRPr="00046B00">
              <w:rPr>
                <w:rFonts w:ascii="Arial" w:hAnsi="Arial" w:cs="Arial"/>
                <w:sz w:val="16"/>
                <w:szCs w:val="16"/>
              </w:rPr>
              <w:t> </w:t>
            </w:r>
          </w:p>
        </w:tc>
      </w:tr>
      <w:tr w:rsidR="00046B00" w:rsidRPr="00046B00" w14:paraId="1EC75868" w14:textId="77777777" w:rsidTr="00046B00">
        <w:trPr>
          <w:divId w:val="491213208"/>
          <w:trHeight w:hRule="exact" w:val="60"/>
        </w:trPr>
        <w:tc>
          <w:tcPr>
            <w:tcW w:w="2199" w:type="pct"/>
            <w:tcBorders>
              <w:top w:val="nil"/>
              <w:left w:val="nil"/>
              <w:bottom w:val="nil"/>
              <w:right w:val="nil"/>
            </w:tcBorders>
            <w:shd w:val="clear" w:color="000000" w:fill="FFFFFF"/>
            <w:noWrap/>
            <w:vAlign w:val="center"/>
            <w:hideMark/>
          </w:tcPr>
          <w:p w14:paraId="31684E18" w14:textId="77777777" w:rsidR="00046B00" w:rsidRPr="00046B00" w:rsidRDefault="00046B00" w:rsidP="00046B00">
            <w:pPr>
              <w:spacing w:before="0" w:after="0" w:line="240" w:lineRule="auto"/>
              <w:rPr>
                <w:rFonts w:ascii="Arial" w:hAnsi="Arial" w:cs="Arial"/>
                <w:b/>
                <w:bCs/>
                <w:sz w:val="16"/>
                <w:szCs w:val="16"/>
              </w:rPr>
            </w:pPr>
            <w:r w:rsidRPr="00046B00">
              <w:rPr>
                <w:rFonts w:ascii="Arial" w:hAnsi="Arial" w:cs="Arial"/>
                <w:b/>
                <w:bCs/>
                <w:sz w:val="16"/>
                <w:szCs w:val="16"/>
              </w:rPr>
              <w:t> </w:t>
            </w:r>
          </w:p>
        </w:tc>
        <w:tc>
          <w:tcPr>
            <w:tcW w:w="548" w:type="pct"/>
            <w:tcBorders>
              <w:top w:val="nil"/>
              <w:left w:val="nil"/>
              <w:bottom w:val="nil"/>
              <w:right w:val="nil"/>
            </w:tcBorders>
            <w:shd w:val="clear" w:color="000000" w:fill="FFFFFF"/>
            <w:noWrap/>
            <w:vAlign w:val="center"/>
            <w:hideMark/>
          </w:tcPr>
          <w:p w14:paraId="0988CD82" w14:textId="77777777" w:rsidR="00046B00" w:rsidRPr="00046B00" w:rsidRDefault="00046B00" w:rsidP="00046B00">
            <w:pPr>
              <w:spacing w:before="0" w:after="0" w:line="240" w:lineRule="auto"/>
              <w:rPr>
                <w:rFonts w:ascii="Arial" w:hAnsi="Arial" w:cs="Arial"/>
                <w:sz w:val="16"/>
                <w:szCs w:val="16"/>
              </w:rPr>
            </w:pPr>
            <w:r w:rsidRPr="00046B00">
              <w:rPr>
                <w:rFonts w:ascii="Arial" w:hAnsi="Arial" w:cs="Arial"/>
                <w:sz w:val="16"/>
                <w:szCs w:val="16"/>
              </w:rPr>
              <w:t> </w:t>
            </w:r>
          </w:p>
        </w:tc>
        <w:tc>
          <w:tcPr>
            <w:tcW w:w="543" w:type="pct"/>
            <w:tcBorders>
              <w:top w:val="nil"/>
              <w:left w:val="nil"/>
              <w:bottom w:val="nil"/>
              <w:right w:val="nil"/>
            </w:tcBorders>
            <w:shd w:val="clear" w:color="000000" w:fill="E6F2FF"/>
            <w:noWrap/>
            <w:vAlign w:val="center"/>
            <w:hideMark/>
          </w:tcPr>
          <w:p w14:paraId="60409F15" w14:textId="77777777" w:rsidR="00046B00" w:rsidRPr="00046B00" w:rsidRDefault="00046B00" w:rsidP="00046B00">
            <w:pPr>
              <w:spacing w:before="0" w:after="0" w:line="240" w:lineRule="auto"/>
              <w:rPr>
                <w:rFonts w:ascii="Arial" w:hAnsi="Arial" w:cs="Arial"/>
                <w:sz w:val="16"/>
                <w:szCs w:val="16"/>
              </w:rPr>
            </w:pPr>
            <w:r w:rsidRPr="00046B00">
              <w:rPr>
                <w:rFonts w:ascii="Arial" w:hAnsi="Arial" w:cs="Arial"/>
                <w:sz w:val="16"/>
                <w:szCs w:val="16"/>
              </w:rPr>
              <w:t> </w:t>
            </w:r>
          </w:p>
        </w:tc>
        <w:tc>
          <w:tcPr>
            <w:tcW w:w="543" w:type="pct"/>
            <w:tcBorders>
              <w:top w:val="nil"/>
              <w:left w:val="nil"/>
              <w:bottom w:val="nil"/>
              <w:right w:val="nil"/>
            </w:tcBorders>
            <w:shd w:val="clear" w:color="000000" w:fill="FFFFFF"/>
            <w:noWrap/>
            <w:vAlign w:val="center"/>
            <w:hideMark/>
          </w:tcPr>
          <w:p w14:paraId="2A23E4F0" w14:textId="77777777" w:rsidR="00046B00" w:rsidRPr="00046B00" w:rsidRDefault="00046B00" w:rsidP="00046B00">
            <w:pPr>
              <w:spacing w:before="0" w:after="0" w:line="240" w:lineRule="auto"/>
              <w:rPr>
                <w:rFonts w:ascii="Arial" w:hAnsi="Arial" w:cs="Arial"/>
                <w:sz w:val="16"/>
                <w:szCs w:val="16"/>
              </w:rPr>
            </w:pPr>
            <w:r w:rsidRPr="00046B00">
              <w:rPr>
                <w:rFonts w:ascii="Arial" w:hAnsi="Arial" w:cs="Arial"/>
                <w:sz w:val="16"/>
                <w:szCs w:val="16"/>
              </w:rPr>
              <w:t> </w:t>
            </w:r>
          </w:p>
        </w:tc>
        <w:tc>
          <w:tcPr>
            <w:tcW w:w="548" w:type="pct"/>
            <w:tcBorders>
              <w:top w:val="nil"/>
              <w:left w:val="nil"/>
              <w:bottom w:val="nil"/>
              <w:right w:val="nil"/>
            </w:tcBorders>
            <w:shd w:val="clear" w:color="000000" w:fill="FFFFFF"/>
            <w:noWrap/>
            <w:vAlign w:val="center"/>
            <w:hideMark/>
          </w:tcPr>
          <w:p w14:paraId="3E128BC7" w14:textId="77777777" w:rsidR="00046B00" w:rsidRPr="00046B00" w:rsidRDefault="00046B00" w:rsidP="00046B00">
            <w:pPr>
              <w:spacing w:before="0" w:after="0" w:line="240" w:lineRule="auto"/>
              <w:rPr>
                <w:rFonts w:ascii="Arial" w:hAnsi="Arial" w:cs="Arial"/>
                <w:sz w:val="16"/>
                <w:szCs w:val="16"/>
              </w:rPr>
            </w:pPr>
            <w:r w:rsidRPr="00046B00">
              <w:rPr>
                <w:rFonts w:ascii="Arial" w:hAnsi="Arial" w:cs="Arial"/>
                <w:sz w:val="16"/>
                <w:szCs w:val="16"/>
              </w:rPr>
              <w:t> </w:t>
            </w:r>
          </w:p>
        </w:tc>
        <w:tc>
          <w:tcPr>
            <w:tcW w:w="69" w:type="pct"/>
            <w:tcBorders>
              <w:top w:val="nil"/>
              <w:left w:val="nil"/>
              <w:bottom w:val="nil"/>
              <w:right w:val="nil"/>
            </w:tcBorders>
            <w:shd w:val="clear" w:color="000000" w:fill="FFFFFF"/>
            <w:noWrap/>
            <w:vAlign w:val="center"/>
            <w:hideMark/>
          </w:tcPr>
          <w:p w14:paraId="68891ACC" w14:textId="77777777" w:rsidR="00046B00" w:rsidRPr="00046B00" w:rsidRDefault="00046B00" w:rsidP="00046B00">
            <w:pPr>
              <w:spacing w:before="0" w:after="0" w:line="240" w:lineRule="auto"/>
              <w:rPr>
                <w:rFonts w:ascii="Arial" w:hAnsi="Arial" w:cs="Arial"/>
                <w:sz w:val="16"/>
                <w:szCs w:val="16"/>
              </w:rPr>
            </w:pPr>
            <w:r w:rsidRPr="00046B00">
              <w:rPr>
                <w:rFonts w:ascii="Arial" w:hAnsi="Arial" w:cs="Arial"/>
                <w:sz w:val="16"/>
                <w:szCs w:val="16"/>
              </w:rPr>
              <w:t> </w:t>
            </w:r>
          </w:p>
        </w:tc>
        <w:tc>
          <w:tcPr>
            <w:tcW w:w="548" w:type="pct"/>
            <w:tcBorders>
              <w:top w:val="nil"/>
              <w:left w:val="nil"/>
              <w:bottom w:val="nil"/>
              <w:right w:val="nil"/>
            </w:tcBorders>
            <w:shd w:val="clear" w:color="000000" w:fill="FFFFFF"/>
            <w:noWrap/>
            <w:vAlign w:val="center"/>
            <w:hideMark/>
          </w:tcPr>
          <w:p w14:paraId="6ED5E537" w14:textId="77777777" w:rsidR="00046B00" w:rsidRPr="00046B00" w:rsidRDefault="00046B00" w:rsidP="00046B00">
            <w:pPr>
              <w:spacing w:before="0" w:after="0" w:line="240" w:lineRule="auto"/>
              <w:rPr>
                <w:rFonts w:ascii="Arial" w:hAnsi="Arial" w:cs="Arial"/>
                <w:sz w:val="16"/>
                <w:szCs w:val="16"/>
              </w:rPr>
            </w:pPr>
            <w:r w:rsidRPr="00046B00">
              <w:rPr>
                <w:rFonts w:ascii="Arial" w:hAnsi="Arial" w:cs="Arial"/>
                <w:sz w:val="16"/>
                <w:szCs w:val="16"/>
              </w:rPr>
              <w:t> </w:t>
            </w:r>
          </w:p>
        </w:tc>
      </w:tr>
      <w:tr w:rsidR="00046B00" w:rsidRPr="00046B00" w14:paraId="445D235E" w14:textId="77777777" w:rsidTr="00046B00">
        <w:trPr>
          <w:divId w:val="491213208"/>
          <w:trHeight w:hRule="exact" w:val="225"/>
        </w:trPr>
        <w:tc>
          <w:tcPr>
            <w:tcW w:w="2199" w:type="pct"/>
            <w:tcBorders>
              <w:top w:val="nil"/>
              <w:left w:val="nil"/>
              <w:bottom w:val="nil"/>
              <w:right w:val="nil"/>
            </w:tcBorders>
            <w:shd w:val="clear" w:color="000000" w:fill="FFFFFF"/>
            <w:noWrap/>
            <w:vAlign w:val="center"/>
            <w:hideMark/>
          </w:tcPr>
          <w:p w14:paraId="60975722" w14:textId="77777777" w:rsidR="00046B00" w:rsidRPr="00046B00" w:rsidRDefault="00046B00" w:rsidP="00046B00">
            <w:pPr>
              <w:spacing w:before="0" w:after="0" w:line="240" w:lineRule="auto"/>
              <w:rPr>
                <w:rFonts w:ascii="Arial" w:hAnsi="Arial" w:cs="Arial"/>
                <w:b/>
                <w:bCs/>
                <w:sz w:val="16"/>
                <w:szCs w:val="16"/>
              </w:rPr>
            </w:pPr>
            <w:r w:rsidRPr="00046B00">
              <w:rPr>
                <w:rFonts w:ascii="Arial" w:hAnsi="Arial" w:cs="Arial"/>
                <w:b/>
                <w:bCs/>
                <w:sz w:val="16"/>
                <w:szCs w:val="16"/>
              </w:rPr>
              <w:t>Changes from 2023-24 Budget to</w:t>
            </w:r>
          </w:p>
        </w:tc>
        <w:tc>
          <w:tcPr>
            <w:tcW w:w="548" w:type="pct"/>
            <w:tcBorders>
              <w:top w:val="nil"/>
              <w:left w:val="nil"/>
              <w:bottom w:val="nil"/>
              <w:right w:val="nil"/>
            </w:tcBorders>
            <w:shd w:val="clear" w:color="000000" w:fill="FFFFFF"/>
            <w:noWrap/>
            <w:vAlign w:val="center"/>
            <w:hideMark/>
          </w:tcPr>
          <w:p w14:paraId="28F6ACE3" w14:textId="77777777" w:rsidR="00046B00" w:rsidRPr="00046B00" w:rsidRDefault="00046B00" w:rsidP="00046B00">
            <w:pPr>
              <w:spacing w:before="0" w:after="0" w:line="240" w:lineRule="auto"/>
              <w:rPr>
                <w:rFonts w:ascii="Arial" w:hAnsi="Arial" w:cs="Arial"/>
                <w:sz w:val="16"/>
                <w:szCs w:val="16"/>
              </w:rPr>
            </w:pPr>
            <w:r w:rsidRPr="00046B00">
              <w:rPr>
                <w:rFonts w:ascii="Arial" w:hAnsi="Arial" w:cs="Arial"/>
                <w:sz w:val="16"/>
                <w:szCs w:val="16"/>
              </w:rPr>
              <w:t> </w:t>
            </w:r>
          </w:p>
        </w:tc>
        <w:tc>
          <w:tcPr>
            <w:tcW w:w="543" w:type="pct"/>
            <w:tcBorders>
              <w:top w:val="nil"/>
              <w:left w:val="nil"/>
              <w:bottom w:val="nil"/>
              <w:right w:val="nil"/>
            </w:tcBorders>
            <w:shd w:val="clear" w:color="000000" w:fill="E6F2FF"/>
            <w:noWrap/>
            <w:vAlign w:val="center"/>
            <w:hideMark/>
          </w:tcPr>
          <w:p w14:paraId="1A534BC5" w14:textId="77777777" w:rsidR="00046B00" w:rsidRPr="00046B00" w:rsidRDefault="00046B00" w:rsidP="00046B00">
            <w:pPr>
              <w:spacing w:before="0" w:after="0" w:line="240" w:lineRule="auto"/>
              <w:rPr>
                <w:rFonts w:ascii="Arial" w:hAnsi="Arial" w:cs="Arial"/>
                <w:sz w:val="16"/>
                <w:szCs w:val="16"/>
              </w:rPr>
            </w:pPr>
            <w:r w:rsidRPr="00046B00">
              <w:rPr>
                <w:rFonts w:ascii="Arial" w:hAnsi="Arial" w:cs="Arial"/>
                <w:sz w:val="16"/>
                <w:szCs w:val="16"/>
              </w:rPr>
              <w:t> </w:t>
            </w:r>
          </w:p>
        </w:tc>
        <w:tc>
          <w:tcPr>
            <w:tcW w:w="543" w:type="pct"/>
            <w:tcBorders>
              <w:top w:val="nil"/>
              <w:left w:val="nil"/>
              <w:bottom w:val="nil"/>
              <w:right w:val="nil"/>
            </w:tcBorders>
            <w:shd w:val="clear" w:color="000000" w:fill="FFFFFF"/>
            <w:noWrap/>
            <w:vAlign w:val="center"/>
            <w:hideMark/>
          </w:tcPr>
          <w:p w14:paraId="088E8D1A" w14:textId="77777777" w:rsidR="00046B00" w:rsidRPr="00046B00" w:rsidRDefault="00046B00" w:rsidP="00046B00">
            <w:pPr>
              <w:spacing w:before="0" w:after="0" w:line="240" w:lineRule="auto"/>
              <w:rPr>
                <w:rFonts w:ascii="Arial" w:hAnsi="Arial" w:cs="Arial"/>
                <w:sz w:val="16"/>
                <w:szCs w:val="16"/>
              </w:rPr>
            </w:pPr>
            <w:r w:rsidRPr="00046B00">
              <w:rPr>
                <w:rFonts w:ascii="Arial" w:hAnsi="Arial" w:cs="Arial"/>
                <w:sz w:val="16"/>
                <w:szCs w:val="16"/>
              </w:rPr>
              <w:t> </w:t>
            </w:r>
          </w:p>
        </w:tc>
        <w:tc>
          <w:tcPr>
            <w:tcW w:w="548" w:type="pct"/>
            <w:tcBorders>
              <w:top w:val="nil"/>
              <w:left w:val="nil"/>
              <w:bottom w:val="nil"/>
              <w:right w:val="nil"/>
            </w:tcBorders>
            <w:shd w:val="clear" w:color="000000" w:fill="FFFFFF"/>
            <w:noWrap/>
            <w:vAlign w:val="center"/>
            <w:hideMark/>
          </w:tcPr>
          <w:p w14:paraId="5FC7CB53" w14:textId="77777777" w:rsidR="00046B00" w:rsidRPr="00046B00" w:rsidRDefault="00046B00" w:rsidP="00046B00">
            <w:pPr>
              <w:spacing w:before="0" w:after="0" w:line="240" w:lineRule="auto"/>
              <w:rPr>
                <w:rFonts w:ascii="Arial" w:hAnsi="Arial" w:cs="Arial"/>
                <w:sz w:val="16"/>
                <w:szCs w:val="16"/>
              </w:rPr>
            </w:pPr>
            <w:r w:rsidRPr="00046B00">
              <w:rPr>
                <w:rFonts w:ascii="Arial" w:hAnsi="Arial" w:cs="Arial"/>
                <w:sz w:val="16"/>
                <w:szCs w:val="16"/>
              </w:rPr>
              <w:t> </w:t>
            </w:r>
          </w:p>
        </w:tc>
        <w:tc>
          <w:tcPr>
            <w:tcW w:w="69" w:type="pct"/>
            <w:tcBorders>
              <w:top w:val="nil"/>
              <w:left w:val="nil"/>
              <w:bottom w:val="nil"/>
              <w:right w:val="nil"/>
            </w:tcBorders>
            <w:shd w:val="clear" w:color="000000" w:fill="FFFFFF"/>
            <w:noWrap/>
            <w:vAlign w:val="center"/>
            <w:hideMark/>
          </w:tcPr>
          <w:p w14:paraId="0ED027CA" w14:textId="77777777" w:rsidR="00046B00" w:rsidRPr="00046B00" w:rsidRDefault="00046B00" w:rsidP="00046B00">
            <w:pPr>
              <w:spacing w:before="0" w:after="0" w:line="240" w:lineRule="auto"/>
              <w:rPr>
                <w:rFonts w:ascii="Arial" w:hAnsi="Arial" w:cs="Arial"/>
                <w:sz w:val="16"/>
                <w:szCs w:val="16"/>
              </w:rPr>
            </w:pPr>
            <w:r w:rsidRPr="00046B00">
              <w:rPr>
                <w:rFonts w:ascii="Arial" w:hAnsi="Arial" w:cs="Arial"/>
                <w:sz w:val="16"/>
                <w:szCs w:val="16"/>
              </w:rPr>
              <w:t> </w:t>
            </w:r>
          </w:p>
        </w:tc>
        <w:tc>
          <w:tcPr>
            <w:tcW w:w="548" w:type="pct"/>
            <w:tcBorders>
              <w:top w:val="nil"/>
              <w:left w:val="nil"/>
              <w:bottom w:val="nil"/>
              <w:right w:val="nil"/>
            </w:tcBorders>
            <w:shd w:val="clear" w:color="000000" w:fill="FFFFFF"/>
            <w:noWrap/>
            <w:vAlign w:val="center"/>
            <w:hideMark/>
          </w:tcPr>
          <w:p w14:paraId="629334CA" w14:textId="77777777" w:rsidR="00046B00" w:rsidRPr="00046B00" w:rsidRDefault="00046B00" w:rsidP="00046B00">
            <w:pPr>
              <w:spacing w:before="0" w:after="0" w:line="240" w:lineRule="auto"/>
              <w:rPr>
                <w:rFonts w:ascii="Arial" w:hAnsi="Arial" w:cs="Arial"/>
                <w:sz w:val="16"/>
                <w:szCs w:val="16"/>
              </w:rPr>
            </w:pPr>
            <w:r w:rsidRPr="00046B00">
              <w:rPr>
                <w:rFonts w:ascii="Arial" w:hAnsi="Arial" w:cs="Arial"/>
                <w:sz w:val="16"/>
                <w:szCs w:val="16"/>
              </w:rPr>
              <w:t> </w:t>
            </w:r>
          </w:p>
        </w:tc>
      </w:tr>
      <w:tr w:rsidR="00046B00" w:rsidRPr="00046B00" w14:paraId="4763B1C8" w14:textId="77777777" w:rsidTr="00046B00">
        <w:trPr>
          <w:divId w:val="491213208"/>
          <w:trHeight w:hRule="exact" w:val="225"/>
        </w:trPr>
        <w:tc>
          <w:tcPr>
            <w:tcW w:w="2199" w:type="pct"/>
            <w:tcBorders>
              <w:top w:val="nil"/>
              <w:left w:val="nil"/>
              <w:bottom w:val="nil"/>
              <w:right w:val="nil"/>
            </w:tcBorders>
            <w:shd w:val="clear" w:color="000000" w:fill="FFFFFF"/>
            <w:noWrap/>
            <w:vAlign w:val="center"/>
            <w:hideMark/>
          </w:tcPr>
          <w:p w14:paraId="44229BE6" w14:textId="77777777" w:rsidR="00046B00" w:rsidRPr="00046B00" w:rsidRDefault="00046B00" w:rsidP="00046B00">
            <w:pPr>
              <w:spacing w:before="0" w:after="0" w:line="240" w:lineRule="auto"/>
              <w:ind w:left="170"/>
              <w:rPr>
                <w:rFonts w:ascii="Arial" w:hAnsi="Arial" w:cs="Arial"/>
                <w:b/>
                <w:bCs/>
                <w:sz w:val="16"/>
                <w:szCs w:val="16"/>
              </w:rPr>
            </w:pPr>
            <w:r w:rsidRPr="00046B00">
              <w:rPr>
                <w:rFonts w:ascii="Arial" w:hAnsi="Arial" w:cs="Arial"/>
                <w:b/>
                <w:bCs/>
                <w:sz w:val="16"/>
                <w:szCs w:val="16"/>
              </w:rPr>
              <w:t>2023-24 MYEFO</w:t>
            </w:r>
          </w:p>
        </w:tc>
        <w:tc>
          <w:tcPr>
            <w:tcW w:w="548" w:type="pct"/>
            <w:tcBorders>
              <w:top w:val="nil"/>
              <w:left w:val="nil"/>
              <w:bottom w:val="nil"/>
              <w:right w:val="nil"/>
            </w:tcBorders>
            <w:shd w:val="clear" w:color="000000" w:fill="FFFFFF"/>
            <w:noWrap/>
            <w:vAlign w:val="center"/>
            <w:hideMark/>
          </w:tcPr>
          <w:p w14:paraId="7EC39CB8" w14:textId="77777777" w:rsidR="00046B00" w:rsidRPr="00046B00" w:rsidRDefault="00046B00" w:rsidP="00046B00">
            <w:pPr>
              <w:spacing w:before="0" w:after="0" w:line="240" w:lineRule="auto"/>
              <w:rPr>
                <w:rFonts w:ascii="Arial" w:hAnsi="Arial" w:cs="Arial"/>
                <w:sz w:val="16"/>
                <w:szCs w:val="16"/>
              </w:rPr>
            </w:pPr>
            <w:r w:rsidRPr="00046B00">
              <w:rPr>
                <w:rFonts w:ascii="Arial" w:hAnsi="Arial" w:cs="Arial"/>
                <w:sz w:val="16"/>
                <w:szCs w:val="16"/>
              </w:rPr>
              <w:t> </w:t>
            </w:r>
          </w:p>
        </w:tc>
        <w:tc>
          <w:tcPr>
            <w:tcW w:w="543" w:type="pct"/>
            <w:tcBorders>
              <w:top w:val="nil"/>
              <w:left w:val="nil"/>
              <w:bottom w:val="nil"/>
              <w:right w:val="nil"/>
            </w:tcBorders>
            <w:shd w:val="clear" w:color="000000" w:fill="E6F2FF"/>
            <w:noWrap/>
            <w:vAlign w:val="center"/>
            <w:hideMark/>
          </w:tcPr>
          <w:p w14:paraId="31603AB4" w14:textId="77777777" w:rsidR="00046B00" w:rsidRPr="00046B00" w:rsidRDefault="00046B00" w:rsidP="00046B00">
            <w:pPr>
              <w:spacing w:before="0" w:after="0" w:line="240" w:lineRule="auto"/>
              <w:rPr>
                <w:rFonts w:ascii="Arial" w:hAnsi="Arial" w:cs="Arial"/>
                <w:sz w:val="16"/>
                <w:szCs w:val="16"/>
              </w:rPr>
            </w:pPr>
            <w:r w:rsidRPr="00046B00">
              <w:rPr>
                <w:rFonts w:ascii="Arial" w:hAnsi="Arial" w:cs="Arial"/>
                <w:sz w:val="16"/>
                <w:szCs w:val="16"/>
              </w:rPr>
              <w:t> </w:t>
            </w:r>
          </w:p>
        </w:tc>
        <w:tc>
          <w:tcPr>
            <w:tcW w:w="543" w:type="pct"/>
            <w:tcBorders>
              <w:top w:val="nil"/>
              <w:left w:val="nil"/>
              <w:bottom w:val="nil"/>
              <w:right w:val="nil"/>
            </w:tcBorders>
            <w:shd w:val="clear" w:color="000000" w:fill="FFFFFF"/>
            <w:noWrap/>
            <w:vAlign w:val="center"/>
            <w:hideMark/>
          </w:tcPr>
          <w:p w14:paraId="53B8C89B" w14:textId="77777777" w:rsidR="00046B00" w:rsidRPr="00046B00" w:rsidRDefault="00046B00" w:rsidP="00046B00">
            <w:pPr>
              <w:spacing w:before="0" w:after="0" w:line="240" w:lineRule="auto"/>
              <w:rPr>
                <w:rFonts w:ascii="Arial" w:hAnsi="Arial" w:cs="Arial"/>
                <w:sz w:val="16"/>
                <w:szCs w:val="16"/>
              </w:rPr>
            </w:pPr>
            <w:r w:rsidRPr="00046B00">
              <w:rPr>
                <w:rFonts w:ascii="Arial" w:hAnsi="Arial" w:cs="Arial"/>
                <w:sz w:val="16"/>
                <w:szCs w:val="16"/>
              </w:rPr>
              <w:t> </w:t>
            </w:r>
          </w:p>
        </w:tc>
        <w:tc>
          <w:tcPr>
            <w:tcW w:w="548" w:type="pct"/>
            <w:tcBorders>
              <w:top w:val="nil"/>
              <w:left w:val="nil"/>
              <w:bottom w:val="nil"/>
              <w:right w:val="nil"/>
            </w:tcBorders>
            <w:shd w:val="clear" w:color="000000" w:fill="FFFFFF"/>
            <w:noWrap/>
            <w:vAlign w:val="center"/>
            <w:hideMark/>
          </w:tcPr>
          <w:p w14:paraId="72F4CB81" w14:textId="77777777" w:rsidR="00046B00" w:rsidRPr="00046B00" w:rsidRDefault="00046B00" w:rsidP="00046B00">
            <w:pPr>
              <w:spacing w:before="0" w:after="0" w:line="240" w:lineRule="auto"/>
              <w:rPr>
                <w:rFonts w:ascii="Arial" w:hAnsi="Arial" w:cs="Arial"/>
                <w:sz w:val="16"/>
                <w:szCs w:val="16"/>
              </w:rPr>
            </w:pPr>
            <w:r w:rsidRPr="00046B00">
              <w:rPr>
                <w:rFonts w:ascii="Arial" w:hAnsi="Arial" w:cs="Arial"/>
                <w:sz w:val="16"/>
                <w:szCs w:val="16"/>
              </w:rPr>
              <w:t> </w:t>
            </w:r>
          </w:p>
        </w:tc>
        <w:tc>
          <w:tcPr>
            <w:tcW w:w="69" w:type="pct"/>
            <w:tcBorders>
              <w:top w:val="nil"/>
              <w:left w:val="nil"/>
              <w:bottom w:val="nil"/>
              <w:right w:val="nil"/>
            </w:tcBorders>
            <w:shd w:val="clear" w:color="000000" w:fill="FFFFFF"/>
            <w:noWrap/>
            <w:vAlign w:val="center"/>
            <w:hideMark/>
          </w:tcPr>
          <w:p w14:paraId="343014F7" w14:textId="77777777" w:rsidR="00046B00" w:rsidRPr="00046B00" w:rsidRDefault="00046B00" w:rsidP="00046B00">
            <w:pPr>
              <w:spacing w:before="0" w:after="0" w:line="240" w:lineRule="auto"/>
              <w:rPr>
                <w:rFonts w:ascii="Arial" w:hAnsi="Arial" w:cs="Arial"/>
                <w:sz w:val="16"/>
                <w:szCs w:val="16"/>
              </w:rPr>
            </w:pPr>
            <w:r w:rsidRPr="00046B00">
              <w:rPr>
                <w:rFonts w:ascii="Arial" w:hAnsi="Arial" w:cs="Arial"/>
                <w:sz w:val="16"/>
                <w:szCs w:val="16"/>
              </w:rPr>
              <w:t> </w:t>
            </w:r>
          </w:p>
        </w:tc>
        <w:tc>
          <w:tcPr>
            <w:tcW w:w="548" w:type="pct"/>
            <w:tcBorders>
              <w:top w:val="nil"/>
              <w:left w:val="nil"/>
              <w:bottom w:val="nil"/>
              <w:right w:val="nil"/>
            </w:tcBorders>
            <w:shd w:val="clear" w:color="000000" w:fill="FFFFFF"/>
            <w:noWrap/>
            <w:vAlign w:val="center"/>
            <w:hideMark/>
          </w:tcPr>
          <w:p w14:paraId="33A1205F" w14:textId="77777777" w:rsidR="00046B00" w:rsidRPr="00046B00" w:rsidRDefault="00046B00" w:rsidP="00046B00">
            <w:pPr>
              <w:spacing w:before="0" w:after="0" w:line="240" w:lineRule="auto"/>
              <w:rPr>
                <w:rFonts w:ascii="Arial" w:hAnsi="Arial" w:cs="Arial"/>
                <w:sz w:val="16"/>
                <w:szCs w:val="16"/>
              </w:rPr>
            </w:pPr>
            <w:r w:rsidRPr="00046B00">
              <w:rPr>
                <w:rFonts w:ascii="Arial" w:hAnsi="Arial" w:cs="Arial"/>
                <w:sz w:val="16"/>
                <w:szCs w:val="16"/>
              </w:rPr>
              <w:t> </w:t>
            </w:r>
          </w:p>
        </w:tc>
      </w:tr>
      <w:tr w:rsidR="00046B00" w:rsidRPr="00046B00" w14:paraId="72C3A15B" w14:textId="77777777" w:rsidTr="00046B00">
        <w:trPr>
          <w:divId w:val="491213208"/>
          <w:trHeight w:hRule="exact" w:val="225"/>
        </w:trPr>
        <w:tc>
          <w:tcPr>
            <w:tcW w:w="2199" w:type="pct"/>
            <w:tcBorders>
              <w:top w:val="nil"/>
              <w:left w:val="nil"/>
              <w:bottom w:val="nil"/>
              <w:right w:val="nil"/>
            </w:tcBorders>
            <w:shd w:val="clear" w:color="000000" w:fill="FFFFFF"/>
            <w:noWrap/>
            <w:vAlign w:val="center"/>
            <w:hideMark/>
          </w:tcPr>
          <w:p w14:paraId="56A81441" w14:textId="77777777" w:rsidR="00046B00" w:rsidRPr="00046B00" w:rsidRDefault="00046B00" w:rsidP="00046B00">
            <w:pPr>
              <w:spacing w:before="0" w:after="0" w:line="240" w:lineRule="auto"/>
              <w:rPr>
                <w:rFonts w:ascii="Arial" w:hAnsi="Arial" w:cs="Arial"/>
                <w:sz w:val="16"/>
                <w:szCs w:val="16"/>
              </w:rPr>
            </w:pPr>
            <w:r w:rsidRPr="00046B00">
              <w:rPr>
                <w:rFonts w:ascii="Arial" w:hAnsi="Arial" w:cs="Arial"/>
                <w:sz w:val="16"/>
                <w:szCs w:val="16"/>
              </w:rPr>
              <w:t>Effect of policy decisions(a)</w:t>
            </w:r>
          </w:p>
        </w:tc>
        <w:tc>
          <w:tcPr>
            <w:tcW w:w="548" w:type="pct"/>
            <w:tcBorders>
              <w:top w:val="nil"/>
              <w:left w:val="nil"/>
              <w:bottom w:val="nil"/>
              <w:right w:val="nil"/>
            </w:tcBorders>
            <w:shd w:val="clear" w:color="000000" w:fill="FFFFFF"/>
            <w:noWrap/>
            <w:vAlign w:val="center"/>
            <w:hideMark/>
          </w:tcPr>
          <w:p w14:paraId="091DF036" w14:textId="77777777" w:rsidR="00046B00" w:rsidRPr="00046B00" w:rsidRDefault="00046B00" w:rsidP="00046B00">
            <w:pPr>
              <w:spacing w:before="0" w:after="0" w:line="240" w:lineRule="auto"/>
              <w:jc w:val="right"/>
              <w:rPr>
                <w:rFonts w:ascii="Arial" w:hAnsi="Arial" w:cs="Arial"/>
                <w:sz w:val="16"/>
                <w:szCs w:val="16"/>
              </w:rPr>
            </w:pPr>
            <w:r w:rsidRPr="00046B00">
              <w:rPr>
                <w:rFonts w:ascii="Arial" w:hAnsi="Arial" w:cs="Arial"/>
                <w:sz w:val="16"/>
                <w:szCs w:val="16"/>
              </w:rPr>
              <w:t>1,262</w:t>
            </w:r>
          </w:p>
        </w:tc>
        <w:tc>
          <w:tcPr>
            <w:tcW w:w="543" w:type="pct"/>
            <w:tcBorders>
              <w:top w:val="nil"/>
              <w:left w:val="nil"/>
              <w:bottom w:val="nil"/>
              <w:right w:val="nil"/>
            </w:tcBorders>
            <w:shd w:val="clear" w:color="000000" w:fill="E6F2FF"/>
            <w:noWrap/>
            <w:vAlign w:val="center"/>
            <w:hideMark/>
          </w:tcPr>
          <w:p w14:paraId="5C94FEFD" w14:textId="77777777" w:rsidR="00046B00" w:rsidRPr="00046B00" w:rsidRDefault="00046B00" w:rsidP="00046B00">
            <w:pPr>
              <w:spacing w:before="0" w:after="0" w:line="240" w:lineRule="auto"/>
              <w:jc w:val="right"/>
              <w:rPr>
                <w:rFonts w:ascii="Arial" w:hAnsi="Arial" w:cs="Arial"/>
                <w:sz w:val="16"/>
                <w:szCs w:val="16"/>
              </w:rPr>
            </w:pPr>
            <w:r w:rsidRPr="00046B00">
              <w:rPr>
                <w:rFonts w:ascii="Arial" w:hAnsi="Arial" w:cs="Arial"/>
                <w:sz w:val="16"/>
                <w:szCs w:val="16"/>
              </w:rPr>
              <w:t>2,597</w:t>
            </w:r>
          </w:p>
        </w:tc>
        <w:tc>
          <w:tcPr>
            <w:tcW w:w="543" w:type="pct"/>
            <w:tcBorders>
              <w:top w:val="nil"/>
              <w:left w:val="nil"/>
              <w:bottom w:val="nil"/>
              <w:right w:val="nil"/>
            </w:tcBorders>
            <w:shd w:val="clear" w:color="000000" w:fill="FFFFFF"/>
            <w:noWrap/>
            <w:vAlign w:val="center"/>
            <w:hideMark/>
          </w:tcPr>
          <w:p w14:paraId="5B0712AA" w14:textId="77777777" w:rsidR="00046B00" w:rsidRPr="00046B00" w:rsidRDefault="00046B00" w:rsidP="00046B00">
            <w:pPr>
              <w:spacing w:before="0" w:after="0" w:line="240" w:lineRule="auto"/>
              <w:jc w:val="right"/>
              <w:rPr>
                <w:rFonts w:ascii="Arial" w:hAnsi="Arial" w:cs="Arial"/>
                <w:sz w:val="16"/>
                <w:szCs w:val="16"/>
              </w:rPr>
            </w:pPr>
            <w:r w:rsidRPr="00046B00">
              <w:rPr>
                <w:rFonts w:ascii="Arial" w:hAnsi="Arial" w:cs="Arial"/>
                <w:sz w:val="16"/>
                <w:szCs w:val="16"/>
              </w:rPr>
              <w:t>781</w:t>
            </w:r>
          </w:p>
        </w:tc>
        <w:tc>
          <w:tcPr>
            <w:tcW w:w="548" w:type="pct"/>
            <w:tcBorders>
              <w:top w:val="nil"/>
              <w:left w:val="nil"/>
              <w:bottom w:val="nil"/>
              <w:right w:val="nil"/>
            </w:tcBorders>
            <w:shd w:val="clear" w:color="000000" w:fill="FFFFFF"/>
            <w:noWrap/>
            <w:vAlign w:val="center"/>
            <w:hideMark/>
          </w:tcPr>
          <w:p w14:paraId="3963ED08" w14:textId="77777777" w:rsidR="00046B00" w:rsidRPr="00046B00" w:rsidRDefault="00046B00" w:rsidP="00046B00">
            <w:pPr>
              <w:spacing w:before="0" w:after="0" w:line="240" w:lineRule="auto"/>
              <w:jc w:val="right"/>
              <w:rPr>
                <w:rFonts w:ascii="Arial" w:hAnsi="Arial" w:cs="Arial"/>
                <w:sz w:val="16"/>
                <w:szCs w:val="16"/>
              </w:rPr>
            </w:pPr>
            <w:r w:rsidRPr="00046B00">
              <w:rPr>
                <w:rFonts w:ascii="Arial" w:hAnsi="Arial" w:cs="Arial"/>
                <w:sz w:val="16"/>
                <w:szCs w:val="16"/>
              </w:rPr>
              <w:t>1,242</w:t>
            </w:r>
          </w:p>
        </w:tc>
        <w:tc>
          <w:tcPr>
            <w:tcW w:w="69" w:type="pct"/>
            <w:tcBorders>
              <w:top w:val="nil"/>
              <w:left w:val="nil"/>
              <w:bottom w:val="nil"/>
              <w:right w:val="nil"/>
            </w:tcBorders>
            <w:shd w:val="clear" w:color="000000" w:fill="FFFFFF"/>
            <w:noWrap/>
            <w:vAlign w:val="center"/>
            <w:hideMark/>
          </w:tcPr>
          <w:p w14:paraId="49892D9D" w14:textId="77777777" w:rsidR="00046B00" w:rsidRPr="00046B00" w:rsidRDefault="00046B00" w:rsidP="00046B00">
            <w:pPr>
              <w:spacing w:before="0" w:after="0" w:line="240" w:lineRule="auto"/>
              <w:rPr>
                <w:rFonts w:ascii="Arial" w:hAnsi="Arial" w:cs="Arial"/>
                <w:sz w:val="16"/>
                <w:szCs w:val="16"/>
              </w:rPr>
            </w:pPr>
            <w:r w:rsidRPr="00046B00">
              <w:rPr>
                <w:rFonts w:ascii="Arial" w:hAnsi="Arial" w:cs="Arial"/>
                <w:sz w:val="16"/>
                <w:szCs w:val="16"/>
              </w:rPr>
              <w:t> </w:t>
            </w:r>
          </w:p>
        </w:tc>
        <w:tc>
          <w:tcPr>
            <w:tcW w:w="548" w:type="pct"/>
            <w:tcBorders>
              <w:top w:val="nil"/>
              <w:left w:val="nil"/>
              <w:bottom w:val="nil"/>
              <w:right w:val="nil"/>
            </w:tcBorders>
            <w:shd w:val="clear" w:color="000000" w:fill="FFFFFF"/>
            <w:noWrap/>
            <w:vAlign w:val="center"/>
            <w:hideMark/>
          </w:tcPr>
          <w:p w14:paraId="2EA7B47B" w14:textId="77777777" w:rsidR="00046B00" w:rsidRPr="00046B00" w:rsidRDefault="00046B00" w:rsidP="00046B00">
            <w:pPr>
              <w:spacing w:before="0" w:after="0" w:line="240" w:lineRule="auto"/>
              <w:jc w:val="right"/>
              <w:rPr>
                <w:rFonts w:ascii="Arial" w:hAnsi="Arial" w:cs="Arial"/>
                <w:sz w:val="16"/>
                <w:szCs w:val="16"/>
              </w:rPr>
            </w:pPr>
            <w:r w:rsidRPr="00046B00">
              <w:rPr>
                <w:rFonts w:ascii="Arial" w:hAnsi="Arial" w:cs="Arial"/>
                <w:sz w:val="16"/>
                <w:szCs w:val="16"/>
              </w:rPr>
              <w:t>5,881</w:t>
            </w:r>
          </w:p>
        </w:tc>
      </w:tr>
      <w:tr w:rsidR="00046B00" w:rsidRPr="00046B00" w14:paraId="6DD6208E" w14:textId="77777777" w:rsidTr="007650F7">
        <w:trPr>
          <w:divId w:val="491213208"/>
          <w:trHeight w:hRule="exact" w:val="225"/>
        </w:trPr>
        <w:tc>
          <w:tcPr>
            <w:tcW w:w="2199" w:type="pct"/>
            <w:tcBorders>
              <w:top w:val="nil"/>
              <w:left w:val="nil"/>
              <w:bottom w:val="nil"/>
              <w:right w:val="nil"/>
            </w:tcBorders>
            <w:shd w:val="clear" w:color="000000" w:fill="FFFFFF"/>
            <w:noWrap/>
            <w:vAlign w:val="center"/>
            <w:hideMark/>
          </w:tcPr>
          <w:p w14:paraId="5612159F" w14:textId="77777777" w:rsidR="00046B00" w:rsidRPr="00046B00" w:rsidRDefault="00046B00" w:rsidP="00046B00">
            <w:pPr>
              <w:spacing w:before="0" w:after="0" w:line="240" w:lineRule="auto"/>
              <w:rPr>
                <w:rFonts w:ascii="Arial" w:hAnsi="Arial" w:cs="Arial"/>
                <w:sz w:val="16"/>
                <w:szCs w:val="16"/>
              </w:rPr>
            </w:pPr>
            <w:r w:rsidRPr="00046B00">
              <w:rPr>
                <w:rFonts w:ascii="Arial" w:hAnsi="Arial" w:cs="Arial"/>
                <w:sz w:val="16"/>
                <w:szCs w:val="16"/>
              </w:rPr>
              <w:t>Effect of parameter and other variations</w:t>
            </w:r>
          </w:p>
        </w:tc>
        <w:tc>
          <w:tcPr>
            <w:tcW w:w="548" w:type="pct"/>
            <w:tcBorders>
              <w:top w:val="nil"/>
              <w:left w:val="nil"/>
              <w:bottom w:val="single" w:sz="4" w:space="0" w:color="293F5B"/>
              <w:right w:val="nil"/>
            </w:tcBorders>
            <w:shd w:val="clear" w:color="000000" w:fill="FFFFFF"/>
            <w:noWrap/>
            <w:vAlign w:val="center"/>
            <w:hideMark/>
          </w:tcPr>
          <w:p w14:paraId="0ED44E74" w14:textId="77777777" w:rsidR="00046B00" w:rsidRPr="00046B00" w:rsidRDefault="00046B00" w:rsidP="00046B00">
            <w:pPr>
              <w:spacing w:before="0" w:after="0" w:line="240" w:lineRule="auto"/>
              <w:jc w:val="right"/>
              <w:rPr>
                <w:rFonts w:ascii="Arial" w:hAnsi="Arial" w:cs="Arial"/>
                <w:sz w:val="16"/>
                <w:szCs w:val="16"/>
              </w:rPr>
            </w:pPr>
            <w:r w:rsidRPr="00046B00">
              <w:rPr>
                <w:rFonts w:ascii="Arial" w:hAnsi="Arial" w:cs="Arial"/>
                <w:sz w:val="16"/>
                <w:szCs w:val="16"/>
              </w:rPr>
              <w:t>3,959</w:t>
            </w:r>
          </w:p>
        </w:tc>
        <w:tc>
          <w:tcPr>
            <w:tcW w:w="543" w:type="pct"/>
            <w:tcBorders>
              <w:top w:val="nil"/>
              <w:left w:val="nil"/>
              <w:bottom w:val="single" w:sz="4" w:space="0" w:color="293F5B"/>
              <w:right w:val="nil"/>
            </w:tcBorders>
            <w:shd w:val="clear" w:color="000000" w:fill="E6F2FF"/>
            <w:noWrap/>
            <w:vAlign w:val="center"/>
            <w:hideMark/>
          </w:tcPr>
          <w:p w14:paraId="01D27BE1" w14:textId="77777777" w:rsidR="00046B00" w:rsidRPr="00046B00" w:rsidRDefault="00046B00" w:rsidP="00046B00">
            <w:pPr>
              <w:spacing w:before="0" w:after="0" w:line="240" w:lineRule="auto"/>
              <w:jc w:val="right"/>
              <w:rPr>
                <w:rFonts w:ascii="Arial" w:hAnsi="Arial" w:cs="Arial"/>
                <w:sz w:val="16"/>
                <w:szCs w:val="16"/>
              </w:rPr>
            </w:pPr>
            <w:r w:rsidRPr="00046B00">
              <w:rPr>
                <w:rFonts w:ascii="Arial" w:hAnsi="Arial" w:cs="Arial"/>
                <w:sz w:val="16"/>
                <w:szCs w:val="16"/>
              </w:rPr>
              <w:t>-1,989</w:t>
            </w:r>
          </w:p>
        </w:tc>
        <w:tc>
          <w:tcPr>
            <w:tcW w:w="543" w:type="pct"/>
            <w:tcBorders>
              <w:top w:val="nil"/>
              <w:left w:val="nil"/>
              <w:bottom w:val="single" w:sz="4" w:space="0" w:color="293F5B"/>
              <w:right w:val="nil"/>
            </w:tcBorders>
            <w:shd w:val="clear" w:color="000000" w:fill="FFFFFF"/>
            <w:noWrap/>
            <w:vAlign w:val="center"/>
            <w:hideMark/>
          </w:tcPr>
          <w:p w14:paraId="02E72203" w14:textId="77777777" w:rsidR="00046B00" w:rsidRPr="00046B00" w:rsidRDefault="00046B00" w:rsidP="00046B00">
            <w:pPr>
              <w:spacing w:before="0" w:after="0" w:line="240" w:lineRule="auto"/>
              <w:jc w:val="right"/>
              <w:rPr>
                <w:rFonts w:ascii="Arial" w:hAnsi="Arial" w:cs="Arial"/>
                <w:sz w:val="16"/>
                <w:szCs w:val="16"/>
              </w:rPr>
            </w:pPr>
            <w:r w:rsidRPr="00046B00">
              <w:rPr>
                <w:rFonts w:ascii="Arial" w:hAnsi="Arial" w:cs="Arial"/>
                <w:sz w:val="16"/>
                <w:szCs w:val="16"/>
              </w:rPr>
              <w:t>7,839</w:t>
            </w:r>
          </w:p>
        </w:tc>
        <w:tc>
          <w:tcPr>
            <w:tcW w:w="548" w:type="pct"/>
            <w:tcBorders>
              <w:top w:val="nil"/>
              <w:left w:val="nil"/>
              <w:bottom w:val="single" w:sz="4" w:space="0" w:color="293F5B"/>
              <w:right w:val="nil"/>
            </w:tcBorders>
            <w:shd w:val="clear" w:color="000000" w:fill="FFFFFF"/>
            <w:noWrap/>
            <w:vAlign w:val="center"/>
            <w:hideMark/>
          </w:tcPr>
          <w:p w14:paraId="78107434" w14:textId="77777777" w:rsidR="00046B00" w:rsidRPr="00046B00" w:rsidRDefault="00046B00" w:rsidP="00046B00">
            <w:pPr>
              <w:spacing w:before="0" w:after="0" w:line="240" w:lineRule="auto"/>
              <w:jc w:val="right"/>
              <w:rPr>
                <w:rFonts w:ascii="Arial" w:hAnsi="Arial" w:cs="Arial"/>
                <w:sz w:val="16"/>
                <w:szCs w:val="16"/>
              </w:rPr>
            </w:pPr>
            <w:r w:rsidRPr="00046B00">
              <w:rPr>
                <w:rFonts w:ascii="Arial" w:hAnsi="Arial" w:cs="Arial"/>
                <w:sz w:val="16"/>
                <w:szCs w:val="16"/>
              </w:rPr>
              <w:t>10,517</w:t>
            </w:r>
          </w:p>
        </w:tc>
        <w:tc>
          <w:tcPr>
            <w:tcW w:w="69" w:type="pct"/>
            <w:tcBorders>
              <w:top w:val="nil"/>
              <w:left w:val="nil"/>
              <w:bottom w:val="nil"/>
              <w:right w:val="nil"/>
            </w:tcBorders>
            <w:shd w:val="clear" w:color="000000" w:fill="FFFFFF"/>
            <w:noWrap/>
            <w:vAlign w:val="center"/>
            <w:hideMark/>
          </w:tcPr>
          <w:p w14:paraId="2A46D8B0" w14:textId="77777777" w:rsidR="00046B00" w:rsidRPr="00046B00" w:rsidRDefault="00046B00" w:rsidP="00046B00">
            <w:pPr>
              <w:spacing w:before="0" w:after="0" w:line="240" w:lineRule="auto"/>
              <w:rPr>
                <w:rFonts w:ascii="Arial" w:hAnsi="Arial" w:cs="Arial"/>
                <w:sz w:val="16"/>
                <w:szCs w:val="16"/>
              </w:rPr>
            </w:pPr>
            <w:r w:rsidRPr="00046B00">
              <w:rPr>
                <w:rFonts w:ascii="Arial" w:hAnsi="Arial" w:cs="Arial"/>
                <w:sz w:val="16"/>
                <w:szCs w:val="16"/>
              </w:rPr>
              <w:t> </w:t>
            </w:r>
          </w:p>
        </w:tc>
        <w:tc>
          <w:tcPr>
            <w:tcW w:w="548" w:type="pct"/>
            <w:tcBorders>
              <w:top w:val="nil"/>
              <w:left w:val="nil"/>
              <w:bottom w:val="single" w:sz="4" w:space="0" w:color="293F5B"/>
              <w:right w:val="nil"/>
            </w:tcBorders>
            <w:shd w:val="clear" w:color="000000" w:fill="FFFFFF"/>
            <w:noWrap/>
            <w:vAlign w:val="center"/>
            <w:hideMark/>
          </w:tcPr>
          <w:p w14:paraId="7AF39633" w14:textId="77777777" w:rsidR="00046B00" w:rsidRPr="00046B00" w:rsidRDefault="00046B00" w:rsidP="00046B00">
            <w:pPr>
              <w:spacing w:before="0" w:after="0" w:line="240" w:lineRule="auto"/>
              <w:jc w:val="right"/>
              <w:rPr>
                <w:rFonts w:ascii="Arial" w:hAnsi="Arial" w:cs="Arial"/>
                <w:sz w:val="16"/>
                <w:szCs w:val="16"/>
              </w:rPr>
            </w:pPr>
            <w:r w:rsidRPr="00046B00">
              <w:rPr>
                <w:rFonts w:ascii="Arial" w:hAnsi="Arial" w:cs="Arial"/>
                <w:sz w:val="16"/>
                <w:szCs w:val="16"/>
              </w:rPr>
              <w:t>20,326</w:t>
            </w:r>
          </w:p>
        </w:tc>
      </w:tr>
      <w:tr w:rsidR="00046B00" w:rsidRPr="00046B00" w14:paraId="35B575E5" w14:textId="77777777" w:rsidTr="00046B00">
        <w:trPr>
          <w:divId w:val="491213208"/>
          <w:trHeight w:hRule="exact" w:val="225"/>
        </w:trPr>
        <w:tc>
          <w:tcPr>
            <w:tcW w:w="2199" w:type="pct"/>
            <w:tcBorders>
              <w:top w:val="nil"/>
              <w:left w:val="nil"/>
              <w:bottom w:val="nil"/>
              <w:right w:val="nil"/>
            </w:tcBorders>
            <w:shd w:val="clear" w:color="000000" w:fill="FFFFFF"/>
            <w:noWrap/>
            <w:vAlign w:val="center"/>
            <w:hideMark/>
          </w:tcPr>
          <w:p w14:paraId="4AABD581" w14:textId="77777777" w:rsidR="00046B00" w:rsidRPr="00046B00" w:rsidRDefault="00046B00" w:rsidP="00046B00">
            <w:pPr>
              <w:spacing w:before="0" w:after="0" w:line="240" w:lineRule="auto"/>
              <w:rPr>
                <w:rFonts w:ascii="Arial" w:hAnsi="Arial" w:cs="Arial"/>
                <w:b/>
                <w:bCs/>
                <w:sz w:val="16"/>
                <w:szCs w:val="16"/>
              </w:rPr>
            </w:pPr>
            <w:r w:rsidRPr="00046B00">
              <w:rPr>
                <w:rFonts w:ascii="Arial" w:hAnsi="Arial" w:cs="Arial"/>
                <w:b/>
                <w:bCs/>
                <w:sz w:val="16"/>
                <w:szCs w:val="16"/>
              </w:rPr>
              <w:t>Total variations</w:t>
            </w:r>
          </w:p>
        </w:tc>
        <w:tc>
          <w:tcPr>
            <w:tcW w:w="548" w:type="pct"/>
            <w:tcBorders>
              <w:top w:val="single" w:sz="4" w:space="0" w:color="293F5B"/>
              <w:left w:val="nil"/>
              <w:bottom w:val="single" w:sz="4" w:space="0" w:color="293F5B"/>
              <w:right w:val="nil"/>
            </w:tcBorders>
            <w:shd w:val="clear" w:color="000000" w:fill="FFFFFF"/>
            <w:noWrap/>
            <w:vAlign w:val="center"/>
            <w:hideMark/>
          </w:tcPr>
          <w:p w14:paraId="3D2AA1B0" w14:textId="77777777" w:rsidR="00046B00" w:rsidRPr="00046B00" w:rsidRDefault="00046B00" w:rsidP="00046B00">
            <w:pPr>
              <w:spacing w:before="0" w:after="0" w:line="240" w:lineRule="auto"/>
              <w:jc w:val="right"/>
              <w:rPr>
                <w:rFonts w:ascii="Arial" w:hAnsi="Arial" w:cs="Arial"/>
                <w:b/>
                <w:bCs/>
                <w:sz w:val="16"/>
                <w:szCs w:val="16"/>
              </w:rPr>
            </w:pPr>
            <w:r w:rsidRPr="00046B00">
              <w:rPr>
                <w:rFonts w:ascii="Arial" w:hAnsi="Arial" w:cs="Arial"/>
                <w:b/>
                <w:bCs/>
                <w:sz w:val="16"/>
                <w:szCs w:val="16"/>
              </w:rPr>
              <w:t>5,220</w:t>
            </w:r>
          </w:p>
        </w:tc>
        <w:tc>
          <w:tcPr>
            <w:tcW w:w="543" w:type="pct"/>
            <w:tcBorders>
              <w:top w:val="single" w:sz="4" w:space="0" w:color="293F5B"/>
              <w:left w:val="nil"/>
              <w:bottom w:val="single" w:sz="4" w:space="0" w:color="293F5B"/>
              <w:right w:val="nil"/>
            </w:tcBorders>
            <w:shd w:val="clear" w:color="000000" w:fill="E6F2FF"/>
            <w:noWrap/>
            <w:vAlign w:val="center"/>
            <w:hideMark/>
          </w:tcPr>
          <w:p w14:paraId="27899F07" w14:textId="77777777" w:rsidR="00046B00" w:rsidRPr="00046B00" w:rsidRDefault="00046B00" w:rsidP="00046B00">
            <w:pPr>
              <w:spacing w:before="0" w:after="0" w:line="240" w:lineRule="auto"/>
              <w:jc w:val="right"/>
              <w:rPr>
                <w:rFonts w:ascii="Arial" w:hAnsi="Arial" w:cs="Arial"/>
                <w:b/>
                <w:bCs/>
                <w:sz w:val="16"/>
                <w:szCs w:val="16"/>
              </w:rPr>
            </w:pPr>
            <w:r w:rsidRPr="00046B00">
              <w:rPr>
                <w:rFonts w:ascii="Arial" w:hAnsi="Arial" w:cs="Arial"/>
                <w:b/>
                <w:bCs/>
                <w:sz w:val="16"/>
                <w:szCs w:val="16"/>
              </w:rPr>
              <w:t>608</w:t>
            </w:r>
          </w:p>
        </w:tc>
        <w:tc>
          <w:tcPr>
            <w:tcW w:w="543" w:type="pct"/>
            <w:tcBorders>
              <w:top w:val="single" w:sz="4" w:space="0" w:color="293F5B"/>
              <w:left w:val="nil"/>
              <w:bottom w:val="single" w:sz="4" w:space="0" w:color="293F5B"/>
              <w:right w:val="nil"/>
            </w:tcBorders>
            <w:shd w:val="clear" w:color="000000" w:fill="FFFFFF"/>
            <w:noWrap/>
            <w:vAlign w:val="center"/>
            <w:hideMark/>
          </w:tcPr>
          <w:p w14:paraId="65A68AF6" w14:textId="77777777" w:rsidR="00046B00" w:rsidRPr="00046B00" w:rsidRDefault="00046B00" w:rsidP="00046B00">
            <w:pPr>
              <w:spacing w:before="0" w:after="0" w:line="240" w:lineRule="auto"/>
              <w:jc w:val="right"/>
              <w:rPr>
                <w:rFonts w:ascii="Arial" w:hAnsi="Arial" w:cs="Arial"/>
                <w:b/>
                <w:bCs/>
                <w:sz w:val="16"/>
                <w:szCs w:val="16"/>
              </w:rPr>
            </w:pPr>
            <w:r w:rsidRPr="00046B00">
              <w:rPr>
                <w:rFonts w:ascii="Arial" w:hAnsi="Arial" w:cs="Arial"/>
                <w:b/>
                <w:bCs/>
                <w:sz w:val="16"/>
                <w:szCs w:val="16"/>
              </w:rPr>
              <w:t>8,620</w:t>
            </w:r>
          </w:p>
        </w:tc>
        <w:tc>
          <w:tcPr>
            <w:tcW w:w="548" w:type="pct"/>
            <w:tcBorders>
              <w:top w:val="single" w:sz="4" w:space="0" w:color="293F5B"/>
              <w:left w:val="nil"/>
              <w:bottom w:val="single" w:sz="4" w:space="0" w:color="293F5B"/>
              <w:right w:val="nil"/>
            </w:tcBorders>
            <w:shd w:val="clear" w:color="000000" w:fill="FFFFFF"/>
            <w:noWrap/>
            <w:vAlign w:val="center"/>
            <w:hideMark/>
          </w:tcPr>
          <w:p w14:paraId="412DDAC8" w14:textId="77777777" w:rsidR="00046B00" w:rsidRPr="00046B00" w:rsidRDefault="00046B00" w:rsidP="00046B00">
            <w:pPr>
              <w:spacing w:before="0" w:after="0" w:line="240" w:lineRule="auto"/>
              <w:jc w:val="right"/>
              <w:rPr>
                <w:rFonts w:ascii="Arial" w:hAnsi="Arial" w:cs="Arial"/>
                <w:b/>
                <w:bCs/>
                <w:sz w:val="16"/>
                <w:szCs w:val="16"/>
              </w:rPr>
            </w:pPr>
            <w:r w:rsidRPr="00046B00">
              <w:rPr>
                <w:rFonts w:ascii="Arial" w:hAnsi="Arial" w:cs="Arial"/>
                <w:b/>
                <w:bCs/>
                <w:sz w:val="16"/>
                <w:szCs w:val="16"/>
              </w:rPr>
              <w:t>11,759</w:t>
            </w:r>
          </w:p>
        </w:tc>
        <w:tc>
          <w:tcPr>
            <w:tcW w:w="69" w:type="pct"/>
            <w:tcBorders>
              <w:top w:val="nil"/>
              <w:left w:val="nil"/>
              <w:bottom w:val="nil"/>
              <w:right w:val="nil"/>
            </w:tcBorders>
            <w:shd w:val="clear" w:color="000000" w:fill="FFFFFF"/>
            <w:noWrap/>
            <w:vAlign w:val="center"/>
            <w:hideMark/>
          </w:tcPr>
          <w:p w14:paraId="172EF536" w14:textId="77777777" w:rsidR="00046B00" w:rsidRPr="00046B00" w:rsidRDefault="00046B00" w:rsidP="00046B00">
            <w:pPr>
              <w:spacing w:before="0" w:after="0" w:line="240" w:lineRule="auto"/>
              <w:rPr>
                <w:rFonts w:ascii="Arial" w:hAnsi="Arial" w:cs="Arial"/>
                <w:b/>
                <w:bCs/>
                <w:sz w:val="16"/>
                <w:szCs w:val="16"/>
              </w:rPr>
            </w:pPr>
            <w:r w:rsidRPr="00046B00">
              <w:rPr>
                <w:rFonts w:ascii="Arial" w:hAnsi="Arial" w:cs="Arial"/>
                <w:b/>
                <w:bCs/>
                <w:sz w:val="16"/>
                <w:szCs w:val="16"/>
              </w:rPr>
              <w:t> </w:t>
            </w:r>
          </w:p>
        </w:tc>
        <w:tc>
          <w:tcPr>
            <w:tcW w:w="548" w:type="pct"/>
            <w:tcBorders>
              <w:top w:val="single" w:sz="4" w:space="0" w:color="293F5B"/>
              <w:left w:val="nil"/>
              <w:bottom w:val="single" w:sz="4" w:space="0" w:color="293F5B"/>
              <w:right w:val="nil"/>
            </w:tcBorders>
            <w:shd w:val="clear" w:color="000000" w:fill="FFFFFF"/>
            <w:noWrap/>
            <w:vAlign w:val="center"/>
            <w:hideMark/>
          </w:tcPr>
          <w:p w14:paraId="7F81E830" w14:textId="77777777" w:rsidR="00046B00" w:rsidRPr="00046B00" w:rsidRDefault="00046B00" w:rsidP="00046B00">
            <w:pPr>
              <w:spacing w:before="0" w:after="0" w:line="240" w:lineRule="auto"/>
              <w:jc w:val="right"/>
              <w:rPr>
                <w:rFonts w:ascii="Arial" w:hAnsi="Arial" w:cs="Arial"/>
                <w:b/>
                <w:bCs/>
                <w:sz w:val="16"/>
                <w:szCs w:val="16"/>
              </w:rPr>
            </w:pPr>
            <w:r w:rsidRPr="00046B00">
              <w:rPr>
                <w:rFonts w:ascii="Arial" w:hAnsi="Arial" w:cs="Arial"/>
                <w:b/>
                <w:bCs/>
                <w:sz w:val="16"/>
                <w:szCs w:val="16"/>
              </w:rPr>
              <w:t>26,207</w:t>
            </w:r>
          </w:p>
        </w:tc>
      </w:tr>
      <w:tr w:rsidR="00046B00" w:rsidRPr="00046B00" w14:paraId="02BD6FAD" w14:textId="77777777" w:rsidTr="007650F7">
        <w:trPr>
          <w:divId w:val="491213208"/>
          <w:trHeight w:hRule="exact" w:val="60"/>
        </w:trPr>
        <w:tc>
          <w:tcPr>
            <w:tcW w:w="2199" w:type="pct"/>
            <w:tcBorders>
              <w:top w:val="nil"/>
              <w:left w:val="nil"/>
              <w:bottom w:val="nil"/>
              <w:right w:val="nil"/>
            </w:tcBorders>
            <w:shd w:val="clear" w:color="000000" w:fill="FFFFFF"/>
            <w:noWrap/>
            <w:vAlign w:val="center"/>
            <w:hideMark/>
          </w:tcPr>
          <w:p w14:paraId="0D78A0CB" w14:textId="77777777" w:rsidR="00046B00" w:rsidRPr="00046B00" w:rsidRDefault="00046B00" w:rsidP="00046B00">
            <w:pPr>
              <w:spacing w:before="0" w:after="0" w:line="240" w:lineRule="auto"/>
              <w:rPr>
                <w:rFonts w:ascii="Arial" w:hAnsi="Arial" w:cs="Arial"/>
                <w:b/>
                <w:bCs/>
                <w:sz w:val="16"/>
                <w:szCs w:val="16"/>
              </w:rPr>
            </w:pPr>
            <w:r w:rsidRPr="00046B00">
              <w:rPr>
                <w:rFonts w:ascii="Arial" w:hAnsi="Arial" w:cs="Arial"/>
                <w:b/>
                <w:bCs/>
                <w:sz w:val="16"/>
                <w:szCs w:val="16"/>
              </w:rPr>
              <w:t> </w:t>
            </w:r>
          </w:p>
        </w:tc>
        <w:tc>
          <w:tcPr>
            <w:tcW w:w="548" w:type="pct"/>
            <w:tcBorders>
              <w:top w:val="single" w:sz="4" w:space="0" w:color="293F5B"/>
              <w:left w:val="nil"/>
              <w:bottom w:val="nil"/>
              <w:right w:val="nil"/>
            </w:tcBorders>
            <w:shd w:val="clear" w:color="000000" w:fill="FFFFFF"/>
            <w:noWrap/>
            <w:vAlign w:val="center"/>
            <w:hideMark/>
          </w:tcPr>
          <w:p w14:paraId="67BD53FA" w14:textId="77777777" w:rsidR="00046B00" w:rsidRPr="00046B00" w:rsidRDefault="00046B00" w:rsidP="00046B00">
            <w:pPr>
              <w:spacing w:before="0" w:after="0" w:line="240" w:lineRule="auto"/>
              <w:rPr>
                <w:rFonts w:ascii="Arial" w:hAnsi="Arial" w:cs="Arial"/>
                <w:sz w:val="16"/>
                <w:szCs w:val="16"/>
              </w:rPr>
            </w:pPr>
            <w:r w:rsidRPr="00046B00">
              <w:rPr>
                <w:rFonts w:ascii="Arial" w:hAnsi="Arial" w:cs="Arial"/>
                <w:sz w:val="16"/>
                <w:szCs w:val="16"/>
              </w:rPr>
              <w:t> </w:t>
            </w:r>
          </w:p>
        </w:tc>
        <w:tc>
          <w:tcPr>
            <w:tcW w:w="543" w:type="pct"/>
            <w:tcBorders>
              <w:top w:val="single" w:sz="4" w:space="0" w:color="293F5B"/>
              <w:left w:val="nil"/>
              <w:bottom w:val="nil"/>
              <w:right w:val="nil"/>
            </w:tcBorders>
            <w:shd w:val="clear" w:color="000000" w:fill="E6F2FF"/>
            <w:noWrap/>
            <w:vAlign w:val="center"/>
            <w:hideMark/>
          </w:tcPr>
          <w:p w14:paraId="654B7B8E" w14:textId="77777777" w:rsidR="00046B00" w:rsidRPr="00046B00" w:rsidRDefault="00046B00" w:rsidP="00046B00">
            <w:pPr>
              <w:spacing w:before="0" w:after="0" w:line="240" w:lineRule="auto"/>
              <w:rPr>
                <w:rFonts w:ascii="Arial" w:hAnsi="Arial" w:cs="Arial"/>
                <w:sz w:val="16"/>
                <w:szCs w:val="16"/>
              </w:rPr>
            </w:pPr>
            <w:r w:rsidRPr="00046B00">
              <w:rPr>
                <w:rFonts w:ascii="Arial" w:hAnsi="Arial" w:cs="Arial"/>
                <w:sz w:val="16"/>
                <w:szCs w:val="16"/>
              </w:rPr>
              <w:t> </w:t>
            </w:r>
          </w:p>
        </w:tc>
        <w:tc>
          <w:tcPr>
            <w:tcW w:w="543" w:type="pct"/>
            <w:tcBorders>
              <w:top w:val="single" w:sz="4" w:space="0" w:color="293F5B"/>
              <w:left w:val="nil"/>
              <w:bottom w:val="nil"/>
              <w:right w:val="nil"/>
            </w:tcBorders>
            <w:shd w:val="clear" w:color="000000" w:fill="FFFFFF"/>
            <w:noWrap/>
            <w:vAlign w:val="center"/>
            <w:hideMark/>
          </w:tcPr>
          <w:p w14:paraId="1BCFD958" w14:textId="77777777" w:rsidR="00046B00" w:rsidRPr="00046B00" w:rsidRDefault="00046B00" w:rsidP="00046B00">
            <w:pPr>
              <w:spacing w:before="0" w:after="0" w:line="240" w:lineRule="auto"/>
              <w:rPr>
                <w:rFonts w:ascii="Arial" w:hAnsi="Arial" w:cs="Arial"/>
                <w:sz w:val="16"/>
                <w:szCs w:val="16"/>
              </w:rPr>
            </w:pPr>
            <w:r w:rsidRPr="00046B00">
              <w:rPr>
                <w:rFonts w:ascii="Arial" w:hAnsi="Arial" w:cs="Arial"/>
                <w:sz w:val="16"/>
                <w:szCs w:val="16"/>
              </w:rPr>
              <w:t> </w:t>
            </w:r>
          </w:p>
        </w:tc>
        <w:tc>
          <w:tcPr>
            <w:tcW w:w="548" w:type="pct"/>
            <w:tcBorders>
              <w:top w:val="single" w:sz="4" w:space="0" w:color="293F5B"/>
              <w:left w:val="nil"/>
              <w:bottom w:val="nil"/>
              <w:right w:val="nil"/>
            </w:tcBorders>
            <w:shd w:val="clear" w:color="000000" w:fill="FFFFFF"/>
            <w:noWrap/>
            <w:vAlign w:val="center"/>
            <w:hideMark/>
          </w:tcPr>
          <w:p w14:paraId="0FD1C7E2" w14:textId="77777777" w:rsidR="00046B00" w:rsidRPr="00046B00" w:rsidRDefault="00046B00" w:rsidP="00046B00">
            <w:pPr>
              <w:spacing w:before="0" w:after="0" w:line="240" w:lineRule="auto"/>
              <w:rPr>
                <w:rFonts w:ascii="Arial" w:hAnsi="Arial" w:cs="Arial"/>
                <w:sz w:val="16"/>
                <w:szCs w:val="16"/>
              </w:rPr>
            </w:pPr>
            <w:r w:rsidRPr="00046B00">
              <w:rPr>
                <w:rFonts w:ascii="Arial" w:hAnsi="Arial" w:cs="Arial"/>
                <w:sz w:val="16"/>
                <w:szCs w:val="16"/>
              </w:rPr>
              <w:t> </w:t>
            </w:r>
          </w:p>
        </w:tc>
        <w:tc>
          <w:tcPr>
            <w:tcW w:w="69" w:type="pct"/>
            <w:tcBorders>
              <w:top w:val="nil"/>
              <w:left w:val="nil"/>
              <w:bottom w:val="nil"/>
              <w:right w:val="nil"/>
            </w:tcBorders>
            <w:shd w:val="clear" w:color="000000" w:fill="FFFFFF"/>
            <w:noWrap/>
            <w:vAlign w:val="center"/>
            <w:hideMark/>
          </w:tcPr>
          <w:p w14:paraId="7DEDE471" w14:textId="77777777" w:rsidR="00046B00" w:rsidRPr="00046B00" w:rsidRDefault="00046B00" w:rsidP="00046B00">
            <w:pPr>
              <w:spacing w:before="0" w:after="0" w:line="240" w:lineRule="auto"/>
              <w:rPr>
                <w:rFonts w:ascii="Arial" w:hAnsi="Arial" w:cs="Arial"/>
                <w:sz w:val="16"/>
                <w:szCs w:val="16"/>
              </w:rPr>
            </w:pPr>
            <w:r w:rsidRPr="00046B00">
              <w:rPr>
                <w:rFonts w:ascii="Arial" w:hAnsi="Arial" w:cs="Arial"/>
                <w:sz w:val="16"/>
                <w:szCs w:val="16"/>
              </w:rPr>
              <w:t> </w:t>
            </w:r>
          </w:p>
        </w:tc>
        <w:tc>
          <w:tcPr>
            <w:tcW w:w="548" w:type="pct"/>
            <w:tcBorders>
              <w:top w:val="single" w:sz="4" w:space="0" w:color="293F5B"/>
              <w:left w:val="nil"/>
              <w:bottom w:val="nil"/>
              <w:right w:val="nil"/>
            </w:tcBorders>
            <w:shd w:val="clear" w:color="000000" w:fill="FFFFFF"/>
            <w:noWrap/>
            <w:vAlign w:val="center"/>
            <w:hideMark/>
          </w:tcPr>
          <w:p w14:paraId="2A61BDDC" w14:textId="77777777" w:rsidR="00046B00" w:rsidRPr="00046B00" w:rsidRDefault="00046B00" w:rsidP="00046B00">
            <w:pPr>
              <w:spacing w:before="0" w:after="0" w:line="240" w:lineRule="auto"/>
              <w:rPr>
                <w:rFonts w:ascii="Arial" w:hAnsi="Arial" w:cs="Arial"/>
                <w:sz w:val="16"/>
                <w:szCs w:val="16"/>
              </w:rPr>
            </w:pPr>
            <w:r w:rsidRPr="00046B00">
              <w:rPr>
                <w:rFonts w:ascii="Arial" w:hAnsi="Arial" w:cs="Arial"/>
                <w:sz w:val="16"/>
                <w:szCs w:val="16"/>
              </w:rPr>
              <w:t> </w:t>
            </w:r>
          </w:p>
        </w:tc>
      </w:tr>
      <w:tr w:rsidR="00046B00" w:rsidRPr="00046B00" w14:paraId="0E81E343" w14:textId="77777777" w:rsidTr="00046B00">
        <w:trPr>
          <w:divId w:val="491213208"/>
          <w:trHeight w:hRule="exact" w:val="225"/>
        </w:trPr>
        <w:tc>
          <w:tcPr>
            <w:tcW w:w="2199" w:type="pct"/>
            <w:tcBorders>
              <w:top w:val="nil"/>
              <w:left w:val="nil"/>
              <w:bottom w:val="nil"/>
              <w:right w:val="nil"/>
            </w:tcBorders>
            <w:shd w:val="clear" w:color="000000" w:fill="FFFFFF"/>
            <w:noWrap/>
            <w:vAlign w:val="center"/>
            <w:hideMark/>
          </w:tcPr>
          <w:p w14:paraId="3871EFA7" w14:textId="77777777" w:rsidR="00046B00" w:rsidRPr="00046B00" w:rsidRDefault="00046B00" w:rsidP="00046B00">
            <w:pPr>
              <w:spacing w:before="0" w:after="0" w:line="240" w:lineRule="auto"/>
              <w:rPr>
                <w:rFonts w:ascii="Arial" w:hAnsi="Arial" w:cs="Arial"/>
                <w:b/>
                <w:bCs/>
                <w:sz w:val="16"/>
                <w:szCs w:val="16"/>
              </w:rPr>
            </w:pPr>
            <w:r w:rsidRPr="00046B00">
              <w:rPr>
                <w:rFonts w:ascii="Arial" w:hAnsi="Arial" w:cs="Arial"/>
                <w:b/>
                <w:bCs/>
                <w:sz w:val="16"/>
                <w:szCs w:val="16"/>
              </w:rPr>
              <w:t>2023-24 MYEFO expenses</w:t>
            </w:r>
          </w:p>
        </w:tc>
        <w:tc>
          <w:tcPr>
            <w:tcW w:w="548" w:type="pct"/>
            <w:tcBorders>
              <w:top w:val="nil"/>
              <w:left w:val="nil"/>
              <w:bottom w:val="nil"/>
              <w:right w:val="nil"/>
            </w:tcBorders>
            <w:shd w:val="clear" w:color="000000" w:fill="FFFFFF"/>
            <w:noWrap/>
            <w:vAlign w:val="center"/>
            <w:hideMark/>
          </w:tcPr>
          <w:p w14:paraId="0603AF2B" w14:textId="77777777" w:rsidR="00046B00" w:rsidRPr="00046B00" w:rsidRDefault="00046B00" w:rsidP="00046B00">
            <w:pPr>
              <w:spacing w:before="0" w:after="0" w:line="240" w:lineRule="auto"/>
              <w:jc w:val="right"/>
              <w:rPr>
                <w:rFonts w:ascii="Arial" w:hAnsi="Arial" w:cs="Arial"/>
                <w:b/>
                <w:bCs/>
                <w:sz w:val="16"/>
                <w:szCs w:val="16"/>
              </w:rPr>
            </w:pPr>
            <w:r w:rsidRPr="00046B00">
              <w:rPr>
                <w:rFonts w:ascii="Arial" w:hAnsi="Arial" w:cs="Arial"/>
                <w:b/>
                <w:bCs/>
                <w:sz w:val="16"/>
                <w:szCs w:val="16"/>
              </w:rPr>
              <w:t>689,306</w:t>
            </w:r>
          </w:p>
        </w:tc>
        <w:tc>
          <w:tcPr>
            <w:tcW w:w="543" w:type="pct"/>
            <w:tcBorders>
              <w:top w:val="nil"/>
              <w:left w:val="nil"/>
              <w:bottom w:val="nil"/>
              <w:right w:val="nil"/>
            </w:tcBorders>
            <w:shd w:val="clear" w:color="000000" w:fill="E6F2FF"/>
            <w:noWrap/>
            <w:vAlign w:val="center"/>
            <w:hideMark/>
          </w:tcPr>
          <w:p w14:paraId="5663B267" w14:textId="77777777" w:rsidR="00046B00" w:rsidRPr="00046B00" w:rsidRDefault="00046B00" w:rsidP="00046B00">
            <w:pPr>
              <w:spacing w:before="0" w:after="0" w:line="240" w:lineRule="auto"/>
              <w:jc w:val="right"/>
              <w:rPr>
                <w:rFonts w:ascii="Arial" w:hAnsi="Arial" w:cs="Arial"/>
                <w:b/>
                <w:bCs/>
                <w:sz w:val="16"/>
                <w:szCs w:val="16"/>
              </w:rPr>
            </w:pPr>
            <w:r w:rsidRPr="00046B00">
              <w:rPr>
                <w:rFonts w:ascii="Arial" w:hAnsi="Arial" w:cs="Arial"/>
                <w:b/>
                <w:bCs/>
                <w:sz w:val="16"/>
                <w:szCs w:val="16"/>
              </w:rPr>
              <w:t>715,990</w:t>
            </w:r>
          </w:p>
        </w:tc>
        <w:tc>
          <w:tcPr>
            <w:tcW w:w="543" w:type="pct"/>
            <w:tcBorders>
              <w:top w:val="nil"/>
              <w:left w:val="nil"/>
              <w:bottom w:val="nil"/>
              <w:right w:val="nil"/>
            </w:tcBorders>
            <w:shd w:val="clear" w:color="000000" w:fill="FFFFFF"/>
            <w:noWrap/>
            <w:vAlign w:val="center"/>
            <w:hideMark/>
          </w:tcPr>
          <w:p w14:paraId="49BFF295" w14:textId="77777777" w:rsidR="00046B00" w:rsidRPr="00046B00" w:rsidRDefault="00046B00" w:rsidP="00046B00">
            <w:pPr>
              <w:spacing w:before="0" w:after="0" w:line="240" w:lineRule="auto"/>
              <w:jc w:val="right"/>
              <w:rPr>
                <w:rFonts w:ascii="Arial" w:hAnsi="Arial" w:cs="Arial"/>
                <w:b/>
                <w:bCs/>
                <w:sz w:val="16"/>
                <w:szCs w:val="16"/>
              </w:rPr>
            </w:pPr>
            <w:r w:rsidRPr="00046B00">
              <w:rPr>
                <w:rFonts w:ascii="Arial" w:hAnsi="Arial" w:cs="Arial"/>
                <w:b/>
                <w:bCs/>
                <w:sz w:val="16"/>
                <w:szCs w:val="16"/>
              </w:rPr>
              <w:t>751,944</w:t>
            </w:r>
          </w:p>
        </w:tc>
        <w:tc>
          <w:tcPr>
            <w:tcW w:w="548" w:type="pct"/>
            <w:tcBorders>
              <w:top w:val="nil"/>
              <w:left w:val="nil"/>
              <w:bottom w:val="nil"/>
              <w:right w:val="nil"/>
            </w:tcBorders>
            <w:shd w:val="clear" w:color="000000" w:fill="FFFFFF"/>
            <w:noWrap/>
            <w:vAlign w:val="center"/>
            <w:hideMark/>
          </w:tcPr>
          <w:p w14:paraId="63CA1DCF" w14:textId="77777777" w:rsidR="00046B00" w:rsidRPr="00046B00" w:rsidRDefault="00046B00" w:rsidP="00046B00">
            <w:pPr>
              <w:spacing w:before="0" w:after="0" w:line="240" w:lineRule="auto"/>
              <w:jc w:val="right"/>
              <w:rPr>
                <w:rFonts w:ascii="Arial" w:hAnsi="Arial" w:cs="Arial"/>
                <w:b/>
                <w:bCs/>
                <w:sz w:val="16"/>
                <w:szCs w:val="16"/>
              </w:rPr>
            </w:pPr>
            <w:r w:rsidRPr="00046B00">
              <w:rPr>
                <w:rFonts w:ascii="Arial" w:hAnsi="Arial" w:cs="Arial"/>
                <w:b/>
                <w:bCs/>
                <w:sz w:val="16"/>
                <w:szCs w:val="16"/>
              </w:rPr>
              <w:t>783,537</w:t>
            </w:r>
          </w:p>
        </w:tc>
        <w:tc>
          <w:tcPr>
            <w:tcW w:w="69" w:type="pct"/>
            <w:tcBorders>
              <w:top w:val="nil"/>
              <w:left w:val="nil"/>
              <w:bottom w:val="nil"/>
              <w:right w:val="nil"/>
            </w:tcBorders>
            <w:shd w:val="clear" w:color="000000" w:fill="FFFFFF"/>
            <w:noWrap/>
            <w:vAlign w:val="center"/>
            <w:hideMark/>
          </w:tcPr>
          <w:p w14:paraId="5BE68CAD" w14:textId="77777777" w:rsidR="00046B00" w:rsidRPr="00046B00" w:rsidRDefault="00046B00" w:rsidP="00046B00">
            <w:pPr>
              <w:spacing w:before="0" w:after="0" w:line="240" w:lineRule="auto"/>
              <w:rPr>
                <w:rFonts w:ascii="Arial" w:hAnsi="Arial" w:cs="Arial"/>
                <w:b/>
                <w:bCs/>
                <w:sz w:val="16"/>
                <w:szCs w:val="16"/>
              </w:rPr>
            </w:pPr>
            <w:r w:rsidRPr="00046B00">
              <w:rPr>
                <w:rFonts w:ascii="Arial" w:hAnsi="Arial" w:cs="Arial"/>
                <w:b/>
                <w:bCs/>
                <w:sz w:val="16"/>
                <w:szCs w:val="16"/>
              </w:rPr>
              <w:t> </w:t>
            </w:r>
          </w:p>
        </w:tc>
        <w:tc>
          <w:tcPr>
            <w:tcW w:w="548" w:type="pct"/>
            <w:tcBorders>
              <w:top w:val="nil"/>
              <w:left w:val="nil"/>
              <w:bottom w:val="nil"/>
              <w:right w:val="nil"/>
            </w:tcBorders>
            <w:shd w:val="clear" w:color="000000" w:fill="FFFFFF"/>
            <w:noWrap/>
            <w:vAlign w:val="center"/>
            <w:hideMark/>
          </w:tcPr>
          <w:p w14:paraId="36AFBA11" w14:textId="77777777" w:rsidR="00046B00" w:rsidRPr="00046B00" w:rsidRDefault="00046B00" w:rsidP="00046B00">
            <w:pPr>
              <w:spacing w:before="0" w:after="0" w:line="240" w:lineRule="auto"/>
              <w:jc w:val="right"/>
              <w:rPr>
                <w:rFonts w:ascii="Arial" w:hAnsi="Arial" w:cs="Arial"/>
                <w:b/>
                <w:bCs/>
                <w:sz w:val="16"/>
                <w:szCs w:val="16"/>
              </w:rPr>
            </w:pPr>
            <w:r w:rsidRPr="00046B00">
              <w:rPr>
                <w:rFonts w:ascii="Arial" w:hAnsi="Arial" w:cs="Arial"/>
                <w:b/>
                <w:bCs/>
                <w:sz w:val="16"/>
                <w:szCs w:val="16"/>
              </w:rPr>
              <w:t>2,940,777</w:t>
            </w:r>
          </w:p>
        </w:tc>
      </w:tr>
      <w:tr w:rsidR="00046B00" w:rsidRPr="00046B00" w14:paraId="731B0409" w14:textId="77777777" w:rsidTr="00046B00">
        <w:trPr>
          <w:divId w:val="491213208"/>
          <w:trHeight w:hRule="exact" w:val="60"/>
        </w:trPr>
        <w:tc>
          <w:tcPr>
            <w:tcW w:w="2199" w:type="pct"/>
            <w:tcBorders>
              <w:top w:val="nil"/>
              <w:left w:val="nil"/>
              <w:bottom w:val="nil"/>
              <w:right w:val="nil"/>
            </w:tcBorders>
            <w:shd w:val="clear" w:color="000000" w:fill="FFFFFF"/>
            <w:noWrap/>
            <w:vAlign w:val="center"/>
            <w:hideMark/>
          </w:tcPr>
          <w:p w14:paraId="27F846F3" w14:textId="77777777" w:rsidR="00046B00" w:rsidRPr="00046B00" w:rsidRDefault="00046B00" w:rsidP="00046B00">
            <w:pPr>
              <w:spacing w:before="0" w:after="0" w:line="240" w:lineRule="auto"/>
              <w:rPr>
                <w:rFonts w:ascii="Arial" w:hAnsi="Arial" w:cs="Arial"/>
                <w:b/>
                <w:bCs/>
                <w:sz w:val="16"/>
                <w:szCs w:val="16"/>
              </w:rPr>
            </w:pPr>
            <w:r w:rsidRPr="00046B00">
              <w:rPr>
                <w:rFonts w:ascii="Arial" w:hAnsi="Arial" w:cs="Arial"/>
                <w:b/>
                <w:bCs/>
                <w:sz w:val="16"/>
                <w:szCs w:val="16"/>
              </w:rPr>
              <w:t> </w:t>
            </w:r>
          </w:p>
        </w:tc>
        <w:tc>
          <w:tcPr>
            <w:tcW w:w="548" w:type="pct"/>
            <w:tcBorders>
              <w:top w:val="nil"/>
              <w:left w:val="nil"/>
              <w:bottom w:val="nil"/>
              <w:right w:val="nil"/>
            </w:tcBorders>
            <w:shd w:val="clear" w:color="000000" w:fill="FFFFFF"/>
            <w:noWrap/>
            <w:vAlign w:val="center"/>
            <w:hideMark/>
          </w:tcPr>
          <w:p w14:paraId="7AC6A84C" w14:textId="77777777" w:rsidR="00046B00" w:rsidRPr="00046B00" w:rsidRDefault="00046B00" w:rsidP="00046B00">
            <w:pPr>
              <w:spacing w:before="0" w:after="0" w:line="240" w:lineRule="auto"/>
              <w:rPr>
                <w:rFonts w:ascii="Arial" w:hAnsi="Arial" w:cs="Arial"/>
                <w:sz w:val="16"/>
                <w:szCs w:val="16"/>
              </w:rPr>
            </w:pPr>
            <w:r w:rsidRPr="00046B00">
              <w:rPr>
                <w:rFonts w:ascii="Arial" w:hAnsi="Arial" w:cs="Arial"/>
                <w:sz w:val="16"/>
                <w:szCs w:val="16"/>
              </w:rPr>
              <w:t> </w:t>
            </w:r>
          </w:p>
        </w:tc>
        <w:tc>
          <w:tcPr>
            <w:tcW w:w="543" w:type="pct"/>
            <w:tcBorders>
              <w:top w:val="nil"/>
              <w:left w:val="nil"/>
              <w:bottom w:val="nil"/>
              <w:right w:val="nil"/>
            </w:tcBorders>
            <w:shd w:val="clear" w:color="000000" w:fill="E6F2FF"/>
            <w:noWrap/>
            <w:vAlign w:val="center"/>
            <w:hideMark/>
          </w:tcPr>
          <w:p w14:paraId="32336B83" w14:textId="77777777" w:rsidR="00046B00" w:rsidRPr="00046B00" w:rsidRDefault="00046B00" w:rsidP="00046B00">
            <w:pPr>
              <w:spacing w:before="0" w:after="0" w:line="240" w:lineRule="auto"/>
              <w:rPr>
                <w:rFonts w:ascii="Arial" w:hAnsi="Arial" w:cs="Arial"/>
                <w:sz w:val="16"/>
                <w:szCs w:val="16"/>
              </w:rPr>
            </w:pPr>
            <w:r w:rsidRPr="00046B00">
              <w:rPr>
                <w:rFonts w:ascii="Arial" w:hAnsi="Arial" w:cs="Arial"/>
                <w:sz w:val="16"/>
                <w:szCs w:val="16"/>
              </w:rPr>
              <w:t> </w:t>
            </w:r>
          </w:p>
        </w:tc>
        <w:tc>
          <w:tcPr>
            <w:tcW w:w="543" w:type="pct"/>
            <w:tcBorders>
              <w:top w:val="nil"/>
              <w:left w:val="nil"/>
              <w:bottom w:val="nil"/>
              <w:right w:val="nil"/>
            </w:tcBorders>
            <w:shd w:val="clear" w:color="000000" w:fill="FFFFFF"/>
            <w:noWrap/>
            <w:vAlign w:val="center"/>
            <w:hideMark/>
          </w:tcPr>
          <w:p w14:paraId="79B05CD3" w14:textId="77777777" w:rsidR="00046B00" w:rsidRPr="00046B00" w:rsidRDefault="00046B00" w:rsidP="00046B00">
            <w:pPr>
              <w:spacing w:before="0" w:after="0" w:line="240" w:lineRule="auto"/>
              <w:rPr>
                <w:rFonts w:ascii="Arial" w:hAnsi="Arial" w:cs="Arial"/>
                <w:sz w:val="16"/>
                <w:szCs w:val="16"/>
              </w:rPr>
            </w:pPr>
            <w:r w:rsidRPr="00046B00">
              <w:rPr>
                <w:rFonts w:ascii="Arial" w:hAnsi="Arial" w:cs="Arial"/>
                <w:sz w:val="16"/>
                <w:szCs w:val="16"/>
              </w:rPr>
              <w:t> </w:t>
            </w:r>
          </w:p>
        </w:tc>
        <w:tc>
          <w:tcPr>
            <w:tcW w:w="548" w:type="pct"/>
            <w:tcBorders>
              <w:top w:val="nil"/>
              <w:left w:val="nil"/>
              <w:bottom w:val="nil"/>
              <w:right w:val="nil"/>
            </w:tcBorders>
            <w:shd w:val="clear" w:color="000000" w:fill="FFFFFF"/>
            <w:noWrap/>
            <w:vAlign w:val="center"/>
            <w:hideMark/>
          </w:tcPr>
          <w:p w14:paraId="7DE5FB7E" w14:textId="77777777" w:rsidR="00046B00" w:rsidRPr="00046B00" w:rsidRDefault="00046B00" w:rsidP="00046B00">
            <w:pPr>
              <w:spacing w:before="0" w:after="0" w:line="240" w:lineRule="auto"/>
              <w:rPr>
                <w:rFonts w:ascii="Arial" w:hAnsi="Arial" w:cs="Arial"/>
                <w:sz w:val="16"/>
                <w:szCs w:val="16"/>
              </w:rPr>
            </w:pPr>
            <w:r w:rsidRPr="00046B00">
              <w:rPr>
                <w:rFonts w:ascii="Arial" w:hAnsi="Arial" w:cs="Arial"/>
                <w:sz w:val="16"/>
                <w:szCs w:val="16"/>
              </w:rPr>
              <w:t> </w:t>
            </w:r>
          </w:p>
        </w:tc>
        <w:tc>
          <w:tcPr>
            <w:tcW w:w="69" w:type="pct"/>
            <w:tcBorders>
              <w:top w:val="nil"/>
              <w:left w:val="nil"/>
              <w:bottom w:val="nil"/>
              <w:right w:val="nil"/>
            </w:tcBorders>
            <w:shd w:val="clear" w:color="000000" w:fill="FFFFFF"/>
            <w:noWrap/>
            <w:vAlign w:val="center"/>
            <w:hideMark/>
          </w:tcPr>
          <w:p w14:paraId="7AEDFFE4" w14:textId="77777777" w:rsidR="00046B00" w:rsidRPr="00046B00" w:rsidRDefault="00046B00" w:rsidP="00046B00">
            <w:pPr>
              <w:spacing w:before="0" w:after="0" w:line="240" w:lineRule="auto"/>
              <w:rPr>
                <w:rFonts w:ascii="Arial" w:hAnsi="Arial" w:cs="Arial"/>
                <w:sz w:val="16"/>
                <w:szCs w:val="16"/>
              </w:rPr>
            </w:pPr>
            <w:r w:rsidRPr="00046B00">
              <w:rPr>
                <w:rFonts w:ascii="Arial" w:hAnsi="Arial" w:cs="Arial"/>
                <w:sz w:val="16"/>
                <w:szCs w:val="16"/>
              </w:rPr>
              <w:t> </w:t>
            </w:r>
          </w:p>
        </w:tc>
        <w:tc>
          <w:tcPr>
            <w:tcW w:w="548" w:type="pct"/>
            <w:tcBorders>
              <w:top w:val="nil"/>
              <w:left w:val="nil"/>
              <w:bottom w:val="nil"/>
              <w:right w:val="nil"/>
            </w:tcBorders>
            <w:shd w:val="clear" w:color="000000" w:fill="FFFFFF"/>
            <w:noWrap/>
            <w:vAlign w:val="center"/>
            <w:hideMark/>
          </w:tcPr>
          <w:p w14:paraId="177EB60E" w14:textId="77777777" w:rsidR="00046B00" w:rsidRPr="00046B00" w:rsidRDefault="00046B00" w:rsidP="00046B00">
            <w:pPr>
              <w:spacing w:before="0" w:after="0" w:line="240" w:lineRule="auto"/>
              <w:rPr>
                <w:rFonts w:ascii="Arial" w:hAnsi="Arial" w:cs="Arial"/>
                <w:sz w:val="16"/>
                <w:szCs w:val="16"/>
              </w:rPr>
            </w:pPr>
            <w:r w:rsidRPr="00046B00">
              <w:rPr>
                <w:rFonts w:ascii="Arial" w:hAnsi="Arial" w:cs="Arial"/>
                <w:sz w:val="16"/>
                <w:szCs w:val="16"/>
              </w:rPr>
              <w:t> </w:t>
            </w:r>
          </w:p>
        </w:tc>
      </w:tr>
      <w:tr w:rsidR="00046B00" w:rsidRPr="00046B00" w14:paraId="1DE2BF8B" w14:textId="77777777" w:rsidTr="00046B00">
        <w:trPr>
          <w:divId w:val="491213208"/>
          <w:trHeight w:hRule="exact" w:val="225"/>
        </w:trPr>
        <w:tc>
          <w:tcPr>
            <w:tcW w:w="2199" w:type="pct"/>
            <w:tcBorders>
              <w:top w:val="nil"/>
              <w:left w:val="nil"/>
              <w:bottom w:val="nil"/>
              <w:right w:val="nil"/>
            </w:tcBorders>
            <w:shd w:val="clear" w:color="000000" w:fill="FFFFFF"/>
            <w:noWrap/>
            <w:vAlign w:val="center"/>
            <w:hideMark/>
          </w:tcPr>
          <w:p w14:paraId="6E76BC03" w14:textId="77777777" w:rsidR="00046B00" w:rsidRPr="00046B00" w:rsidRDefault="00046B00" w:rsidP="00046B00">
            <w:pPr>
              <w:spacing w:before="0" w:after="0" w:line="240" w:lineRule="auto"/>
              <w:rPr>
                <w:rFonts w:ascii="Arial" w:hAnsi="Arial" w:cs="Arial"/>
                <w:b/>
                <w:bCs/>
                <w:sz w:val="16"/>
                <w:szCs w:val="16"/>
              </w:rPr>
            </w:pPr>
            <w:r w:rsidRPr="00046B00">
              <w:rPr>
                <w:rFonts w:ascii="Arial" w:hAnsi="Arial" w:cs="Arial"/>
                <w:b/>
                <w:bCs/>
                <w:sz w:val="16"/>
                <w:szCs w:val="16"/>
              </w:rPr>
              <w:t>Changes from 2023-24 MYEFO</w:t>
            </w:r>
          </w:p>
        </w:tc>
        <w:tc>
          <w:tcPr>
            <w:tcW w:w="548" w:type="pct"/>
            <w:tcBorders>
              <w:top w:val="nil"/>
              <w:left w:val="nil"/>
              <w:bottom w:val="nil"/>
              <w:right w:val="nil"/>
            </w:tcBorders>
            <w:shd w:val="clear" w:color="000000" w:fill="FFFFFF"/>
            <w:noWrap/>
            <w:vAlign w:val="center"/>
            <w:hideMark/>
          </w:tcPr>
          <w:p w14:paraId="5C17AAE9" w14:textId="77777777" w:rsidR="00046B00" w:rsidRPr="00046B00" w:rsidRDefault="00046B00" w:rsidP="00046B00">
            <w:pPr>
              <w:spacing w:before="0" w:after="0" w:line="240" w:lineRule="auto"/>
              <w:rPr>
                <w:rFonts w:ascii="Arial" w:hAnsi="Arial" w:cs="Arial"/>
                <w:sz w:val="16"/>
                <w:szCs w:val="16"/>
              </w:rPr>
            </w:pPr>
            <w:r w:rsidRPr="00046B00">
              <w:rPr>
                <w:rFonts w:ascii="Arial" w:hAnsi="Arial" w:cs="Arial"/>
                <w:sz w:val="16"/>
                <w:szCs w:val="16"/>
              </w:rPr>
              <w:t> </w:t>
            </w:r>
          </w:p>
        </w:tc>
        <w:tc>
          <w:tcPr>
            <w:tcW w:w="543" w:type="pct"/>
            <w:tcBorders>
              <w:top w:val="nil"/>
              <w:left w:val="nil"/>
              <w:bottom w:val="nil"/>
              <w:right w:val="nil"/>
            </w:tcBorders>
            <w:shd w:val="clear" w:color="000000" w:fill="E6F2FF"/>
            <w:noWrap/>
            <w:vAlign w:val="center"/>
            <w:hideMark/>
          </w:tcPr>
          <w:p w14:paraId="1304952C" w14:textId="77777777" w:rsidR="00046B00" w:rsidRPr="00046B00" w:rsidRDefault="00046B00" w:rsidP="00046B00">
            <w:pPr>
              <w:spacing w:before="0" w:after="0" w:line="240" w:lineRule="auto"/>
              <w:rPr>
                <w:rFonts w:ascii="Arial" w:hAnsi="Arial" w:cs="Arial"/>
                <w:sz w:val="16"/>
                <w:szCs w:val="16"/>
              </w:rPr>
            </w:pPr>
            <w:r w:rsidRPr="00046B00">
              <w:rPr>
                <w:rFonts w:ascii="Arial" w:hAnsi="Arial" w:cs="Arial"/>
                <w:sz w:val="16"/>
                <w:szCs w:val="16"/>
              </w:rPr>
              <w:t> </w:t>
            </w:r>
          </w:p>
        </w:tc>
        <w:tc>
          <w:tcPr>
            <w:tcW w:w="543" w:type="pct"/>
            <w:tcBorders>
              <w:top w:val="nil"/>
              <w:left w:val="nil"/>
              <w:bottom w:val="nil"/>
              <w:right w:val="nil"/>
            </w:tcBorders>
            <w:shd w:val="clear" w:color="000000" w:fill="FFFFFF"/>
            <w:noWrap/>
            <w:vAlign w:val="center"/>
            <w:hideMark/>
          </w:tcPr>
          <w:p w14:paraId="31DB7B5F" w14:textId="77777777" w:rsidR="00046B00" w:rsidRPr="00046B00" w:rsidRDefault="00046B00" w:rsidP="00046B00">
            <w:pPr>
              <w:spacing w:before="0" w:after="0" w:line="240" w:lineRule="auto"/>
              <w:rPr>
                <w:rFonts w:ascii="Arial" w:hAnsi="Arial" w:cs="Arial"/>
                <w:sz w:val="16"/>
                <w:szCs w:val="16"/>
              </w:rPr>
            </w:pPr>
            <w:r w:rsidRPr="00046B00">
              <w:rPr>
                <w:rFonts w:ascii="Arial" w:hAnsi="Arial" w:cs="Arial"/>
                <w:sz w:val="16"/>
                <w:szCs w:val="16"/>
              </w:rPr>
              <w:t> </w:t>
            </w:r>
          </w:p>
        </w:tc>
        <w:tc>
          <w:tcPr>
            <w:tcW w:w="548" w:type="pct"/>
            <w:tcBorders>
              <w:top w:val="nil"/>
              <w:left w:val="nil"/>
              <w:bottom w:val="nil"/>
              <w:right w:val="nil"/>
            </w:tcBorders>
            <w:shd w:val="clear" w:color="000000" w:fill="FFFFFF"/>
            <w:noWrap/>
            <w:vAlign w:val="center"/>
            <w:hideMark/>
          </w:tcPr>
          <w:p w14:paraId="4C18C2CE" w14:textId="77777777" w:rsidR="00046B00" w:rsidRPr="00046B00" w:rsidRDefault="00046B00" w:rsidP="00046B00">
            <w:pPr>
              <w:spacing w:before="0" w:after="0" w:line="240" w:lineRule="auto"/>
              <w:rPr>
                <w:rFonts w:ascii="Arial" w:hAnsi="Arial" w:cs="Arial"/>
                <w:sz w:val="16"/>
                <w:szCs w:val="16"/>
              </w:rPr>
            </w:pPr>
            <w:r w:rsidRPr="00046B00">
              <w:rPr>
                <w:rFonts w:ascii="Arial" w:hAnsi="Arial" w:cs="Arial"/>
                <w:sz w:val="16"/>
                <w:szCs w:val="16"/>
              </w:rPr>
              <w:t> </w:t>
            </w:r>
          </w:p>
        </w:tc>
        <w:tc>
          <w:tcPr>
            <w:tcW w:w="69" w:type="pct"/>
            <w:tcBorders>
              <w:top w:val="nil"/>
              <w:left w:val="nil"/>
              <w:bottom w:val="nil"/>
              <w:right w:val="nil"/>
            </w:tcBorders>
            <w:shd w:val="clear" w:color="000000" w:fill="FFFFFF"/>
            <w:noWrap/>
            <w:vAlign w:val="center"/>
            <w:hideMark/>
          </w:tcPr>
          <w:p w14:paraId="6CF623C3" w14:textId="77777777" w:rsidR="00046B00" w:rsidRPr="00046B00" w:rsidRDefault="00046B00" w:rsidP="00046B00">
            <w:pPr>
              <w:spacing w:before="0" w:after="0" w:line="240" w:lineRule="auto"/>
              <w:rPr>
                <w:rFonts w:ascii="Arial" w:hAnsi="Arial" w:cs="Arial"/>
                <w:sz w:val="16"/>
                <w:szCs w:val="16"/>
              </w:rPr>
            </w:pPr>
            <w:r w:rsidRPr="00046B00">
              <w:rPr>
                <w:rFonts w:ascii="Arial" w:hAnsi="Arial" w:cs="Arial"/>
                <w:sz w:val="16"/>
                <w:szCs w:val="16"/>
              </w:rPr>
              <w:t> </w:t>
            </w:r>
          </w:p>
        </w:tc>
        <w:tc>
          <w:tcPr>
            <w:tcW w:w="548" w:type="pct"/>
            <w:tcBorders>
              <w:top w:val="nil"/>
              <w:left w:val="nil"/>
              <w:bottom w:val="nil"/>
              <w:right w:val="nil"/>
            </w:tcBorders>
            <w:shd w:val="clear" w:color="000000" w:fill="FFFFFF"/>
            <w:noWrap/>
            <w:vAlign w:val="center"/>
            <w:hideMark/>
          </w:tcPr>
          <w:p w14:paraId="39C6E242" w14:textId="77777777" w:rsidR="00046B00" w:rsidRPr="00046B00" w:rsidRDefault="00046B00" w:rsidP="00046B00">
            <w:pPr>
              <w:spacing w:before="0" w:after="0" w:line="240" w:lineRule="auto"/>
              <w:rPr>
                <w:rFonts w:ascii="Arial" w:hAnsi="Arial" w:cs="Arial"/>
                <w:sz w:val="16"/>
                <w:szCs w:val="16"/>
              </w:rPr>
            </w:pPr>
            <w:r w:rsidRPr="00046B00">
              <w:rPr>
                <w:rFonts w:ascii="Arial" w:hAnsi="Arial" w:cs="Arial"/>
                <w:sz w:val="16"/>
                <w:szCs w:val="16"/>
              </w:rPr>
              <w:t> </w:t>
            </w:r>
          </w:p>
        </w:tc>
      </w:tr>
      <w:tr w:rsidR="00046B00" w:rsidRPr="00046B00" w14:paraId="20E3005F" w14:textId="77777777" w:rsidTr="00046B00">
        <w:trPr>
          <w:divId w:val="491213208"/>
          <w:trHeight w:hRule="exact" w:val="225"/>
        </w:trPr>
        <w:tc>
          <w:tcPr>
            <w:tcW w:w="2199" w:type="pct"/>
            <w:tcBorders>
              <w:top w:val="nil"/>
              <w:left w:val="nil"/>
              <w:bottom w:val="nil"/>
              <w:right w:val="nil"/>
            </w:tcBorders>
            <w:shd w:val="clear" w:color="000000" w:fill="FFFFFF"/>
            <w:noWrap/>
            <w:vAlign w:val="center"/>
            <w:hideMark/>
          </w:tcPr>
          <w:p w14:paraId="1EDAE880" w14:textId="77777777" w:rsidR="00046B00" w:rsidRPr="00046B00" w:rsidRDefault="00046B00" w:rsidP="00046B00">
            <w:pPr>
              <w:spacing w:before="0" w:after="0" w:line="240" w:lineRule="auto"/>
              <w:ind w:left="170"/>
              <w:rPr>
                <w:rFonts w:ascii="Arial" w:hAnsi="Arial" w:cs="Arial"/>
                <w:b/>
                <w:bCs/>
                <w:sz w:val="16"/>
                <w:szCs w:val="16"/>
              </w:rPr>
            </w:pPr>
            <w:r w:rsidRPr="00046B00">
              <w:rPr>
                <w:rFonts w:ascii="Arial" w:hAnsi="Arial" w:cs="Arial"/>
                <w:b/>
                <w:bCs/>
                <w:sz w:val="16"/>
                <w:szCs w:val="16"/>
              </w:rPr>
              <w:t>to 2024-25 Budget</w:t>
            </w:r>
          </w:p>
        </w:tc>
        <w:tc>
          <w:tcPr>
            <w:tcW w:w="548" w:type="pct"/>
            <w:tcBorders>
              <w:top w:val="nil"/>
              <w:left w:val="nil"/>
              <w:bottom w:val="nil"/>
              <w:right w:val="nil"/>
            </w:tcBorders>
            <w:shd w:val="clear" w:color="000000" w:fill="FFFFFF"/>
            <w:noWrap/>
            <w:vAlign w:val="center"/>
            <w:hideMark/>
          </w:tcPr>
          <w:p w14:paraId="4F164865" w14:textId="77777777" w:rsidR="00046B00" w:rsidRPr="00046B00" w:rsidRDefault="00046B00" w:rsidP="00046B00">
            <w:pPr>
              <w:spacing w:before="0" w:after="0" w:line="240" w:lineRule="auto"/>
              <w:rPr>
                <w:rFonts w:ascii="Arial" w:hAnsi="Arial" w:cs="Arial"/>
                <w:i/>
                <w:iCs/>
                <w:sz w:val="16"/>
                <w:szCs w:val="16"/>
              </w:rPr>
            </w:pPr>
            <w:r w:rsidRPr="00046B00">
              <w:rPr>
                <w:rFonts w:ascii="Arial" w:hAnsi="Arial" w:cs="Arial"/>
                <w:i/>
                <w:iCs/>
                <w:sz w:val="16"/>
                <w:szCs w:val="16"/>
              </w:rPr>
              <w:t> </w:t>
            </w:r>
          </w:p>
        </w:tc>
        <w:tc>
          <w:tcPr>
            <w:tcW w:w="543" w:type="pct"/>
            <w:tcBorders>
              <w:top w:val="nil"/>
              <w:left w:val="nil"/>
              <w:bottom w:val="nil"/>
              <w:right w:val="nil"/>
            </w:tcBorders>
            <w:shd w:val="clear" w:color="000000" w:fill="E6F2FF"/>
            <w:noWrap/>
            <w:vAlign w:val="center"/>
            <w:hideMark/>
          </w:tcPr>
          <w:p w14:paraId="24E438FD" w14:textId="77777777" w:rsidR="00046B00" w:rsidRPr="00046B00" w:rsidRDefault="00046B00" w:rsidP="00046B00">
            <w:pPr>
              <w:spacing w:before="0" w:after="0" w:line="240" w:lineRule="auto"/>
              <w:rPr>
                <w:rFonts w:ascii="Arial" w:hAnsi="Arial" w:cs="Arial"/>
                <w:i/>
                <w:iCs/>
                <w:sz w:val="16"/>
                <w:szCs w:val="16"/>
              </w:rPr>
            </w:pPr>
            <w:r w:rsidRPr="00046B00">
              <w:rPr>
                <w:rFonts w:ascii="Arial" w:hAnsi="Arial" w:cs="Arial"/>
                <w:i/>
                <w:iCs/>
                <w:sz w:val="16"/>
                <w:szCs w:val="16"/>
              </w:rPr>
              <w:t> </w:t>
            </w:r>
          </w:p>
        </w:tc>
        <w:tc>
          <w:tcPr>
            <w:tcW w:w="543" w:type="pct"/>
            <w:tcBorders>
              <w:top w:val="nil"/>
              <w:left w:val="nil"/>
              <w:bottom w:val="nil"/>
              <w:right w:val="nil"/>
            </w:tcBorders>
            <w:shd w:val="clear" w:color="000000" w:fill="FFFFFF"/>
            <w:noWrap/>
            <w:vAlign w:val="center"/>
            <w:hideMark/>
          </w:tcPr>
          <w:p w14:paraId="626B03C5" w14:textId="77777777" w:rsidR="00046B00" w:rsidRPr="00046B00" w:rsidRDefault="00046B00" w:rsidP="00046B00">
            <w:pPr>
              <w:spacing w:before="0" w:after="0" w:line="240" w:lineRule="auto"/>
              <w:rPr>
                <w:rFonts w:ascii="Arial" w:hAnsi="Arial" w:cs="Arial"/>
                <w:i/>
                <w:iCs/>
                <w:sz w:val="16"/>
                <w:szCs w:val="16"/>
              </w:rPr>
            </w:pPr>
            <w:r w:rsidRPr="00046B00">
              <w:rPr>
                <w:rFonts w:ascii="Arial" w:hAnsi="Arial" w:cs="Arial"/>
                <w:i/>
                <w:iCs/>
                <w:sz w:val="16"/>
                <w:szCs w:val="16"/>
              </w:rPr>
              <w:t> </w:t>
            </w:r>
          </w:p>
        </w:tc>
        <w:tc>
          <w:tcPr>
            <w:tcW w:w="548" w:type="pct"/>
            <w:tcBorders>
              <w:top w:val="nil"/>
              <w:left w:val="nil"/>
              <w:bottom w:val="nil"/>
              <w:right w:val="nil"/>
            </w:tcBorders>
            <w:shd w:val="clear" w:color="000000" w:fill="FFFFFF"/>
            <w:noWrap/>
            <w:vAlign w:val="center"/>
            <w:hideMark/>
          </w:tcPr>
          <w:p w14:paraId="3E7C8FCE" w14:textId="77777777" w:rsidR="00046B00" w:rsidRPr="00046B00" w:rsidRDefault="00046B00" w:rsidP="00046B00">
            <w:pPr>
              <w:spacing w:before="0" w:after="0" w:line="240" w:lineRule="auto"/>
              <w:rPr>
                <w:rFonts w:ascii="Arial" w:hAnsi="Arial" w:cs="Arial"/>
                <w:i/>
                <w:iCs/>
                <w:sz w:val="16"/>
                <w:szCs w:val="16"/>
              </w:rPr>
            </w:pPr>
            <w:r w:rsidRPr="00046B00">
              <w:rPr>
                <w:rFonts w:ascii="Arial" w:hAnsi="Arial" w:cs="Arial"/>
                <w:i/>
                <w:iCs/>
                <w:sz w:val="16"/>
                <w:szCs w:val="16"/>
              </w:rPr>
              <w:t> </w:t>
            </w:r>
          </w:p>
        </w:tc>
        <w:tc>
          <w:tcPr>
            <w:tcW w:w="69" w:type="pct"/>
            <w:tcBorders>
              <w:top w:val="nil"/>
              <w:left w:val="nil"/>
              <w:bottom w:val="nil"/>
              <w:right w:val="nil"/>
            </w:tcBorders>
            <w:shd w:val="clear" w:color="000000" w:fill="FFFFFF"/>
            <w:noWrap/>
            <w:vAlign w:val="center"/>
            <w:hideMark/>
          </w:tcPr>
          <w:p w14:paraId="4BA5B99C" w14:textId="77777777" w:rsidR="00046B00" w:rsidRPr="00046B00" w:rsidRDefault="00046B00" w:rsidP="00046B00">
            <w:pPr>
              <w:spacing w:before="0" w:after="0" w:line="240" w:lineRule="auto"/>
              <w:rPr>
                <w:rFonts w:ascii="Arial" w:hAnsi="Arial" w:cs="Arial"/>
                <w:i/>
                <w:iCs/>
                <w:sz w:val="16"/>
                <w:szCs w:val="16"/>
              </w:rPr>
            </w:pPr>
            <w:r w:rsidRPr="00046B00">
              <w:rPr>
                <w:rFonts w:ascii="Arial" w:hAnsi="Arial" w:cs="Arial"/>
                <w:i/>
                <w:iCs/>
                <w:sz w:val="16"/>
                <w:szCs w:val="16"/>
              </w:rPr>
              <w:t> </w:t>
            </w:r>
          </w:p>
        </w:tc>
        <w:tc>
          <w:tcPr>
            <w:tcW w:w="548" w:type="pct"/>
            <w:tcBorders>
              <w:top w:val="nil"/>
              <w:left w:val="nil"/>
              <w:bottom w:val="nil"/>
              <w:right w:val="nil"/>
            </w:tcBorders>
            <w:shd w:val="clear" w:color="000000" w:fill="FFFFFF"/>
            <w:noWrap/>
            <w:vAlign w:val="center"/>
            <w:hideMark/>
          </w:tcPr>
          <w:p w14:paraId="2FCE8577" w14:textId="77777777" w:rsidR="00046B00" w:rsidRPr="00046B00" w:rsidRDefault="00046B00" w:rsidP="00046B00">
            <w:pPr>
              <w:spacing w:before="0" w:after="0" w:line="240" w:lineRule="auto"/>
              <w:rPr>
                <w:rFonts w:ascii="Arial" w:hAnsi="Arial" w:cs="Arial"/>
                <w:sz w:val="16"/>
                <w:szCs w:val="16"/>
              </w:rPr>
            </w:pPr>
            <w:r w:rsidRPr="00046B00">
              <w:rPr>
                <w:rFonts w:ascii="Arial" w:hAnsi="Arial" w:cs="Arial"/>
                <w:sz w:val="16"/>
                <w:szCs w:val="16"/>
              </w:rPr>
              <w:t> </w:t>
            </w:r>
          </w:p>
        </w:tc>
      </w:tr>
      <w:tr w:rsidR="00046B00" w:rsidRPr="00046B00" w14:paraId="3A9296F0" w14:textId="77777777" w:rsidTr="00046B00">
        <w:trPr>
          <w:divId w:val="491213208"/>
          <w:trHeight w:hRule="exact" w:val="225"/>
        </w:trPr>
        <w:tc>
          <w:tcPr>
            <w:tcW w:w="2199" w:type="pct"/>
            <w:tcBorders>
              <w:top w:val="nil"/>
              <w:left w:val="nil"/>
              <w:bottom w:val="nil"/>
              <w:right w:val="nil"/>
            </w:tcBorders>
            <w:shd w:val="clear" w:color="000000" w:fill="FFFFFF"/>
            <w:noWrap/>
            <w:vAlign w:val="center"/>
            <w:hideMark/>
          </w:tcPr>
          <w:p w14:paraId="3F9203B2" w14:textId="77777777" w:rsidR="00046B00" w:rsidRPr="00046B00" w:rsidRDefault="00046B00" w:rsidP="00046B00">
            <w:pPr>
              <w:spacing w:before="0" w:after="0" w:line="240" w:lineRule="auto"/>
              <w:rPr>
                <w:rFonts w:ascii="Arial" w:hAnsi="Arial" w:cs="Arial"/>
                <w:sz w:val="16"/>
                <w:szCs w:val="16"/>
              </w:rPr>
            </w:pPr>
            <w:r w:rsidRPr="00046B00">
              <w:rPr>
                <w:rFonts w:ascii="Arial" w:hAnsi="Arial" w:cs="Arial"/>
                <w:sz w:val="16"/>
                <w:szCs w:val="16"/>
              </w:rPr>
              <w:t>Effect of policy decisions(a)</w:t>
            </w:r>
          </w:p>
        </w:tc>
        <w:tc>
          <w:tcPr>
            <w:tcW w:w="548" w:type="pct"/>
            <w:tcBorders>
              <w:top w:val="nil"/>
              <w:left w:val="nil"/>
              <w:bottom w:val="nil"/>
              <w:right w:val="nil"/>
            </w:tcBorders>
            <w:shd w:val="clear" w:color="000000" w:fill="FFFFFF"/>
            <w:noWrap/>
            <w:vAlign w:val="center"/>
            <w:hideMark/>
          </w:tcPr>
          <w:p w14:paraId="5FA48C91" w14:textId="77777777" w:rsidR="00046B00" w:rsidRPr="00046B00" w:rsidRDefault="00046B00" w:rsidP="00046B00">
            <w:pPr>
              <w:spacing w:before="0" w:after="0" w:line="240" w:lineRule="auto"/>
              <w:jc w:val="right"/>
              <w:rPr>
                <w:rFonts w:ascii="Arial" w:hAnsi="Arial" w:cs="Arial"/>
                <w:sz w:val="16"/>
                <w:szCs w:val="16"/>
              </w:rPr>
            </w:pPr>
            <w:r w:rsidRPr="00046B00">
              <w:rPr>
                <w:rFonts w:ascii="Arial" w:hAnsi="Arial" w:cs="Arial"/>
                <w:sz w:val="16"/>
                <w:szCs w:val="16"/>
              </w:rPr>
              <w:t>292</w:t>
            </w:r>
          </w:p>
        </w:tc>
        <w:tc>
          <w:tcPr>
            <w:tcW w:w="543" w:type="pct"/>
            <w:tcBorders>
              <w:top w:val="nil"/>
              <w:left w:val="nil"/>
              <w:bottom w:val="nil"/>
              <w:right w:val="nil"/>
            </w:tcBorders>
            <w:shd w:val="clear" w:color="000000" w:fill="E6F2FF"/>
            <w:noWrap/>
            <w:vAlign w:val="center"/>
            <w:hideMark/>
          </w:tcPr>
          <w:p w14:paraId="46B18CC3" w14:textId="77777777" w:rsidR="00046B00" w:rsidRPr="00046B00" w:rsidRDefault="00046B00" w:rsidP="00046B00">
            <w:pPr>
              <w:spacing w:before="0" w:after="0" w:line="240" w:lineRule="auto"/>
              <w:jc w:val="right"/>
              <w:rPr>
                <w:rFonts w:ascii="Arial" w:hAnsi="Arial" w:cs="Arial"/>
                <w:sz w:val="16"/>
                <w:szCs w:val="16"/>
              </w:rPr>
            </w:pPr>
            <w:r w:rsidRPr="00046B00">
              <w:rPr>
                <w:rFonts w:ascii="Arial" w:hAnsi="Arial" w:cs="Arial"/>
                <w:sz w:val="16"/>
                <w:szCs w:val="16"/>
              </w:rPr>
              <w:t>12,049</w:t>
            </w:r>
          </w:p>
        </w:tc>
        <w:tc>
          <w:tcPr>
            <w:tcW w:w="543" w:type="pct"/>
            <w:tcBorders>
              <w:top w:val="nil"/>
              <w:left w:val="nil"/>
              <w:bottom w:val="nil"/>
              <w:right w:val="nil"/>
            </w:tcBorders>
            <w:shd w:val="clear" w:color="000000" w:fill="FFFFFF"/>
            <w:noWrap/>
            <w:vAlign w:val="center"/>
            <w:hideMark/>
          </w:tcPr>
          <w:p w14:paraId="2471F8DF" w14:textId="77777777" w:rsidR="00046B00" w:rsidRPr="00046B00" w:rsidRDefault="00046B00" w:rsidP="00046B00">
            <w:pPr>
              <w:spacing w:before="0" w:after="0" w:line="240" w:lineRule="auto"/>
              <w:jc w:val="right"/>
              <w:rPr>
                <w:rFonts w:ascii="Arial" w:hAnsi="Arial" w:cs="Arial"/>
                <w:sz w:val="16"/>
                <w:szCs w:val="16"/>
              </w:rPr>
            </w:pPr>
            <w:r w:rsidRPr="00046B00">
              <w:rPr>
                <w:rFonts w:ascii="Arial" w:hAnsi="Arial" w:cs="Arial"/>
                <w:sz w:val="16"/>
                <w:szCs w:val="16"/>
              </w:rPr>
              <w:t>7,893</w:t>
            </w:r>
          </w:p>
        </w:tc>
        <w:tc>
          <w:tcPr>
            <w:tcW w:w="548" w:type="pct"/>
            <w:tcBorders>
              <w:top w:val="nil"/>
              <w:left w:val="nil"/>
              <w:bottom w:val="nil"/>
              <w:right w:val="nil"/>
            </w:tcBorders>
            <w:shd w:val="clear" w:color="000000" w:fill="FFFFFF"/>
            <w:noWrap/>
            <w:vAlign w:val="center"/>
            <w:hideMark/>
          </w:tcPr>
          <w:p w14:paraId="4365494B" w14:textId="77777777" w:rsidR="00046B00" w:rsidRPr="00046B00" w:rsidRDefault="00046B00" w:rsidP="00046B00">
            <w:pPr>
              <w:spacing w:before="0" w:after="0" w:line="240" w:lineRule="auto"/>
              <w:jc w:val="right"/>
              <w:rPr>
                <w:rFonts w:ascii="Arial" w:hAnsi="Arial" w:cs="Arial"/>
                <w:sz w:val="16"/>
                <w:szCs w:val="16"/>
              </w:rPr>
            </w:pPr>
            <w:r w:rsidRPr="00046B00">
              <w:rPr>
                <w:rFonts w:ascii="Arial" w:hAnsi="Arial" w:cs="Arial"/>
                <w:sz w:val="16"/>
                <w:szCs w:val="16"/>
              </w:rPr>
              <w:t>4,523</w:t>
            </w:r>
          </w:p>
        </w:tc>
        <w:tc>
          <w:tcPr>
            <w:tcW w:w="69" w:type="pct"/>
            <w:tcBorders>
              <w:top w:val="nil"/>
              <w:left w:val="nil"/>
              <w:bottom w:val="nil"/>
              <w:right w:val="nil"/>
            </w:tcBorders>
            <w:shd w:val="clear" w:color="000000" w:fill="FFFFFF"/>
            <w:noWrap/>
            <w:vAlign w:val="center"/>
            <w:hideMark/>
          </w:tcPr>
          <w:p w14:paraId="1FB9AAA0" w14:textId="77777777" w:rsidR="00046B00" w:rsidRPr="00046B00" w:rsidRDefault="00046B00" w:rsidP="00046B00">
            <w:pPr>
              <w:spacing w:before="0" w:after="0" w:line="240" w:lineRule="auto"/>
              <w:jc w:val="right"/>
              <w:rPr>
                <w:rFonts w:ascii="Arial" w:hAnsi="Arial" w:cs="Arial"/>
                <w:sz w:val="16"/>
                <w:szCs w:val="16"/>
              </w:rPr>
            </w:pPr>
            <w:r w:rsidRPr="00046B00">
              <w:rPr>
                <w:rFonts w:ascii="Arial" w:hAnsi="Arial" w:cs="Arial"/>
                <w:sz w:val="16"/>
                <w:szCs w:val="16"/>
              </w:rPr>
              <w:t> </w:t>
            </w:r>
          </w:p>
        </w:tc>
        <w:tc>
          <w:tcPr>
            <w:tcW w:w="548" w:type="pct"/>
            <w:tcBorders>
              <w:top w:val="nil"/>
              <w:left w:val="nil"/>
              <w:bottom w:val="nil"/>
              <w:right w:val="nil"/>
            </w:tcBorders>
            <w:shd w:val="clear" w:color="000000" w:fill="FFFFFF"/>
            <w:noWrap/>
            <w:vAlign w:val="center"/>
            <w:hideMark/>
          </w:tcPr>
          <w:p w14:paraId="30D37093" w14:textId="77777777" w:rsidR="00046B00" w:rsidRPr="00046B00" w:rsidRDefault="00046B00" w:rsidP="00046B00">
            <w:pPr>
              <w:spacing w:before="0" w:after="0" w:line="240" w:lineRule="auto"/>
              <w:jc w:val="right"/>
              <w:rPr>
                <w:rFonts w:ascii="Arial" w:hAnsi="Arial" w:cs="Arial"/>
                <w:sz w:val="16"/>
                <w:szCs w:val="16"/>
              </w:rPr>
            </w:pPr>
            <w:r w:rsidRPr="00046B00">
              <w:rPr>
                <w:rFonts w:ascii="Arial" w:hAnsi="Arial" w:cs="Arial"/>
                <w:sz w:val="16"/>
                <w:szCs w:val="16"/>
              </w:rPr>
              <w:t>24,757</w:t>
            </w:r>
          </w:p>
        </w:tc>
      </w:tr>
      <w:tr w:rsidR="00046B00" w:rsidRPr="00046B00" w14:paraId="077378D6" w14:textId="77777777" w:rsidTr="00046B00">
        <w:trPr>
          <w:divId w:val="491213208"/>
          <w:trHeight w:hRule="exact" w:val="225"/>
        </w:trPr>
        <w:tc>
          <w:tcPr>
            <w:tcW w:w="2199" w:type="pct"/>
            <w:tcBorders>
              <w:top w:val="nil"/>
              <w:left w:val="nil"/>
              <w:bottom w:val="nil"/>
              <w:right w:val="nil"/>
            </w:tcBorders>
            <w:shd w:val="clear" w:color="000000" w:fill="FFFFFF"/>
            <w:noWrap/>
            <w:vAlign w:val="center"/>
            <w:hideMark/>
          </w:tcPr>
          <w:p w14:paraId="24B53F5E" w14:textId="77777777" w:rsidR="00046B00" w:rsidRPr="00046B00" w:rsidRDefault="00046B00" w:rsidP="00046B00">
            <w:pPr>
              <w:spacing w:before="0" w:after="0" w:line="240" w:lineRule="auto"/>
              <w:rPr>
                <w:rFonts w:ascii="Arial" w:hAnsi="Arial" w:cs="Arial"/>
                <w:sz w:val="16"/>
                <w:szCs w:val="16"/>
              </w:rPr>
            </w:pPr>
            <w:r w:rsidRPr="00046B00">
              <w:rPr>
                <w:rFonts w:ascii="Arial" w:hAnsi="Arial" w:cs="Arial"/>
                <w:sz w:val="16"/>
                <w:szCs w:val="16"/>
              </w:rPr>
              <w:t>Effect of economic parameter variations</w:t>
            </w:r>
          </w:p>
        </w:tc>
        <w:tc>
          <w:tcPr>
            <w:tcW w:w="548" w:type="pct"/>
            <w:tcBorders>
              <w:top w:val="nil"/>
              <w:left w:val="nil"/>
              <w:bottom w:val="nil"/>
              <w:right w:val="nil"/>
            </w:tcBorders>
            <w:shd w:val="clear" w:color="000000" w:fill="FFFFFF"/>
            <w:noWrap/>
            <w:vAlign w:val="center"/>
            <w:hideMark/>
          </w:tcPr>
          <w:p w14:paraId="584CCC3E" w14:textId="77777777" w:rsidR="00046B00" w:rsidRPr="00046B00" w:rsidRDefault="00046B00" w:rsidP="00046B00">
            <w:pPr>
              <w:spacing w:before="0" w:after="0" w:line="240" w:lineRule="auto"/>
              <w:rPr>
                <w:rFonts w:ascii="Arial" w:hAnsi="Arial" w:cs="Arial"/>
                <w:sz w:val="16"/>
                <w:szCs w:val="16"/>
              </w:rPr>
            </w:pPr>
            <w:r w:rsidRPr="00046B00">
              <w:rPr>
                <w:rFonts w:ascii="Arial" w:hAnsi="Arial" w:cs="Arial"/>
                <w:sz w:val="16"/>
                <w:szCs w:val="16"/>
              </w:rPr>
              <w:t> </w:t>
            </w:r>
          </w:p>
        </w:tc>
        <w:tc>
          <w:tcPr>
            <w:tcW w:w="543" w:type="pct"/>
            <w:tcBorders>
              <w:top w:val="nil"/>
              <w:left w:val="nil"/>
              <w:bottom w:val="nil"/>
              <w:right w:val="nil"/>
            </w:tcBorders>
            <w:shd w:val="clear" w:color="000000" w:fill="E6F2FF"/>
            <w:noWrap/>
            <w:vAlign w:val="center"/>
            <w:hideMark/>
          </w:tcPr>
          <w:p w14:paraId="15445139" w14:textId="77777777" w:rsidR="00046B00" w:rsidRPr="00046B00" w:rsidRDefault="00046B00" w:rsidP="00046B00">
            <w:pPr>
              <w:spacing w:before="0" w:after="0" w:line="240" w:lineRule="auto"/>
              <w:rPr>
                <w:rFonts w:ascii="Arial" w:hAnsi="Arial" w:cs="Arial"/>
                <w:sz w:val="16"/>
                <w:szCs w:val="16"/>
              </w:rPr>
            </w:pPr>
            <w:r w:rsidRPr="00046B00">
              <w:rPr>
                <w:rFonts w:ascii="Arial" w:hAnsi="Arial" w:cs="Arial"/>
                <w:sz w:val="16"/>
                <w:szCs w:val="16"/>
              </w:rPr>
              <w:t> </w:t>
            </w:r>
          </w:p>
        </w:tc>
        <w:tc>
          <w:tcPr>
            <w:tcW w:w="543" w:type="pct"/>
            <w:tcBorders>
              <w:top w:val="nil"/>
              <w:left w:val="nil"/>
              <w:bottom w:val="nil"/>
              <w:right w:val="nil"/>
            </w:tcBorders>
            <w:shd w:val="clear" w:color="000000" w:fill="FFFFFF"/>
            <w:noWrap/>
            <w:vAlign w:val="center"/>
            <w:hideMark/>
          </w:tcPr>
          <w:p w14:paraId="78ECC45B" w14:textId="77777777" w:rsidR="00046B00" w:rsidRPr="00046B00" w:rsidRDefault="00046B00" w:rsidP="00046B00">
            <w:pPr>
              <w:spacing w:before="0" w:after="0" w:line="240" w:lineRule="auto"/>
              <w:rPr>
                <w:rFonts w:ascii="Arial" w:hAnsi="Arial" w:cs="Arial"/>
                <w:sz w:val="16"/>
                <w:szCs w:val="16"/>
              </w:rPr>
            </w:pPr>
            <w:r w:rsidRPr="00046B00">
              <w:rPr>
                <w:rFonts w:ascii="Arial" w:hAnsi="Arial" w:cs="Arial"/>
                <w:sz w:val="16"/>
                <w:szCs w:val="16"/>
              </w:rPr>
              <w:t> </w:t>
            </w:r>
          </w:p>
        </w:tc>
        <w:tc>
          <w:tcPr>
            <w:tcW w:w="548" w:type="pct"/>
            <w:tcBorders>
              <w:top w:val="nil"/>
              <w:left w:val="nil"/>
              <w:bottom w:val="nil"/>
              <w:right w:val="nil"/>
            </w:tcBorders>
            <w:shd w:val="clear" w:color="000000" w:fill="FFFFFF"/>
            <w:noWrap/>
            <w:vAlign w:val="center"/>
            <w:hideMark/>
          </w:tcPr>
          <w:p w14:paraId="2E35D04B" w14:textId="77777777" w:rsidR="00046B00" w:rsidRPr="00046B00" w:rsidRDefault="00046B00" w:rsidP="00046B00">
            <w:pPr>
              <w:spacing w:before="0" w:after="0" w:line="240" w:lineRule="auto"/>
              <w:rPr>
                <w:rFonts w:ascii="Arial" w:hAnsi="Arial" w:cs="Arial"/>
                <w:sz w:val="16"/>
                <w:szCs w:val="16"/>
              </w:rPr>
            </w:pPr>
            <w:r w:rsidRPr="00046B00">
              <w:rPr>
                <w:rFonts w:ascii="Arial" w:hAnsi="Arial" w:cs="Arial"/>
                <w:sz w:val="16"/>
                <w:szCs w:val="16"/>
              </w:rPr>
              <w:t> </w:t>
            </w:r>
          </w:p>
        </w:tc>
        <w:tc>
          <w:tcPr>
            <w:tcW w:w="69" w:type="pct"/>
            <w:tcBorders>
              <w:top w:val="nil"/>
              <w:left w:val="nil"/>
              <w:bottom w:val="nil"/>
              <w:right w:val="nil"/>
            </w:tcBorders>
            <w:shd w:val="clear" w:color="000000" w:fill="FFFFFF"/>
            <w:noWrap/>
            <w:vAlign w:val="center"/>
            <w:hideMark/>
          </w:tcPr>
          <w:p w14:paraId="6184A330" w14:textId="77777777" w:rsidR="00046B00" w:rsidRPr="00046B00" w:rsidRDefault="00046B00" w:rsidP="00046B00">
            <w:pPr>
              <w:spacing w:before="0" w:after="0" w:line="240" w:lineRule="auto"/>
              <w:rPr>
                <w:rFonts w:ascii="Arial" w:hAnsi="Arial" w:cs="Arial"/>
                <w:sz w:val="16"/>
                <w:szCs w:val="16"/>
              </w:rPr>
            </w:pPr>
            <w:r w:rsidRPr="00046B00">
              <w:rPr>
                <w:rFonts w:ascii="Arial" w:hAnsi="Arial" w:cs="Arial"/>
                <w:sz w:val="16"/>
                <w:szCs w:val="16"/>
              </w:rPr>
              <w:t> </w:t>
            </w:r>
          </w:p>
        </w:tc>
        <w:tc>
          <w:tcPr>
            <w:tcW w:w="548" w:type="pct"/>
            <w:tcBorders>
              <w:top w:val="nil"/>
              <w:left w:val="nil"/>
              <w:bottom w:val="nil"/>
              <w:right w:val="nil"/>
            </w:tcBorders>
            <w:shd w:val="clear" w:color="000000" w:fill="FFFFFF"/>
            <w:noWrap/>
            <w:vAlign w:val="center"/>
            <w:hideMark/>
          </w:tcPr>
          <w:p w14:paraId="38754F64" w14:textId="77777777" w:rsidR="00046B00" w:rsidRPr="00046B00" w:rsidRDefault="00046B00" w:rsidP="00046B00">
            <w:pPr>
              <w:spacing w:before="0" w:after="0" w:line="240" w:lineRule="auto"/>
              <w:rPr>
                <w:rFonts w:ascii="Arial" w:hAnsi="Arial" w:cs="Arial"/>
                <w:sz w:val="16"/>
                <w:szCs w:val="16"/>
              </w:rPr>
            </w:pPr>
            <w:r w:rsidRPr="00046B00">
              <w:rPr>
                <w:rFonts w:ascii="Arial" w:hAnsi="Arial" w:cs="Arial"/>
                <w:sz w:val="16"/>
                <w:szCs w:val="16"/>
              </w:rPr>
              <w:t> </w:t>
            </w:r>
          </w:p>
        </w:tc>
      </w:tr>
      <w:tr w:rsidR="00046B00" w:rsidRPr="00046B00" w14:paraId="461EDFE2" w14:textId="77777777" w:rsidTr="00046B00">
        <w:trPr>
          <w:divId w:val="491213208"/>
          <w:trHeight w:hRule="exact" w:val="225"/>
        </w:trPr>
        <w:tc>
          <w:tcPr>
            <w:tcW w:w="2199" w:type="pct"/>
            <w:tcBorders>
              <w:top w:val="nil"/>
              <w:left w:val="nil"/>
              <w:bottom w:val="nil"/>
              <w:right w:val="nil"/>
            </w:tcBorders>
            <w:shd w:val="clear" w:color="000000" w:fill="FFFFFF"/>
            <w:noWrap/>
            <w:vAlign w:val="center"/>
            <w:hideMark/>
          </w:tcPr>
          <w:p w14:paraId="73EF647C" w14:textId="77777777" w:rsidR="00046B00" w:rsidRPr="00046B00" w:rsidRDefault="00046B00" w:rsidP="00046B00">
            <w:pPr>
              <w:spacing w:before="0" w:after="0" w:line="240" w:lineRule="auto"/>
              <w:rPr>
                <w:rFonts w:ascii="Arial" w:hAnsi="Arial" w:cs="Arial"/>
                <w:sz w:val="16"/>
                <w:szCs w:val="16"/>
              </w:rPr>
            </w:pPr>
            <w:r w:rsidRPr="00046B00">
              <w:rPr>
                <w:rFonts w:ascii="Arial" w:hAnsi="Arial" w:cs="Arial"/>
                <w:sz w:val="16"/>
                <w:szCs w:val="16"/>
              </w:rPr>
              <w:t>Total economic parameter variations</w:t>
            </w:r>
          </w:p>
        </w:tc>
        <w:tc>
          <w:tcPr>
            <w:tcW w:w="548" w:type="pct"/>
            <w:tcBorders>
              <w:top w:val="nil"/>
              <w:left w:val="nil"/>
              <w:bottom w:val="nil"/>
              <w:right w:val="nil"/>
            </w:tcBorders>
            <w:shd w:val="clear" w:color="000000" w:fill="FFFFFF"/>
            <w:noWrap/>
            <w:vAlign w:val="center"/>
            <w:hideMark/>
          </w:tcPr>
          <w:p w14:paraId="41EED279" w14:textId="77777777" w:rsidR="00046B00" w:rsidRPr="00046B00" w:rsidRDefault="00046B00" w:rsidP="00046B00">
            <w:pPr>
              <w:spacing w:before="0" w:after="0" w:line="240" w:lineRule="auto"/>
              <w:jc w:val="right"/>
              <w:rPr>
                <w:rFonts w:ascii="Arial" w:hAnsi="Arial" w:cs="Arial"/>
                <w:sz w:val="16"/>
                <w:szCs w:val="16"/>
              </w:rPr>
            </w:pPr>
            <w:r w:rsidRPr="00046B00">
              <w:rPr>
                <w:rFonts w:ascii="Arial" w:hAnsi="Arial" w:cs="Arial"/>
                <w:sz w:val="16"/>
                <w:szCs w:val="16"/>
              </w:rPr>
              <w:t>1,747</w:t>
            </w:r>
          </w:p>
        </w:tc>
        <w:tc>
          <w:tcPr>
            <w:tcW w:w="543" w:type="pct"/>
            <w:tcBorders>
              <w:top w:val="nil"/>
              <w:left w:val="nil"/>
              <w:bottom w:val="nil"/>
              <w:right w:val="nil"/>
            </w:tcBorders>
            <w:shd w:val="clear" w:color="000000" w:fill="E6F2FF"/>
            <w:noWrap/>
            <w:vAlign w:val="center"/>
            <w:hideMark/>
          </w:tcPr>
          <w:p w14:paraId="020D3551" w14:textId="77777777" w:rsidR="00046B00" w:rsidRPr="00046B00" w:rsidRDefault="00046B00" w:rsidP="00046B00">
            <w:pPr>
              <w:spacing w:before="0" w:after="0" w:line="240" w:lineRule="auto"/>
              <w:jc w:val="right"/>
              <w:rPr>
                <w:rFonts w:ascii="Arial" w:hAnsi="Arial" w:cs="Arial"/>
                <w:sz w:val="16"/>
                <w:szCs w:val="16"/>
              </w:rPr>
            </w:pPr>
            <w:r w:rsidRPr="00046B00">
              <w:rPr>
                <w:rFonts w:ascii="Arial" w:hAnsi="Arial" w:cs="Arial"/>
                <w:sz w:val="16"/>
                <w:szCs w:val="16"/>
              </w:rPr>
              <w:t>-1,930</w:t>
            </w:r>
          </w:p>
        </w:tc>
        <w:tc>
          <w:tcPr>
            <w:tcW w:w="543" w:type="pct"/>
            <w:tcBorders>
              <w:top w:val="nil"/>
              <w:left w:val="nil"/>
              <w:bottom w:val="nil"/>
              <w:right w:val="nil"/>
            </w:tcBorders>
            <w:shd w:val="clear" w:color="000000" w:fill="FFFFFF"/>
            <w:noWrap/>
            <w:vAlign w:val="center"/>
            <w:hideMark/>
          </w:tcPr>
          <w:p w14:paraId="4FC3113B" w14:textId="77777777" w:rsidR="00046B00" w:rsidRPr="00046B00" w:rsidRDefault="00046B00" w:rsidP="00046B00">
            <w:pPr>
              <w:spacing w:before="0" w:after="0" w:line="240" w:lineRule="auto"/>
              <w:jc w:val="right"/>
              <w:rPr>
                <w:rFonts w:ascii="Arial" w:hAnsi="Arial" w:cs="Arial"/>
                <w:sz w:val="16"/>
                <w:szCs w:val="16"/>
              </w:rPr>
            </w:pPr>
            <w:r w:rsidRPr="00046B00">
              <w:rPr>
                <w:rFonts w:ascii="Arial" w:hAnsi="Arial" w:cs="Arial"/>
                <w:sz w:val="16"/>
                <w:szCs w:val="16"/>
              </w:rPr>
              <w:t>-3,999</w:t>
            </w:r>
          </w:p>
        </w:tc>
        <w:tc>
          <w:tcPr>
            <w:tcW w:w="548" w:type="pct"/>
            <w:tcBorders>
              <w:top w:val="nil"/>
              <w:left w:val="nil"/>
              <w:bottom w:val="nil"/>
              <w:right w:val="nil"/>
            </w:tcBorders>
            <w:shd w:val="clear" w:color="000000" w:fill="FFFFFF"/>
            <w:noWrap/>
            <w:vAlign w:val="center"/>
            <w:hideMark/>
          </w:tcPr>
          <w:p w14:paraId="0978F61B" w14:textId="77777777" w:rsidR="00046B00" w:rsidRPr="00046B00" w:rsidRDefault="00046B00" w:rsidP="00046B00">
            <w:pPr>
              <w:spacing w:before="0" w:after="0" w:line="240" w:lineRule="auto"/>
              <w:jc w:val="right"/>
              <w:rPr>
                <w:rFonts w:ascii="Arial" w:hAnsi="Arial" w:cs="Arial"/>
                <w:sz w:val="16"/>
                <w:szCs w:val="16"/>
              </w:rPr>
            </w:pPr>
            <w:r w:rsidRPr="00046B00">
              <w:rPr>
                <w:rFonts w:ascii="Arial" w:hAnsi="Arial" w:cs="Arial"/>
                <w:sz w:val="16"/>
                <w:szCs w:val="16"/>
              </w:rPr>
              <w:t>-3,847</w:t>
            </w:r>
          </w:p>
        </w:tc>
        <w:tc>
          <w:tcPr>
            <w:tcW w:w="69" w:type="pct"/>
            <w:tcBorders>
              <w:top w:val="nil"/>
              <w:left w:val="nil"/>
              <w:bottom w:val="nil"/>
              <w:right w:val="nil"/>
            </w:tcBorders>
            <w:shd w:val="clear" w:color="000000" w:fill="FFFFFF"/>
            <w:noWrap/>
            <w:vAlign w:val="center"/>
            <w:hideMark/>
          </w:tcPr>
          <w:p w14:paraId="008622FC" w14:textId="77777777" w:rsidR="00046B00" w:rsidRPr="00046B00" w:rsidRDefault="00046B00" w:rsidP="00046B00">
            <w:pPr>
              <w:spacing w:before="0" w:after="0" w:line="240" w:lineRule="auto"/>
              <w:rPr>
                <w:rFonts w:ascii="Arial" w:hAnsi="Arial" w:cs="Arial"/>
                <w:sz w:val="16"/>
                <w:szCs w:val="16"/>
              </w:rPr>
            </w:pPr>
            <w:r w:rsidRPr="00046B00">
              <w:rPr>
                <w:rFonts w:ascii="Arial" w:hAnsi="Arial" w:cs="Arial"/>
                <w:sz w:val="16"/>
                <w:szCs w:val="16"/>
              </w:rPr>
              <w:t> </w:t>
            </w:r>
          </w:p>
        </w:tc>
        <w:tc>
          <w:tcPr>
            <w:tcW w:w="548" w:type="pct"/>
            <w:tcBorders>
              <w:top w:val="nil"/>
              <w:left w:val="nil"/>
              <w:bottom w:val="nil"/>
              <w:right w:val="nil"/>
            </w:tcBorders>
            <w:shd w:val="clear" w:color="000000" w:fill="FFFFFF"/>
            <w:noWrap/>
            <w:vAlign w:val="center"/>
            <w:hideMark/>
          </w:tcPr>
          <w:p w14:paraId="34F8C15D" w14:textId="77777777" w:rsidR="00046B00" w:rsidRPr="00046B00" w:rsidRDefault="00046B00" w:rsidP="00046B00">
            <w:pPr>
              <w:spacing w:before="0" w:after="0" w:line="240" w:lineRule="auto"/>
              <w:jc w:val="right"/>
              <w:rPr>
                <w:rFonts w:ascii="Arial" w:hAnsi="Arial" w:cs="Arial"/>
                <w:sz w:val="16"/>
                <w:szCs w:val="16"/>
              </w:rPr>
            </w:pPr>
            <w:r w:rsidRPr="00046B00">
              <w:rPr>
                <w:rFonts w:ascii="Arial" w:hAnsi="Arial" w:cs="Arial"/>
                <w:sz w:val="16"/>
                <w:szCs w:val="16"/>
              </w:rPr>
              <w:t>-8,030</w:t>
            </w:r>
          </w:p>
        </w:tc>
      </w:tr>
      <w:tr w:rsidR="00046B00" w:rsidRPr="00046B00" w14:paraId="1B63D4DE" w14:textId="77777777" w:rsidTr="00046B00">
        <w:trPr>
          <w:divId w:val="491213208"/>
          <w:trHeight w:hRule="exact" w:val="225"/>
        </w:trPr>
        <w:tc>
          <w:tcPr>
            <w:tcW w:w="2199" w:type="pct"/>
            <w:tcBorders>
              <w:top w:val="nil"/>
              <w:left w:val="nil"/>
              <w:bottom w:val="nil"/>
              <w:right w:val="nil"/>
            </w:tcBorders>
            <w:shd w:val="clear" w:color="000000" w:fill="FFFFFF"/>
            <w:noWrap/>
            <w:vAlign w:val="center"/>
            <w:hideMark/>
          </w:tcPr>
          <w:p w14:paraId="297FB0F0" w14:textId="77777777" w:rsidR="00046B00" w:rsidRPr="00046B00" w:rsidRDefault="00046B00" w:rsidP="00046B00">
            <w:pPr>
              <w:spacing w:before="0" w:after="0" w:line="240" w:lineRule="auto"/>
              <w:ind w:left="170"/>
              <w:rPr>
                <w:rFonts w:ascii="Arial" w:hAnsi="Arial" w:cs="Arial"/>
                <w:i/>
                <w:iCs/>
                <w:sz w:val="16"/>
                <w:szCs w:val="16"/>
              </w:rPr>
            </w:pPr>
            <w:r w:rsidRPr="00046B00">
              <w:rPr>
                <w:rFonts w:ascii="Arial" w:hAnsi="Arial" w:cs="Arial"/>
                <w:i/>
                <w:iCs/>
                <w:sz w:val="16"/>
                <w:szCs w:val="16"/>
              </w:rPr>
              <w:t>Unemployment benefits</w:t>
            </w:r>
          </w:p>
        </w:tc>
        <w:tc>
          <w:tcPr>
            <w:tcW w:w="548" w:type="pct"/>
            <w:tcBorders>
              <w:top w:val="nil"/>
              <w:left w:val="nil"/>
              <w:bottom w:val="nil"/>
              <w:right w:val="nil"/>
            </w:tcBorders>
            <w:shd w:val="clear" w:color="000000" w:fill="FFFFFF"/>
            <w:noWrap/>
            <w:vAlign w:val="center"/>
            <w:hideMark/>
          </w:tcPr>
          <w:p w14:paraId="22B3C274" w14:textId="77777777" w:rsidR="00046B00" w:rsidRPr="00046B00" w:rsidRDefault="00046B00" w:rsidP="00046B00">
            <w:pPr>
              <w:spacing w:before="0" w:after="0" w:line="240" w:lineRule="auto"/>
              <w:jc w:val="right"/>
              <w:rPr>
                <w:rFonts w:ascii="Arial" w:hAnsi="Arial" w:cs="Arial"/>
                <w:i/>
                <w:iCs/>
                <w:sz w:val="16"/>
                <w:szCs w:val="16"/>
              </w:rPr>
            </w:pPr>
            <w:r w:rsidRPr="00046B00">
              <w:rPr>
                <w:rFonts w:ascii="Arial" w:hAnsi="Arial" w:cs="Arial"/>
                <w:i/>
                <w:iCs/>
                <w:sz w:val="16"/>
                <w:szCs w:val="16"/>
              </w:rPr>
              <w:t>437</w:t>
            </w:r>
          </w:p>
        </w:tc>
        <w:tc>
          <w:tcPr>
            <w:tcW w:w="543" w:type="pct"/>
            <w:tcBorders>
              <w:top w:val="nil"/>
              <w:left w:val="nil"/>
              <w:bottom w:val="nil"/>
              <w:right w:val="nil"/>
            </w:tcBorders>
            <w:shd w:val="clear" w:color="000000" w:fill="E6F2FF"/>
            <w:noWrap/>
            <w:vAlign w:val="center"/>
            <w:hideMark/>
          </w:tcPr>
          <w:p w14:paraId="653798C1" w14:textId="77777777" w:rsidR="00046B00" w:rsidRPr="00046B00" w:rsidRDefault="00046B00" w:rsidP="00046B00">
            <w:pPr>
              <w:spacing w:before="0" w:after="0" w:line="240" w:lineRule="auto"/>
              <w:jc w:val="right"/>
              <w:rPr>
                <w:rFonts w:ascii="Arial" w:hAnsi="Arial" w:cs="Arial"/>
                <w:i/>
                <w:iCs/>
                <w:sz w:val="16"/>
                <w:szCs w:val="16"/>
              </w:rPr>
            </w:pPr>
            <w:r w:rsidRPr="00046B00">
              <w:rPr>
                <w:rFonts w:ascii="Arial" w:hAnsi="Arial" w:cs="Arial"/>
                <w:i/>
                <w:iCs/>
                <w:sz w:val="16"/>
                <w:szCs w:val="16"/>
              </w:rPr>
              <w:t>354</w:t>
            </w:r>
          </w:p>
        </w:tc>
        <w:tc>
          <w:tcPr>
            <w:tcW w:w="543" w:type="pct"/>
            <w:tcBorders>
              <w:top w:val="nil"/>
              <w:left w:val="nil"/>
              <w:bottom w:val="nil"/>
              <w:right w:val="nil"/>
            </w:tcBorders>
            <w:shd w:val="clear" w:color="000000" w:fill="FFFFFF"/>
            <w:noWrap/>
            <w:vAlign w:val="center"/>
            <w:hideMark/>
          </w:tcPr>
          <w:p w14:paraId="20EC224B" w14:textId="77777777" w:rsidR="00046B00" w:rsidRPr="00046B00" w:rsidRDefault="00046B00" w:rsidP="00046B00">
            <w:pPr>
              <w:spacing w:before="0" w:after="0" w:line="240" w:lineRule="auto"/>
              <w:jc w:val="right"/>
              <w:rPr>
                <w:rFonts w:ascii="Arial" w:hAnsi="Arial" w:cs="Arial"/>
                <w:i/>
                <w:iCs/>
                <w:sz w:val="16"/>
                <w:szCs w:val="16"/>
              </w:rPr>
            </w:pPr>
            <w:r w:rsidRPr="00046B00">
              <w:rPr>
                <w:rFonts w:ascii="Arial" w:hAnsi="Arial" w:cs="Arial"/>
                <w:i/>
                <w:iCs/>
                <w:sz w:val="16"/>
                <w:szCs w:val="16"/>
              </w:rPr>
              <w:t>-237</w:t>
            </w:r>
          </w:p>
        </w:tc>
        <w:tc>
          <w:tcPr>
            <w:tcW w:w="548" w:type="pct"/>
            <w:tcBorders>
              <w:top w:val="nil"/>
              <w:left w:val="nil"/>
              <w:bottom w:val="nil"/>
              <w:right w:val="nil"/>
            </w:tcBorders>
            <w:shd w:val="clear" w:color="000000" w:fill="FFFFFF"/>
            <w:noWrap/>
            <w:vAlign w:val="center"/>
            <w:hideMark/>
          </w:tcPr>
          <w:p w14:paraId="1DEC6C98" w14:textId="77777777" w:rsidR="00046B00" w:rsidRPr="00046B00" w:rsidRDefault="00046B00" w:rsidP="00046B00">
            <w:pPr>
              <w:spacing w:before="0" w:after="0" w:line="240" w:lineRule="auto"/>
              <w:jc w:val="right"/>
              <w:rPr>
                <w:rFonts w:ascii="Arial" w:hAnsi="Arial" w:cs="Arial"/>
                <w:i/>
                <w:iCs/>
                <w:sz w:val="16"/>
                <w:szCs w:val="16"/>
              </w:rPr>
            </w:pPr>
            <w:r w:rsidRPr="00046B00">
              <w:rPr>
                <w:rFonts w:ascii="Arial" w:hAnsi="Arial" w:cs="Arial"/>
                <w:i/>
                <w:iCs/>
                <w:sz w:val="16"/>
                <w:szCs w:val="16"/>
              </w:rPr>
              <w:t>45</w:t>
            </w:r>
          </w:p>
        </w:tc>
        <w:tc>
          <w:tcPr>
            <w:tcW w:w="69" w:type="pct"/>
            <w:tcBorders>
              <w:top w:val="nil"/>
              <w:left w:val="nil"/>
              <w:bottom w:val="nil"/>
              <w:right w:val="nil"/>
            </w:tcBorders>
            <w:shd w:val="clear" w:color="000000" w:fill="FFFFFF"/>
            <w:noWrap/>
            <w:vAlign w:val="center"/>
            <w:hideMark/>
          </w:tcPr>
          <w:p w14:paraId="120EB26D" w14:textId="77777777" w:rsidR="00046B00" w:rsidRPr="00046B00" w:rsidRDefault="00046B00" w:rsidP="00046B00">
            <w:pPr>
              <w:spacing w:before="0" w:after="0" w:line="240" w:lineRule="auto"/>
              <w:rPr>
                <w:rFonts w:ascii="Arial" w:hAnsi="Arial" w:cs="Arial"/>
                <w:i/>
                <w:iCs/>
                <w:sz w:val="16"/>
                <w:szCs w:val="16"/>
              </w:rPr>
            </w:pPr>
            <w:r w:rsidRPr="00046B00">
              <w:rPr>
                <w:rFonts w:ascii="Arial" w:hAnsi="Arial" w:cs="Arial"/>
                <w:i/>
                <w:iCs/>
                <w:sz w:val="16"/>
                <w:szCs w:val="16"/>
              </w:rPr>
              <w:t> </w:t>
            </w:r>
          </w:p>
        </w:tc>
        <w:tc>
          <w:tcPr>
            <w:tcW w:w="548" w:type="pct"/>
            <w:tcBorders>
              <w:top w:val="nil"/>
              <w:left w:val="nil"/>
              <w:bottom w:val="nil"/>
              <w:right w:val="nil"/>
            </w:tcBorders>
            <w:shd w:val="clear" w:color="000000" w:fill="FFFFFF"/>
            <w:noWrap/>
            <w:vAlign w:val="center"/>
            <w:hideMark/>
          </w:tcPr>
          <w:p w14:paraId="58DFC3B5" w14:textId="77777777" w:rsidR="00046B00" w:rsidRPr="00046B00" w:rsidRDefault="00046B00" w:rsidP="00046B00">
            <w:pPr>
              <w:spacing w:before="0" w:after="0" w:line="240" w:lineRule="auto"/>
              <w:jc w:val="right"/>
              <w:rPr>
                <w:rFonts w:ascii="Arial" w:hAnsi="Arial" w:cs="Arial"/>
                <w:i/>
                <w:iCs/>
                <w:sz w:val="16"/>
                <w:szCs w:val="16"/>
              </w:rPr>
            </w:pPr>
            <w:r w:rsidRPr="00046B00">
              <w:rPr>
                <w:rFonts w:ascii="Arial" w:hAnsi="Arial" w:cs="Arial"/>
                <w:i/>
                <w:iCs/>
                <w:sz w:val="16"/>
                <w:szCs w:val="16"/>
              </w:rPr>
              <w:t>599</w:t>
            </w:r>
          </w:p>
        </w:tc>
      </w:tr>
      <w:tr w:rsidR="00046B00" w:rsidRPr="00046B00" w14:paraId="39585E7F" w14:textId="77777777" w:rsidTr="00046B00">
        <w:trPr>
          <w:divId w:val="491213208"/>
          <w:trHeight w:hRule="exact" w:val="225"/>
        </w:trPr>
        <w:tc>
          <w:tcPr>
            <w:tcW w:w="2199" w:type="pct"/>
            <w:tcBorders>
              <w:top w:val="nil"/>
              <w:left w:val="nil"/>
              <w:bottom w:val="nil"/>
              <w:right w:val="nil"/>
            </w:tcBorders>
            <w:shd w:val="clear" w:color="000000" w:fill="FFFFFF"/>
            <w:noWrap/>
            <w:vAlign w:val="center"/>
            <w:hideMark/>
          </w:tcPr>
          <w:p w14:paraId="5FEA0184" w14:textId="77777777" w:rsidR="00046B00" w:rsidRPr="00046B00" w:rsidRDefault="00046B00" w:rsidP="00046B00">
            <w:pPr>
              <w:spacing w:before="0" w:after="0" w:line="240" w:lineRule="auto"/>
              <w:ind w:left="170"/>
              <w:rPr>
                <w:rFonts w:ascii="Arial" w:hAnsi="Arial" w:cs="Arial"/>
                <w:i/>
                <w:iCs/>
                <w:sz w:val="16"/>
                <w:szCs w:val="16"/>
              </w:rPr>
            </w:pPr>
            <w:r w:rsidRPr="00046B00">
              <w:rPr>
                <w:rFonts w:ascii="Arial" w:hAnsi="Arial" w:cs="Arial"/>
                <w:i/>
                <w:iCs/>
                <w:sz w:val="16"/>
                <w:szCs w:val="16"/>
              </w:rPr>
              <w:t>Prices and wages</w:t>
            </w:r>
          </w:p>
        </w:tc>
        <w:tc>
          <w:tcPr>
            <w:tcW w:w="548" w:type="pct"/>
            <w:tcBorders>
              <w:top w:val="nil"/>
              <w:left w:val="nil"/>
              <w:bottom w:val="nil"/>
              <w:right w:val="nil"/>
            </w:tcBorders>
            <w:shd w:val="clear" w:color="000000" w:fill="FFFFFF"/>
            <w:noWrap/>
            <w:vAlign w:val="center"/>
            <w:hideMark/>
          </w:tcPr>
          <w:p w14:paraId="2F491FFD" w14:textId="77777777" w:rsidR="00046B00" w:rsidRPr="00046B00" w:rsidRDefault="00046B00" w:rsidP="00046B00">
            <w:pPr>
              <w:spacing w:before="0" w:after="0" w:line="240" w:lineRule="auto"/>
              <w:jc w:val="right"/>
              <w:rPr>
                <w:rFonts w:ascii="Arial" w:hAnsi="Arial" w:cs="Arial"/>
                <w:i/>
                <w:iCs/>
                <w:sz w:val="16"/>
                <w:szCs w:val="16"/>
              </w:rPr>
            </w:pPr>
            <w:r w:rsidRPr="00046B00">
              <w:rPr>
                <w:rFonts w:ascii="Arial" w:hAnsi="Arial" w:cs="Arial"/>
                <w:i/>
                <w:iCs/>
                <w:sz w:val="16"/>
                <w:szCs w:val="16"/>
              </w:rPr>
              <w:t>-364</w:t>
            </w:r>
          </w:p>
        </w:tc>
        <w:tc>
          <w:tcPr>
            <w:tcW w:w="543" w:type="pct"/>
            <w:tcBorders>
              <w:top w:val="nil"/>
              <w:left w:val="nil"/>
              <w:bottom w:val="nil"/>
              <w:right w:val="nil"/>
            </w:tcBorders>
            <w:shd w:val="clear" w:color="000000" w:fill="E6F2FF"/>
            <w:noWrap/>
            <w:vAlign w:val="center"/>
            <w:hideMark/>
          </w:tcPr>
          <w:p w14:paraId="235CEA21" w14:textId="77777777" w:rsidR="00046B00" w:rsidRPr="00046B00" w:rsidRDefault="00046B00" w:rsidP="00046B00">
            <w:pPr>
              <w:spacing w:before="0" w:after="0" w:line="240" w:lineRule="auto"/>
              <w:jc w:val="right"/>
              <w:rPr>
                <w:rFonts w:ascii="Arial" w:hAnsi="Arial" w:cs="Arial"/>
                <w:i/>
                <w:iCs/>
                <w:sz w:val="16"/>
                <w:szCs w:val="16"/>
              </w:rPr>
            </w:pPr>
            <w:r w:rsidRPr="00046B00">
              <w:rPr>
                <w:rFonts w:ascii="Arial" w:hAnsi="Arial" w:cs="Arial"/>
                <w:i/>
                <w:iCs/>
                <w:sz w:val="16"/>
                <w:szCs w:val="16"/>
              </w:rPr>
              <w:t>-1,446</w:t>
            </w:r>
          </w:p>
        </w:tc>
        <w:tc>
          <w:tcPr>
            <w:tcW w:w="543" w:type="pct"/>
            <w:tcBorders>
              <w:top w:val="nil"/>
              <w:left w:val="nil"/>
              <w:bottom w:val="nil"/>
              <w:right w:val="nil"/>
            </w:tcBorders>
            <w:shd w:val="clear" w:color="000000" w:fill="FFFFFF"/>
            <w:noWrap/>
            <w:vAlign w:val="center"/>
            <w:hideMark/>
          </w:tcPr>
          <w:p w14:paraId="3E8EB6D3" w14:textId="77777777" w:rsidR="00046B00" w:rsidRPr="00046B00" w:rsidRDefault="00046B00" w:rsidP="00046B00">
            <w:pPr>
              <w:spacing w:before="0" w:after="0" w:line="240" w:lineRule="auto"/>
              <w:jc w:val="right"/>
              <w:rPr>
                <w:rFonts w:ascii="Arial" w:hAnsi="Arial" w:cs="Arial"/>
                <w:i/>
                <w:iCs/>
                <w:sz w:val="16"/>
                <w:szCs w:val="16"/>
              </w:rPr>
            </w:pPr>
            <w:r w:rsidRPr="00046B00">
              <w:rPr>
                <w:rFonts w:ascii="Arial" w:hAnsi="Arial" w:cs="Arial"/>
                <w:i/>
                <w:iCs/>
                <w:sz w:val="16"/>
                <w:szCs w:val="16"/>
              </w:rPr>
              <w:t>-1,763</w:t>
            </w:r>
          </w:p>
        </w:tc>
        <w:tc>
          <w:tcPr>
            <w:tcW w:w="548" w:type="pct"/>
            <w:tcBorders>
              <w:top w:val="nil"/>
              <w:left w:val="nil"/>
              <w:bottom w:val="nil"/>
              <w:right w:val="nil"/>
            </w:tcBorders>
            <w:shd w:val="clear" w:color="000000" w:fill="FFFFFF"/>
            <w:noWrap/>
            <w:vAlign w:val="center"/>
            <w:hideMark/>
          </w:tcPr>
          <w:p w14:paraId="04089765" w14:textId="77777777" w:rsidR="00046B00" w:rsidRPr="00046B00" w:rsidRDefault="00046B00" w:rsidP="00046B00">
            <w:pPr>
              <w:spacing w:before="0" w:after="0" w:line="240" w:lineRule="auto"/>
              <w:jc w:val="right"/>
              <w:rPr>
                <w:rFonts w:ascii="Arial" w:hAnsi="Arial" w:cs="Arial"/>
                <w:i/>
                <w:iCs/>
                <w:sz w:val="16"/>
                <w:szCs w:val="16"/>
              </w:rPr>
            </w:pPr>
            <w:r w:rsidRPr="00046B00">
              <w:rPr>
                <w:rFonts w:ascii="Arial" w:hAnsi="Arial" w:cs="Arial"/>
                <w:i/>
                <w:iCs/>
                <w:sz w:val="16"/>
                <w:szCs w:val="16"/>
              </w:rPr>
              <w:t>-1,388</w:t>
            </w:r>
          </w:p>
        </w:tc>
        <w:tc>
          <w:tcPr>
            <w:tcW w:w="69" w:type="pct"/>
            <w:tcBorders>
              <w:top w:val="nil"/>
              <w:left w:val="nil"/>
              <w:bottom w:val="nil"/>
              <w:right w:val="nil"/>
            </w:tcBorders>
            <w:shd w:val="clear" w:color="000000" w:fill="FFFFFF"/>
            <w:noWrap/>
            <w:vAlign w:val="center"/>
            <w:hideMark/>
          </w:tcPr>
          <w:p w14:paraId="58A4AFE4" w14:textId="77777777" w:rsidR="00046B00" w:rsidRPr="00046B00" w:rsidRDefault="00046B00" w:rsidP="00046B00">
            <w:pPr>
              <w:spacing w:before="0" w:after="0" w:line="240" w:lineRule="auto"/>
              <w:rPr>
                <w:rFonts w:ascii="Arial" w:hAnsi="Arial" w:cs="Arial"/>
                <w:i/>
                <w:iCs/>
                <w:sz w:val="16"/>
                <w:szCs w:val="16"/>
              </w:rPr>
            </w:pPr>
            <w:r w:rsidRPr="00046B00">
              <w:rPr>
                <w:rFonts w:ascii="Arial" w:hAnsi="Arial" w:cs="Arial"/>
                <w:i/>
                <w:iCs/>
                <w:sz w:val="16"/>
                <w:szCs w:val="16"/>
              </w:rPr>
              <w:t> </w:t>
            </w:r>
          </w:p>
        </w:tc>
        <w:tc>
          <w:tcPr>
            <w:tcW w:w="548" w:type="pct"/>
            <w:tcBorders>
              <w:top w:val="nil"/>
              <w:left w:val="nil"/>
              <w:bottom w:val="nil"/>
              <w:right w:val="nil"/>
            </w:tcBorders>
            <w:shd w:val="clear" w:color="000000" w:fill="FFFFFF"/>
            <w:noWrap/>
            <w:vAlign w:val="center"/>
            <w:hideMark/>
          </w:tcPr>
          <w:p w14:paraId="40FCB27E" w14:textId="77777777" w:rsidR="00046B00" w:rsidRPr="00046B00" w:rsidRDefault="00046B00" w:rsidP="00046B00">
            <w:pPr>
              <w:spacing w:before="0" w:after="0" w:line="240" w:lineRule="auto"/>
              <w:jc w:val="right"/>
              <w:rPr>
                <w:rFonts w:ascii="Arial" w:hAnsi="Arial" w:cs="Arial"/>
                <w:i/>
                <w:iCs/>
                <w:sz w:val="16"/>
                <w:szCs w:val="16"/>
              </w:rPr>
            </w:pPr>
            <w:r w:rsidRPr="00046B00">
              <w:rPr>
                <w:rFonts w:ascii="Arial" w:hAnsi="Arial" w:cs="Arial"/>
                <w:i/>
                <w:iCs/>
                <w:sz w:val="16"/>
                <w:szCs w:val="16"/>
              </w:rPr>
              <w:t>-4,961</w:t>
            </w:r>
          </w:p>
        </w:tc>
      </w:tr>
      <w:tr w:rsidR="00046B00" w:rsidRPr="00046B00" w14:paraId="60809D1C" w14:textId="77777777" w:rsidTr="00046B00">
        <w:trPr>
          <w:divId w:val="491213208"/>
          <w:trHeight w:hRule="exact" w:val="225"/>
        </w:trPr>
        <w:tc>
          <w:tcPr>
            <w:tcW w:w="2199" w:type="pct"/>
            <w:tcBorders>
              <w:top w:val="nil"/>
              <w:left w:val="nil"/>
              <w:bottom w:val="nil"/>
              <w:right w:val="nil"/>
            </w:tcBorders>
            <w:shd w:val="clear" w:color="000000" w:fill="FFFFFF"/>
            <w:noWrap/>
            <w:vAlign w:val="center"/>
            <w:hideMark/>
          </w:tcPr>
          <w:p w14:paraId="0E2DF5FF" w14:textId="77777777" w:rsidR="00046B00" w:rsidRPr="00046B00" w:rsidRDefault="00046B00" w:rsidP="00046B00">
            <w:pPr>
              <w:spacing w:before="0" w:after="0" w:line="240" w:lineRule="auto"/>
              <w:ind w:left="170"/>
              <w:rPr>
                <w:rFonts w:ascii="Arial" w:hAnsi="Arial" w:cs="Arial"/>
                <w:i/>
                <w:iCs/>
                <w:sz w:val="16"/>
                <w:szCs w:val="16"/>
              </w:rPr>
            </w:pPr>
            <w:r w:rsidRPr="00046B00">
              <w:rPr>
                <w:rFonts w:ascii="Arial" w:hAnsi="Arial" w:cs="Arial"/>
                <w:i/>
                <w:iCs/>
                <w:sz w:val="16"/>
                <w:szCs w:val="16"/>
              </w:rPr>
              <w:t>Interest and exchange rates</w:t>
            </w:r>
          </w:p>
        </w:tc>
        <w:tc>
          <w:tcPr>
            <w:tcW w:w="548" w:type="pct"/>
            <w:tcBorders>
              <w:top w:val="nil"/>
              <w:left w:val="nil"/>
              <w:bottom w:val="nil"/>
              <w:right w:val="nil"/>
            </w:tcBorders>
            <w:shd w:val="clear" w:color="000000" w:fill="FFFFFF"/>
            <w:noWrap/>
            <w:vAlign w:val="center"/>
            <w:hideMark/>
          </w:tcPr>
          <w:p w14:paraId="1442F289" w14:textId="77777777" w:rsidR="00046B00" w:rsidRPr="00046B00" w:rsidRDefault="00046B00" w:rsidP="00046B00">
            <w:pPr>
              <w:spacing w:before="0" w:after="0" w:line="240" w:lineRule="auto"/>
              <w:jc w:val="right"/>
              <w:rPr>
                <w:rFonts w:ascii="Arial" w:hAnsi="Arial" w:cs="Arial"/>
                <w:i/>
                <w:iCs/>
                <w:sz w:val="16"/>
                <w:szCs w:val="16"/>
              </w:rPr>
            </w:pPr>
            <w:r w:rsidRPr="00046B00">
              <w:rPr>
                <w:rFonts w:ascii="Arial" w:hAnsi="Arial" w:cs="Arial"/>
                <w:i/>
                <w:iCs/>
                <w:sz w:val="16"/>
                <w:szCs w:val="16"/>
              </w:rPr>
              <w:t>-19</w:t>
            </w:r>
          </w:p>
        </w:tc>
        <w:tc>
          <w:tcPr>
            <w:tcW w:w="543" w:type="pct"/>
            <w:tcBorders>
              <w:top w:val="nil"/>
              <w:left w:val="nil"/>
              <w:bottom w:val="nil"/>
              <w:right w:val="nil"/>
            </w:tcBorders>
            <w:shd w:val="clear" w:color="000000" w:fill="E6F2FF"/>
            <w:noWrap/>
            <w:vAlign w:val="center"/>
            <w:hideMark/>
          </w:tcPr>
          <w:p w14:paraId="675F1C67" w14:textId="77777777" w:rsidR="00046B00" w:rsidRPr="00046B00" w:rsidRDefault="00046B00" w:rsidP="00046B00">
            <w:pPr>
              <w:spacing w:before="0" w:after="0" w:line="240" w:lineRule="auto"/>
              <w:jc w:val="right"/>
              <w:rPr>
                <w:rFonts w:ascii="Arial" w:hAnsi="Arial" w:cs="Arial"/>
                <w:i/>
                <w:iCs/>
                <w:sz w:val="16"/>
                <w:szCs w:val="16"/>
              </w:rPr>
            </w:pPr>
            <w:r w:rsidRPr="00046B00">
              <w:rPr>
                <w:rFonts w:ascii="Arial" w:hAnsi="Arial" w:cs="Arial"/>
                <w:i/>
                <w:iCs/>
                <w:sz w:val="16"/>
                <w:szCs w:val="16"/>
              </w:rPr>
              <w:t>89</w:t>
            </w:r>
          </w:p>
        </w:tc>
        <w:tc>
          <w:tcPr>
            <w:tcW w:w="543" w:type="pct"/>
            <w:tcBorders>
              <w:top w:val="nil"/>
              <w:left w:val="nil"/>
              <w:bottom w:val="nil"/>
              <w:right w:val="nil"/>
            </w:tcBorders>
            <w:shd w:val="clear" w:color="000000" w:fill="FFFFFF"/>
            <w:noWrap/>
            <w:vAlign w:val="center"/>
            <w:hideMark/>
          </w:tcPr>
          <w:p w14:paraId="46D182D2" w14:textId="77777777" w:rsidR="00046B00" w:rsidRPr="00046B00" w:rsidRDefault="00046B00" w:rsidP="00046B00">
            <w:pPr>
              <w:spacing w:before="0" w:after="0" w:line="240" w:lineRule="auto"/>
              <w:jc w:val="right"/>
              <w:rPr>
                <w:rFonts w:ascii="Arial" w:hAnsi="Arial" w:cs="Arial"/>
                <w:i/>
                <w:iCs/>
                <w:sz w:val="16"/>
                <w:szCs w:val="16"/>
              </w:rPr>
            </w:pPr>
            <w:r w:rsidRPr="00046B00">
              <w:rPr>
                <w:rFonts w:ascii="Arial" w:hAnsi="Arial" w:cs="Arial"/>
                <w:i/>
                <w:iCs/>
                <w:sz w:val="16"/>
                <w:szCs w:val="16"/>
              </w:rPr>
              <w:t>91</w:t>
            </w:r>
          </w:p>
        </w:tc>
        <w:tc>
          <w:tcPr>
            <w:tcW w:w="548" w:type="pct"/>
            <w:tcBorders>
              <w:top w:val="nil"/>
              <w:left w:val="nil"/>
              <w:bottom w:val="nil"/>
              <w:right w:val="nil"/>
            </w:tcBorders>
            <w:shd w:val="clear" w:color="000000" w:fill="FFFFFF"/>
            <w:noWrap/>
            <w:vAlign w:val="center"/>
            <w:hideMark/>
          </w:tcPr>
          <w:p w14:paraId="6E947F3D" w14:textId="77777777" w:rsidR="00046B00" w:rsidRPr="00046B00" w:rsidRDefault="00046B00" w:rsidP="00046B00">
            <w:pPr>
              <w:spacing w:before="0" w:after="0" w:line="240" w:lineRule="auto"/>
              <w:jc w:val="right"/>
              <w:rPr>
                <w:rFonts w:ascii="Arial" w:hAnsi="Arial" w:cs="Arial"/>
                <w:i/>
                <w:iCs/>
                <w:sz w:val="16"/>
                <w:szCs w:val="16"/>
              </w:rPr>
            </w:pPr>
            <w:r w:rsidRPr="00046B00">
              <w:rPr>
                <w:rFonts w:ascii="Arial" w:hAnsi="Arial" w:cs="Arial"/>
                <w:i/>
                <w:iCs/>
                <w:sz w:val="16"/>
                <w:szCs w:val="16"/>
              </w:rPr>
              <w:t>87</w:t>
            </w:r>
          </w:p>
        </w:tc>
        <w:tc>
          <w:tcPr>
            <w:tcW w:w="69" w:type="pct"/>
            <w:tcBorders>
              <w:top w:val="nil"/>
              <w:left w:val="nil"/>
              <w:bottom w:val="nil"/>
              <w:right w:val="nil"/>
            </w:tcBorders>
            <w:shd w:val="clear" w:color="000000" w:fill="FFFFFF"/>
            <w:noWrap/>
            <w:vAlign w:val="center"/>
            <w:hideMark/>
          </w:tcPr>
          <w:p w14:paraId="51E235E7" w14:textId="77777777" w:rsidR="00046B00" w:rsidRPr="00046B00" w:rsidRDefault="00046B00" w:rsidP="00046B00">
            <w:pPr>
              <w:spacing w:before="0" w:after="0" w:line="240" w:lineRule="auto"/>
              <w:rPr>
                <w:rFonts w:ascii="Arial" w:hAnsi="Arial" w:cs="Arial"/>
                <w:i/>
                <w:iCs/>
                <w:sz w:val="16"/>
                <w:szCs w:val="16"/>
              </w:rPr>
            </w:pPr>
            <w:r w:rsidRPr="00046B00">
              <w:rPr>
                <w:rFonts w:ascii="Arial" w:hAnsi="Arial" w:cs="Arial"/>
                <w:i/>
                <w:iCs/>
                <w:sz w:val="16"/>
                <w:szCs w:val="16"/>
              </w:rPr>
              <w:t> </w:t>
            </w:r>
          </w:p>
        </w:tc>
        <w:tc>
          <w:tcPr>
            <w:tcW w:w="548" w:type="pct"/>
            <w:tcBorders>
              <w:top w:val="nil"/>
              <w:left w:val="nil"/>
              <w:bottom w:val="nil"/>
              <w:right w:val="nil"/>
            </w:tcBorders>
            <w:shd w:val="clear" w:color="000000" w:fill="FFFFFF"/>
            <w:noWrap/>
            <w:vAlign w:val="center"/>
            <w:hideMark/>
          </w:tcPr>
          <w:p w14:paraId="6E3ACABD" w14:textId="77777777" w:rsidR="00046B00" w:rsidRPr="00046B00" w:rsidRDefault="00046B00" w:rsidP="00046B00">
            <w:pPr>
              <w:spacing w:before="0" w:after="0" w:line="240" w:lineRule="auto"/>
              <w:jc w:val="right"/>
              <w:rPr>
                <w:rFonts w:ascii="Arial" w:hAnsi="Arial" w:cs="Arial"/>
                <w:i/>
                <w:iCs/>
                <w:sz w:val="16"/>
                <w:szCs w:val="16"/>
              </w:rPr>
            </w:pPr>
            <w:r w:rsidRPr="00046B00">
              <w:rPr>
                <w:rFonts w:ascii="Arial" w:hAnsi="Arial" w:cs="Arial"/>
                <w:i/>
                <w:iCs/>
                <w:sz w:val="16"/>
                <w:szCs w:val="16"/>
              </w:rPr>
              <w:t>248</w:t>
            </w:r>
          </w:p>
        </w:tc>
      </w:tr>
      <w:tr w:rsidR="00046B00" w:rsidRPr="00046B00" w14:paraId="4682C759" w14:textId="77777777" w:rsidTr="00046B00">
        <w:trPr>
          <w:divId w:val="491213208"/>
          <w:trHeight w:hRule="exact" w:val="225"/>
        </w:trPr>
        <w:tc>
          <w:tcPr>
            <w:tcW w:w="2199" w:type="pct"/>
            <w:tcBorders>
              <w:top w:val="nil"/>
              <w:left w:val="nil"/>
              <w:bottom w:val="nil"/>
              <w:right w:val="nil"/>
            </w:tcBorders>
            <w:shd w:val="clear" w:color="000000" w:fill="FFFFFF"/>
            <w:noWrap/>
            <w:vAlign w:val="center"/>
            <w:hideMark/>
          </w:tcPr>
          <w:p w14:paraId="41181D1A" w14:textId="77777777" w:rsidR="00046B00" w:rsidRPr="00046B00" w:rsidRDefault="00046B00" w:rsidP="00046B00">
            <w:pPr>
              <w:spacing w:before="0" w:after="0" w:line="240" w:lineRule="auto"/>
              <w:ind w:left="170"/>
              <w:rPr>
                <w:rFonts w:ascii="Arial" w:hAnsi="Arial" w:cs="Arial"/>
                <w:i/>
                <w:iCs/>
                <w:sz w:val="16"/>
                <w:szCs w:val="16"/>
              </w:rPr>
            </w:pPr>
            <w:r w:rsidRPr="00046B00">
              <w:rPr>
                <w:rFonts w:ascii="Arial" w:hAnsi="Arial" w:cs="Arial"/>
                <w:i/>
                <w:iCs/>
                <w:sz w:val="16"/>
                <w:szCs w:val="16"/>
              </w:rPr>
              <w:t>GST payments to the States</w:t>
            </w:r>
          </w:p>
        </w:tc>
        <w:tc>
          <w:tcPr>
            <w:tcW w:w="548" w:type="pct"/>
            <w:tcBorders>
              <w:top w:val="nil"/>
              <w:left w:val="nil"/>
              <w:bottom w:val="nil"/>
              <w:right w:val="nil"/>
            </w:tcBorders>
            <w:shd w:val="clear" w:color="000000" w:fill="FFFFFF"/>
            <w:noWrap/>
            <w:vAlign w:val="center"/>
            <w:hideMark/>
          </w:tcPr>
          <w:p w14:paraId="552157CB" w14:textId="77777777" w:rsidR="00046B00" w:rsidRPr="00046B00" w:rsidRDefault="00046B00" w:rsidP="00046B00">
            <w:pPr>
              <w:spacing w:before="0" w:after="0" w:line="240" w:lineRule="auto"/>
              <w:jc w:val="right"/>
              <w:rPr>
                <w:rFonts w:ascii="Arial" w:hAnsi="Arial" w:cs="Arial"/>
                <w:i/>
                <w:iCs/>
                <w:sz w:val="16"/>
                <w:szCs w:val="16"/>
              </w:rPr>
            </w:pPr>
            <w:r w:rsidRPr="00046B00">
              <w:rPr>
                <w:rFonts w:ascii="Arial" w:hAnsi="Arial" w:cs="Arial"/>
                <w:i/>
                <w:iCs/>
                <w:sz w:val="16"/>
                <w:szCs w:val="16"/>
              </w:rPr>
              <w:t>1,694</w:t>
            </w:r>
          </w:p>
        </w:tc>
        <w:tc>
          <w:tcPr>
            <w:tcW w:w="543" w:type="pct"/>
            <w:tcBorders>
              <w:top w:val="nil"/>
              <w:left w:val="nil"/>
              <w:bottom w:val="nil"/>
              <w:right w:val="nil"/>
            </w:tcBorders>
            <w:shd w:val="clear" w:color="000000" w:fill="E6F2FF"/>
            <w:noWrap/>
            <w:vAlign w:val="center"/>
            <w:hideMark/>
          </w:tcPr>
          <w:p w14:paraId="7B31EF6B" w14:textId="77777777" w:rsidR="00046B00" w:rsidRPr="00046B00" w:rsidRDefault="00046B00" w:rsidP="00046B00">
            <w:pPr>
              <w:spacing w:before="0" w:after="0" w:line="240" w:lineRule="auto"/>
              <w:jc w:val="right"/>
              <w:rPr>
                <w:rFonts w:ascii="Arial" w:hAnsi="Arial" w:cs="Arial"/>
                <w:i/>
                <w:iCs/>
                <w:sz w:val="16"/>
                <w:szCs w:val="16"/>
              </w:rPr>
            </w:pPr>
            <w:r w:rsidRPr="00046B00">
              <w:rPr>
                <w:rFonts w:ascii="Arial" w:hAnsi="Arial" w:cs="Arial"/>
                <w:i/>
                <w:iCs/>
                <w:sz w:val="16"/>
                <w:szCs w:val="16"/>
              </w:rPr>
              <w:t>-928</w:t>
            </w:r>
          </w:p>
        </w:tc>
        <w:tc>
          <w:tcPr>
            <w:tcW w:w="543" w:type="pct"/>
            <w:tcBorders>
              <w:top w:val="nil"/>
              <w:left w:val="nil"/>
              <w:bottom w:val="nil"/>
              <w:right w:val="nil"/>
            </w:tcBorders>
            <w:shd w:val="clear" w:color="000000" w:fill="FFFFFF"/>
            <w:noWrap/>
            <w:vAlign w:val="center"/>
            <w:hideMark/>
          </w:tcPr>
          <w:p w14:paraId="45BAD28F" w14:textId="77777777" w:rsidR="00046B00" w:rsidRPr="00046B00" w:rsidRDefault="00046B00" w:rsidP="00046B00">
            <w:pPr>
              <w:spacing w:before="0" w:after="0" w:line="240" w:lineRule="auto"/>
              <w:jc w:val="right"/>
              <w:rPr>
                <w:rFonts w:ascii="Arial" w:hAnsi="Arial" w:cs="Arial"/>
                <w:i/>
                <w:iCs/>
                <w:sz w:val="16"/>
                <w:szCs w:val="16"/>
              </w:rPr>
            </w:pPr>
            <w:r w:rsidRPr="00046B00">
              <w:rPr>
                <w:rFonts w:ascii="Arial" w:hAnsi="Arial" w:cs="Arial"/>
                <w:i/>
                <w:iCs/>
                <w:sz w:val="16"/>
                <w:szCs w:val="16"/>
              </w:rPr>
              <w:t>-2,090</w:t>
            </w:r>
          </w:p>
        </w:tc>
        <w:tc>
          <w:tcPr>
            <w:tcW w:w="548" w:type="pct"/>
            <w:tcBorders>
              <w:top w:val="nil"/>
              <w:left w:val="nil"/>
              <w:bottom w:val="nil"/>
              <w:right w:val="nil"/>
            </w:tcBorders>
            <w:shd w:val="clear" w:color="000000" w:fill="FFFFFF"/>
            <w:noWrap/>
            <w:vAlign w:val="center"/>
            <w:hideMark/>
          </w:tcPr>
          <w:p w14:paraId="2B2C8700" w14:textId="77777777" w:rsidR="00046B00" w:rsidRPr="00046B00" w:rsidRDefault="00046B00" w:rsidP="00046B00">
            <w:pPr>
              <w:spacing w:before="0" w:after="0" w:line="240" w:lineRule="auto"/>
              <w:jc w:val="right"/>
              <w:rPr>
                <w:rFonts w:ascii="Arial" w:hAnsi="Arial" w:cs="Arial"/>
                <w:i/>
                <w:iCs/>
                <w:sz w:val="16"/>
                <w:szCs w:val="16"/>
              </w:rPr>
            </w:pPr>
            <w:r w:rsidRPr="00046B00">
              <w:rPr>
                <w:rFonts w:ascii="Arial" w:hAnsi="Arial" w:cs="Arial"/>
                <w:i/>
                <w:iCs/>
                <w:sz w:val="16"/>
                <w:szCs w:val="16"/>
              </w:rPr>
              <w:t>-2,591</w:t>
            </w:r>
          </w:p>
        </w:tc>
        <w:tc>
          <w:tcPr>
            <w:tcW w:w="69" w:type="pct"/>
            <w:tcBorders>
              <w:top w:val="nil"/>
              <w:left w:val="nil"/>
              <w:bottom w:val="nil"/>
              <w:right w:val="nil"/>
            </w:tcBorders>
            <w:shd w:val="clear" w:color="000000" w:fill="FFFFFF"/>
            <w:noWrap/>
            <w:vAlign w:val="center"/>
            <w:hideMark/>
          </w:tcPr>
          <w:p w14:paraId="6643D6AD" w14:textId="77777777" w:rsidR="00046B00" w:rsidRPr="00046B00" w:rsidRDefault="00046B00" w:rsidP="00046B00">
            <w:pPr>
              <w:spacing w:before="0" w:after="0" w:line="240" w:lineRule="auto"/>
              <w:rPr>
                <w:rFonts w:ascii="Arial" w:hAnsi="Arial" w:cs="Arial"/>
                <w:i/>
                <w:iCs/>
                <w:sz w:val="16"/>
                <w:szCs w:val="16"/>
              </w:rPr>
            </w:pPr>
            <w:r w:rsidRPr="00046B00">
              <w:rPr>
                <w:rFonts w:ascii="Arial" w:hAnsi="Arial" w:cs="Arial"/>
                <w:i/>
                <w:iCs/>
                <w:sz w:val="16"/>
                <w:szCs w:val="16"/>
              </w:rPr>
              <w:t> </w:t>
            </w:r>
          </w:p>
        </w:tc>
        <w:tc>
          <w:tcPr>
            <w:tcW w:w="548" w:type="pct"/>
            <w:tcBorders>
              <w:top w:val="nil"/>
              <w:left w:val="nil"/>
              <w:bottom w:val="nil"/>
              <w:right w:val="nil"/>
            </w:tcBorders>
            <w:shd w:val="clear" w:color="000000" w:fill="FFFFFF"/>
            <w:noWrap/>
            <w:vAlign w:val="center"/>
            <w:hideMark/>
          </w:tcPr>
          <w:p w14:paraId="538F9638" w14:textId="77777777" w:rsidR="00046B00" w:rsidRPr="00046B00" w:rsidRDefault="00046B00" w:rsidP="00046B00">
            <w:pPr>
              <w:spacing w:before="0" w:after="0" w:line="240" w:lineRule="auto"/>
              <w:jc w:val="right"/>
              <w:rPr>
                <w:rFonts w:ascii="Arial" w:hAnsi="Arial" w:cs="Arial"/>
                <w:i/>
                <w:iCs/>
                <w:sz w:val="16"/>
                <w:szCs w:val="16"/>
              </w:rPr>
            </w:pPr>
            <w:r w:rsidRPr="00046B00">
              <w:rPr>
                <w:rFonts w:ascii="Arial" w:hAnsi="Arial" w:cs="Arial"/>
                <w:i/>
                <w:iCs/>
                <w:sz w:val="16"/>
                <w:szCs w:val="16"/>
              </w:rPr>
              <w:t>-3,915</w:t>
            </w:r>
          </w:p>
        </w:tc>
      </w:tr>
      <w:tr w:rsidR="00046B00" w:rsidRPr="00046B00" w14:paraId="607385DC" w14:textId="77777777" w:rsidTr="00046B00">
        <w:trPr>
          <w:divId w:val="491213208"/>
          <w:trHeight w:hRule="exact" w:val="225"/>
        </w:trPr>
        <w:tc>
          <w:tcPr>
            <w:tcW w:w="2199" w:type="pct"/>
            <w:tcBorders>
              <w:top w:val="nil"/>
              <w:left w:val="nil"/>
              <w:bottom w:val="nil"/>
              <w:right w:val="nil"/>
            </w:tcBorders>
            <w:shd w:val="clear" w:color="000000" w:fill="FFFFFF"/>
            <w:noWrap/>
            <w:vAlign w:val="center"/>
            <w:hideMark/>
          </w:tcPr>
          <w:p w14:paraId="2226757B" w14:textId="77777777" w:rsidR="00046B00" w:rsidRPr="00046B00" w:rsidRDefault="00046B00" w:rsidP="00046B00">
            <w:pPr>
              <w:spacing w:before="0" w:after="0" w:line="240" w:lineRule="auto"/>
              <w:rPr>
                <w:rFonts w:ascii="Arial" w:hAnsi="Arial" w:cs="Arial"/>
                <w:sz w:val="16"/>
                <w:szCs w:val="16"/>
              </w:rPr>
            </w:pPr>
            <w:r w:rsidRPr="00046B00">
              <w:rPr>
                <w:rFonts w:ascii="Arial" w:hAnsi="Arial" w:cs="Arial"/>
                <w:sz w:val="16"/>
                <w:szCs w:val="16"/>
              </w:rPr>
              <w:t>Public debt interest</w:t>
            </w:r>
          </w:p>
        </w:tc>
        <w:tc>
          <w:tcPr>
            <w:tcW w:w="548" w:type="pct"/>
            <w:tcBorders>
              <w:top w:val="nil"/>
              <w:left w:val="nil"/>
              <w:bottom w:val="nil"/>
              <w:right w:val="nil"/>
            </w:tcBorders>
            <w:shd w:val="clear" w:color="000000" w:fill="FFFFFF"/>
            <w:noWrap/>
            <w:vAlign w:val="center"/>
            <w:hideMark/>
          </w:tcPr>
          <w:p w14:paraId="3875A27C" w14:textId="77777777" w:rsidR="00046B00" w:rsidRPr="00046B00" w:rsidRDefault="00046B00" w:rsidP="00046B00">
            <w:pPr>
              <w:spacing w:before="0" w:after="0" w:line="240" w:lineRule="auto"/>
              <w:jc w:val="right"/>
              <w:rPr>
                <w:rFonts w:ascii="Arial" w:hAnsi="Arial" w:cs="Arial"/>
                <w:sz w:val="16"/>
                <w:szCs w:val="16"/>
              </w:rPr>
            </w:pPr>
            <w:r w:rsidRPr="00046B00">
              <w:rPr>
                <w:rFonts w:ascii="Arial" w:hAnsi="Arial" w:cs="Arial"/>
                <w:sz w:val="16"/>
                <w:szCs w:val="16"/>
              </w:rPr>
              <w:t>143</w:t>
            </w:r>
          </w:p>
        </w:tc>
        <w:tc>
          <w:tcPr>
            <w:tcW w:w="543" w:type="pct"/>
            <w:tcBorders>
              <w:top w:val="nil"/>
              <w:left w:val="nil"/>
              <w:bottom w:val="nil"/>
              <w:right w:val="nil"/>
            </w:tcBorders>
            <w:shd w:val="clear" w:color="000000" w:fill="E6F2FF"/>
            <w:noWrap/>
            <w:vAlign w:val="center"/>
            <w:hideMark/>
          </w:tcPr>
          <w:p w14:paraId="13E74EBC" w14:textId="77777777" w:rsidR="00046B00" w:rsidRPr="00046B00" w:rsidRDefault="00046B00" w:rsidP="00046B00">
            <w:pPr>
              <w:spacing w:before="0" w:after="0" w:line="240" w:lineRule="auto"/>
              <w:jc w:val="right"/>
              <w:rPr>
                <w:rFonts w:ascii="Arial" w:hAnsi="Arial" w:cs="Arial"/>
                <w:sz w:val="16"/>
                <w:szCs w:val="16"/>
              </w:rPr>
            </w:pPr>
            <w:r w:rsidRPr="00046B00">
              <w:rPr>
                <w:rFonts w:ascii="Arial" w:hAnsi="Arial" w:cs="Arial"/>
                <w:sz w:val="16"/>
                <w:szCs w:val="16"/>
              </w:rPr>
              <w:t>-579</w:t>
            </w:r>
          </w:p>
        </w:tc>
        <w:tc>
          <w:tcPr>
            <w:tcW w:w="543" w:type="pct"/>
            <w:tcBorders>
              <w:top w:val="nil"/>
              <w:left w:val="nil"/>
              <w:bottom w:val="nil"/>
              <w:right w:val="nil"/>
            </w:tcBorders>
            <w:shd w:val="clear" w:color="000000" w:fill="FFFFFF"/>
            <w:noWrap/>
            <w:vAlign w:val="center"/>
            <w:hideMark/>
          </w:tcPr>
          <w:p w14:paraId="2BC4340D" w14:textId="77777777" w:rsidR="00046B00" w:rsidRPr="00046B00" w:rsidRDefault="00046B00" w:rsidP="00046B00">
            <w:pPr>
              <w:spacing w:before="0" w:after="0" w:line="240" w:lineRule="auto"/>
              <w:jc w:val="right"/>
              <w:rPr>
                <w:rFonts w:ascii="Arial" w:hAnsi="Arial" w:cs="Arial"/>
                <w:sz w:val="16"/>
                <w:szCs w:val="16"/>
              </w:rPr>
            </w:pPr>
            <w:r w:rsidRPr="00046B00">
              <w:rPr>
                <w:rFonts w:ascii="Arial" w:hAnsi="Arial" w:cs="Arial"/>
                <w:sz w:val="16"/>
                <w:szCs w:val="16"/>
              </w:rPr>
              <w:t>-96</w:t>
            </w:r>
          </w:p>
        </w:tc>
        <w:tc>
          <w:tcPr>
            <w:tcW w:w="548" w:type="pct"/>
            <w:tcBorders>
              <w:top w:val="nil"/>
              <w:left w:val="nil"/>
              <w:bottom w:val="nil"/>
              <w:right w:val="nil"/>
            </w:tcBorders>
            <w:shd w:val="clear" w:color="000000" w:fill="FFFFFF"/>
            <w:noWrap/>
            <w:vAlign w:val="center"/>
            <w:hideMark/>
          </w:tcPr>
          <w:p w14:paraId="210DA194" w14:textId="77777777" w:rsidR="00046B00" w:rsidRPr="00046B00" w:rsidRDefault="00046B00" w:rsidP="00046B00">
            <w:pPr>
              <w:spacing w:before="0" w:after="0" w:line="240" w:lineRule="auto"/>
              <w:jc w:val="right"/>
              <w:rPr>
                <w:rFonts w:ascii="Arial" w:hAnsi="Arial" w:cs="Arial"/>
                <w:sz w:val="16"/>
                <w:szCs w:val="16"/>
              </w:rPr>
            </w:pPr>
            <w:r w:rsidRPr="00046B00">
              <w:rPr>
                <w:rFonts w:ascii="Arial" w:hAnsi="Arial" w:cs="Arial"/>
                <w:sz w:val="16"/>
                <w:szCs w:val="16"/>
              </w:rPr>
              <w:t>-649</w:t>
            </w:r>
          </w:p>
        </w:tc>
        <w:tc>
          <w:tcPr>
            <w:tcW w:w="69" w:type="pct"/>
            <w:tcBorders>
              <w:top w:val="nil"/>
              <w:left w:val="nil"/>
              <w:bottom w:val="nil"/>
              <w:right w:val="nil"/>
            </w:tcBorders>
            <w:shd w:val="clear" w:color="000000" w:fill="FFFFFF"/>
            <w:noWrap/>
            <w:vAlign w:val="center"/>
            <w:hideMark/>
          </w:tcPr>
          <w:p w14:paraId="22FC6FDA" w14:textId="77777777" w:rsidR="00046B00" w:rsidRPr="00046B00" w:rsidRDefault="00046B00" w:rsidP="00046B00">
            <w:pPr>
              <w:spacing w:before="0" w:after="0" w:line="240" w:lineRule="auto"/>
              <w:rPr>
                <w:rFonts w:ascii="Arial" w:hAnsi="Arial" w:cs="Arial"/>
                <w:sz w:val="16"/>
                <w:szCs w:val="16"/>
              </w:rPr>
            </w:pPr>
            <w:r w:rsidRPr="00046B00">
              <w:rPr>
                <w:rFonts w:ascii="Arial" w:hAnsi="Arial" w:cs="Arial"/>
                <w:sz w:val="16"/>
                <w:szCs w:val="16"/>
              </w:rPr>
              <w:t> </w:t>
            </w:r>
          </w:p>
        </w:tc>
        <w:tc>
          <w:tcPr>
            <w:tcW w:w="548" w:type="pct"/>
            <w:tcBorders>
              <w:top w:val="nil"/>
              <w:left w:val="nil"/>
              <w:bottom w:val="nil"/>
              <w:right w:val="nil"/>
            </w:tcBorders>
            <w:shd w:val="clear" w:color="000000" w:fill="FFFFFF"/>
            <w:noWrap/>
            <w:vAlign w:val="center"/>
            <w:hideMark/>
          </w:tcPr>
          <w:p w14:paraId="495BC3CE" w14:textId="77777777" w:rsidR="00046B00" w:rsidRPr="00046B00" w:rsidRDefault="00046B00" w:rsidP="00046B00">
            <w:pPr>
              <w:spacing w:before="0" w:after="0" w:line="240" w:lineRule="auto"/>
              <w:jc w:val="right"/>
              <w:rPr>
                <w:rFonts w:ascii="Arial" w:hAnsi="Arial" w:cs="Arial"/>
                <w:sz w:val="16"/>
                <w:szCs w:val="16"/>
              </w:rPr>
            </w:pPr>
            <w:r w:rsidRPr="00046B00">
              <w:rPr>
                <w:rFonts w:ascii="Arial" w:hAnsi="Arial" w:cs="Arial"/>
                <w:sz w:val="16"/>
                <w:szCs w:val="16"/>
              </w:rPr>
              <w:t>-1,181</w:t>
            </w:r>
          </w:p>
        </w:tc>
      </w:tr>
      <w:tr w:rsidR="00046B00" w:rsidRPr="00046B00" w14:paraId="74D3EA99" w14:textId="77777777" w:rsidTr="00046B00">
        <w:trPr>
          <w:divId w:val="491213208"/>
          <w:trHeight w:hRule="exact" w:val="225"/>
        </w:trPr>
        <w:tc>
          <w:tcPr>
            <w:tcW w:w="2199" w:type="pct"/>
            <w:tcBorders>
              <w:top w:val="nil"/>
              <w:left w:val="nil"/>
              <w:bottom w:val="nil"/>
              <w:right w:val="nil"/>
            </w:tcBorders>
            <w:shd w:val="clear" w:color="000000" w:fill="FFFFFF"/>
            <w:noWrap/>
            <w:vAlign w:val="center"/>
            <w:hideMark/>
          </w:tcPr>
          <w:p w14:paraId="4AE32276" w14:textId="77777777" w:rsidR="00046B00" w:rsidRPr="00046B00" w:rsidRDefault="00046B00" w:rsidP="00046B00">
            <w:pPr>
              <w:spacing w:before="0" w:after="0" w:line="240" w:lineRule="auto"/>
              <w:rPr>
                <w:rFonts w:ascii="Arial" w:hAnsi="Arial" w:cs="Arial"/>
                <w:sz w:val="16"/>
                <w:szCs w:val="16"/>
              </w:rPr>
            </w:pPr>
            <w:r w:rsidRPr="00046B00">
              <w:rPr>
                <w:rFonts w:ascii="Arial" w:hAnsi="Arial" w:cs="Arial"/>
                <w:sz w:val="16"/>
                <w:szCs w:val="16"/>
              </w:rPr>
              <w:t>Program specific parameter variations</w:t>
            </w:r>
          </w:p>
        </w:tc>
        <w:tc>
          <w:tcPr>
            <w:tcW w:w="548" w:type="pct"/>
            <w:tcBorders>
              <w:top w:val="nil"/>
              <w:left w:val="nil"/>
              <w:bottom w:val="nil"/>
              <w:right w:val="nil"/>
            </w:tcBorders>
            <w:shd w:val="clear" w:color="000000" w:fill="FFFFFF"/>
            <w:noWrap/>
            <w:vAlign w:val="center"/>
            <w:hideMark/>
          </w:tcPr>
          <w:p w14:paraId="06ADE508" w14:textId="77777777" w:rsidR="00046B00" w:rsidRPr="00046B00" w:rsidRDefault="00046B00" w:rsidP="00046B00">
            <w:pPr>
              <w:spacing w:before="0" w:after="0" w:line="240" w:lineRule="auto"/>
              <w:jc w:val="right"/>
              <w:rPr>
                <w:rFonts w:ascii="Arial" w:hAnsi="Arial" w:cs="Arial"/>
                <w:sz w:val="16"/>
                <w:szCs w:val="16"/>
              </w:rPr>
            </w:pPr>
            <w:r w:rsidRPr="00046B00">
              <w:rPr>
                <w:rFonts w:ascii="Arial" w:hAnsi="Arial" w:cs="Arial"/>
                <w:sz w:val="16"/>
                <w:szCs w:val="16"/>
              </w:rPr>
              <w:t>6,777</w:t>
            </w:r>
          </w:p>
        </w:tc>
        <w:tc>
          <w:tcPr>
            <w:tcW w:w="543" w:type="pct"/>
            <w:tcBorders>
              <w:top w:val="nil"/>
              <w:left w:val="nil"/>
              <w:bottom w:val="nil"/>
              <w:right w:val="nil"/>
            </w:tcBorders>
            <w:shd w:val="clear" w:color="000000" w:fill="E6F2FF"/>
            <w:noWrap/>
            <w:vAlign w:val="center"/>
            <w:hideMark/>
          </w:tcPr>
          <w:p w14:paraId="5838276A" w14:textId="77777777" w:rsidR="00046B00" w:rsidRPr="00046B00" w:rsidRDefault="00046B00" w:rsidP="00046B00">
            <w:pPr>
              <w:spacing w:before="0" w:after="0" w:line="240" w:lineRule="auto"/>
              <w:jc w:val="right"/>
              <w:rPr>
                <w:rFonts w:ascii="Arial" w:hAnsi="Arial" w:cs="Arial"/>
                <w:sz w:val="16"/>
                <w:szCs w:val="16"/>
              </w:rPr>
            </w:pPr>
            <w:r w:rsidRPr="00046B00">
              <w:rPr>
                <w:rFonts w:ascii="Arial" w:hAnsi="Arial" w:cs="Arial"/>
                <w:sz w:val="16"/>
                <w:szCs w:val="16"/>
              </w:rPr>
              <w:t>7,454</w:t>
            </w:r>
          </w:p>
        </w:tc>
        <w:tc>
          <w:tcPr>
            <w:tcW w:w="543" w:type="pct"/>
            <w:tcBorders>
              <w:top w:val="nil"/>
              <w:left w:val="nil"/>
              <w:bottom w:val="nil"/>
              <w:right w:val="nil"/>
            </w:tcBorders>
            <w:shd w:val="clear" w:color="000000" w:fill="FFFFFF"/>
            <w:noWrap/>
            <w:vAlign w:val="center"/>
            <w:hideMark/>
          </w:tcPr>
          <w:p w14:paraId="7D4D0098" w14:textId="77777777" w:rsidR="00046B00" w:rsidRPr="00046B00" w:rsidRDefault="00046B00" w:rsidP="00046B00">
            <w:pPr>
              <w:spacing w:before="0" w:after="0" w:line="240" w:lineRule="auto"/>
              <w:jc w:val="right"/>
              <w:rPr>
                <w:rFonts w:ascii="Arial" w:hAnsi="Arial" w:cs="Arial"/>
                <w:sz w:val="16"/>
                <w:szCs w:val="16"/>
              </w:rPr>
            </w:pPr>
            <w:r w:rsidRPr="00046B00">
              <w:rPr>
                <w:rFonts w:ascii="Arial" w:hAnsi="Arial" w:cs="Arial"/>
                <w:sz w:val="16"/>
                <w:szCs w:val="16"/>
              </w:rPr>
              <w:t>10,919</w:t>
            </w:r>
          </w:p>
        </w:tc>
        <w:tc>
          <w:tcPr>
            <w:tcW w:w="548" w:type="pct"/>
            <w:tcBorders>
              <w:top w:val="nil"/>
              <w:left w:val="nil"/>
              <w:bottom w:val="nil"/>
              <w:right w:val="nil"/>
            </w:tcBorders>
            <w:shd w:val="clear" w:color="000000" w:fill="FFFFFF"/>
            <w:noWrap/>
            <w:vAlign w:val="center"/>
            <w:hideMark/>
          </w:tcPr>
          <w:p w14:paraId="0E1CC76D" w14:textId="77777777" w:rsidR="00046B00" w:rsidRPr="00046B00" w:rsidRDefault="00046B00" w:rsidP="00046B00">
            <w:pPr>
              <w:spacing w:before="0" w:after="0" w:line="240" w:lineRule="auto"/>
              <w:jc w:val="right"/>
              <w:rPr>
                <w:rFonts w:ascii="Arial" w:hAnsi="Arial" w:cs="Arial"/>
                <w:sz w:val="16"/>
                <w:szCs w:val="16"/>
              </w:rPr>
            </w:pPr>
            <w:r w:rsidRPr="00046B00">
              <w:rPr>
                <w:rFonts w:ascii="Arial" w:hAnsi="Arial" w:cs="Arial"/>
                <w:sz w:val="16"/>
                <w:szCs w:val="16"/>
              </w:rPr>
              <w:t>10,560</w:t>
            </w:r>
          </w:p>
        </w:tc>
        <w:tc>
          <w:tcPr>
            <w:tcW w:w="69" w:type="pct"/>
            <w:tcBorders>
              <w:top w:val="nil"/>
              <w:left w:val="nil"/>
              <w:bottom w:val="nil"/>
              <w:right w:val="nil"/>
            </w:tcBorders>
            <w:shd w:val="clear" w:color="000000" w:fill="FFFFFF"/>
            <w:noWrap/>
            <w:vAlign w:val="center"/>
            <w:hideMark/>
          </w:tcPr>
          <w:p w14:paraId="011B4BFC" w14:textId="77777777" w:rsidR="00046B00" w:rsidRPr="00046B00" w:rsidRDefault="00046B00" w:rsidP="00046B00">
            <w:pPr>
              <w:spacing w:before="0" w:after="0" w:line="240" w:lineRule="auto"/>
              <w:rPr>
                <w:rFonts w:ascii="Arial" w:hAnsi="Arial" w:cs="Arial"/>
                <w:sz w:val="16"/>
                <w:szCs w:val="16"/>
              </w:rPr>
            </w:pPr>
            <w:r w:rsidRPr="00046B00">
              <w:rPr>
                <w:rFonts w:ascii="Arial" w:hAnsi="Arial" w:cs="Arial"/>
                <w:sz w:val="16"/>
                <w:szCs w:val="16"/>
              </w:rPr>
              <w:t> </w:t>
            </w:r>
          </w:p>
        </w:tc>
        <w:tc>
          <w:tcPr>
            <w:tcW w:w="548" w:type="pct"/>
            <w:tcBorders>
              <w:top w:val="nil"/>
              <w:left w:val="nil"/>
              <w:bottom w:val="nil"/>
              <w:right w:val="nil"/>
            </w:tcBorders>
            <w:shd w:val="clear" w:color="000000" w:fill="FFFFFF"/>
            <w:noWrap/>
            <w:vAlign w:val="center"/>
            <w:hideMark/>
          </w:tcPr>
          <w:p w14:paraId="0F3EBC8B" w14:textId="77777777" w:rsidR="00046B00" w:rsidRPr="00046B00" w:rsidRDefault="00046B00" w:rsidP="00046B00">
            <w:pPr>
              <w:spacing w:before="0" w:after="0" w:line="240" w:lineRule="auto"/>
              <w:jc w:val="right"/>
              <w:rPr>
                <w:rFonts w:ascii="Arial" w:hAnsi="Arial" w:cs="Arial"/>
                <w:sz w:val="16"/>
                <w:szCs w:val="16"/>
              </w:rPr>
            </w:pPr>
            <w:r w:rsidRPr="00046B00">
              <w:rPr>
                <w:rFonts w:ascii="Arial" w:hAnsi="Arial" w:cs="Arial"/>
                <w:sz w:val="16"/>
                <w:szCs w:val="16"/>
              </w:rPr>
              <w:t>35,710</w:t>
            </w:r>
          </w:p>
        </w:tc>
      </w:tr>
      <w:tr w:rsidR="00046B00" w:rsidRPr="00046B00" w14:paraId="505F742C" w14:textId="77777777" w:rsidTr="00046B00">
        <w:trPr>
          <w:divId w:val="491213208"/>
          <w:trHeight w:hRule="exact" w:val="225"/>
        </w:trPr>
        <w:tc>
          <w:tcPr>
            <w:tcW w:w="2199" w:type="pct"/>
            <w:tcBorders>
              <w:top w:val="nil"/>
              <w:left w:val="nil"/>
              <w:bottom w:val="nil"/>
              <w:right w:val="nil"/>
            </w:tcBorders>
            <w:shd w:val="clear" w:color="000000" w:fill="FFFFFF"/>
            <w:noWrap/>
            <w:vAlign w:val="center"/>
            <w:hideMark/>
          </w:tcPr>
          <w:p w14:paraId="00DBED94" w14:textId="77777777" w:rsidR="00046B00" w:rsidRPr="00046B00" w:rsidRDefault="00046B00" w:rsidP="00046B00">
            <w:pPr>
              <w:spacing w:before="0" w:after="0" w:line="240" w:lineRule="auto"/>
              <w:rPr>
                <w:rFonts w:ascii="Arial" w:hAnsi="Arial" w:cs="Arial"/>
                <w:sz w:val="16"/>
                <w:szCs w:val="16"/>
              </w:rPr>
            </w:pPr>
            <w:r w:rsidRPr="00046B00">
              <w:rPr>
                <w:rFonts w:ascii="Arial" w:hAnsi="Arial" w:cs="Arial"/>
                <w:sz w:val="16"/>
                <w:szCs w:val="16"/>
              </w:rPr>
              <w:t>Other variations</w:t>
            </w:r>
          </w:p>
        </w:tc>
        <w:tc>
          <w:tcPr>
            <w:tcW w:w="548" w:type="pct"/>
            <w:tcBorders>
              <w:top w:val="nil"/>
              <w:left w:val="nil"/>
              <w:bottom w:val="single" w:sz="4" w:space="0" w:color="293F5B"/>
              <w:right w:val="nil"/>
            </w:tcBorders>
            <w:shd w:val="clear" w:color="000000" w:fill="FFFFFF"/>
            <w:noWrap/>
            <w:vAlign w:val="center"/>
            <w:hideMark/>
          </w:tcPr>
          <w:p w14:paraId="1035F78C" w14:textId="77777777" w:rsidR="00046B00" w:rsidRPr="00046B00" w:rsidRDefault="00046B00" w:rsidP="00046B00">
            <w:pPr>
              <w:spacing w:before="0" w:after="0" w:line="240" w:lineRule="auto"/>
              <w:jc w:val="right"/>
              <w:rPr>
                <w:rFonts w:ascii="Arial" w:hAnsi="Arial" w:cs="Arial"/>
                <w:sz w:val="16"/>
                <w:szCs w:val="16"/>
              </w:rPr>
            </w:pPr>
            <w:r w:rsidRPr="00046B00">
              <w:rPr>
                <w:rFonts w:ascii="Arial" w:hAnsi="Arial" w:cs="Arial"/>
                <w:sz w:val="16"/>
                <w:szCs w:val="16"/>
              </w:rPr>
              <w:t>-7,195</w:t>
            </w:r>
          </w:p>
        </w:tc>
        <w:tc>
          <w:tcPr>
            <w:tcW w:w="543" w:type="pct"/>
            <w:tcBorders>
              <w:top w:val="nil"/>
              <w:left w:val="nil"/>
              <w:bottom w:val="single" w:sz="4" w:space="0" w:color="293F5B"/>
              <w:right w:val="nil"/>
            </w:tcBorders>
            <w:shd w:val="clear" w:color="000000" w:fill="E6F2FF"/>
            <w:noWrap/>
            <w:vAlign w:val="center"/>
            <w:hideMark/>
          </w:tcPr>
          <w:p w14:paraId="016672DB" w14:textId="77777777" w:rsidR="00046B00" w:rsidRPr="00046B00" w:rsidRDefault="00046B00" w:rsidP="00046B00">
            <w:pPr>
              <w:spacing w:before="0" w:after="0" w:line="240" w:lineRule="auto"/>
              <w:jc w:val="right"/>
              <w:rPr>
                <w:rFonts w:ascii="Arial" w:hAnsi="Arial" w:cs="Arial"/>
                <w:sz w:val="16"/>
                <w:szCs w:val="16"/>
              </w:rPr>
            </w:pPr>
            <w:r w:rsidRPr="00046B00">
              <w:rPr>
                <w:rFonts w:ascii="Arial" w:hAnsi="Arial" w:cs="Arial"/>
                <w:sz w:val="16"/>
                <w:szCs w:val="16"/>
              </w:rPr>
              <w:t>1,535</w:t>
            </w:r>
          </w:p>
        </w:tc>
        <w:tc>
          <w:tcPr>
            <w:tcW w:w="543" w:type="pct"/>
            <w:tcBorders>
              <w:top w:val="nil"/>
              <w:left w:val="nil"/>
              <w:bottom w:val="single" w:sz="4" w:space="0" w:color="293F5B"/>
              <w:right w:val="nil"/>
            </w:tcBorders>
            <w:shd w:val="clear" w:color="000000" w:fill="FFFFFF"/>
            <w:noWrap/>
            <w:vAlign w:val="center"/>
            <w:hideMark/>
          </w:tcPr>
          <w:p w14:paraId="5250F4FE" w14:textId="77777777" w:rsidR="00046B00" w:rsidRPr="00046B00" w:rsidRDefault="00046B00" w:rsidP="00046B00">
            <w:pPr>
              <w:spacing w:before="0" w:after="0" w:line="240" w:lineRule="auto"/>
              <w:jc w:val="right"/>
              <w:rPr>
                <w:rFonts w:ascii="Arial" w:hAnsi="Arial" w:cs="Arial"/>
                <w:sz w:val="16"/>
                <w:szCs w:val="16"/>
              </w:rPr>
            </w:pPr>
            <w:r w:rsidRPr="00046B00">
              <w:rPr>
                <w:rFonts w:ascii="Arial" w:hAnsi="Arial" w:cs="Arial"/>
                <w:sz w:val="16"/>
                <w:szCs w:val="16"/>
              </w:rPr>
              <w:t>630</w:t>
            </w:r>
          </w:p>
        </w:tc>
        <w:tc>
          <w:tcPr>
            <w:tcW w:w="548" w:type="pct"/>
            <w:tcBorders>
              <w:top w:val="nil"/>
              <w:left w:val="nil"/>
              <w:bottom w:val="single" w:sz="4" w:space="0" w:color="293F5B"/>
              <w:right w:val="nil"/>
            </w:tcBorders>
            <w:shd w:val="clear" w:color="000000" w:fill="FFFFFF"/>
            <w:noWrap/>
            <w:vAlign w:val="center"/>
            <w:hideMark/>
          </w:tcPr>
          <w:p w14:paraId="06D383AA" w14:textId="77777777" w:rsidR="00046B00" w:rsidRPr="00046B00" w:rsidRDefault="00046B00" w:rsidP="00046B00">
            <w:pPr>
              <w:spacing w:before="0" w:after="0" w:line="240" w:lineRule="auto"/>
              <w:jc w:val="right"/>
              <w:rPr>
                <w:rFonts w:ascii="Arial" w:hAnsi="Arial" w:cs="Arial"/>
                <w:sz w:val="16"/>
                <w:szCs w:val="16"/>
              </w:rPr>
            </w:pPr>
            <w:r w:rsidRPr="00046B00">
              <w:rPr>
                <w:rFonts w:ascii="Arial" w:hAnsi="Arial" w:cs="Arial"/>
                <w:sz w:val="16"/>
                <w:szCs w:val="16"/>
              </w:rPr>
              <w:t>-359</w:t>
            </w:r>
          </w:p>
        </w:tc>
        <w:tc>
          <w:tcPr>
            <w:tcW w:w="69" w:type="pct"/>
            <w:tcBorders>
              <w:top w:val="nil"/>
              <w:left w:val="nil"/>
              <w:bottom w:val="nil"/>
              <w:right w:val="nil"/>
            </w:tcBorders>
            <w:shd w:val="clear" w:color="000000" w:fill="FFFFFF"/>
            <w:noWrap/>
            <w:vAlign w:val="center"/>
            <w:hideMark/>
          </w:tcPr>
          <w:p w14:paraId="7B6ECDBF" w14:textId="77777777" w:rsidR="00046B00" w:rsidRPr="00046B00" w:rsidRDefault="00046B00" w:rsidP="00046B00">
            <w:pPr>
              <w:spacing w:before="0" w:after="0" w:line="240" w:lineRule="auto"/>
              <w:rPr>
                <w:rFonts w:ascii="Arial" w:hAnsi="Arial" w:cs="Arial"/>
                <w:sz w:val="16"/>
                <w:szCs w:val="16"/>
              </w:rPr>
            </w:pPr>
            <w:r w:rsidRPr="00046B00">
              <w:rPr>
                <w:rFonts w:ascii="Arial" w:hAnsi="Arial" w:cs="Arial"/>
                <w:sz w:val="16"/>
                <w:szCs w:val="16"/>
              </w:rPr>
              <w:t> </w:t>
            </w:r>
          </w:p>
        </w:tc>
        <w:tc>
          <w:tcPr>
            <w:tcW w:w="548" w:type="pct"/>
            <w:tcBorders>
              <w:top w:val="nil"/>
              <w:left w:val="nil"/>
              <w:bottom w:val="single" w:sz="4" w:space="0" w:color="293F5B"/>
              <w:right w:val="nil"/>
            </w:tcBorders>
            <w:shd w:val="clear" w:color="000000" w:fill="FFFFFF"/>
            <w:noWrap/>
            <w:vAlign w:val="center"/>
            <w:hideMark/>
          </w:tcPr>
          <w:p w14:paraId="64D8130B" w14:textId="77777777" w:rsidR="00046B00" w:rsidRPr="00046B00" w:rsidRDefault="00046B00" w:rsidP="00046B00">
            <w:pPr>
              <w:spacing w:before="0" w:after="0" w:line="240" w:lineRule="auto"/>
              <w:jc w:val="right"/>
              <w:rPr>
                <w:rFonts w:ascii="Arial" w:hAnsi="Arial" w:cs="Arial"/>
                <w:sz w:val="16"/>
                <w:szCs w:val="16"/>
              </w:rPr>
            </w:pPr>
            <w:r w:rsidRPr="00046B00">
              <w:rPr>
                <w:rFonts w:ascii="Arial" w:hAnsi="Arial" w:cs="Arial"/>
                <w:sz w:val="16"/>
                <w:szCs w:val="16"/>
              </w:rPr>
              <w:t>-5,388</w:t>
            </w:r>
          </w:p>
        </w:tc>
      </w:tr>
      <w:tr w:rsidR="00046B00" w:rsidRPr="00046B00" w14:paraId="62D3E34C" w14:textId="77777777" w:rsidTr="00046B00">
        <w:trPr>
          <w:divId w:val="491213208"/>
          <w:trHeight w:hRule="exact" w:val="225"/>
        </w:trPr>
        <w:tc>
          <w:tcPr>
            <w:tcW w:w="2199" w:type="pct"/>
            <w:tcBorders>
              <w:top w:val="nil"/>
              <w:left w:val="nil"/>
              <w:bottom w:val="nil"/>
              <w:right w:val="nil"/>
            </w:tcBorders>
            <w:shd w:val="clear" w:color="000000" w:fill="FFFFFF"/>
            <w:noWrap/>
            <w:vAlign w:val="center"/>
            <w:hideMark/>
          </w:tcPr>
          <w:p w14:paraId="78F89A64" w14:textId="77777777" w:rsidR="00046B00" w:rsidRPr="00046B00" w:rsidRDefault="00046B00" w:rsidP="00046B00">
            <w:pPr>
              <w:spacing w:before="0" w:after="0" w:line="240" w:lineRule="auto"/>
              <w:rPr>
                <w:rFonts w:ascii="Arial" w:hAnsi="Arial" w:cs="Arial"/>
                <w:b/>
                <w:bCs/>
                <w:sz w:val="16"/>
                <w:szCs w:val="16"/>
              </w:rPr>
            </w:pPr>
            <w:r w:rsidRPr="00046B00">
              <w:rPr>
                <w:rFonts w:ascii="Arial" w:hAnsi="Arial" w:cs="Arial"/>
                <w:b/>
                <w:bCs/>
                <w:sz w:val="16"/>
                <w:szCs w:val="16"/>
              </w:rPr>
              <w:t>Total variations</w:t>
            </w:r>
          </w:p>
        </w:tc>
        <w:tc>
          <w:tcPr>
            <w:tcW w:w="548" w:type="pct"/>
            <w:tcBorders>
              <w:top w:val="single" w:sz="4" w:space="0" w:color="293F5B"/>
              <w:left w:val="nil"/>
              <w:bottom w:val="single" w:sz="4" w:space="0" w:color="293F5B"/>
              <w:right w:val="nil"/>
            </w:tcBorders>
            <w:shd w:val="clear" w:color="000000" w:fill="FFFFFF"/>
            <w:noWrap/>
            <w:vAlign w:val="center"/>
            <w:hideMark/>
          </w:tcPr>
          <w:p w14:paraId="7447E96F" w14:textId="77777777" w:rsidR="00046B00" w:rsidRPr="00046B00" w:rsidRDefault="00046B00" w:rsidP="00046B00">
            <w:pPr>
              <w:spacing w:before="0" w:after="0" w:line="240" w:lineRule="auto"/>
              <w:jc w:val="right"/>
              <w:rPr>
                <w:rFonts w:ascii="Arial" w:hAnsi="Arial" w:cs="Arial"/>
                <w:b/>
                <w:bCs/>
                <w:sz w:val="16"/>
                <w:szCs w:val="16"/>
              </w:rPr>
            </w:pPr>
            <w:r w:rsidRPr="00046B00">
              <w:rPr>
                <w:rFonts w:ascii="Arial" w:hAnsi="Arial" w:cs="Arial"/>
                <w:b/>
                <w:bCs/>
                <w:sz w:val="16"/>
                <w:szCs w:val="16"/>
              </w:rPr>
              <w:t>1,765</w:t>
            </w:r>
          </w:p>
        </w:tc>
        <w:tc>
          <w:tcPr>
            <w:tcW w:w="543" w:type="pct"/>
            <w:tcBorders>
              <w:top w:val="single" w:sz="4" w:space="0" w:color="293F5B"/>
              <w:left w:val="nil"/>
              <w:bottom w:val="single" w:sz="4" w:space="0" w:color="293F5B"/>
              <w:right w:val="nil"/>
            </w:tcBorders>
            <w:shd w:val="clear" w:color="000000" w:fill="E6F2FF"/>
            <w:noWrap/>
            <w:vAlign w:val="center"/>
            <w:hideMark/>
          </w:tcPr>
          <w:p w14:paraId="05D331F3" w14:textId="77777777" w:rsidR="00046B00" w:rsidRPr="00046B00" w:rsidRDefault="00046B00" w:rsidP="00046B00">
            <w:pPr>
              <w:spacing w:before="0" w:after="0" w:line="240" w:lineRule="auto"/>
              <w:jc w:val="right"/>
              <w:rPr>
                <w:rFonts w:ascii="Arial" w:hAnsi="Arial" w:cs="Arial"/>
                <w:b/>
                <w:bCs/>
                <w:sz w:val="16"/>
                <w:szCs w:val="16"/>
              </w:rPr>
            </w:pPr>
            <w:r w:rsidRPr="00046B00">
              <w:rPr>
                <w:rFonts w:ascii="Arial" w:hAnsi="Arial" w:cs="Arial"/>
                <w:b/>
                <w:bCs/>
                <w:sz w:val="16"/>
                <w:szCs w:val="16"/>
              </w:rPr>
              <w:t>18,529</w:t>
            </w:r>
          </w:p>
        </w:tc>
        <w:tc>
          <w:tcPr>
            <w:tcW w:w="543" w:type="pct"/>
            <w:tcBorders>
              <w:top w:val="single" w:sz="4" w:space="0" w:color="293F5B"/>
              <w:left w:val="nil"/>
              <w:bottom w:val="single" w:sz="4" w:space="0" w:color="293F5B"/>
              <w:right w:val="nil"/>
            </w:tcBorders>
            <w:shd w:val="clear" w:color="000000" w:fill="FFFFFF"/>
            <w:noWrap/>
            <w:vAlign w:val="center"/>
            <w:hideMark/>
          </w:tcPr>
          <w:p w14:paraId="122FFD0A" w14:textId="77777777" w:rsidR="00046B00" w:rsidRPr="00046B00" w:rsidRDefault="00046B00" w:rsidP="00046B00">
            <w:pPr>
              <w:spacing w:before="0" w:after="0" w:line="240" w:lineRule="auto"/>
              <w:jc w:val="right"/>
              <w:rPr>
                <w:rFonts w:ascii="Arial" w:hAnsi="Arial" w:cs="Arial"/>
                <w:b/>
                <w:bCs/>
                <w:sz w:val="16"/>
                <w:szCs w:val="16"/>
              </w:rPr>
            </w:pPr>
            <w:r w:rsidRPr="00046B00">
              <w:rPr>
                <w:rFonts w:ascii="Arial" w:hAnsi="Arial" w:cs="Arial"/>
                <w:b/>
                <w:bCs/>
                <w:sz w:val="16"/>
                <w:szCs w:val="16"/>
              </w:rPr>
              <w:t>15,346</w:t>
            </w:r>
          </w:p>
        </w:tc>
        <w:tc>
          <w:tcPr>
            <w:tcW w:w="548" w:type="pct"/>
            <w:tcBorders>
              <w:top w:val="single" w:sz="4" w:space="0" w:color="293F5B"/>
              <w:left w:val="nil"/>
              <w:bottom w:val="single" w:sz="4" w:space="0" w:color="293F5B"/>
              <w:right w:val="nil"/>
            </w:tcBorders>
            <w:shd w:val="clear" w:color="000000" w:fill="FFFFFF"/>
            <w:noWrap/>
            <w:vAlign w:val="center"/>
            <w:hideMark/>
          </w:tcPr>
          <w:p w14:paraId="560B203B" w14:textId="77777777" w:rsidR="00046B00" w:rsidRPr="00046B00" w:rsidRDefault="00046B00" w:rsidP="00046B00">
            <w:pPr>
              <w:spacing w:before="0" w:after="0" w:line="240" w:lineRule="auto"/>
              <w:jc w:val="right"/>
              <w:rPr>
                <w:rFonts w:ascii="Arial" w:hAnsi="Arial" w:cs="Arial"/>
                <w:b/>
                <w:bCs/>
                <w:sz w:val="16"/>
                <w:szCs w:val="16"/>
              </w:rPr>
            </w:pPr>
            <w:r w:rsidRPr="00046B00">
              <w:rPr>
                <w:rFonts w:ascii="Arial" w:hAnsi="Arial" w:cs="Arial"/>
                <w:b/>
                <w:bCs/>
                <w:sz w:val="16"/>
                <w:szCs w:val="16"/>
              </w:rPr>
              <w:t>10,228</w:t>
            </w:r>
          </w:p>
        </w:tc>
        <w:tc>
          <w:tcPr>
            <w:tcW w:w="69" w:type="pct"/>
            <w:tcBorders>
              <w:top w:val="nil"/>
              <w:left w:val="nil"/>
              <w:bottom w:val="nil"/>
              <w:right w:val="nil"/>
            </w:tcBorders>
            <w:shd w:val="clear" w:color="000000" w:fill="FFFFFF"/>
            <w:noWrap/>
            <w:vAlign w:val="center"/>
            <w:hideMark/>
          </w:tcPr>
          <w:p w14:paraId="03E048BC" w14:textId="77777777" w:rsidR="00046B00" w:rsidRPr="00046B00" w:rsidRDefault="00046B00" w:rsidP="00046B00">
            <w:pPr>
              <w:spacing w:before="0" w:after="0" w:line="240" w:lineRule="auto"/>
              <w:rPr>
                <w:rFonts w:ascii="Arial" w:hAnsi="Arial" w:cs="Arial"/>
                <w:b/>
                <w:bCs/>
                <w:sz w:val="16"/>
                <w:szCs w:val="16"/>
              </w:rPr>
            </w:pPr>
            <w:r w:rsidRPr="00046B00">
              <w:rPr>
                <w:rFonts w:ascii="Arial" w:hAnsi="Arial" w:cs="Arial"/>
                <w:b/>
                <w:bCs/>
                <w:sz w:val="16"/>
                <w:szCs w:val="16"/>
              </w:rPr>
              <w:t> </w:t>
            </w:r>
          </w:p>
        </w:tc>
        <w:tc>
          <w:tcPr>
            <w:tcW w:w="548" w:type="pct"/>
            <w:tcBorders>
              <w:top w:val="single" w:sz="4" w:space="0" w:color="293F5B"/>
              <w:left w:val="nil"/>
              <w:bottom w:val="single" w:sz="4" w:space="0" w:color="293F5B"/>
              <w:right w:val="nil"/>
            </w:tcBorders>
            <w:shd w:val="clear" w:color="000000" w:fill="FFFFFF"/>
            <w:noWrap/>
            <w:vAlign w:val="center"/>
            <w:hideMark/>
          </w:tcPr>
          <w:p w14:paraId="4E530AD8" w14:textId="77777777" w:rsidR="00046B00" w:rsidRPr="00046B00" w:rsidRDefault="00046B00" w:rsidP="00046B00">
            <w:pPr>
              <w:spacing w:before="0" w:after="0" w:line="240" w:lineRule="auto"/>
              <w:jc w:val="right"/>
              <w:rPr>
                <w:rFonts w:ascii="Arial" w:hAnsi="Arial" w:cs="Arial"/>
                <w:b/>
                <w:bCs/>
                <w:sz w:val="16"/>
                <w:szCs w:val="16"/>
              </w:rPr>
            </w:pPr>
            <w:r w:rsidRPr="00046B00">
              <w:rPr>
                <w:rFonts w:ascii="Arial" w:hAnsi="Arial" w:cs="Arial"/>
                <w:b/>
                <w:bCs/>
                <w:sz w:val="16"/>
                <w:szCs w:val="16"/>
              </w:rPr>
              <w:t>45,867</w:t>
            </w:r>
          </w:p>
        </w:tc>
      </w:tr>
      <w:tr w:rsidR="00046B00" w:rsidRPr="00046B00" w14:paraId="0B87A68B" w14:textId="77777777" w:rsidTr="00DD146B">
        <w:trPr>
          <w:divId w:val="491213208"/>
          <w:trHeight w:hRule="exact" w:val="60"/>
        </w:trPr>
        <w:tc>
          <w:tcPr>
            <w:tcW w:w="2199" w:type="pct"/>
            <w:tcBorders>
              <w:top w:val="nil"/>
              <w:left w:val="nil"/>
              <w:bottom w:val="nil"/>
              <w:right w:val="nil"/>
            </w:tcBorders>
            <w:shd w:val="clear" w:color="000000" w:fill="FFFFFF"/>
            <w:noWrap/>
            <w:vAlign w:val="center"/>
            <w:hideMark/>
          </w:tcPr>
          <w:p w14:paraId="75C3CAD9" w14:textId="77777777" w:rsidR="00046B00" w:rsidRPr="00046B00" w:rsidRDefault="00046B00" w:rsidP="00046B00">
            <w:pPr>
              <w:spacing w:before="0" w:after="0" w:line="240" w:lineRule="auto"/>
              <w:rPr>
                <w:rFonts w:ascii="Arial" w:hAnsi="Arial" w:cs="Arial"/>
                <w:b/>
                <w:bCs/>
                <w:sz w:val="16"/>
                <w:szCs w:val="16"/>
              </w:rPr>
            </w:pPr>
            <w:r w:rsidRPr="00046B00">
              <w:rPr>
                <w:rFonts w:ascii="Arial" w:hAnsi="Arial" w:cs="Arial"/>
                <w:b/>
                <w:bCs/>
                <w:sz w:val="16"/>
                <w:szCs w:val="16"/>
              </w:rPr>
              <w:t> </w:t>
            </w:r>
          </w:p>
        </w:tc>
        <w:tc>
          <w:tcPr>
            <w:tcW w:w="548" w:type="pct"/>
            <w:tcBorders>
              <w:top w:val="single" w:sz="4" w:space="0" w:color="293F5B"/>
              <w:left w:val="nil"/>
              <w:bottom w:val="nil"/>
              <w:right w:val="nil"/>
            </w:tcBorders>
            <w:shd w:val="clear" w:color="000000" w:fill="FFFFFF"/>
            <w:noWrap/>
            <w:vAlign w:val="center"/>
            <w:hideMark/>
          </w:tcPr>
          <w:p w14:paraId="7349EAC7" w14:textId="77777777" w:rsidR="00046B00" w:rsidRPr="00046B00" w:rsidRDefault="00046B00" w:rsidP="00046B00">
            <w:pPr>
              <w:spacing w:before="0" w:after="0" w:line="240" w:lineRule="auto"/>
              <w:rPr>
                <w:rFonts w:ascii="Arial" w:hAnsi="Arial" w:cs="Arial"/>
                <w:sz w:val="16"/>
                <w:szCs w:val="16"/>
              </w:rPr>
            </w:pPr>
            <w:r w:rsidRPr="00046B00">
              <w:rPr>
                <w:rFonts w:ascii="Arial" w:hAnsi="Arial" w:cs="Arial"/>
                <w:sz w:val="16"/>
                <w:szCs w:val="16"/>
              </w:rPr>
              <w:t> </w:t>
            </w:r>
          </w:p>
        </w:tc>
        <w:tc>
          <w:tcPr>
            <w:tcW w:w="543" w:type="pct"/>
            <w:tcBorders>
              <w:top w:val="single" w:sz="4" w:space="0" w:color="293F5B"/>
              <w:left w:val="nil"/>
              <w:bottom w:val="nil"/>
              <w:right w:val="nil"/>
            </w:tcBorders>
            <w:shd w:val="clear" w:color="000000" w:fill="E6F2FF"/>
            <w:noWrap/>
            <w:vAlign w:val="center"/>
            <w:hideMark/>
          </w:tcPr>
          <w:p w14:paraId="75C0CF8C" w14:textId="77777777" w:rsidR="00046B00" w:rsidRPr="00046B00" w:rsidRDefault="00046B00" w:rsidP="00046B00">
            <w:pPr>
              <w:spacing w:before="0" w:after="0" w:line="240" w:lineRule="auto"/>
              <w:rPr>
                <w:rFonts w:ascii="Arial" w:hAnsi="Arial" w:cs="Arial"/>
                <w:sz w:val="16"/>
                <w:szCs w:val="16"/>
              </w:rPr>
            </w:pPr>
            <w:r w:rsidRPr="00046B00">
              <w:rPr>
                <w:rFonts w:ascii="Arial" w:hAnsi="Arial" w:cs="Arial"/>
                <w:sz w:val="16"/>
                <w:szCs w:val="16"/>
              </w:rPr>
              <w:t> </w:t>
            </w:r>
          </w:p>
        </w:tc>
        <w:tc>
          <w:tcPr>
            <w:tcW w:w="543" w:type="pct"/>
            <w:tcBorders>
              <w:top w:val="single" w:sz="4" w:space="0" w:color="293F5B"/>
              <w:left w:val="nil"/>
              <w:bottom w:val="nil"/>
              <w:right w:val="nil"/>
            </w:tcBorders>
            <w:shd w:val="clear" w:color="000000" w:fill="FFFFFF"/>
            <w:noWrap/>
            <w:vAlign w:val="center"/>
            <w:hideMark/>
          </w:tcPr>
          <w:p w14:paraId="00E7266C" w14:textId="77777777" w:rsidR="00046B00" w:rsidRPr="00046B00" w:rsidRDefault="00046B00" w:rsidP="00046B00">
            <w:pPr>
              <w:spacing w:before="0" w:after="0" w:line="240" w:lineRule="auto"/>
              <w:rPr>
                <w:rFonts w:ascii="Arial" w:hAnsi="Arial" w:cs="Arial"/>
                <w:sz w:val="16"/>
                <w:szCs w:val="16"/>
              </w:rPr>
            </w:pPr>
            <w:r w:rsidRPr="00046B00">
              <w:rPr>
                <w:rFonts w:ascii="Arial" w:hAnsi="Arial" w:cs="Arial"/>
                <w:sz w:val="16"/>
                <w:szCs w:val="16"/>
              </w:rPr>
              <w:t> </w:t>
            </w:r>
          </w:p>
        </w:tc>
        <w:tc>
          <w:tcPr>
            <w:tcW w:w="548" w:type="pct"/>
            <w:tcBorders>
              <w:top w:val="single" w:sz="4" w:space="0" w:color="293F5B"/>
              <w:left w:val="nil"/>
              <w:bottom w:val="nil"/>
              <w:right w:val="nil"/>
            </w:tcBorders>
            <w:shd w:val="clear" w:color="000000" w:fill="FFFFFF"/>
            <w:noWrap/>
            <w:vAlign w:val="center"/>
            <w:hideMark/>
          </w:tcPr>
          <w:p w14:paraId="3EB9BAC0" w14:textId="77777777" w:rsidR="00046B00" w:rsidRPr="00046B00" w:rsidRDefault="00046B00" w:rsidP="00046B00">
            <w:pPr>
              <w:spacing w:before="0" w:after="0" w:line="240" w:lineRule="auto"/>
              <w:rPr>
                <w:rFonts w:ascii="Arial" w:hAnsi="Arial" w:cs="Arial"/>
                <w:sz w:val="16"/>
                <w:szCs w:val="16"/>
              </w:rPr>
            </w:pPr>
            <w:r w:rsidRPr="00046B00">
              <w:rPr>
                <w:rFonts w:ascii="Arial" w:hAnsi="Arial" w:cs="Arial"/>
                <w:sz w:val="16"/>
                <w:szCs w:val="16"/>
              </w:rPr>
              <w:t> </w:t>
            </w:r>
          </w:p>
        </w:tc>
        <w:tc>
          <w:tcPr>
            <w:tcW w:w="69" w:type="pct"/>
            <w:tcBorders>
              <w:top w:val="nil"/>
              <w:left w:val="nil"/>
              <w:bottom w:val="nil"/>
              <w:right w:val="nil"/>
            </w:tcBorders>
            <w:shd w:val="clear" w:color="000000" w:fill="FFFFFF"/>
            <w:noWrap/>
            <w:vAlign w:val="center"/>
            <w:hideMark/>
          </w:tcPr>
          <w:p w14:paraId="763E3675" w14:textId="77777777" w:rsidR="00046B00" w:rsidRPr="00046B00" w:rsidRDefault="00046B00" w:rsidP="00046B00">
            <w:pPr>
              <w:spacing w:before="0" w:after="0" w:line="240" w:lineRule="auto"/>
              <w:rPr>
                <w:rFonts w:ascii="Arial" w:hAnsi="Arial" w:cs="Arial"/>
                <w:sz w:val="16"/>
                <w:szCs w:val="16"/>
              </w:rPr>
            </w:pPr>
            <w:r w:rsidRPr="00046B00">
              <w:rPr>
                <w:rFonts w:ascii="Arial" w:hAnsi="Arial" w:cs="Arial"/>
                <w:sz w:val="16"/>
                <w:szCs w:val="16"/>
              </w:rPr>
              <w:t> </w:t>
            </w:r>
          </w:p>
        </w:tc>
        <w:tc>
          <w:tcPr>
            <w:tcW w:w="548" w:type="pct"/>
            <w:tcBorders>
              <w:top w:val="single" w:sz="4" w:space="0" w:color="293F5B"/>
              <w:left w:val="nil"/>
              <w:bottom w:val="nil"/>
              <w:right w:val="nil"/>
            </w:tcBorders>
            <w:shd w:val="clear" w:color="000000" w:fill="FFFFFF"/>
            <w:noWrap/>
            <w:vAlign w:val="center"/>
            <w:hideMark/>
          </w:tcPr>
          <w:p w14:paraId="4BBC2296" w14:textId="77777777" w:rsidR="00046B00" w:rsidRPr="00046B00" w:rsidRDefault="00046B00" w:rsidP="00046B00">
            <w:pPr>
              <w:spacing w:before="0" w:after="0" w:line="240" w:lineRule="auto"/>
              <w:rPr>
                <w:rFonts w:ascii="Arial" w:hAnsi="Arial" w:cs="Arial"/>
                <w:sz w:val="16"/>
                <w:szCs w:val="16"/>
              </w:rPr>
            </w:pPr>
            <w:r w:rsidRPr="00046B00">
              <w:rPr>
                <w:rFonts w:ascii="Arial" w:hAnsi="Arial" w:cs="Arial"/>
                <w:sz w:val="16"/>
                <w:szCs w:val="16"/>
              </w:rPr>
              <w:t> </w:t>
            </w:r>
          </w:p>
        </w:tc>
      </w:tr>
      <w:tr w:rsidR="00046B00" w:rsidRPr="00046B00" w14:paraId="794DDF2E" w14:textId="77777777" w:rsidTr="00046B00">
        <w:trPr>
          <w:divId w:val="491213208"/>
          <w:trHeight w:hRule="exact" w:val="225"/>
        </w:trPr>
        <w:tc>
          <w:tcPr>
            <w:tcW w:w="2199" w:type="pct"/>
            <w:tcBorders>
              <w:top w:val="nil"/>
              <w:left w:val="nil"/>
              <w:bottom w:val="single" w:sz="4" w:space="0" w:color="293F5B"/>
              <w:right w:val="nil"/>
            </w:tcBorders>
            <w:shd w:val="clear" w:color="000000" w:fill="FFFFFF"/>
            <w:noWrap/>
            <w:vAlign w:val="center"/>
            <w:hideMark/>
          </w:tcPr>
          <w:p w14:paraId="6E0CD200" w14:textId="77777777" w:rsidR="00046B00" w:rsidRPr="00046B00" w:rsidRDefault="00046B00" w:rsidP="00046B00">
            <w:pPr>
              <w:spacing w:before="0" w:after="0" w:line="240" w:lineRule="auto"/>
              <w:rPr>
                <w:rFonts w:ascii="Arial" w:hAnsi="Arial" w:cs="Arial"/>
                <w:b/>
                <w:bCs/>
                <w:sz w:val="16"/>
                <w:szCs w:val="16"/>
              </w:rPr>
            </w:pPr>
            <w:r w:rsidRPr="00046B00">
              <w:rPr>
                <w:rFonts w:ascii="Arial" w:hAnsi="Arial" w:cs="Arial"/>
                <w:b/>
                <w:bCs/>
                <w:sz w:val="16"/>
                <w:szCs w:val="16"/>
              </w:rPr>
              <w:t>2024-25 Budget expenses</w:t>
            </w:r>
          </w:p>
        </w:tc>
        <w:tc>
          <w:tcPr>
            <w:tcW w:w="548" w:type="pct"/>
            <w:tcBorders>
              <w:top w:val="nil"/>
              <w:left w:val="nil"/>
              <w:bottom w:val="single" w:sz="4" w:space="0" w:color="293F5B"/>
              <w:right w:val="nil"/>
            </w:tcBorders>
            <w:shd w:val="clear" w:color="000000" w:fill="FFFFFF"/>
            <w:noWrap/>
            <w:vAlign w:val="center"/>
            <w:hideMark/>
          </w:tcPr>
          <w:p w14:paraId="7CE129FB" w14:textId="77777777" w:rsidR="00046B00" w:rsidRPr="00046B00" w:rsidRDefault="00046B00" w:rsidP="00046B00">
            <w:pPr>
              <w:spacing w:before="0" w:after="0" w:line="240" w:lineRule="auto"/>
              <w:jc w:val="right"/>
              <w:rPr>
                <w:rFonts w:ascii="Arial" w:hAnsi="Arial" w:cs="Arial"/>
                <w:b/>
                <w:bCs/>
                <w:sz w:val="16"/>
                <w:szCs w:val="16"/>
              </w:rPr>
            </w:pPr>
            <w:r w:rsidRPr="00046B00">
              <w:rPr>
                <w:rFonts w:ascii="Arial" w:hAnsi="Arial" w:cs="Arial"/>
                <w:b/>
                <w:bCs/>
                <w:sz w:val="16"/>
                <w:szCs w:val="16"/>
              </w:rPr>
              <w:t>691,070</w:t>
            </w:r>
          </w:p>
        </w:tc>
        <w:tc>
          <w:tcPr>
            <w:tcW w:w="543" w:type="pct"/>
            <w:tcBorders>
              <w:top w:val="nil"/>
              <w:left w:val="nil"/>
              <w:bottom w:val="single" w:sz="4" w:space="0" w:color="293F5B"/>
              <w:right w:val="nil"/>
            </w:tcBorders>
            <w:shd w:val="clear" w:color="000000" w:fill="E6F2FF"/>
            <w:noWrap/>
            <w:vAlign w:val="center"/>
            <w:hideMark/>
          </w:tcPr>
          <w:p w14:paraId="6514763F" w14:textId="77777777" w:rsidR="00046B00" w:rsidRPr="00046B00" w:rsidRDefault="00046B00" w:rsidP="00046B00">
            <w:pPr>
              <w:spacing w:before="0" w:after="0" w:line="240" w:lineRule="auto"/>
              <w:jc w:val="right"/>
              <w:rPr>
                <w:rFonts w:ascii="Arial" w:hAnsi="Arial" w:cs="Arial"/>
                <w:b/>
                <w:bCs/>
                <w:sz w:val="16"/>
                <w:szCs w:val="16"/>
              </w:rPr>
            </w:pPr>
            <w:r w:rsidRPr="00046B00">
              <w:rPr>
                <w:rFonts w:ascii="Arial" w:hAnsi="Arial" w:cs="Arial"/>
                <w:b/>
                <w:bCs/>
                <w:sz w:val="16"/>
                <w:szCs w:val="16"/>
              </w:rPr>
              <w:t>734,518</w:t>
            </w:r>
          </w:p>
        </w:tc>
        <w:tc>
          <w:tcPr>
            <w:tcW w:w="543" w:type="pct"/>
            <w:tcBorders>
              <w:top w:val="nil"/>
              <w:left w:val="nil"/>
              <w:bottom w:val="single" w:sz="4" w:space="0" w:color="293F5B"/>
              <w:right w:val="nil"/>
            </w:tcBorders>
            <w:shd w:val="clear" w:color="000000" w:fill="FFFFFF"/>
            <w:noWrap/>
            <w:vAlign w:val="center"/>
            <w:hideMark/>
          </w:tcPr>
          <w:p w14:paraId="5D0936A9" w14:textId="77777777" w:rsidR="00046B00" w:rsidRPr="00046B00" w:rsidRDefault="00046B00" w:rsidP="00046B00">
            <w:pPr>
              <w:spacing w:before="0" w:after="0" w:line="240" w:lineRule="auto"/>
              <w:jc w:val="right"/>
              <w:rPr>
                <w:rFonts w:ascii="Arial" w:hAnsi="Arial" w:cs="Arial"/>
                <w:b/>
                <w:bCs/>
                <w:sz w:val="16"/>
                <w:szCs w:val="16"/>
              </w:rPr>
            </w:pPr>
            <w:r w:rsidRPr="00046B00">
              <w:rPr>
                <w:rFonts w:ascii="Arial" w:hAnsi="Arial" w:cs="Arial"/>
                <w:b/>
                <w:bCs/>
                <w:sz w:val="16"/>
                <w:szCs w:val="16"/>
              </w:rPr>
              <w:t>767,290</w:t>
            </w:r>
          </w:p>
        </w:tc>
        <w:tc>
          <w:tcPr>
            <w:tcW w:w="548" w:type="pct"/>
            <w:tcBorders>
              <w:top w:val="nil"/>
              <w:left w:val="nil"/>
              <w:bottom w:val="single" w:sz="4" w:space="0" w:color="293F5B"/>
              <w:right w:val="nil"/>
            </w:tcBorders>
            <w:shd w:val="clear" w:color="000000" w:fill="FFFFFF"/>
            <w:noWrap/>
            <w:vAlign w:val="center"/>
            <w:hideMark/>
          </w:tcPr>
          <w:p w14:paraId="4582E130" w14:textId="77777777" w:rsidR="00046B00" w:rsidRPr="00046B00" w:rsidRDefault="00046B00" w:rsidP="00046B00">
            <w:pPr>
              <w:spacing w:before="0" w:after="0" w:line="240" w:lineRule="auto"/>
              <w:jc w:val="right"/>
              <w:rPr>
                <w:rFonts w:ascii="Arial" w:hAnsi="Arial" w:cs="Arial"/>
                <w:b/>
                <w:bCs/>
                <w:sz w:val="16"/>
                <w:szCs w:val="16"/>
              </w:rPr>
            </w:pPr>
            <w:r w:rsidRPr="00046B00">
              <w:rPr>
                <w:rFonts w:ascii="Arial" w:hAnsi="Arial" w:cs="Arial"/>
                <w:b/>
                <w:bCs/>
                <w:sz w:val="16"/>
                <w:szCs w:val="16"/>
              </w:rPr>
              <w:t>793,765</w:t>
            </w:r>
          </w:p>
        </w:tc>
        <w:tc>
          <w:tcPr>
            <w:tcW w:w="69" w:type="pct"/>
            <w:tcBorders>
              <w:top w:val="nil"/>
              <w:left w:val="nil"/>
              <w:bottom w:val="single" w:sz="4" w:space="0" w:color="293F5B"/>
              <w:right w:val="nil"/>
            </w:tcBorders>
            <w:shd w:val="clear" w:color="000000" w:fill="FFFFFF"/>
            <w:noWrap/>
            <w:vAlign w:val="center"/>
            <w:hideMark/>
          </w:tcPr>
          <w:p w14:paraId="4905C893" w14:textId="77777777" w:rsidR="00046B00" w:rsidRPr="00046B00" w:rsidRDefault="00046B00" w:rsidP="00046B00">
            <w:pPr>
              <w:spacing w:before="0" w:after="0" w:line="240" w:lineRule="auto"/>
              <w:jc w:val="right"/>
              <w:rPr>
                <w:rFonts w:ascii="Arial" w:hAnsi="Arial" w:cs="Arial"/>
                <w:b/>
                <w:bCs/>
                <w:sz w:val="16"/>
                <w:szCs w:val="16"/>
              </w:rPr>
            </w:pPr>
            <w:r w:rsidRPr="00046B00">
              <w:rPr>
                <w:rFonts w:ascii="Arial" w:hAnsi="Arial" w:cs="Arial"/>
                <w:b/>
                <w:bCs/>
                <w:sz w:val="16"/>
                <w:szCs w:val="16"/>
              </w:rPr>
              <w:t> </w:t>
            </w:r>
          </w:p>
        </w:tc>
        <w:tc>
          <w:tcPr>
            <w:tcW w:w="548" w:type="pct"/>
            <w:tcBorders>
              <w:top w:val="nil"/>
              <w:left w:val="nil"/>
              <w:bottom w:val="single" w:sz="4" w:space="0" w:color="293F5B"/>
              <w:right w:val="nil"/>
            </w:tcBorders>
            <w:shd w:val="clear" w:color="000000" w:fill="FFFFFF"/>
            <w:noWrap/>
            <w:vAlign w:val="center"/>
            <w:hideMark/>
          </w:tcPr>
          <w:p w14:paraId="7DEC9CF2" w14:textId="77777777" w:rsidR="00046B00" w:rsidRPr="00046B00" w:rsidRDefault="00046B00" w:rsidP="00046B00">
            <w:pPr>
              <w:spacing w:before="0" w:after="0" w:line="240" w:lineRule="auto"/>
              <w:jc w:val="right"/>
              <w:rPr>
                <w:rFonts w:ascii="Arial" w:hAnsi="Arial" w:cs="Arial"/>
                <w:b/>
                <w:bCs/>
                <w:sz w:val="16"/>
                <w:szCs w:val="16"/>
              </w:rPr>
            </w:pPr>
            <w:r w:rsidRPr="00046B00">
              <w:rPr>
                <w:rFonts w:ascii="Arial" w:hAnsi="Arial" w:cs="Arial"/>
                <w:b/>
                <w:bCs/>
                <w:sz w:val="16"/>
                <w:szCs w:val="16"/>
              </w:rPr>
              <w:t>2,986,644</w:t>
            </w:r>
          </w:p>
        </w:tc>
      </w:tr>
    </w:tbl>
    <w:p w14:paraId="5CC0AACC" w14:textId="297042CF" w:rsidR="00ED485A" w:rsidRPr="000177D7" w:rsidRDefault="00ED485A" w:rsidP="00961412">
      <w:pPr>
        <w:pStyle w:val="ChartandTableFootnoteAlpha"/>
        <w:numPr>
          <w:ilvl w:val="0"/>
          <w:numId w:val="6"/>
        </w:numPr>
      </w:pPr>
      <w:r w:rsidRPr="000177D7">
        <w:t>Excludes secondary impacts on public debt interest of policy decisions and offsets from the Contingency Reserve for decisions taken.</w:t>
      </w:r>
    </w:p>
    <w:p w14:paraId="666531C5" w14:textId="77777777" w:rsidR="00ED485A" w:rsidRPr="000177D7" w:rsidRDefault="00ED485A" w:rsidP="00D91079">
      <w:pPr>
        <w:pStyle w:val="TableLine"/>
      </w:pPr>
    </w:p>
    <w:p w14:paraId="43DCDE92" w14:textId="2A4FFA58" w:rsidR="00F5195B" w:rsidRPr="00F5195B" w:rsidRDefault="00F5195B" w:rsidP="0067775B">
      <w:bookmarkStart w:id="19" w:name="_Toc99203676"/>
      <w:bookmarkStart w:id="20" w:name="_Toc117358169"/>
      <w:r w:rsidRPr="00F5195B">
        <w:t xml:space="preserve">In the 2024–25 Budget, policy decisions are estimated to increase expenses by $24.8 billion over the four years from 2023–24 to 2026–27 compared with the 2023–24 MYEFO. </w:t>
      </w:r>
      <w:r w:rsidR="00A94161">
        <w:t xml:space="preserve">The majority of net policy decisions relate to unavoidable spending pressures, with the Budget also investing </w:t>
      </w:r>
      <w:r w:rsidRPr="00F5195B">
        <w:t>in a wide range of programs, particularly measures to ease cost</w:t>
      </w:r>
      <w:r w:rsidR="008D4F6B">
        <w:noBreakHyphen/>
      </w:r>
      <w:r w:rsidRPr="00F5195B">
        <w:t>of</w:t>
      </w:r>
      <w:r w:rsidR="008D4F6B">
        <w:noBreakHyphen/>
      </w:r>
      <w:r w:rsidRPr="00F5195B">
        <w:t xml:space="preserve">living pressures, build more homes for Australians, </w:t>
      </w:r>
      <w:r w:rsidR="00CD68D5">
        <w:t>create</w:t>
      </w:r>
      <w:r w:rsidRPr="00F5195B">
        <w:t xml:space="preserve"> a </w:t>
      </w:r>
      <w:bookmarkStart w:id="21" w:name="_Hlk166174997"/>
      <w:r w:rsidR="00CA777B">
        <w:t>F</w:t>
      </w:r>
      <w:bookmarkEnd w:id="21"/>
      <w:r w:rsidRPr="00F5195B">
        <w:t xml:space="preserve">uture </w:t>
      </w:r>
      <w:r w:rsidR="00CA777B">
        <w:t>M</w:t>
      </w:r>
      <w:r w:rsidRPr="00F5195B">
        <w:t xml:space="preserve">ade in Australia, strengthen Medicare and the care economy, and </w:t>
      </w:r>
      <w:r w:rsidR="00F84520">
        <w:t>broaden</w:t>
      </w:r>
      <w:r w:rsidRPr="00F5195B">
        <w:t xml:space="preserve"> opportunity and advance equality.</w:t>
      </w:r>
    </w:p>
    <w:p w14:paraId="785E0DAA" w14:textId="61405EA7" w:rsidR="00A9609A" w:rsidRDefault="00A32DD8" w:rsidP="00134421">
      <w:r w:rsidRPr="004F3F39">
        <w:lastRenderedPageBreak/>
        <w:t>Economic parameters are estimated to decrease expenses by $8.0 billion over the four years from 2023</w:t>
      </w:r>
      <w:r w:rsidRPr="004F3F39">
        <w:rPr>
          <w:rFonts w:cs="Book Antiqua"/>
        </w:rPr>
        <w:t>–</w:t>
      </w:r>
      <w:r w:rsidRPr="004F3F39">
        <w:t>24 to 2026</w:t>
      </w:r>
      <w:r w:rsidRPr="004F3F39">
        <w:rPr>
          <w:rFonts w:cs="Book Antiqua"/>
        </w:rPr>
        <w:t>–</w:t>
      </w:r>
      <w:r w:rsidRPr="004F3F39">
        <w:t>27 compared with</w:t>
      </w:r>
      <w:r w:rsidR="00CD4103" w:rsidRPr="004F3F39">
        <w:t xml:space="preserve"> the 2023–24</w:t>
      </w:r>
      <w:r w:rsidRPr="004F3F39">
        <w:t xml:space="preserve"> MYEFO, reflecting lower projections for prices </w:t>
      </w:r>
      <w:r w:rsidR="00A9609A">
        <w:t>and wages</w:t>
      </w:r>
      <w:r w:rsidRPr="004F3F39">
        <w:t>, and lower projections</w:t>
      </w:r>
      <w:r w:rsidR="00CD4103" w:rsidRPr="004F3F39">
        <w:t xml:space="preserve"> for</w:t>
      </w:r>
      <w:r w:rsidRPr="004F3F39">
        <w:t xml:space="preserve"> GST payments to the states on account of lower projections for consumption.</w:t>
      </w:r>
    </w:p>
    <w:p w14:paraId="69B89BD7" w14:textId="54D05E32" w:rsidR="00F51733" w:rsidRPr="004F3F39" w:rsidRDefault="00A32DD8" w:rsidP="00F2334A">
      <w:r w:rsidRPr="004F3F39">
        <w:t>Program specific parameter variations are projected to increase expenses by $35.7 billion over the four years from 2023</w:t>
      </w:r>
      <w:r w:rsidRPr="004F3F39">
        <w:rPr>
          <w:rFonts w:cs="Book Antiqua"/>
        </w:rPr>
        <w:t>–</w:t>
      </w:r>
      <w:r w:rsidRPr="004F3F39">
        <w:t>24 to 2026</w:t>
      </w:r>
      <w:r w:rsidRPr="004F3F39">
        <w:rPr>
          <w:rFonts w:cs="Book Antiqua"/>
        </w:rPr>
        <w:t>–</w:t>
      </w:r>
      <w:r w:rsidRPr="004F3F39">
        <w:t xml:space="preserve">27 compared with </w:t>
      </w:r>
      <w:r w:rsidR="00F5195B">
        <w:t xml:space="preserve">the </w:t>
      </w:r>
      <w:r w:rsidR="00CD4103" w:rsidRPr="004F3F39">
        <w:t xml:space="preserve">2023–24 </w:t>
      </w:r>
      <w:r w:rsidRPr="004F3F39">
        <w:t xml:space="preserve">MYEFO. </w:t>
      </w:r>
      <w:r w:rsidR="00BB782A" w:rsidRPr="004F3F39">
        <w:t>This includes major variation</w:t>
      </w:r>
      <w:r w:rsidR="00730156" w:rsidRPr="004F3F39">
        <w:t>s</w:t>
      </w:r>
      <w:r w:rsidR="00BB782A" w:rsidRPr="004F3F39">
        <w:t xml:space="preserve"> in the following programs</w:t>
      </w:r>
      <w:r w:rsidR="00AE450F">
        <w:t>:</w:t>
      </w:r>
    </w:p>
    <w:p w14:paraId="344BDFC7" w14:textId="257F2E6E" w:rsidR="00112119" w:rsidRPr="008C0F70" w:rsidRDefault="00112119" w:rsidP="008C0F70">
      <w:pPr>
        <w:pStyle w:val="Bullet"/>
      </w:pPr>
      <w:r w:rsidRPr="008C0F70">
        <w:t xml:space="preserve">Expenses related to the National Disability Insurance Scheme (NDIS) are estimated to increase by $11.1 billion over four years from 2023–24 to 2026–27 (and $4.5 billion in 2027–28), based on revised projections from the NDIS Actuary and adjustments related </w:t>
      </w:r>
      <w:r w:rsidR="00CA777B" w:rsidRPr="008C0F70">
        <w:t xml:space="preserve">to </w:t>
      </w:r>
      <w:r w:rsidRPr="008C0F70">
        <w:t>in</w:t>
      </w:r>
      <w:r w:rsidR="008D4F6B">
        <w:noBreakHyphen/>
      </w:r>
      <w:r w:rsidRPr="008C0F70">
        <w:t>kind support</w:t>
      </w:r>
      <w:r w:rsidR="00CA777B" w:rsidRPr="008C0F70">
        <w:t>s</w:t>
      </w:r>
      <w:r w:rsidRPr="008C0F70">
        <w:t>. The NDIS legislative reforms being undertaken by the Government as part of the</w:t>
      </w:r>
      <w:r w:rsidR="00A9609A" w:rsidRPr="008C0F70">
        <w:t xml:space="preserve"> 2024–25 Budget measure</w:t>
      </w:r>
      <w:r w:rsidRPr="008C0F70">
        <w:t xml:space="preserve"> </w:t>
      </w:r>
      <w:r w:rsidRPr="00204B48">
        <w:rPr>
          <w:i/>
        </w:rPr>
        <w:t>National Disability Insurance Scheme – Getting the NDIS back on track</w:t>
      </w:r>
      <w:r w:rsidRPr="008C0F70">
        <w:t xml:space="preserve"> are expected to offset the increase projected by the </w:t>
      </w:r>
      <w:r w:rsidR="00CA777B" w:rsidRPr="008C0F70">
        <w:t xml:space="preserve">NDIS </w:t>
      </w:r>
      <w:r w:rsidRPr="008C0F70">
        <w:t>Actuary</w:t>
      </w:r>
      <w:r w:rsidR="00CD68D5" w:rsidRPr="008C0F70">
        <w:t xml:space="preserve">, </w:t>
      </w:r>
      <w:r w:rsidRPr="008C0F70">
        <w:t>moderate this additional growth in NDIS expenses</w:t>
      </w:r>
      <w:r w:rsidR="00CA777B" w:rsidRPr="008C0F70">
        <w:t xml:space="preserve"> from 2024–25,</w:t>
      </w:r>
      <w:r w:rsidRPr="008C0F70">
        <w:t xml:space="preserve"> </w:t>
      </w:r>
      <w:bookmarkStart w:id="22" w:name="_Hlk166175159"/>
      <w:r w:rsidR="00CA777B" w:rsidRPr="008C0F70">
        <w:t>to keep NDIS expenditure on track to achieve the NDIS Sustainability Framework from 1</w:t>
      </w:r>
      <w:r w:rsidR="00942F4F">
        <w:t> </w:t>
      </w:r>
      <w:r w:rsidR="00CA777B" w:rsidRPr="008C0F70">
        <w:t>July</w:t>
      </w:r>
      <w:r w:rsidR="00942F4F">
        <w:t> </w:t>
      </w:r>
      <w:r w:rsidR="00CA777B" w:rsidRPr="008C0F70">
        <w:t>2026.</w:t>
      </w:r>
      <w:bookmarkEnd w:id="22"/>
    </w:p>
    <w:p w14:paraId="4B25F21A" w14:textId="1C253EE1" w:rsidR="00CA777B" w:rsidRPr="008C0F70" w:rsidRDefault="00AE450F" w:rsidP="008C0F70">
      <w:pPr>
        <w:pStyle w:val="Bullet"/>
      </w:pPr>
      <w:r w:rsidRPr="008C0F70">
        <w:t>E</w:t>
      </w:r>
      <w:r w:rsidR="00F51733" w:rsidRPr="008C0F70">
        <w:t>xpenses related to the Military Rehabilitation Compensation Act – Income Support and Compensation are expected to increase</w:t>
      </w:r>
      <w:r w:rsidR="005F7A06" w:rsidRPr="008C0F70">
        <w:t xml:space="preserve"> by</w:t>
      </w:r>
      <w:r w:rsidR="00F51733" w:rsidRPr="008C0F70">
        <w:t xml:space="preserve"> $5.7 billion over </w:t>
      </w:r>
      <w:r w:rsidR="005F7A06" w:rsidRPr="008C0F70">
        <w:t xml:space="preserve">the </w:t>
      </w:r>
      <w:r w:rsidR="00F51733" w:rsidRPr="008C0F70">
        <w:t xml:space="preserve">four years from 2023–24 to 2026–27, </w:t>
      </w:r>
      <w:r w:rsidR="00112119" w:rsidRPr="008C0F70">
        <w:t xml:space="preserve">largely due to more claims being processed because of increased staffing levels that the Government has agreed to in order to deliver on its commitment to clear the </w:t>
      </w:r>
      <w:r w:rsidR="00CA777B" w:rsidRPr="008C0F70">
        <w:t xml:space="preserve">claims </w:t>
      </w:r>
      <w:r w:rsidR="00112119" w:rsidRPr="008C0F70">
        <w:t>backlog</w:t>
      </w:r>
      <w:r w:rsidR="00CA777B" w:rsidRPr="008C0F70">
        <w:t>.</w:t>
      </w:r>
    </w:p>
    <w:p w14:paraId="21447A2D" w14:textId="75FB778A" w:rsidR="0067402F" w:rsidRDefault="00730156" w:rsidP="00CA777B">
      <w:pPr>
        <w:pStyle w:val="Bullet"/>
        <w:ind w:left="283" w:hanging="283"/>
      </w:pPr>
      <w:r w:rsidRPr="004F3F39">
        <w:t xml:space="preserve">Expenses </w:t>
      </w:r>
      <w:r w:rsidR="00BB782A" w:rsidRPr="004F3F39">
        <w:t>related to the Child Care Subsidy are expected to increase by</w:t>
      </w:r>
      <w:r w:rsidRPr="004F3F39">
        <w:t xml:space="preserve"> $</w:t>
      </w:r>
      <w:r w:rsidR="00BB782A" w:rsidRPr="004F3F39">
        <w:t xml:space="preserve">2.6 billion over </w:t>
      </w:r>
      <w:r w:rsidR="005F7A06">
        <w:t xml:space="preserve">the </w:t>
      </w:r>
      <w:r w:rsidRPr="004F3F39">
        <w:t>four</w:t>
      </w:r>
      <w:r w:rsidR="00BB782A" w:rsidRPr="004F3F39">
        <w:t xml:space="preserve"> years from 2023</w:t>
      </w:r>
      <w:r w:rsidRPr="004F3F39">
        <w:t>–</w:t>
      </w:r>
      <w:r w:rsidR="00BB782A" w:rsidRPr="004F3F39">
        <w:t>24 to 2026</w:t>
      </w:r>
      <w:r w:rsidRPr="004F3F39">
        <w:t>–</w:t>
      </w:r>
      <w:r w:rsidR="00BB782A" w:rsidRPr="004F3F39">
        <w:t xml:space="preserve">27, </w:t>
      </w:r>
      <w:r w:rsidR="00112119" w:rsidRPr="004F3F39">
        <w:t>largely reflecting additional support flowing to families due to the higher costs of providing care.</w:t>
      </w:r>
    </w:p>
    <w:p w14:paraId="4012DADE" w14:textId="059ADE08" w:rsidR="004778D4" w:rsidRDefault="00730156" w:rsidP="0067402F">
      <w:pPr>
        <w:pStyle w:val="Bullet"/>
      </w:pPr>
      <w:r w:rsidRPr="004F3F39">
        <w:t xml:space="preserve">Expenses </w:t>
      </w:r>
      <w:r w:rsidR="00BB782A" w:rsidRPr="004F3F39">
        <w:t xml:space="preserve">related to JobSeeker Income Support are expected to increase by $1.4 billion over </w:t>
      </w:r>
      <w:r w:rsidR="005F7A06">
        <w:t xml:space="preserve">the </w:t>
      </w:r>
      <w:r w:rsidRPr="004F3F39">
        <w:t>four</w:t>
      </w:r>
      <w:r w:rsidR="00BB782A" w:rsidRPr="004F3F39">
        <w:t xml:space="preserve"> years from 2023</w:t>
      </w:r>
      <w:r w:rsidRPr="004F3F39">
        <w:t>–</w:t>
      </w:r>
      <w:r w:rsidR="00BB782A" w:rsidRPr="004F3F39">
        <w:t>24 to 2026</w:t>
      </w:r>
      <w:r w:rsidRPr="004F3F39">
        <w:t>–</w:t>
      </w:r>
      <w:r w:rsidR="00BB782A" w:rsidRPr="004F3F39">
        <w:t>27, largely due to upward revisions to the expected number of recipients and average payment rates</w:t>
      </w:r>
      <w:r w:rsidR="00AE450F">
        <w:t>,</w:t>
      </w:r>
      <w:r w:rsidR="00BB782A" w:rsidRPr="004F3F39">
        <w:t xml:space="preserve"> driven by changes to the composition of payment recipients.</w:t>
      </w:r>
    </w:p>
    <w:p w14:paraId="7C130208" w14:textId="308815F3" w:rsidR="00692306" w:rsidRDefault="00730156">
      <w:pPr>
        <w:spacing w:before="0" w:after="160" w:line="259" w:lineRule="auto"/>
      </w:pPr>
      <w:r w:rsidRPr="004F3F39">
        <w:t>Since the 2023–24 MYEFO, other variations (</w:t>
      </w:r>
      <w:r w:rsidR="008D4F6B">
        <w:noBreakHyphen/>
      </w:r>
      <w:r w:rsidRPr="004F3F39">
        <w:t>$</w:t>
      </w:r>
      <w:r w:rsidR="003606D2">
        <w:t>5.4</w:t>
      </w:r>
      <w:r w:rsidRPr="004F3F39">
        <w:t xml:space="preserve"> billion), variations associated with Public Debt Interest (</w:t>
      </w:r>
      <w:r w:rsidR="008D4F6B">
        <w:noBreakHyphen/>
      </w:r>
      <w:r w:rsidRPr="004F3F39">
        <w:t>$</w:t>
      </w:r>
      <w:r w:rsidR="003606D2">
        <w:t>1.2</w:t>
      </w:r>
      <w:r w:rsidR="005F307C">
        <w:t xml:space="preserve"> </w:t>
      </w:r>
      <w:r w:rsidRPr="004F3F39">
        <w:t>billion) and program specific</w:t>
      </w:r>
      <w:r w:rsidR="00CD4103" w:rsidRPr="004F3F39">
        <w:t xml:space="preserve"> parameter</w:t>
      </w:r>
      <w:r w:rsidRPr="004F3F39">
        <w:t xml:space="preserve"> variations ($</w:t>
      </w:r>
      <w:r w:rsidR="003606D2">
        <w:t>35.7</w:t>
      </w:r>
      <w:r w:rsidR="00AE1821">
        <w:t xml:space="preserve"> </w:t>
      </w:r>
      <w:r w:rsidRPr="004F3F39">
        <w:t xml:space="preserve">billion) have </w:t>
      </w:r>
      <w:r w:rsidR="003606D2">
        <w:t>increased</w:t>
      </w:r>
      <w:r w:rsidR="003606D2" w:rsidRPr="004F3F39">
        <w:t xml:space="preserve"> </w:t>
      </w:r>
      <w:r w:rsidRPr="004F3F39">
        <w:t>expenses by $</w:t>
      </w:r>
      <w:r w:rsidR="003606D2">
        <w:t>29.1</w:t>
      </w:r>
      <w:r w:rsidR="00692306">
        <w:t> </w:t>
      </w:r>
      <w:r w:rsidRPr="004F3F39">
        <w:t>billion over the four years to 2026–27.</w:t>
      </w:r>
      <w:bookmarkEnd w:id="16"/>
    </w:p>
    <w:p w14:paraId="1E0E10C6" w14:textId="5330394C" w:rsidR="00BB782A" w:rsidRDefault="00BB782A" w:rsidP="00560478">
      <w:pPr>
        <w:rPr>
          <w:rFonts w:ascii="Arial Bold" w:hAnsi="Arial Bold"/>
          <w:sz w:val="26"/>
        </w:rPr>
      </w:pPr>
      <w:r>
        <w:br w:type="page"/>
      </w:r>
    </w:p>
    <w:p w14:paraId="0BD3B052" w14:textId="1884145E" w:rsidR="00ED485A" w:rsidRPr="000177D7" w:rsidRDefault="00ED485A" w:rsidP="00ED485A">
      <w:pPr>
        <w:pStyle w:val="Heading2"/>
      </w:pPr>
      <w:bookmarkStart w:id="23" w:name="_Toc166369414"/>
      <w:r w:rsidRPr="000177D7">
        <w:lastRenderedPageBreak/>
        <w:t>Estimated expenses by function</w:t>
      </w:r>
      <w:bookmarkEnd w:id="19"/>
      <w:bookmarkEnd w:id="20"/>
      <w:bookmarkEnd w:id="23"/>
    </w:p>
    <w:p w14:paraId="44626DA7" w14:textId="2FA421FE" w:rsidR="00C418C7" w:rsidRPr="000177D7" w:rsidRDefault="00C418C7" w:rsidP="00C418C7">
      <w:r>
        <w:t>E</w:t>
      </w:r>
      <w:r w:rsidRPr="000177D7">
        <w:t xml:space="preserve">stimates of </w:t>
      </w:r>
      <w:r w:rsidR="00D3590A">
        <w:t>general government sector</w:t>
      </w:r>
      <w:r w:rsidRPr="000177D7">
        <w:t xml:space="preserve"> expenses by function for the period 202</w:t>
      </w:r>
      <w:r>
        <w:t>3–</w:t>
      </w:r>
      <w:r w:rsidRPr="000177D7">
        <w:t>2</w:t>
      </w:r>
      <w:r>
        <w:t>4</w:t>
      </w:r>
      <w:r w:rsidRPr="000177D7">
        <w:t xml:space="preserve"> to 202</w:t>
      </w:r>
      <w:r>
        <w:t>7–</w:t>
      </w:r>
      <w:r w:rsidRPr="000177D7">
        <w:t>2</w:t>
      </w:r>
      <w:r>
        <w:t xml:space="preserve">8 are set out in </w:t>
      </w:r>
      <w:r w:rsidR="00F53FD5">
        <w:t>Table </w:t>
      </w:r>
      <w:r w:rsidRPr="0021687D">
        <w:t xml:space="preserve">6.3. The social security and welfare, health, </w:t>
      </w:r>
      <w:r w:rsidR="00E420CB" w:rsidRPr="0021687D">
        <w:t xml:space="preserve">education </w:t>
      </w:r>
      <w:r w:rsidR="008A2219">
        <w:t xml:space="preserve">and </w:t>
      </w:r>
      <w:r w:rsidRPr="0021687D">
        <w:t>defence functions account for</w:t>
      </w:r>
      <w:r w:rsidRPr="007950B4">
        <w:t xml:space="preserve"> </w:t>
      </w:r>
      <w:r w:rsidR="00CD0B9F">
        <w:t xml:space="preserve">approximately </w:t>
      </w:r>
      <w:r w:rsidRPr="002E1E0A">
        <w:t>65</w:t>
      </w:r>
      <w:r w:rsidR="00314D06">
        <w:t> per cent</w:t>
      </w:r>
      <w:r w:rsidRPr="0021687D">
        <w:t xml:space="preserve"> of all government expenses in 202</w:t>
      </w:r>
      <w:r>
        <w:t>4–</w:t>
      </w:r>
      <w:r w:rsidRPr="0021687D">
        <w:t>2</w:t>
      </w:r>
      <w:r>
        <w:t>5</w:t>
      </w:r>
      <w:r w:rsidRPr="0021687D">
        <w:t xml:space="preserve"> (see Box 6.</w:t>
      </w:r>
      <w:r w:rsidR="005E2F52">
        <w:t>1</w:t>
      </w:r>
      <w:r w:rsidRPr="0021687D">
        <w:t>). Changes to the levels of expenditure within</w:t>
      </w:r>
      <w:r w:rsidRPr="000177D7">
        <w:t xml:space="preserve"> these functions significantly </w:t>
      </w:r>
      <w:r>
        <w:t>affect</w:t>
      </w:r>
      <w:r w:rsidRPr="000177D7">
        <w:t xml:space="preserve"> total </w:t>
      </w:r>
      <w:r>
        <w:t>g</w:t>
      </w:r>
      <w:r w:rsidRPr="000177D7">
        <w:t>overnment spending. Further details of spending trends in all functions are set out under individual function headings.</w:t>
      </w:r>
    </w:p>
    <w:p w14:paraId="5CC04BE2" w14:textId="69ACE8EA" w:rsidR="003E551D" w:rsidRDefault="00F53FD5" w:rsidP="003E551D">
      <w:pPr>
        <w:pStyle w:val="TableHeading"/>
        <w:rPr>
          <w:rFonts w:asciiTheme="minorHAnsi" w:eastAsiaTheme="minorHAnsi" w:hAnsiTheme="minorHAnsi" w:cstheme="minorBidi"/>
          <w:sz w:val="22"/>
          <w:szCs w:val="22"/>
          <w:lang w:eastAsia="en-US"/>
        </w:rPr>
      </w:pPr>
      <w:r>
        <w:t>Table </w:t>
      </w:r>
      <w:r w:rsidR="00ED485A" w:rsidRPr="000177D7">
        <w:t>6.3: Estimates of expenses by functio</w:t>
      </w:r>
      <w:bookmarkStart w:id="24" w:name="_1555605880"/>
      <w:bookmarkStart w:id="25" w:name="_1727774257"/>
      <w:bookmarkEnd w:id="24"/>
      <w:bookmarkEnd w:id="25"/>
      <w:r w:rsidR="00ED485A">
        <w:t>n</w:t>
      </w:r>
      <w:r w:rsidR="00ED485A" w:rsidRPr="00CA4E6B">
        <w:rPr>
          <w:vertAlign w:val="superscript"/>
        </w:rPr>
        <w:t>(a)</w:t>
      </w:r>
      <w:r w:rsidR="00ED485A">
        <w:t xml:space="preserve"> </w:t>
      </w:r>
      <w:bookmarkStart w:id="26" w:name="_1744700536"/>
      <w:bookmarkStart w:id="27" w:name="_1742907929"/>
      <w:bookmarkEnd w:id="26"/>
      <w:bookmarkEnd w:id="27"/>
    </w:p>
    <w:tbl>
      <w:tblPr>
        <w:tblW w:w="7711" w:type="dxa"/>
        <w:tblLook w:val="04A0" w:firstRow="1" w:lastRow="0" w:firstColumn="1" w:lastColumn="0" w:noHBand="0" w:noVBand="1"/>
      </w:tblPr>
      <w:tblGrid>
        <w:gridCol w:w="3141"/>
        <w:gridCol w:w="914"/>
        <w:gridCol w:w="914"/>
        <w:gridCol w:w="914"/>
        <w:gridCol w:w="914"/>
        <w:gridCol w:w="914"/>
      </w:tblGrid>
      <w:tr w:rsidR="003E551D" w:rsidRPr="003E551D" w14:paraId="3E43C62E" w14:textId="77777777" w:rsidTr="00204B48">
        <w:trPr>
          <w:trHeight w:val="225"/>
        </w:trPr>
        <w:tc>
          <w:tcPr>
            <w:tcW w:w="3036" w:type="dxa"/>
            <w:tcBorders>
              <w:top w:val="single" w:sz="4" w:space="0" w:color="293F5B"/>
              <w:left w:val="nil"/>
              <w:bottom w:val="nil"/>
              <w:right w:val="nil"/>
            </w:tcBorders>
            <w:shd w:val="clear" w:color="000000" w:fill="FFFFFF"/>
            <w:noWrap/>
            <w:vAlign w:val="center"/>
            <w:hideMark/>
          </w:tcPr>
          <w:p w14:paraId="5F0B0528" w14:textId="40E2ED8F" w:rsidR="003E551D" w:rsidRPr="003E551D" w:rsidRDefault="003E551D" w:rsidP="003E551D">
            <w:pPr>
              <w:spacing w:before="0" w:after="0" w:line="240" w:lineRule="auto"/>
              <w:rPr>
                <w:rFonts w:ascii="Arial" w:hAnsi="Arial" w:cs="Arial"/>
                <w:color w:val="000000"/>
                <w:sz w:val="16"/>
                <w:szCs w:val="16"/>
              </w:rPr>
            </w:pPr>
            <w:r w:rsidRPr="003E551D">
              <w:rPr>
                <w:rFonts w:ascii="Arial" w:hAnsi="Arial" w:cs="Arial"/>
                <w:color w:val="000000"/>
                <w:sz w:val="16"/>
                <w:szCs w:val="16"/>
              </w:rPr>
              <w:t> </w:t>
            </w:r>
          </w:p>
        </w:tc>
        <w:tc>
          <w:tcPr>
            <w:tcW w:w="4416" w:type="dxa"/>
            <w:gridSpan w:val="5"/>
            <w:tcBorders>
              <w:top w:val="single" w:sz="4" w:space="0" w:color="293F5B"/>
              <w:left w:val="nil"/>
              <w:bottom w:val="single" w:sz="4" w:space="0" w:color="293F5B"/>
              <w:right w:val="nil"/>
            </w:tcBorders>
            <w:shd w:val="clear" w:color="000000" w:fill="FFFFFF"/>
            <w:noWrap/>
            <w:vAlign w:val="center"/>
            <w:hideMark/>
          </w:tcPr>
          <w:p w14:paraId="44D1C372" w14:textId="77777777" w:rsidR="003E551D" w:rsidRPr="003E551D" w:rsidRDefault="003E551D" w:rsidP="003E551D">
            <w:pPr>
              <w:spacing w:before="0" w:after="0" w:line="240" w:lineRule="auto"/>
              <w:jc w:val="center"/>
              <w:rPr>
                <w:rFonts w:ascii="Arial" w:hAnsi="Arial" w:cs="Arial"/>
                <w:sz w:val="16"/>
                <w:szCs w:val="16"/>
              </w:rPr>
            </w:pPr>
            <w:r w:rsidRPr="003E551D">
              <w:rPr>
                <w:rFonts w:ascii="Arial" w:hAnsi="Arial" w:cs="Arial"/>
                <w:sz w:val="16"/>
                <w:szCs w:val="16"/>
              </w:rPr>
              <w:t>Estimates</w:t>
            </w:r>
          </w:p>
        </w:tc>
      </w:tr>
      <w:tr w:rsidR="003E551D" w:rsidRPr="003E551D" w14:paraId="7AAAA698" w14:textId="77777777" w:rsidTr="00204B48">
        <w:trPr>
          <w:trHeight w:val="225"/>
        </w:trPr>
        <w:tc>
          <w:tcPr>
            <w:tcW w:w="3036" w:type="dxa"/>
            <w:tcBorders>
              <w:top w:val="nil"/>
              <w:left w:val="nil"/>
              <w:bottom w:val="nil"/>
              <w:right w:val="nil"/>
            </w:tcBorders>
            <w:shd w:val="clear" w:color="000000" w:fill="FFFFFF"/>
            <w:noWrap/>
            <w:vAlign w:val="center"/>
            <w:hideMark/>
          </w:tcPr>
          <w:p w14:paraId="49169D6A" w14:textId="77777777" w:rsidR="003E551D" w:rsidRPr="003E551D" w:rsidRDefault="003E551D" w:rsidP="003E551D">
            <w:pPr>
              <w:spacing w:before="0" w:after="0" w:line="240" w:lineRule="auto"/>
              <w:rPr>
                <w:rFonts w:ascii="Arial" w:hAnsi="Arial" w:cs="Arial"/>
                <w:color w:val="000000"/>
                <w:sz w:val="16"/>
                <w:szCs w:val="16"/>
              </w:rPr>
            </w:pPr>
            <w:r w:rsidRPr="003E551D">
              <w:rPr>
                <w:rFonts w:ascii="Arial" w:hAnsi="Arial" w:cs="Arial"/>
                <w:color w:val="000000"/>
                <w:sz w:val="16"/>
                <w:szCs w:val="16"/>
              </w:rPr>
              <w:t> </w:t>
            </w:r>
          </w:p>
        </w:tc>
        <w:tc>
          <w:tcPr>
            <w:tcW w:w="884" w:type="dxa"/>
            <w:tcBorders>
              <w:top w:val="single" w:sz="4" w:space="0" w:color="293F5B"/>
              <w:left w:val="nil"/>
              <w:bottom w:val="nil"/>
              <w:right w:val="nil"/>
            </w:tcBorders>
            <w:shd w:val="clear" w:color="000000" w:fill="FFFFFF"/>
            <w:noWrap/>
            <w:vAlign w:val="center"/>
            <w:hideMark/>
          </w:tcPr>
          <w:p w14:paraId="03A1C906" w14:textId="77777777" w:rsidR="003E551D" w:rsidRPr="003E551D" w:rsidRDefault="003E551D" w:rsidP="003E551D">
            <w:pPr>
              <w:spacing w:before="0" w:after="0" w:line="240" w:lineRule="auto"/>
              <w:jc w:val="right"/>
              <w:rPr>
                <w:rFonts w:ascii="Arial" w:hAnsi="Arial" w:cs="Arial"/>
                <w:sz w:val="16"/>
                <w:szCs w:val="16"/>
              </w:rPr>
            </w:pPr>
            <w:r w:rsidRPr="003E551D">
              <w:rPr>
                <w:rFonts w:ascii="Arial" w:hAnsi="Arial" w:cs="Arial"/>
                <w:sz w:val="16"/>
                <w:szCs w:val="16"/>
              </w:rPr>
              <w:t>2023-24</w:t>
            </w:r>
          </w:p>
        </w:tc>
        <w:tc>
          <w:tcPr>
            <w:tcW w:w="883" w:type="dxa"/>
            <w:tcBorders>
              <w:top w:val="single" w:sz="4" w:space="0" w:color="293F5B"/>
              <w:left w:val="nil"/>
              <w:bottom w:val="nil"/>
              <w:right w:val="nil"/>
            </w:tcBorders>
            <w:shd w:val="clear" w:color="000000" w:fill="E6F2FF"/>
            <w:noWrap/>
            <w:vAlign w:val="center"/>
            <w:hideMark/>
          </w:tcPr>
          <w:p w14:paraId="70A992AA" w14:textId="77777777" w:rsidR="003E551D" w:rsidRPr="003E551D" w:rsidRDefault="003E551D" w:rsidP="003E551D">
            <w:pPr>
              <w:spacing w:before="0" w:after="0" w:line="240" w:lineRule="auto"/>
              <w:jc w:val="right"/>
              <w:rPr>
                <w:rFonts w:ascii="Arial" w:hAnsi="Arial" w:cs="Arial"/>
                <w:sz w:val="16"/>
                <w:szCs w:val="16"/>
              </w:rPr>
            </w:pPr>
            <w:r w:rsidRPr="003E551D">
              <w:rPr>
                <w:rFonts w:ascii="Arial" w:hAnsi="Arial" w:cs="Arial"/>
                <w:sz w:val="16"/>
                <w:szCs w:val="16"/>
              </w:rPr>
              <w:t>2024-25</w:t>
            </w:r>
          </w:p>
        </w:tc>
        <w:tc>
          <w:tcPr>
            <w:tcW w:w="883" w:type="dxa"/>
            <w:tcBorders>
              <w:top w:val="single" w:sz="4" w:space="0" w:color="293F5B"/>
              <w:left w:val="nil"/>
              <w:bottom w:val="nil"/>
              <w:right w:val="nil"/>
            </w:tcBorders>
            <w:shd w:val="clear" w:color="000000" w:fill="FFFFFF"/>
            <w:noWrap/>
            <w:vAlign w:val="center"/>
            <w:hideMark/>
          </w:tcPr>
          <w:p w14:paraId="346C7965" w14:textId="77777777" w:rsidR="003E551D" w:rsidRPr="003E551D" w:rsidRDefault="003E551D" w:rsidP="003E551D">
            <w:pPr>
              <w:spacing w:before="0" w:after="0" w:line="240" w:lineRule="auto"/>
              <w:jc w:val="right"/>
              <w:rPr>
                <w:rFonts w:ascii="Arial" w:hAnsi="Arial" w:cs="Arial"/>
                <w:sz w:val="16"/>
                <w:szCs w:val="16"/>
              </w:rPr>
            </w:pPr>
            <w:r w:rsidRPr="003E551D">
              <w:rPr>
                <w:rFonts w:ascii="Arial" w:hAnsi="Arial" w:cs="Arial"/>
                <w:sz w:val="16"/>
                <w:szCs w:val="16"/>
              </w:rPr>
              <w:t>2025-26</w:t>
            </w:r>
          </w:p>
        </w:tc>
        <w:tc>
          <w:tcPr>
            <w:tcW w:w="883" w:type="dxa"/>
            <w:tcBorders>
              <w:top w:val="single" w:sz="4" w:space="0" w:color="293F5B"/>
              <w:left w:val="nil"/>
              <w:bottom w:val="nil"/>
              <w:right w:val="nil"/>
            </w:tcBorders>
            <w:shd w:val="clear" w:color="000000" w:fill="FFFFFF"/>
            <w:noWrap/>
            <w:vAlign w:val="center"/>
            <w:hideMark/>
          </w:tcPr>
          <w:p w14:paraId="4079F86D" w14:textId="77777777" w:rsidR="003E551D" w:rsidRPr="003E551D" w:rsidRDefault="003E551D" w:rsidP="003E551D">
            <w:pPr>
              <w:spacing w:before="0" w:after="0" w:line="240" w:lineRule="auto"/>
              <w:jc w:val="right"/>
              <w:rPr>
                <w:rFonts w:ascii="Arial" w:hAnsi="Arial" w:cs="Arial"/>
                <w:sz w:val="16"/>
                <w:szCs w:val="16"/>
              </w:rPr>
            </w:pPr>
            <w:r w:rsidRPr="003E551D">
              <w:rPr>
                <w:rFonts w:ascii="Arial" w:hAnsi="Arial" w:cs="Arial"/>
                <w:sz w:val="16"/>
                <w:szCs w:val="16"/>
              </w:rPr>
              <w:t>2026-27</w:t>
            </w:r>
          </w:p>
        </w:tc>
        <w:tc>
          <w:tcPr>
            <w:tcW w:w="883" w:type="dxa"/>
            <w:tcBorders>
              <w:top w:val="single" w:sz="4" w:space="0" w:color="293F5B"/>
              <w:left w:val="nil"/>
              <w:bottom w:val="nil"/>
              <w:right w:val="nil"/>
            </w:tcBorders>
            <w:shd w:val="clear" w:color="000000" w:fill="FFFFFF"/>
            <w:noWrap/>
            <w:vAlign w:val="center"/>
            <w:hideMark/>
          </w:tcPr>
          <w:p w14:paraId="223C342F" w14:textId="77777777" w:rsidR="003E551D" w:rsidRPr="003E551D" w:rsidRDefault="003E551D" w:rsidP="003E551D">
            <w:pPr>
              <w:spacing w:before="0" w:after="0" w:line="240" w:lineRule="auto"/>
              <w:jc w:val="right"/>
              <w:rPr>
                <w:rFonts w:ascii="Arial" w:hAnsi="Arial" w:cs="Arial"/>
                <w:color w:val="000000"/>
                <w:sz w:val="16"/>
                <w:szCs w:val="16"/>
              </w:rPr>
            </w:pPr>
            <w:r w:rsidRPr="003E551D">
              <w:rPr>
                <w:rFonts w:ascii="Arial" w:hAnsi="Arial" w:cs="Arial"/>
                <w:color w:val="000000"/>
                <w:sz w:val="16"/>
                <w:szCs w:val="16"/>
              </w:rPr>
              <w:t>2027-28</w:t>
            </w:r>
          </w:p>
        </w:tc>
      </w:tr>
      <w:tr w:rsidR="003E551D" w:rsidRPr="003E551D" w14:paraId="4CD4A764" w14:textId="77777777" w:rsidTr="00204B48">
        <w:trPr>
          <w:trHeight w:val="225"/>
        </w:trPr>
        <w:tc>
          <w:tcPr>
            <w:tcW w:w="3036" w:type="dxa"/>
            <w:tcBorders>
              <w:top w:val="nil"/>
              <w:left w:val="nil"/>
              <w:bottom w:val="nil"/>
              <w:right w:val="nil"/>
            </w:tcBorders>
            <w:shd w:val="clear" w:color="000000" w:fill="FFFFFF"/>
            <w:noWrap/>
            <w:vAlign w:val="center"/>
            <w:hideMark/>
          </w:tcPr>
          <w:p w14:paraId="7FC605E8" w14:textId="77777777" w:rsidR="003E551D" w:rsidRPr="003E551D" w:rsidRDefault="003E551D" w:rsidP="003E551D">
            <w:pPr>
              <w:spacing w:before="0" w:after="0" w:line="240" w:lineRule="auto"/>
              <w:rPr>
                <w:rFonts w:ascii="Arial" w:hAnsi="Arial" w:cs="Arial"/>
                <w:color w:val="000000"/>
                <w:sz w:val="16"/>
                <w:szCs w:val="16"/>
              </w:rPr>
            </w:pPr>
            <w:r w:rsidRPr="003E551D">
              <w:rPr>
                <w:rFonts w:ascii="Arial" w:hAnsi="Arial" w:cs="Arial"/>
                <w:color w:val="000000"/>
                <w:sz w:val="16"/>
                <w:szCs w:val="16"/>
              </w:rPr>
              <w:t> </w:t>
            </w:r>
          </w:p>
        </w:tc>
        <w:tc>
          <w:tcPr>
            <w:tcW w:w="884" w:type="dxa"/>
            <w:tcBorders>
              <w:top w:val="nil"/>
              <w:left w:val="nil"/>
              <w:bottom w:val="single" w:sz="4" w:space="0" w:color="293F5B"/>
              <w:right w:val="nil"/>
            </w:tcBorders>
            <w:shd w:val="clear" w:color="000000" w:fill="FFFFFF"/>
            <w:noWrap/>
            <w:vAlign w:val="center"/>
            <w:hideMark/>
          </w:tcPr>
          <w:p w14:paraId="6ADD9CAD" w14:textId="77777777" w:rsidR="003E551D" w:rsidRPr="003E551D" w:rsidRDefault="003E551D" w:rsidP="003E551D">
            <w:pPr>
              <w:spacing w:before="0" w:after="0" w:line="240" w:lineRule="auto"/>
              <w:jc w:val="right"/>
              <w:rPr>
                <w:rFonts w:ascii="Arial" w:hAnsi="Arial" w:cs="Arial"/>
                <w:color w:val="000000"/>
                <w:sz w:val="16"/>
                <w:szCs w:val="16"/>
              </w:rPr>
            </w:pPr>
            <w:r w:rsidRPr="003E551D">
              <w:rPr>
                <w:rFonts w:ascii="Arial" w:hAnsi="Arial" w:cs="Arial"/>
                <w:color w:val="000000"/>
                <w:sz w:val="16"/>
                <w:szCs w:val="16"/>
              </w:rPr>
              <w:t>$m</w:t>
            </w:r>
          </w:p>
        </w:tc>
        <w:tc>
          <w:tcPr>
            <w:tcW w:w="883" w:type="dxa"/>
            <w:tcBorders>
              <w:top w:val="nil"/>
              <w:left w:val="nil"/>
              <w:bottom w:val="single" w:sz="4" w:space="0" w:color="293F5B"/>
              <w:right w:val="nil"/>
            </w:tcBorders>
            <w:shd w:val="clear" w:color="000000" w:fill="E6F2FF"/>
            <w:noWrap/>
            <w:vAlign w:val="center"/>
            <w:hideMark/>
          </w:tcPr>
          <w:p w14:paraId="52D07B61" w14:textId="77777777" w:rsidR="003E551D" w:rsidRPr="003E551D" w:rsidRDefault="003E551D" w:rsidP="003E551D">
            <w:pPr>
              <w:spacing w:before="0" w:after="0" w:line="240" w:lineRule="auto"/>
              <w:jc w:val="right"/>
              <w:rPr>
                <w:rFonts w:ascii="Arial" w:hAnsi="Arial" w:cs="Arial"/>
                <w:color w:val="000000"/>
                <w:sz w:val="16"/>
                <w:szCs w:val="16"/>
              </w:rPr>
            </w:pPr>
            <w:r w:rsidRPr="003E551D">
              <w:rPr>
                <w:rFonts w:ascii="Arial" w:hAnsi="Arial" w:cs="Arial"/>
                <w:color w:val="000000"/>
                <w:sz w:val="16"/>
                <w:szCs w:val="16"/>
              </w:rPr>
              <w:t>$m</w:t>
            </w:r>
          </w:p>
        </w:tc>
        <w:tc>
          <w:tcPr>
            <w:tcW w:w="883" w:type="dxa"/>
            <w:tcBorders>
              <w:top w:val="nil"/>
              <w:left w:val="nil"/>
              <w:bottom w:val="single" w:sz="4" w:space="0" w:color="293F5B"/>
              <w:right w:val="nil"/>
            </w:tcBorders>
            <w:shd w:val="clear" w:color="000000" w:fill="FFFFFF"/>
            <w:noWrap/>
            <w:vAlign w:val="center"/>
            <w:hideMark/>
          </w:tcPr>
          <w:p w14:paraId="231A0CAF" w14:textId="77777777" w:rsidR="003E551D" w:rsidRPr="003E551D" w:rsidRDefault="003E551D" w:rsidP="003E551D">
            <w:pPr>
              <w:spacing w:before="0" w:after="0" w:line="240" w:lineRule="auto"/>
              <w:jc w:val="right"/>
              <w:rPr>
                <w:rFonts w:ascii="Arial" w:hAnsi="Arial" w:cs="Arial"/>
                <w:color w:val="000000"/>
                <w:sz w:val="16"/>
                <w:szCs w:val="16"/>
              </w:rPr>
            </w:pPr>
            <w:r w:rsidRPr="003E551D">
              <w:rPr>
                <w:rFonts w:ascii="Arial" w:hAnsi="Arial" w:cs="Arial"/>
                <w:color w:val="000000"/>
                <w:sz w:val="16"/>
                <w:szCs w:val="16"/>
              </w:rPr>
              <w:t>$m</w:t>
            </w:r>
          </w:p>
        </w:tc>
        <w:tc>
          <w:tcPr>
            <w:tcW w:w="883" w:type="dxa"/>
            <w:tcBorders>
              <w:top w:val="nil"/>
              <w:left w:val="nil"/>
              <w:bottom w:val="single" w:sz="4" w:space="0" w:color="293F5B"/>
              <w:right w:val="nil"/>
            </w:tcBorders>
            <w:shd w:val="clear" w:color="000000" w:fill="FFFFFF"/>
            <w:noWrap/>
            <w:vAlign w:val="center"/>
            <w:hideMark/>
          </w:tcPr>
          <w:p w14:paraId="39656440" w14:textId="77777777" w:rsidR="003E551D" w:rsidRPr="003E551D" w:rsidRDefault="003E551D" w:rsidP="003E551D">
            <w:pPr>
              <w:spacing w:before="0" w:after="0" w:line="240" w:lineRule="auto"/>
              <w:jc w:val="right"/>
              <w:rPr>
                <w:rFonts w:ascii="Arial" w:hAnsi="Arial" w:cs="Arial"/>
                <w:color w:val="000000"/>
                <w:sz w:val="16"/>
                <w:szCs w:val="16"/>
              </w:rPr>
            </w:pPr>
            <w:r w:rsidRPr="003E551D">
              <w:rPr>
                <w:rFonts w:ascii="Arial" w:hAnsi="Arial" w:cs="Arial"/>
                <w:color w:val="000000"/>
                <w:sz w:val="16"/>
                <w:szCs w:val="16"/>
              </w:rPr>
              <w:t>$m</w:t>
            </w:r>
          </w:p>
        </w:tc>
        <w:tc>
          <w:tcPr>
            <w:tcW w:w="883" w:type="dxa"/>
            <w:tcBorders>
              <w:top w:val="nil"/>
              <w:left w:val="nil"/>
              <w:bottom w:val="single" w:sz="4" w:space="0" w:color="293F5B"/>
              <w:right w:val="nil"/>
            </w:tcBorders>
            <w:shd w:val="clear" w:color="000000" w:fill="FFFFFF"/>
            <w:noWrap/>
            <w:vAlign w:val="center"/>
            <w:hideMark/>
          </w:tcPr>
          <w:p w14:paraId="01C3BA74" w14:textId="77777777" w:rsidR="003E551D" w:rsidRPr="003E551D" w:rsidRDefault="003E551D" w:rsidP="003E551D">
            <w:pPr>
              <w:spacing w:before="0" w:after="0" w:line="240" w:lineRule="auto"/>
              <w:jc w:val="right"/>
              <w:rPr>
                <w:rFonts w:ascii="Arial" w:hAnsi="Arial" w:cs="Arial"/>
                <w:color w:val="000000"/>
                <w:sz w:val="16"/>
                <w:szCs w:val="16"/>
              </w:rPr>
            </w:pPr>
            <w:r w:rsidRPr="003E551D">
              <w:rPr>
                <w:rFonts w:ascii="Arial" w:hAnsi="Arial" w:cs="Arial"/>
                <w:color w:val="000000"/>
                <w:sz w:val="16"/>
                <w:szCs w:val="16"/>
              </w:rPr>
              <w:t>$m</w:t>
            </w:r>
          </w:p>
        </w:tc>
      </w:tr>
      <w:tr w:rsidR="003E551D" w:rsidRPr="003E551D" w14:paraId="0D1AF0B8" w14:textId="77777777" w:rsidTr="00204B48">
        <w:trPr>
          <w:trHeight w:val="225"/>
        </w:trPr>
        <w:tc>
          <w:tcPr>
            <w:tcW w:w="3036" w:type="dxa"/>
            <w:tcBorders>
              <w:top w:val="nil"/>
              <w:left w:val="nil"/>
              <w:bottom w:val="nil"/>
              <w:right w:val="nil"/>
            </w:tcBorders>
            <w:shd w:val="clear" w:color="000000" w:fill="FFFFFF"/>
            <w:noWrap/>
            <w:vAlign w:val="center"/>
            <w:hideMark/>
          </w:tcPr>
          <w:p w14:paraId="15268A77" w14:textId="77777777" w:rsidR="003E551D" w:rsidRPr="003E551D" w:rsidRDefault="003E551D" w:rsidP="003E551D">
            <w:pPr>
              <w:spacing w:before="0" w:after="0" w:line="240" w:lineRule="auto"/>
              <w:rPr>
                <w:rFonts w:ascii="Arial" w:hAnsi="Arial" w:cs="Arial"/>
                <w:color w:val="000000"/>
                <w:sz w:val="16"/>
                <w:szCs w:val="16"/>
              </w:rPr>
            </w:pPr>
            <w:r w:rsidRPr="003E551D">
              <w:rPr>
                <w:rFonts w:ascii="Arial" w:hAnsi="Arial" w:cs="Arial"/>
                <w:color w:val="000000"/>
                <w:sz w:val="16"/>
                <w:szCs w:val="16"/>
              </w:rPr>
              <w:t>General public services</w:t>
            </w:r>
          </w:p>
        </w:tc>
        <w:tc>
          <w:tcPr>
            <w:tcW w:w="884" w:type="dxa"/>
            <w:tcBorders>
              <w:top w:val="nil"/>
              <w:left w:val="nil"/>
              <w:bottom w:val="nil"/>
              <w:right w:val="nil"/>
            </w:tcBorders>
            <w:shd w:val="clear" w:color="000000" w:fill="FFFFFF"/>
            <w:noWrap/>
            <w:vAlign w:val="center"/>
            <w:hideMark/>
          </w:tcPr>
          <w:p w14:paraId="029AA743" w14:textId="77777777" w:rsidR="003E551D" w:rsidRPr="003E551D" w:rsidRDefault="003E551D" w:rsidP="003E551D">
            <w:pPr>
              <w:spacing w:before="0" w:after="0" w:line="240" w:lineRule="auto"/>
              <w:jc w:val="right"/>
              <w:rPr>
                <w:rFonts w:ascii="Arial" w:hAnsi="Arial" w:cs="Arial"/>
                <w:color w:val="000000"/>
                <w:sz w:val="16"/>
                <w:szCs w:val="16"/>
              </w:rPr>
            </w:pPr>
            <w:r w:rsidRPr="003E551D">
              <w:rPr>
                <w:rFonts w:ascii="Arial" w:hAnsi="Arial" w:cs="Arial"/>
                <w:color w:val="000000"/>
                <w:sz w:val="16"/>
                <w:szCs w:val="16"/>
              </w:rPr>
              <w:t>31,442</w:t>
            </w:r>
          </w:p>
        </w:tc>
        <w:tc>
          <w:tcPr>
            <w:tcW w:w="883" w:type="dxa"/>
            <w:tcBorders>
              <w:top w:val="nil"/>
              <w:left w:val="nil"/>
              <w:bottom w:val="nil"/>
              <w:right w:val="nil"/>
            </w:tcBorders>
            <w:shd w:val="clear" w:color="000000" w:fill="E6F2FF"/>
            <w:noWrap/>
            <w:vAlign w:val="center"/>
            <w:hideMark/>
          </w:tcPr>
          <w:p w14:paraId="020F7961" w14:textId="77777777" w:rsidR="003E551D" w:rsidRPr="003E551D" w:rsidRDefault="003E551D" w:rsidP="003E551D">
            <w:pPr>
              <w:spacing w:before="0" w:after="0" w:line="240" w:lineRule="auto"/>
              <w:jc w:val="right"/>
              <w:rPr>
                <w:rFonts w:ascii="Arial" w:hAnsi="Arial" w:cs="Arial"/>
                <w:color w:val="000000"/>
                <w:sz w:val="16"/>
                <w:szCs w:val="16"/>
              </w:rPr>
            </w:pPr>
            <w:r w:rsidRPr="003E551D">
              <w:rPr>
                <w:rFonts w:ascii="Arial" w:hAnsi="Arial" w:cs="Arial"/>
                <w:color w:val="000000"/>
                <w:sz w:val="16"/>
                <w:szCs w:val="16"/>
              </w:rPr>
              <w:t>32,395</w:t>
            </w:r>
          </w:p>
        </w:tc>
        <w:tc>
          <w:tcPr>
            <w:tcW w:w="883" w:type="dxa"/>
            <w:tcBorders>
              <w:top w:val="nil"/>
              <w:left w:val="nil"/>
              <w:bottom w:val="nil"/>
              <w:right w:val="nil"/>
            </w:tcBorders>
            <w:shd w:val="clear" w:color="000000" w:fill="FFFFFF"/>
            <w:noWrap/>
            <w:vAlign w:val="center"/>
            <w:hideMark/>
          </w:tcPr>
          <w:p w14:paraId="26B02F05" w14:textId="77777777" w:rsidR="003E551D" w:rsidRPr="003E551D" w:rsidRDefault="003E551D" w:rsidP="003E551D">
            <w:pPr>
              <w:spacing w:before="0" w:after="0" w:line="240" w:lineRule="auto"/>
              <w:jc w:val="right"/>
              <w:rPr>
                <w:rFonts w:ascii="Arial" w:hAnsi="Arial" w:cs="Arial"/>
                <w:color w:val="000000"/>
                <w:sz w:val="16"/>
                <w:szCs w:val="16"/>
              </w:rPr>
            </w:pPr>
            <w:r w:rsidRPr="003E551D">
              <w:rPr>
                <w:rFonts w:ascii="Arial" w:hAnsi="Arial" w:cs="Arial"/>
                <w:color w:val="000000"/>
                <w:sz w:val="16"/>
                <w:szCs w:val="16"/>
              </w:rPr>
              <w:t>30,595</w:t>
            </w:r>
          </w:p>
        </w:tc>
        <w:tc>
          <w:tcPr>
            <w:tcW w:w="883" w:type="dxa"/>
            <w:tcBorders>
              <w:top w:val="nil"/>
              <w:left w:val="nil"/>
              <w:bottom w:val="nil"/>
              <w:right w:val="nil"/>
            </w:tcBorders>
            <w:shd w:val="clear" w:color="000000" w:fill="FFFFFF"/>
            <w:noWrap/>
            <w:vAlign w:val="center"/>
            <w:hideMark/>
          </w:tcPr>
          <w:p w14:paraId="5008A6CE" w14:textId="77777777" w:rsidR="003E551D" w:rsidRPr="003E551D" w:rsidRDefault="003E551D" w:rsidP="003E551D">
            <w:pPr>
              <w:spacing w:before="0" w:after="0" w:line="240" w:lineRule="auto"/>
              <w:jc w:val="right"/>
              <w:rPr>
                <w:rFonts w:ascii="Arial" w:hAnsi="Arial" w:cs="Arial"/>
                <w:color w:val="000000"/>
                <w:sz w:val="16"/>
                <w:szCs w:val="16"/>
              </w:rPr>
            </w:pPr>
            <w:r w:rsidRPr="003E551D">
              <w:rPr>
                <w:rFonts w:ascii="Arial" w:hAnsi="Arial" w:cs="Arial"/>
                <w:color w:val="000000"/>
                <w:sz w:val="16"/>
                <w:szCs w:val="16"/>
              </w:rPr>
              <w:t>31,068</w:t>
            </w:r>
          </w:p>
        </w:tc>
        <w:tc>
          <w:tcPr>
            <w:tcW w:w="883" w:type="dxa"/>
            <w:tcBorders>
              <w:top w:val="nil"/>
              <w:left w:val="nil"/>
              <w:bottom w:val="nil"/>
              <w:right w:val="nil"/>
            </w:tcBorders>
            <w:shd w:val="clear" w:color="000000" w:fill="FFFFFF"/>
            <w:noWrap/>
            <w:vAlign w:val="center"/>
            <w:hideMark/>
          </w:tcPr>
          <w:p w14:paraId="76F416C8" w14:textId="77777777" w:rsidR="003E551D" w:rsidRPr="003E551D" w:rsidRDefault="003E551D" w:rsidP="003E551D">
            <w:pPr>
              <w:spacing w:before="0" w:after="0" w:line="240" w:lineRule="auto"/>
              <w:jc w:val="right"/>
              <w:rPr>
                <w:rFonts w:ascii="Arial" w:hAnsi="Arial" w:cs="Arial"/>
                <w:color w:val="000000"/>
                <w:sz w:val="16"/>
                <w:szCs w:val="16"/>
              </w:rPr>
            </w:pPr>
            <w:r w:rsidRPr="003E551D">
              <w:rPr>
                <w:rFonts w:ascii="Arial" w:hAnsi="Arial" w:cs="Arial"/>
                <w:color w:val="000000"/>
                <w:sz w:val="16"/>
                <w:szCs w:val="16"/>
              </w:rPr>
              <w:t>31,838</w:t>
            </w:r>
          </w:p>
        </w:tc>
      </w:tr>
      <w:tr w:rsidR="003E551D" w:rsidRPr="003E551D" w14:paraId="59668DC8" w14:textId="77777777" w:rsidTr="00204B48">
        <w:trPr>
          <w:trHeight w:val="225"/>
        </w:trPr>
        <w:tc>
          <w:tcPr>
            <w:tcW w:w="3036" w:type="dxa"/>
            <w:tcBorders>
              <w:top w:val="nil"/>
              <w:left w:val="nil"/>
              <w:bottom w:val="nil"/>
              <w:right w:val="nil"/>
            </w:tcBorders>
            <w:shd w:val="clear" w:color="000000" w:fill="FFFFFF"/>
            <w:noWrap/>
            <w:vAlign w:val="center"/>
            <w:hideMark/>
          </w:tcPr>
          <w:p w14:paraId="5D917246" w14:textId="77777777" w:rsidR="003E551D" w:rsidRPr="003E551D" w:rsidRDefault="003E551D" w:rsidP="003E551D">
            <w:pPr>
              <w:spacing w:before="0" w:after="0" w:line="240" w:lineRule="auto"/>
              <w:rPr>
                <w:rFonts w:ascii="Arial" w:hAnsi="Arial" w:cs="Arial"/>
                <w:color w:val="000000"/>
                <w:sz w:val="16"/>
                <w:szCs w:val="16"/>
              </w:rPr>
            </w:pPr>
            <w:r w:rsidRPr="003E551D">
              <w:rPr>
                <w:rFonts w:ascii="Arial" w:hAnsi="Arial" w:cs="Arial"/>
                <w:color w:val="000000"/>
                <w:sz w:val="16"/>
                <w:szCs w:val="16"/>
              </w:rPr>
              <w:t>Defence</w:t>
            </w:r>
          </w:p>
        </w:tc>
        <w:tc>
          <w:tcPr>
            <w:tcW w:w="884" w:type="dxa"/>
            <w:tcBorders>
              <w:top w:val="nil"/>
              <w:left w:val="nil"/>
              <w:bottom w:val="nil"/>
              <w:right w:val="nil"/>
            </w:tcBorders>
            <w:shd w:val="clear" w:color="000000" w:fill="FFFFFF"/>
            <w:noWrap/>
            <w:vAlign w:val="center"/>
            <w:hideMark/>
          </w:tcPr>
          <w:p w14:paraId="2FD9C072" w14:textId="77777777" w:rsidR="003E551D" w:rsidRPr="003E551D" w:rsidRDefault="003E551D" w:rsidP="003E551D">
            <w:pPr>
              <w:spacing w:before="0" w:after="0" w:line="240" w:lineRule="auto"/>
              <w:jc w:val="right"/>
              <w:rPr>
                <w:rFonts w:ascii="Arial" w:hAnsi="Arial" w:cs="Arial"/>
                <w:color w:val="000000"/>
                <w:sz w:val="16"/>
                <w:szCs w:val="16"/>
              </w:rPr>
            </w:pPr>
            <w:r w:rsidRPr="003E551D">
              <w:rPr>
                <w:rFonts w:ascii="Arial" w:hAnsi="Arial" w:cs="Arial"/>
                <w:color w:val="000000"/>
                <w:sz w:val="16"/>
                <w:szCs w:val="16"/>
              </w:rPr>
              <w:t>45,128</w:t>
            </w:r>
          </w:p>
        </w:tc>
        <w:tc>
          <w:tcPr>
            <w:tcW w:w="883" w:type="dxa"/>
            <w:tcBorders>
              <w:top w:val="nil"/>
              <w:left w:val="nil"/>
              <w:bottom w:val="nil"/>
              <w:right w:val="nil"/>
            </w:tcBorders>
            <w:shd w:val="clear" w:color="000000" w:fill="E6F2FF"/>
            <w:noWrap/>
            <w:vAlign w:val="center"/>
            <w:hideMark/>
          </w:tcPr>
          <w:p w14:paraId="4FB8A729" w14:textId="77777777" w:rsidR="003E551D" w:rsidRPr="003E551D" w:rsidRDefault="003E551D" w:rsidP="003E551D">
            <w:pPr>
              <w:spacing w:before="0" w:after="0" w:line="240" w:lineRule="auto"/>
              <w:jc w:val="right"/>
              <w:rPr>
                <w:rFonts w:ascii="Arial" w:hAnsi="Arial" w:cs="Arial"/>
                <w:color w:val="000000"/>
                <w:sz w:val="16"/>
                <w:szCs w:val="16"/>
              </w:rPr>
            </w:pPr>
            <w:r w:rsidRPr="003E551D">
              <w:rPr>
                <w:rFonts w:ascii="Arial" w:hAnsi="Arial" w:cs="Arial"/>
                <w:color w:val="000000"/>
                <w:sz w:val="16"/>
                <w:szCs w:val="16"/>
              </w:rPr>
              <w:t>47,986</w:t>
            </w:r>
          </w:p>
        </w:tc>
        <w:tc>
          <w:tcPr>
            <w:tcW w:w="883" w:type="dxa"/>
            <w:tcBorders>
              <w:top w:val="nil"/>
              <w:left w:val="nil"/>
              <w:bottom w:val="nil"/>
              <w:right w:val="nil"/>
            </w:tcBorders>
            <w:shd w:val="clear" w:color="000000" w:fill="FFFFFF"/>
            <w:noWrap/>
            <w:vAlign w:val="center"/>
            <w:hideMark/>
          </w:tcPr>
          <w:p w14:paraId="79F1B040" w14:textId="77777777" w:rsidR="003E551D" w:rsidRPr="003E551D" w:rsidRDefault="003E551D" w:rsidP="003E551D">
            <w:pPr>
              <w:spacing w:before="0" w:after="0" w:line="240" w:lineRule="auto"/>
              <w:jc w:val="right"/>
              <w:rPr>
                <w:rFonts w:ascii="Arial" w:hAnsi="Arial" w:cs="Arial"/>
                <w:color w:val="000000"/>
                <w:sz w:val="16"/>
                <w:szCs w:val="16"/>
              </w:rPr>
            </w:pPr>
            <w:r w:rsidRPr="003E551D">
              <w:rPr>
                <w:rFonts w:ascii="Arial" w:hAnsi="Arial" w:cs="Arial"/>
                <w:color w:val="000000"/>
                <w:sz w:val="16"/>
                <w:szCs w:val="16"/>
              </w:rPr>
              <w:t>50,046</w:t>
            </w:r>
          </w:p>
        </w:tc>
        <w:tc>
          <w:tcPr>
            <w:tcW w:w="883" w:type="dxa"/>
            <w:tcBorders>
              <w:top w:val="nil"/>
              <w:left w:val="nil"/>
              <w:bottom w:val="nil"/>
              <w:right w:val="nil"/>
            </w:tcBorders>
            <w:shd w:val="clear" w:color="000000" w:fill="FFFFFF"/>
            <w:noWrap/>
            <w:vAlign w:val="center"/>
            <w:hideMark/>
          </w:tcPr>
          <w:p w14:paraId="480377B8" w14:textId="77777777" w:rsidR="003E551D" w:rsidRPr="003E551D" w:rsidRDefault="003E551D" w:rsidP="003E551D">
            <w:pPr>
              <w:spacing w:before="0" w:after="0" w:line="240" w:lineRule="auto"/>
              <w:jc w:val="right"/>
              <w:rPr>
                <w:rFonts w:ascii="Arial" w:hAnsi="Arial" w:cs="Arial"/>
                <w:color w:val="000000"/>
                <w:sz w:val="16"/>
                <w:szCs w:val="16"/>
              </w:rPr>
            </w:pPr>
            <w:r w:rsidRPr="003E551D">
              <w:rPr>
                <w:rFonts w:ascii="Arial" w:hAnsi="Arial" w:cs="Arial"/>
                <w:color w:val="000000"/>
                <w:sz w:val="16"/>
                <w:szCs w:val="16"/>
              </w:rPr>
              <w:t>51,339</w:t>
            </w:r>
          </w:p>
        </w:tc>
        <w:tc>
          <w:tcPr>
            <w:tcW w:w="883" w:type="dxa"/>
            <w:tcBorders>
              <w:top w:val="nil"/>
              <w:left w:val="nil"/>
              <w:bottom w:val="nil"/>
              <w:right w:val="nil"/>
            </w:tcBorders>
            <w:shd w:val="clear" w:color="000000" w:fill="FFFFFF"/>
            <w:noWrap/>
            <w:vAlign w:val="center"/>
            <w:hideMark/>
          </w:tcPr>
          <w:p w14:paraId="48149A0C" w14:textId="77777777" w:rsidR="003E551D" w:rsidRPr="003E551D" w:rsidRDefault="003E551D" w:rsidP="003E551D">
            <w:pPr>
              <w:spacing w:before="0" w:after="0" w:line="240" w:lineRule="auto"/>
              <w:jc w:val="right"/>
              <w:rPr>
                <w:rFonts w:ascii="Arial" w:hAnsi="Arial" w:cs="Arial"/>
                <w:color w:val="000000"/>
                <w:sz w:val="16"/>
                <w:szCs w:val="16"/>
              </w:rPr>
            </w:pPr>
            <w:r w:rsidRPr="003E551D">
              <w:rPr>
                <w:rFonts w:ascii="Arial" w:hAnsi="Arial" w:cs="Arial"/>
                <w:color w:val="000000"/>
                <w:sz w:val="16"/>
                <w:szCs w:val="16"/>
              </w:rPr>
              <w:t>55,102</w:t>
            </w:r>
          </w:p>
        </w:tc>
      </w:tr>
      <w:tr w:rsidR="003E551D" w:rsidRPr="003E551D" w14:paraId="5E9BD27B" w14:textId="77777777" w:rsidTr="00204B48">
        <w:trPr>
          <w:trHeight w:val="225"/>
        </w:trPr>
        <w:tc>
          <w:tcPr>
            <w:tcW w:w="3036" w:type="dxa"/>
            <w:tcBorders>
              <w:top w:val="nil"/>
              <w:left w:val="nil"/>
              <w:bottom w:val="nil"/>
              <w:right w:val="nil"/>
            </w:tcBorders>
            <w:shd w:val="clear" w:color="000000" w:fill="FFFFFF"/>
            <w:noWrap/>
            <w:vAlign w:val="center"/>
            <w:hideMark/>
          </w:tcPr>
          <w:p w14:paraId="4E5A202D" w14:textId="77777777" w:rsidR="003E551D" w:rsidRPr="003E551D" w:rsidRDefault="003E551D" w:rsidP="003E551D">
            <w:pPr>
              <w:spacing w:before="0" w:after="0" w:line="240" w:lineRule="auto"/>
              <w:rPr>
                <w:rFonts w:ascii="Arial" w:hAnsi="Arial" w:cs="Arial"/>
                <w:color w:val="000000"/>
                <w:sz w:val="16"/>
                <w:szCs w:val="16"/>
              </w:rPr>
            </w:pPr>
            <w:r w:rsidRPr="003E551D">
              <w:rPr>
                <w:rFonts w:ascii="Arial" w:hAnsi="Arial" w:cs="Arial"/>
                <w:color w:val="000000"/>
                <w:sz w:val="16"/>
                <w:szCs w:val="16"/>
              </w:rPr>
              <w:t>Public order and safety</w:t>
            </w:r>
          </w:p>
        </w:tc>
        <w:tc>
          <w:tcPr>
            <w:tcW w:w="884" w:type="dxa"/>
            <w:tcBorders>
              <w:top w:val="nil"/>
              <w:left w:val="nil"/>
              <w:bottom w:val="nil"/>
              <w:right w:val="nil"/>
            </w:tcBorders>
            <w:shd w:val="clear" w:color="000000" w:fill="FFFFFF"/>
            <w:noWrap/>
            <w:vAlign w:val="center"/>
            <w:hideMark/>
          </w:tcPr>
          <w:p w14:paraId="7291351D" w14:textId="77777777" w:rsidR="003E551D" w:rsidRPr="003E551D" w:rsidRDefault="003E551D" w:rsidP="003E551D">
            <w:pPr>
              <w:spacing w:before="0" w:after="0" w:line="240" w:lineRule="auto"/>
              <w:jc w:val="right"/>
              <w:rPr>
                <w:rFonts w:ascii="Arial" w:hAnsi="Arial" w:cs="Arial"/>
                <w:color w:val="000000"/>
                <w:sz w:val="16"/>
                <w:szCs w:val="16"/>
              </w:rPr>
            </w:pPr>
            <w:r w:rsidRPr="003E551D">
              <w:rPr>
                <w:rFonts w:ascii="Arial" w:hAnsi="Arial" w:cs="Arial"/>
                <w:color w:val="000000"/>
                <w:sz w:val="16"/>
                <w:szCs w:val="16"/>
              </w:rPr>
              <w:t>7,960</w:t>
            </w:r>
          </w:p>
        </w:tc>
        <w:tc>
          <w:tcPr>
            <w:tcW w:w="883" w:type="dxa"/>
            <w:tcBorders>
              <w:top w:val="nil"/>
              <w:left w:val="nil"/>
              <w:bottom w:val="nil"/>
              <w:right w:val="nil"/>
            </w:tcBorders>
            <w:shd w:val="clear" w:color="000000" w:fill="E6F2FF"/>
            <w:noWrap/>
            <w:vAlign w:val="center"/>
            <w:hideMark/>
          </w:tcPr>
          <w:p w14:paraId="47AF8069" w14:textId="77777777" w:rsidR="003E551D" w:rsidRPr="003E551D" w:rsidRDefault="003E551D" w:rsidP="003E551D">
            <w:pPr>
              <w:spacing w:before="0" w:after="0" w:line="240" w:lineRule="auto"/>
              <w:jc w:val="right"/>
              <w:rPr>
                <w:rFonts w:ascii="Arial" w:hAnsi="Arial" w:cs="Arial"/>
                <w:color w:val="000000"/>
                <w:sz w:val="16"/>
                <w:szCs w:val="16"/>
              </w:rPr>
            </w:pPr>
            <w:r w:rsidRPr="003E551D">
              <w:rPr>
                <w:rFonts w:ascii="Arial" w:hAnsi="Arial" w:cs="Arial"/>
                <w:color w:val="000000"/>
                <w:sz w:val="16"/>
                <w:szCs w:val="16"/>
              </w:rPr>
              <w:t>8,421</w:t>
            </w:r>
          </w:p>
        </w:tc>
        <w:tc>
          <w:tcPr>
            <w:tcW w:w="883" w:type="dxa"/>
            <w:tcBorders>
              <w:top w:val="nil"/>
              <w:left w:val="nil"/>
              <w:bottom w:val="nil"/>
              <w:right w:val="nil"/>
            </w:tcBorders>
            <w:shd w:val="clear" w:color="000000" w:fill="FFFFFF"/>
            <w:noWrap/>
            <w:vAlign w:val="center"/>
            <w:hideMark/>
          </w:tcPr>
          <w:p w14:paraId="32DE251F" w14:textId="77777777" w:rsidR="003E551D" w:rsidRPr="003E551D" w:rsidRDefault="003E551D" w:rsidP="003E551D">
            <w:pPr>
              <w:spacing w:before="0" w:after="0" w:line="240" w:lineRule="auto"/>
              <w:jc w:val="right"/>
              <w:rPr>
                <w:rFonts w:ascii="Arial" w:hAnsi="Arial" w:cs="Arial"/>
                <w:color w:val="000000"/>
                <w:sz w:val="16"/>
                <w:szCs w:val="16"/>
              </w:rPr>
            </w:pPr>
            <w:r w:rsidRPr="003E551D">
              <w:rPr>
                <w:rFonts w:ascii="Arial" w:hAnsi="Arial" w:cs="Arial"/>
                <w:color w:val="000000"/>
                <w:sz w:val="16"/>
                <w:szCs w:val="16"/>
              </w:rPr>
              <w:t>6,993</w:t>
            </w:r>
          </w:p>
        </w:tc>
        <w:tc>
          <w:tcPr>
            <w:tcW w:w="883" w:type="dxa"/>
            <w:tcBorders>
              <w:top w:val="nil"/>
              <w:left w:val="nil"/>
              <w:bottom w:val="nil"/>
              <w:right w:val="nil"/>
            </w:tcBorders>
            <w:shd w:val="clear" w:color="000000" w:fill="FFFFFF"/>
            <w:noWrap/>
            <w:vAlign w:val="center"/>
            <w:hideMark/>
          </w:tcPr>
          <w:p w14:paraId="0F42DC19" w14:textId="77777777" w:rsidR="003E551D" w:rsidRPr="003E551D" w:rsidRDefault="003E551D" w:rsidP="003E551D">
            <w:pPr>
              <w:spacing w:before="0" w:after="0" w:line="240" w:lineRule="auto"/>
              <w:jc w:val="right"/>
              <w:rPr>
                <w:rFonts w:ascii="Arial" w:hAnsi="Arial" w:cs="Arial"/>
                <w:color w:val="000000"/>
                <w:sz w:val="16"/>
                <w:szCs w:val="16"/>
              </w:rPr>
            </w:pPr>
            <w:r w:rsidRPr="003E551D">
              <w:rPr>
                <w:rFonts w:ascii="Arial" w:hAnsi="Arial" w:cs="Arial"/>
                <w:color w:val="000000"/>
                <w:sz w:val="16"/>
                <w:szCs w:val="16"/>
              </w:rPr>
              <w:t>6,832</w:t>
            </w:r>
          </w:p>
        </w:tc>
        <w:tc>
          <w:tcPr>
            <w:tcW w:w="883" w:type="dxa"/>
            <w:tcBorders>
              <w:top w:val="nil"/>
              <w:left w:val="nil"/>
              <w:bottom w:val="nil"/>
              <w:right w:val="nil"/>
            </w:tcBorders>
            <w:shd w:val="clear" w:color="000000" w:fill="FFFFFF"/>
            <w:noWrap/>
            <w:vAlign w:val="center"/>
            <w:hideMark/>
          </w:tcPr>
          <w:p w14:paraId="130269A6" w14:textId="77777777" w:rsidR="003E551D" w:rsidRPr="003E551D" w:rsidRDefault="003E551D" w:rsidP="003E551D">
            <w:pPr>
              <w:spacing w:before="0" w:after="0" w:line="240" w:lineRule="auto"/>
              <w:jc w:val="right"/>
              <w:rPr>
                <w:rFonts w:ascii="Arial" w:hAnsi="Arial" w:cs="Arial"/>
                <w:color w:val="000000"/>
                <w:sz w:val="16"/>
                <w:szCs w:val="16"/>
              </w:rPr>
            </w:pPr>
            <w:r w:rsidRPr="003E551D">
              <w:rPr>
                <w:rFonts w:ascii="Arial" w:hAnsi="Arial" w:cs="Arial"/>
                <w:color w:val="000000"/>
                <w:sz w:val="16"/>
                <w:szCs w:val="16"/>
              </w:rPr>
              <w:t>6,756</w:t>
            </w:r>
          </w:p>
        </w:tc>
      </w:tr>
      <w:tr w:rsidR="003E551D" w:rsidRPr="003E551D" w14:paraId="05499239" w14:textId="77777777" w:rsidTr="00204B48">
        <w:trPr>
          <w:trHeight w:val="225"/>
        </w:trPr>
        <w:tc>
          <w:tcPr>
            <w:tcW w:w="3036" w:type="dxa"/>
            <w:tcBorders>
              <w:top w:val="nil"/>
              <w:left w:val="nil"/>
              <w:bottom w:val="nil"/>
              <w:right w:val="nil"/>
            </w:tcBorders>
            <w:shd w:val="clear" w:color="000000" w:fill="FFFFFF"/>
            <w:noWrap/>
            <w:vAlign w:val="center"/>
            <w:hideMark/>
          </w:tcPr>
          <w:p w14:paraId="1AE695F9" w14:textId="77777777" w:rsidR="003E551D" w:rsidRPr="003E551D" w:rsidRDefault="003E551D" w:rsidP="003E551D">
            <w:pPr>
              <w:spacing w:before="0" w:after="0" w:line="240" w:lineRule="auto"/>
              <w:rPr>
                <w:rFonts w:ascii="Arial" w:hAnsi="Arial" w:cs="Arial"/>
                <w:color w:val="000000"/>
                <w:sz w:val="16"/>
                <w:szCs w:val="16"/>
              </w:rPr>
            </w:pPr>
            <w:r w:rsidRPr="003E551D">
              <w:rPr>
                <w:rFonts w:ascii="Arial" w:hAnsi="Arial" w:cs="Arial"/>
                <w:color w:val="000000"/>
                <w:sz w:val="16"/>
                <w:szCs w:val="16"/>
              </w:rPr>
              <w:t>Education</w:t>
            </w:r>
          </w:p>
        </w:tc>
        <w:tc>
          <w:tcPr>
            <w:tcW w:w="884" w:type="dxa"/>
            <w:tcBorders>
              <w:top w:val="nil"/>
              <w:left w:val="nil"/>
              <w:bottom w:val="nil"/>
              <w:right w:val="nil"/>
            </w:tcBorders>
            <w:shd w:val="clear" w:color="000000" w:fill="FFFFFF"/>
            <w:noWrap/>
            <w:vAlign w:val="center"/>
            <w:hideMark/>
          </w:tcPr>
          <w:p w14:paraId="1B142A68" w14:textId="77777777" w:rsidR="003E551D" w:rsidRPr="003E551D" w:rsidRDefault="003E551D" w:rsidP="003E551D">
            <w:pPr>
              <w:spacing w:before="0" w:after="0" w:line="240" w:lineRule="auto"/>
              <w:jc w:val="right"/>
              <w:rPr>
                <w:rFonts w:ascii="Arial" w:hAnsi="Arial" w:cs="Arial"/>
                <w:color w:val="000000"/>
                <w:sz w:val="16"/>
                <w:szCs w:val="16"/>
              </w:rPr>
            </w:pPr>
            <w:r w:rsidRPr="003E551D">
              <w:rPr>
                <w:rFonts w:ascii="Arial" w:hAnsi="Arial" w:cs="Arial"/>
                <w:color w:val="000000"/>
                <w:sz w:val="16"/>
                <w:szCs w:val="16"/>
              </w:rPr>
              <w:t>49,099</w:t>
            </w:r>
          </w:p>
        </w:tc>
        <w:tc>
          <w:tcPr>
            <w:tcW w:w="883" w:type="dxa"/>
            <w:tcBorders>
              <w:top w:val="nil"/>
              <w:left w:val="nil"/>
              <w:bottom w:val="nil"/>
              <w:right w:val="nil"/>
            </w:tcBorders>
            <w:shd w:val="clear" w:color="000000" w:fill="E6F2FF"/>
            <w:noWrap/>
            <w:vAlign w:val="center"/>
            <w:hideMark/>
          </w:tcPr>
          <w:p w14:paraId="6FAB8D0D" w14:textId="77777777" w:rsidR="003E551D" w:rsidRPr="003E551D" w:rsidRDefault="003E551D" w:rsidP="003E551D">
            <w:pPr>
              <w:spacing w:before="0" w:after="0" w:line="240" w:lineRule="auto"/>
              <w:jc w:val="right"/>
              <w:rPr>
                <w:rFonts w:ascii="Arial" w:hAnsi="Arial" w:cs="Arial"/>
                <w:color w:val="000000"/>
                <w:sz w:val="16"/>
                <w:szCs w:val="16"/>
              </w:rPr>
            </w:pPr>
            <w:r w:rsidRPr="003E551D">
              <w:rPr>
                <w:rFonts w:ascii="Arial" w:hAnsi="Arial" w:cs="Arial"/>
                <w:color w:val="000000"/>
                <w:sz w:val="16"/>
                <w:szCs w:val="16"/>
              </w:rPr>
              <w:t>53,046</w:t>
            </w:r>
          </w:p>
        </w:tc>
        <w:tc>
          <w:tcPr>
            <w:tcW w:w="883" w:type="dxa"/>
            <w:tcBorders>
              <w:top w:val="nil"/>
              <w:left w:val="nil"/>
              <w:bottom w:val="nil"/>
              <w:right w:val="nil"/>
            </w:tcBorders>
            <w:shd w:val="clear" w:color="000000" w:fill="FFFFFF"/>
            <w:noWrap/>
            <w:vAlign w:val="center"/>
            <w:hideMark/>
          </w:tcPr>
          <w:p w14:paraId="234F318C" w14:textId="77777777" w:rsidR="003E551D" w:rsidRPr="003E551D" w:rsidRDefault="003E551D" w:rsidP="003E551D">
            <w:pPr>
              <w:spacing w:before="0" w:after="0" w:line="240" w:lineRule="auto"/>
              <w:jc w:val="right"/>
              <w:rPr>
                <w:rFonts w:ascii="Arial" w:hAnsi="Arial" w:cs="Arial"/>
                <w:color w:val="000000"/>
                <w:sz w:val="16"/>
                <w:szCs w:val="16"/>
              </w:rPr>
            </w:pPr>
            <w:r w:rsidRPr="003E551D">
              <w:rPr>
                <w:rFonts w:ascii="Arial" w:hAnsi="Arial" w:cs="Arial"/>
                <w:color w:val="000000"/>
                <w:sz w:val="16"/>
                <w:szCs w:val="16"/>
              </w:rPr>
              <w:t>53,220</w:t>
            </w:r>
          </w:p>
        </w:tc>
        <w:tc>
          <w:tcPr>
            <w:tcW w:w="883" w:type="dxa"/>
            <w:tcBorders>
              <w:top w:val="nil"/>
              <w:left w:val="nil"/>
              <w:bottom w:val="nil"/>
              <w:right w:val="nil"/>
            </w:tcBorders>
            <w:shd w:val="clear" w:color="000000" w:fill="FFFFFF"/>
            <w:noWrap/>
            <w:vAlign w:val="center"/>
            <w:hideMark/>
          </w:tcPr>
          <w:p w14:paraId="302C8B39" w14:textId="77777777" w:rsidR="003E551D" w:rsidRPr="003E551D" w:rsidRDefault="003E551D" w:rsidP="003E551D">
            <w:pPr>
              <w:spacing w:before="0" w:after="0" w:line="240" w:lineRule="auto"/>
              <w:jc w:val="right"/>
              <w:rPr>
                <w:rFonts w:ascii="Arial" w:hAnsi="Arial" w:cs="Arial"/>
                <w:color w:val="000000"/>
                <w:sz w:val="16"/>
                <w:szCs w:val="16"/>
              </w:rPr>
            </w:pPr>
            <w:r w:rsidRPr="003E551D">
              <w:rPr>
                <w:rFonts w:ascii="Arial" w:hAnsi="Arial" w:cs="Arial"/>
                <w:color w:val="000000"/>
                <w:sz w:val="16"/>
                <w:szCs w:val="16"/>
              </w:rPr>
              <w:t>55,093</w:t>
            </w:r>
          </w:p>
        </w:tc>
        <w:tc>
          <w:tcPr>
            <w:tcW w:w="883" w:type="dxa"/>
            <w:tcBorders>
              <w:top w:val="nil"/>
              <w:left w:val="nil"/>
              <w:bottom w:val="nil"/>
              <w:right w:val="nil"/>
            </w:tcBorders>
            <w:shd w:val="clear" w:color="000000" w:fill="FFFFFF"/>
            <w:noWrap/>
            <w:vAlign w:val="center"/>
            <w:hideMark/>
          </w:tcPr>
          <w:p w14:paraId="37E5C87F" w14:textId="77777777" w:rsidR="003E551D" w:rsidRPr="003E551D" w:rsidRDefault="003E551D" w:rsidP="003E551D">
            <w:pPr>
              <w:spacing w:before="0" w:after="0" w:line="240" w:lineRule="auto"/>
              <w:jc w:val="right"/>
              <w:rPr>
                <w:rFonts w:ascii="Arial" w:hAnsi="Arial" w:cs="Arial"/>
                <w:color w:val="000000"/>
                <w:sz w:val="16"/>
                <w:szCs w:val="16"/>
              </w:rPr>
            </w:pPr>
            <w:r w:rsidRPr="003E551D">
              <w:rPr>
                <w:rFonts w:ascii="Arial" w:hAnsi="Arial" w:cs="Arial"/>
                <w:color w:val="000000"/>
                <w:sz w:val="16"/>
                <w:szCs w:val="16"/>
              </w:rPr>
              <w:t>56,925</w:t>
            </w:r>
          </w:p>
        </w:tc>
      </w:tr>
      <w:tr w:rsidR="003E551D" w:rsidRPr="003E551D" w14:paraId="4C361A07" w14:textId="77777777" w:rsidTr="00204B48">
        <w:trPr>
          <w:trHeight w:val="225"/>
        </w:trPr>
        <w:tc>
          <w:tcPr>
            <w:tcW w:w="3036" w:type="dxa"/>
            <w:tcBorders>
              <w:top w:val="nil"/>
              <w:left w:val="nil"/>
              <w:bottom w:val="nil"/>
              <w:right w:val="nil"/>
            </w:tcBorders>
            <w:shd w:val="clear" w:color="000000" w:fill="FFFFFF"/>
            <w:noWrap/>
            <w:vAlign w:val="center"/>
            <w:hideMark/>
          </w:tcPr>
          <w:p w14:paraId="727B3F43" w14:textId="77777777" w:rsidR="003E551D" w:rsidRPr="003E551D" w:rsidRDefault="003E551D" w:rsidP="003E551D">
            <w:pPr>
              <w:spacing w:before="0" w:after="0" w:line="240" w:lineRule="auto"/>
              <w:rPr>
                <w:rFonts w:ascii="Arial" w:hAnsi="Arial" w:cs="Arial"/>
                <w:color w:val="000000"/>
                <w:sz w:val="16"/>
                <w:szCs w:val="16"/>
              </w:rPr>
            </w:pPr>
            <w:r w:rsidRPr="003E551D">
              <w:rPr>
                <w:rFonts w:ascii="Arial" w:hAnsi="Arial" w:cs="Arial"/>
                <w:color w:val="000000"/>
                <w:sz w:val="16"/>
                <w:szCs w:val="16"/>
              </w:rPr>
              <w:t>Health</w:t>
            </w:r>
          </w:p>
        </w:tc>
        <w:tc>
          <w:tcPr>
            <w:tcW w:w="884" w:type="dxa"/>
            <w:tcBorders>
              <w:top w:val="nil"/>
              <w:left w:val="nil"/>
              <w:bottom w:val="nil"/>
              <w:right w:val="nil"/>
            </w:tcBorders>
            <w:shd w:val="clear" w:color="000000" w:fill="FFFFFF"/>
            <w:noWrap/>
            <w:vAlign w:val="center"/>
            <w:hideMark/>
          </w:tcPr>
          <w:p w14:paraId="7D36F422" w14:textId="77777777" w:rsidR="003E551D" w:rsidRPr="003E551D" w:rsidRDefault="003E551D" w:rsidP="003E551D">
            <w:pPr>
              <w:spacing w:before="0" w:after="0" w:line="240" w:lineRule="auto"/>
              <w:jc w:val="right"/>
              <w:rPr>
                <w:rFonts w:ascii="Arial" w:hAnsi="Arial" w:cs="Arial"/>
                <w:color w:val="000000"/>
                <w:sz w:val="16"/>
                <w:szCs w:val="16"/>
              </w:rPr>
            </w:pPr>
            <w:r w:rsidRPr="003E551D">
              <w:rPr>
                <w:rFonts w:ascii="Arial" w:hAnsi="Arial" w:cs="Arial"/>
                <w:color w:val="000000"/>
                <w:sz w:val="16"/>
                <w:szCs w:val="16"/>
              </w:rPr>
              <w:t>107,416</w:t>
            </w:r>
          </w:p>
        </w:tc>
        <w:tc>
          <w:tcPr>
            <w:tcW w:w="883" w:type="dxa"/>
            <w:tcBorders>
              <w:top w:val="nil"/>
              <w:left w:val="nil"/>
              <w:bottom w:val="nil"/>
              <w:right w:val="nil"/>
            </w:tcBorders>
            <w:shd w:val="clear" w:color="000000" w:fill="E6F2FF"/>
            <w:noWrap/>
            <w:vAlign w:val="center"/>
            <w:hideMark/>
          </w:tcPr>
          <w:p w14:paraId="4040B3DD" w14:textId="77777777" w:rsidR="003E551D" w:rsidRPr="003E551D" w:rsidRDefault="003E551D" w:rsidP="003E551D">
            <w:pPr>
              <w:spacing w:before="0" w:after="0" w:line="240" w:lineRule="auto"/>
              <w:jc w:val="right"/>
              <w:rPr>
                <w:rFonts w:ascii="Arial" w:hAnsi="Arial" w:cs="Arial"/>
                <w:color w:val="000000"/>
                <w:sz w:val="16"/>
                <w:szCs w:val="16"/>
              </w:rPr>
            </w:pPr>
            <w:r w:rsidRPr="003E551D">
              <w:rPr>
                <w:rFonts w:ascii="Arial" w:hAnsi="Arial" w:cs="Arial"/>
                <w:color w:val="000000"/>
                <w:sz w:val="16"/>
                <w:szCs w:val="16"/>
              </w:rPr>
              <w:t>112,693</w:t>
            </w:r>
          </w:p>
        </w:tc>
        <w:tc>
          <w:tcPr>
            <w:tcW w:w="883" w:type="dxa"/>
            <w:tcBorders>
              <w:top w:val="nil"/>
              <w:left w:val="nil"/>
              <w:bottom w:val="nil"/>
              <w:right w:val="nil"/>
            </w:tcBorders>
            <w:shd w:val="clear" w:color="000000" w:fill="FFFFFF"/>
            <w:noWrap/>
            <w:vAlign w:val="center"/>
            <w:hideMark/>
          </w:tcPr>
          <w:p w14:paraId="0D40F457" w14:textId="77777777" w:rsidR="003E551D" w:rsidRPr="003E551D" w:rsidRDefault="003E551D" w:rsidP="003E551D">
            <w:pPr>
              <w:spacing w:before="0" w:after="0" w:line="240" w:lineRule="auto"/>
              <w:jc w:val="right"/>
              <w:rPr>
                <w:rFonts w:ascii="Arial" w:hAnsi="Arial" w:cs="Arial"/>
                <w:color w:val="000000"/>
                <w:sz w:val="16"/>
                <w:szCs w:val="16"/>
              </w:rPr>
            </w:pPr>
            <w:r w:rsidRPr="003E551D">
              <w:rPr>
                <w:rFonts w:ascii="Arial" w:hAnsi="Arial" w:cs="Arial"/>
                <w:color w:val="000000"/>
                <w:sz w:val="16"/>
                <w:szCs w:val="16"/>
              </w:rPr>
              <w:t>115,913</w:t>
            </w:r>
          </w:p>
        </w:tc>
        <w:tc>
          <w:tcPr>
            <w:tcW w:w="883" w:type="dxa"/>
            <w:tcBorders>
              <w:top w:val="nil"/>
              <w:left w:val="nil"/>
              <w:bottom w:val="nil"/>
              <w:right w:val="nil"/>
            </w:tcBorders>
            <w:shd w:val="clear" w:color="000000" w:fill="FFFFFF"/>
            <w:noWrap/>
            <w:vAlign w:val="center"/>
            <w:hideMark/>
          </w:tcPr>
          <w:p w14:paraId="0FEA52EC" w14:textId="77777777" w:rsidR="003E551D" w:rsidRPr="003E551D" w:rsidRDefault="003E551D" w:rsidP="003E551D">
            <w:pPr>
              <w:spacing w:before="0" w:after="0" w:line="240" w:lineRule="auto"/>
              <w:jc w:val="right"/>
              <w:rPr>
                <w:rFonts w:ascii="Arial" w:hAnsi="Arial" w:cs="Arial"/>
                <w:color w:val="000000"/>
                <w:sz w:val="16"/>
                <w:szCs w:val="16"/>
              </w:rPr>
            </w:pPr>
            <w:r w:rsidRPr="003E551D">
              <w:rPr>
                <w:rFonts w:ascii="Arial" w:hAnsi="Arial" w:cs="Arial"/>
                <w:color w:val="000000"/>
                <w:sz w:val="16"/>
                <w:szCs w:val="16"/>
              </w:rPr>
              <w:t>118,512</w:t>
            </w:r>
          </w:p>
        </w:tc>
        <w:tc>
          <w:tcPr>
            <w:tcW w:w="883" w:type="dxa"/>
            <w:tcBorders>
              <w:top w:val="nil"/>
              <w:left w:val="nil"/>
              <w:bottom w:val="nil"/>
              <w:right w:val="nil"/>
            </w:tcBorders>
            <w:shd w:val="clear" w:color="000000" w:fill="FFFFFF"/>
            <w:noWrap/>
            <w:vAlign w:val="center"/>
            <w:hideMark/>
          </w:tcPr>
          <w:p w14:paraId="2B7BECBF" w14:textId="77777777" w:rsidR="003E551D" w:rsidRPr="003E551D" w:rsidRDefault="003E551D" w:rsidP="003E551D">
            <w:pPr>
              <w:spacing w:before="0" w:after="0" w:line="240" w:lineRule="auto"/>
              <w:jc w:val="right"/>
              <w:rPr>
                <w:rFonts w:ascii="Arial" w:hAnsi="Arial" w:cs="Arial"/>
                <w:color w:val="000000"/>
                <w:sz w:val="16"/>
                <w:szCs w:val="16"/>
              </w:rPr>
            </w:pPr>
            <w:r w:rsidRPr="003E551D">
              <w:rPr>
                <w:rFonts w:ascii="Arial" w:hAnsi="Arial" w:cs="Arial"/>
                <w:color w:val="000000"/>
                <w:sz w:val="16"/>
                <w:szCs w:val="16"/>
              </w:rPr>
              <w:t>122,801</w:t>
            </w:r>
          </w:p>
        </w:tc>
      </w:tr>
      <w:tr w:rsidR="003E551D" w:rsidRPr="003E551D" w14:paraId="4C981E06" w14:textId="77777777" w:rsidTr="00204B48">
        <w:trPr>
          <w:trHeight w:val="225"/>
        </w:trPr>
        <w:tc>
          <w:tcPr>
            <w:tcW w:w="3036" w:type="dxa"/>
            <w:tcBorders>
              <w:top w:val="nil"/>
              <w:left w:val="nil"/>
              <w:bottom w:val="nil"/>
              <w:right w:val="nil"/>
            </w:tcBorders>
            <w:shd w:val="clear" w:color="000000" w:fill="FFFFFF"/>
            <w:noWrap/>
            <w:vAlign w:val="center"/>
            <w:hideMark/>
          </w:tcPr>
          <w:p w14:paraId="529152B0" w14:textId="77777777" w:rsidR="003E551D" w:rsidRPr="003E551D" w:rsidRDefault="003E551D" w:rsidP="003E551D">
            <w:pPr>
              <w:spacing w:before="0" w:after="0" w:line="240" w:lineRule="auto"/>
              <w:rPr>
                <w:rFonts w:ascii="Arial" w:hAnsi="Arial" w:cs="Arial"/>
                <w:color w:val="000000"/>
                <w:sz w:val="16"/>
                <w:szCs w:val="16"/>
              </w:rPr>
            </w:pPr>
            <w:r w:rsidRPr="003E551D">
              <w:rPr>
                <w:rFonts w:ascii="Arial" w:hAnsi="Arial" w:cs="Arial"/>
                <w:color w:val="000000"/>
                <w:sz w:val="16"/>
                <w:szCs w:val="16"/>
              </w:rPr>
              <w:t>Social security and welfare</w:t>
            </w:r>
          </w:p>
        </w:tc>
        <w:tc>
          <w:tcPr>
            <w:tcW w:w="884" w:type="dxa"/>
            <w:tcBorders>
              <w:top w:val="nil"/>
              <w:left w:val="nil"/>
              <w:bottom w:val="nil"/>
              <w:right w:val="nil"/>
            </w:tcBorders>
            <w:shd w:val="clear" w:color="000000" w:fill="FFFFFF"/>
            <w:noWrap/>
            <w:vAlign w:val="center"/>
            <w:hideMark/>
          </w:tcPr>
          <w:p w14:paraId="2C1E031B" w14:textId="77777777" w:rsidR="003E551D" w:rsidRPr="003E551D" w:rsidRDefault="003E551D" w:rsidP="003E551D">
            <w:pPr>
              <w:spacing w:before="0" w:after="0" w:line="240" w:lineRule="auto"/>
              <w:jc w:val="right"/>
              <w:rPr>
                <w:rFonts w:ascii="Arial" w:hAnsi="Arial" w:cs="Arial"/>
                <w:color w:val="000000"/>
                <w:sz w:val="16"/>
                <w:szCs w:val="16"/>
              </w:rPr>
            </w:pPr>
            <w:r w:rsidRPr="003E551D">
              <w:rPr>
                <w:rFonts w:ascii="Arial" w:hAnsi="Arial" w:cs="Arial"/>
                <w:color w:val="000000"/>
                <w:sz w:val="16"/>
                <w:szCs w:val="16"/>
              </w:rPr>
              <w:t>252,342</w:t>
            </w:r>
          </w:p>
        </w:tc>
        <w:tc>
          <w:tcPr>
            <w:tcW w:w="883" w:type="dxa"/>
            <w:tcBorders>
              <w:top w:val="nil"/>
              <w:left w:val="nil"/>
              <w:bottom w:val="nil"/>
              <w:right w:val="nil"/>
            </w:tcBorders>
            <w:shd w:val="clear" w:color="000000" w:fill="E6F2FF"/>
            <w:noWrap/>
            <w:vAlign w:val="center"/>
            <w:hideMark/>
          </w:tcPr>
          <w:p w14:paraId="1669DC22" w14:textId="77777777" w:rsidR="003E551D" w:rsidRPr="003E551D" w:rsidRDefault="003E551D" w:rsidP="003E551D">
            <w:pPr>
              <w:spacing w:before="0" w:after="0" w:line="240" w:lineRule="auto"/>
              <w:jc w:val="right"/>
              <w:rPr>
                <w:rFonts w:ascii="Arial" w:hAnsi="Arial" w:cs="Arial"/>
                <w:color w:val="000000"/>
                <w:sz w:val="16"/>
                <w:szCs w:val="16"/>
              </w:rPr>
            </w:pPr>
            <w:r w:rsidRPr="003E551D">
              <w:rPr>
                <w:rFonts w:ascii="Arial" w:hAnsi="Arial" w:cs="Arial"/>
                <w:color w:val="000000"/>
                <w:sz w:val="16"/>
                <w:szCs w:val="16"/>
              </w:rPr>
              <w:t>266,693</w:t>
            </w:r>
          </w:p>
        </w:tc>
        <w:tc>
          <w:tcPr>
            <w:tcW w:w="883" w:type="dxa"/>
            <w:tcBorders>
              <w:top w:val="nil"/>
              <w:left w:val="nil"/>
              <w:bottom w:val="nil"/>
              <w:right w:val="nil"/>
            </w:tcBorders>
            <w:shd w:val="clear" w:color="000000" w:fill="FFFFFF"/>
            <w:noWrap/>
            <w:vAlign w:val="center"/>
            <w:hideMark/>
          </w:tcPr>
          <w:p w14:paraId="762EB61A" w14:textId="77777777" w:rsidR="003E551D" w:rsidRPr="003E551D" w:rsidRDefault="003E551D" w:rsidP="003E551D">
            <w:pPr>
              <w:spacing w:before="0" w:after="0" w:line="240" w:lineRule="auto"/>
              <w:jc w:val="right"/>
              <w:rPr>
                <w:rFonts w:ascii="Arial" w:hAnsi="Arial" w:cs="Arial"/>
                <w:color w:val="000000"/>
                <w:sz w:val="16"/>
                <w:szCs w:val="16"/>
              </w:rPr>
            </w:pPr>
            <w:r w:rsidRPr="003E551D">
              <w:rPr>
                <w:rFonts w:ascii="Arial" w:hAnsi="Arial" w:cs="Arial"/>
                <w:color w:val="000000"/>
                <w:sz w:val="16"/>
                <w:szCs w:val="16"/>
              </w:rPr>
              <w:t>282,057</w:t>
            </w:r>
          </w:p>
        </w:tc>
        <w:tc>
          <w:tcPr>
            <w:tcW w:w="883" w:type="dxa"/>
            <w:tcBorders>
              <w:top w:val="nil"/>
              <w:left w:val="nil"/>
              <w:bottom w:val="nil"/>
              <w:right w:val="nil"/>
            </w:tcBorders>
            <w:shd w:val="clear" w:color="000000" w:fill="FFFFFF"/>
            <w:noWrap/>
            <w:vAlign w:val="center"/>
            <w:hideMark/>
          </w:tcPr>
          <w:p w14:paraId="790CF4A9" w14:textId="77777777" w:rsidR="003E551D" w:rsidRPr="003E551D" w:rsidRDefault="003E551D" w:rsidP="003E551D">
            <w:pPr>
              <w:spacing w:before="0" w:after="0" w:line="240" w:lineRule="auto"/>
              <w:jc w:val="right"/>
              <w:rPr>
                <w:rFonts w:ascii="Arial" w:hAnsi="Arial" w:cs="Arial"/>
                <w:color w:val="000000"/>
                <w:sz w:val="16"/>
                <w:szCs w:val="16"/>
              </w:rPr>
            </w:pPr>
            <w:r w:rsidRPr="003E551D">
              <w:rPr>
                <w:rFonts w:ascii="Arial" w:hAnsi="Arial" w:cs="Arial"/>
                <w:color w:val="000000"/>
                <w:sz w:val="16"/>
                <w:szCs w:val="16"/>
              </w:rPr>
              <w:t>290,665</w:t>
            </w:r>
          </w:p>
        </w:tc>
        <w:tc>
          <w:tcPr>
            <w:tcW w:w="883" w:type="dxa"/>
            <w:tcBorders>
              <w:top w:val="nil"/>
              <w:left w:val="nil"/>
              <w:bottom w:val="nil"/>
              <w:right w:val="nil"/>
            </w:tcBorders>
            <w:shd w:val="clear" w:color="000000" w:fill="FFFFFF"/>
            <w:noWrap/>
            <w:vAlign w:val="center"/>
            <w:hideMark/>
          </w:tcPr>
          <w:p w14:paraId="0112E2EC" w14:textId="77777777" w:rsidR="003E551D" w:rsidRPr="003E551D" w:rsidRDefault="003E551D" w:rsidP="003E551D">
            <w:pPr>
              <w:spacing w:before="0" w:after="0" w:line="240" w:lineRule="auto"/>
              <w:jc w:val="right"/>
              <w:rPr>
                <w:rFonts w:ascii="Arial" w:hAnsi="Arial" w:cs="Arial"/>
                <w:color w:val="000000"/>
                <w:sz w:val="16"/>
                <w:szCs w:val="16"/>
              </w:rPr>
            </w:pPr>
            <w:r w:rsidRPr="003E551D">
              <w:rPr>
                <w:rFonts w:ascii="Arial" w:hAnsi="Arial" w:cs="Arial"/>
                <w:color w:val="000000"/>
                <w:sz w:val="16"/>
                <w:szCs w:val="16"/>
              </w:rPr>
              <w:t>304,093</w:t>
            </w:r>
          </w:p>
        </w:tc>
      </w:tr>
      <w:tr w:rsidR="003E551D" w:rsidRPr="003E551D" w14:paraId="779CAB4D" w14:textId="77777777" w:rsidTr="00204B48">
        <w:trPr>
          <w:trHeight w:val="225"/>
        </w:trPr>
        <w:tc>
          <w:tcPr>
            <w:tcW w:w="3036" w:type="dxa"/>
            <w:tcBorders>
              <w:top w:val="nil"/>
              <w:left w:val="nil"/>
              <w:bottom w:val="nil"/>
              <w:right w:val="nil"/>
            </w:tcBorders>
            <w:shd w:val="clear" w:color="000000" w:fill="FFFFFF"/>
            <w:noWrap/>
            <w:vAlign w:val="center"/>
            <w:hideMark/>
          </w:tcPr>
          <w:p w14:paraId="02C49F0E" w14:textId="77777777" w:rsidR="003E551D" w:rsidRPr="003E551D" w:rsidRDefault="003E551D" w:rsidP="003E551D">
            <w:pPr>
              <w:spacing w:before="0" w:after="0" w:line="240" w:lineRule="auto"/>
              <w:rPr>
                <w:rFonts w:ascii="Arial" w:hAnsi="Arial" w:cs="Arial"/>
                <w:color w:val="000000"/>
                <w:sz w:val="16"/>
                <w:szCs w:val="16"/>
              </w:rPr>
            </w:pPr>
            <w:r w:rsidRPr="003E551D">
              <w:rPr>
                <w:rFonts w:ascii="Arial" w:hAnsi="Arial" w:cs="Arial"/>
                <w:color w:val="000000"/>
                <w:sz w:val="16"/>
                <w:szCs w:val="16"/>
              </w:rPr>
              <w:t>Housing and community amenities</w:t>
            </w:r>
          </w:p>
        </w:tc>
        <w:tc>
          <w:tcPr>
            <w:tcW w:w="884" w:type="dxa"/>
            <w:tcBorders>
              <w:top w:val="nil"/>
              <w:left w:val="nil"/>
              <w:bottom w:val="nil"/>
              <w:right w:val="nil"/>
            </w:tcBorders>
            <w:shd w:val="clear" w:color="000000" w:fill="FFFFFF"/>
            <w:noWrap/>
            <w:vAlign w:val="center"/>
            <w:hideMark/>
          </w:tcPr>
          <w:p w14:paraId="4C1696FB" w14:textId="77777777" w:rsidR="003E551D" w:rsidRPr="003E551D" w:rsidRDefault="003E551D" w:rsidP="003E551D">
            <w:pPr>
              <w:spacing w:before="0" w:after="0" w:line="240" w:lineRule="auto"/>
              <w:jc w:val="right"/>
              <w:rPr>
                <w:rFonts w:ascii="Arial" w:hAnsi="Arial" w:cs="Arial"/>
                <w:color w:val="000000"/>
                <w:sz w:val="16"/>
                <w:szCs w:val="16"/>
              </w:rPr>
            </w:pPr>
            <w:r w:rsidRPr="003E551D">
              <w:rPr>
                <w:rFonts w:ascii="Arial" w:hAnsi="Arial" w:cs="Arial"/>
                <w:color w:val="000000"/>
                <w:sz w:val="16"/>
                <w:szCs w:val="16"/>
              </w:rPr>
              <w:t>7,955</w:t>
            </w:r>
          </w:p>
        </w:tc>
        <w:tc>
          <w:tcPr>
            <w:tcW w:w="883" w:type="dxa"/>
            <w:tcBorders>
              <w:top w:val="nil"/>
              <w:left w:val="nil"/>
              <w:bottom w:val="nil"/>
              <w:right w:val="nil"/>
            </w:tcBorders>
            <w:shd w:val="clear" w:color="000000" w:fill="E6F2FF"/>
            <w:noWrap/>
            <w:vAlign w:val="center"/>
            <w:hideMark/>
          </w:tcPr>
          <w:p w14:paraId="19AAEC30" w14:textId="77777777" w:rsidR="003E551D" w:rsidRPr="003E551D" w:rsidRDefault="003E551D" w:rsidP="003E551D">
            <w:pPr>
              <w:spacing w:before="0" w:after="0" w:line="240" w:lineRule="auto"/>
              <w:jc w:val="right"/>
              <w:rPr>
                <w:rFonts w:ascii="Arial" w:hAnsi="Arial" w:cs="Arial"/>
                <w:color w:val="000000"/>
                <w:sz w:val="16"/>
                <w:szCs w:val="16"/>
              </w:rPr>
            </w:pPr>
            <w:r w:rsidRPr="003E551D">
              <w:rPr>
                <w:rFonts w:ascii="Arial" w:hAnsi="Arial" w:cs="Arial"/>
                <w:color w:val="000000"/>
                <w:sz w:val="16"/>
                <w:szCs w:val="16"/>
              </w:rPr>
              <w:t>9,999</w:t>
            </w:r>
          </w:p>
        </w:tc>
        <w:tc>
          <w:tcPr>
            <w:tcW w:w="883" w:type="dxa"/>
            <w:tcBorders>
              <w:top w:val="nil"/>
              <w:left w:val="nil"/>
              <w:bottom w:val="nil"/>
              <w:right w:val="nil"/>
            </w:tcBorders>
            <w:shd w:val="clear" w:color="000000" w:fill="FFFFFF"/>
            <w:noWrap/>
            <w:vAlign w:val="center"/>
            <w:hideMark/>
          </w:tcPr>
          <w:p w14:paraId="4D339F1D" w14:textId="77777777" w:rsidR="003E551D" w:rsidRPr="003E551D" w:rsidRDefault="003E551D" w:rsidP="003E551D">
            <w:pPr>
              <w:spacing w:before="0" w:after="0" w:line="240" w:lineRule="auto"/>
              <w:jc w:val="right"/>
              <w:rPr>
                <w:rFonts w:ascii="Arial" w:hAnsi="Arial" w:cs="Arial"/>
                <w:color w:val="000000"/>
                <w:sz w:val="16"/>
                <w:szCs w:val="16"/>
              </w:rPr>
            </w:pPr>
            <w:r w:rsidRPr="003E551D">
              <w:rPr>
                <w:rFonts w:ascii="Arial" w:hAnsi="Arial" w:cs="Arial"/>
                <w:color w:val="000000"/>
                <w:sz w:val="16"/>
                <w:szCs w:val="16"/>
              </w:rPr>
              <w:t>8,831</w:t>
            </w:r>
          </w:p>
        </w:tc>
        <w:tc>
          <w:tcPr>
            <w:tcW w:w="883" w:type="dxa"/>
            <w:tcBorders>
              <w:top w:val="nil"/>
              <w:left w:val="nil"/>
              <w:bottom w:val="nil"/>
              <w:right w:val="nil"/>
            </w:tcBorders>
            <w:shd w:val="clear" w:color="000000" w:fill="FFFFFF"/>
            <w:noWrap/>
            <w:vAlign w:val="center"/>
            <w:hideMark/>
          </w:tcPr>
          <w:p w14:paraId="506C05C8" w14:textId="77777777" w:rsidR="003E551D" w:rsidRPr="003E551D" w:rsidRDefault="003E551D" w:rsidP="003E551D">
            <w:pPr>
              <w:spacing w:before="0" w:after="0" w:line="240" w:lineRule="auto"/>
              <w:jc w:val="right"/>
              <w:rPr>
                <w:rFonts w:ascii="Arial" w:hAnsi="Arial" w:cs="Arial"/>
                <w:color w:val="000000"/>
                <w:sz w:val="16"/>
                <w:szCs w:val="16"/>
              </w:rPr>
            </w:pPr>
            <w:r w:rsidRPr="003E551D">
              <w:rPr>
                <w:rFonts w:ascii="Arial" w:hAnsi="Arial" w:cs="Arial"/>
                <w:color w:val="000000"/>
                <w:sz w:val="16"/>
                <w:szCs w:val="16"/>
              </w:rPr>
              <w:t>7,072</w:t>
            </w:r>
          </w:p>
        </w:tc>
        <w:tc>
          <w:tcPr>
            <w:tcW w:w="883" w:type="dxa"/>
            <w:tcBorders>
              <w:top w:val="nil"/>
              <w:left w:val="nil"/>
              <w:bottom w:val="nil"/>
              <w:right w:val="nil"/>
            </w:tcBorders>
            <w:shd w:val="clear" w:color="000000" w:fill="FFFFFF"/>
            <w:noWrap/>
            <w:vAlign w:val="center"/>
            <w:hideMark/>
          </w:tcPr>
          <w:p w14:paraId="5B26B939" w14:textId="77777777" w:rsidR="003E551D" w:rsidRPr="003E551D" w:rsidRDefault="003E551D" w:rsidP="003E551D">
            <w:pPr>
              <w:spacing w:before="0" w:after="0" w:line="240" w:lineRule="auto"/>
              <w:jc w:val="right"/>
              <w:rPr>
                <w:rFonts w:ascii="Arial" w:hAnsi="Arial" w:cs="Arial"/>
                <w:color w:val="000000"/>
                <w:sz w:val="16"/>
                <w:szCs w:val="16"/>
              </w:rPr>
            </w:pPr>
            <w:r w:rsidRPr="003E551D">
              <w:rPr>
                <w:rFonts w:ascii="Arial" w:hAnsi="Arial" w:cs="Arial"/>
                <w:color w:val="000000"/>
                <w:sz w:val="16"/>
                <w:szCs w:val="16"/>
              </w:rPr>
              <w:t>5,629</w:t>
            </w:r>
          </w:p>
        </w:tc>
      </w:tr>
      <w:tr w:rsidR="003E551D" w:rsidRPr="003E551D" w14:paraId="75145392" w14:textId="77777777" w:rsidTr="00204B48">
        <w:trPr>
          <w:trHeight w:val="225"/>
        </w:trPr>
        <w:tc>
          <w:tcPr>
            <w:tcW w:w="3036" w:type="dxa"/>
            <w:tcBorders>
              <w:top w:val="nil"/>
              <w:left w:val="nil"/>
              <w:bottom w:val="nil"/>
              <w:right w:val="nil"/>
            </w:tcBorders>
            <w:shd w:val="clear" w:color="000000" w:fill="FFFFFF"/>
            <w:noWrap/>
            <w:vAlign w:val="center"/>
            <w:hideMark/>
          </w:tcPr>
          <w:p w14:paraId="5064A2E1" w14:textId="77777777" w:rsidR="003E551D" w:rsidRPr="003E551D" w:rsidRDefault="003E551D" w:rsidP="003E551D">
            <w:pPr>
              <w:spacing w:before="0" w:after="0" w:line="240" w:lineRule="auto"/>
              <w:rPr>
                <w:rFonts w:ascii="Arial" w:hAnsi="Arial" w:cs="Arial"/>
                <w:color w:val="000000"/>
                <w:sz w:val="16"/>
                <w:szCs w:val="16"/>
              </w:rPr>
            </w:pPr>
            <w:r w:rsidRPr="003E551D">
              <w:rPr>
                <w:rFonts w:ascii="Arial" w:hAnsi="Arial" w:cs="Arial"/>
                <w:color w:val="000000"/>
                <w:sz w:val="16"/>
                <w:szCs w:val="16"/>
              </w:rPr>
              <w:t>Recreation and culture</w:t>
            </w:r>
          </w:p>
        </w:tc>
        <w:tc>
          <w:tcPr>
            <w:tcW w:w="884" w:type="dxa"/>
            <w:tcBorders>
              <w:top w:val="nil"/>
              <w:left w:val="nil"/>
              <w:bottom w:val="nil"/>
              <w:right w:val="nil"/>
            </w:tcBorders>
            <w:shd w:val="clear" w:color="000000" w:fill="FFFFFF"/>
            <w:noWrap/>
            <w:vAlign w:val="center"/>
            <w:hideMark/>
          </w:tcPr>
          <w:p w14:paraId="3FC97FF5" w14:textId="77777777" w:rsidR="003E551D" w:rsidRPr="003E551D" w:rsidRDefault="003E551D" w:rsidP="003E551D">
            <w:pPr>
              <w:spacing w:before="0" w:after="0" w:line="240" w:lineRule="auto"/>
              <w:jc w:val="right"/>
              <w:rPr>
                <w:rFonts w:ascii="Arial" w:hAnsi="Arial" w:cs="Arial"/>
                <w:color w:val="000000"/>
                <w:sz w:val="16"/>
                <w:szCs w:val="16"/>
              </w:rPr>
            </w:pPr>
            <w:r w:rsidRPr="003E551D">
              <w:rPr>
                <w:rFonts w:ascii="Arial" w:hAnsi="Arial" w:cs="Arial"/>
                <w:color w:val="000000"/>
                <w:sz w:val="16"/>
                <w:szCs w:val="16"/>
              </w:rPr>
              <w:t>5,050</w:t>
            </w:r>
          </w:p>
        </w:tc>
        <w:tc>
          <w:tcPr>
            <w:tcW w:w="883" w:type="dxa"/>
            <w:tcBorders>
              <w:top w:val="nil"/>
              <w:left w:val="nil"/>
              <w:bottom w:val="nil"/>
              <w:right w:val="nil"/>
            </w:tcBorders>
            <w:shd w:val="clear" w:color="000000" w:fill="E6F2FF"/>
            <w:noWrap/>
            <w:vAlign w:val="center"/>
            <w:hideMark/>
          </w:tcPr>
          <w:p w14:paraId="303EBB43" w14:textId="77777777" w:rsidR="003E551D" w:rsidRPr="003E551D" w:rsidRDefault="003E551D" w:rsidP="003E551D">
            <w:pPr>
              <w:spacing w:before="0" w:after="0" w:line="240" w:lineRule="auto"/>
              <w:jc w:val="right"/>
              <w:rPr>
                <w:rFonts w:ascii="Arial" w:hAnsi="Arial" w:cs="Arial"/>
                <w:color w:val="000000"/>
                <w:sz w:val="16"/>
                <w:szCs w:val="16"/>
              </w:rPr>
            </w:pPr>
            <w:r w:rsidRPr="003E551D">
              <w:rPr>
                <w:rFonts w:ascii="Arial" w:hAnsi="Arial" w:cs="Arial"/>
                <w:color w:val="000000"/>
                <w:sz w:val="16"/>
                <w:szCs w:val="16"/>
              </w:rPr>
              <w:t>5,372</w:t>
            </w:r>
          </w:p>
        </w:tc>
        <w:tc>
          <w:tcPr>
            <w:tcW w:w="883" w:type="dxa"/>
            <w:tcBorders>
              <w:top w:val="nil"/>
              <w:left w:val="nil"/>
              <w:bottom w:val="nil"/>
              <w:right w:val="nil"/>
            </w:tcBorders>
            <w:shd w:val="clear" w:color="000000" w:fill="FFFFFF"/>
            <w:noWrap/>
            <w:vAlign w:val="center"/>
            <w:hideMark/>
          </w:tcPr>
          <w:p w14:paraId="71A2CA56" w14:textId="77777777" w:rsidR="003E551D" w:rsidRPr="003E551D" w:rsidRDefault="003E551D" w:rsidP="003E551D">
            <w:pPr>
              <w:spacing w:before="0" w:after="0" w:line="240" w:lineRule="auto"/>
              <w:jc w:val="right"/>
              <w:rPr>
                <w:rFonts w:ascii="Arial" w:hAnsi="Arial" w:cs="Arial"/>
                <w:color w:val="000000"/>
                <w:sz w:val="16"/>
                <w:szCs w:val="16"/>
              </w:rPr>
            </w:pPr>
            <w:r w:rsidRPr="003E551D">
              <w:rPr>
                <w:rFonts w:ascii="Arial" w:hAnsi="Arial" w:cs="Arial"/>
                <w:color w:val="000000"/>
                <w:sz w:val="16"/>
                <w:szCs w:val="16"/>
              </w:rPr>
              <w:t>5,472</w:t>
            </w:r>
          </w:p>
        </w:tc>
        <w:tc>
          <w:tcPr>
            <w:tcW w:w="883" w:type="dxa"/>
            <w:tcBorders>
              <w:top w:val="nil"/>
              <w:left w:val="nil"/>
              <w:bottom w:val="nil"/>
              <w:right w:val="nil"/>
            </w:tcBorders>
            <w:shd w:val="clear" w:color="000000" w:fill="FFFFFF"/>
            <w:noWrap/>
            <w:vAlign w:val="center"/>
            <w:hideMark/>
          </w:tcPr>
          <w:p w14:paraId="0D392CA6" w14:textId="77777777" w:rsidR="003E551D" w:rsidRPr="003E551D" w:rsidRDefault="003E551D" w:rsidP="003E551D">
            <w:pPr>
              <w:spacing w:before="0" w:after="0" w:line="240" w:lineRule="auto"/>
              <w:jc w:val="right"/>
              <w:rPr>
                <w:rFonts w:ascii="Arial" w:hAnsi="Arial" w:cs="Arial"/>
                <w:color w:val="000000"/>
                <w:sz w:val="16"/>
                <w:szCs w:val="16"/>
              </w:rPr>
            </w:pPr>
            <w:r w:rsidRPr="003E551D">
              <w:rPr>
                <w:rFonts w:ascii="Arial" w:hAnsi="Arial" w:cs="Arial"/>
                <w:color w:val="000000"/>
                <w:sz w:val="16"/>
                <w:szCs w:val="16"/>
              </w:rPr>
              <w:t>5,423</w:t>
            </w:r>
          </w:p>
        </w:tc>
        <w:tc>
          <w:tcPr>
            <w:tcW w:w="883" w:type="dxa"/>
            <w:tcBorders>
              <w:top w:val="nil"/>
              <w:left w:val="nil"/>
              <w:bottom w:val="nil"/>
              <w:right w:val="nil"/>
            </w:tcBorders>
            <w:shd w:val="clear" w:color="000000" w:fill="FFFFFF"/>
            <w:noWrap/>
            <w:vAlign w:val="center"/>
            <w:hideMark/>
          </w:tcPr>
          <w:p w14:paraId="657282E4" w14:textId="77777777" w:rsidR="003E551D" w:rsidRPr="003E551D" w:rsidRDefault="003E551D" w:rsidP="003E551D">
            <w:pPr>
              <w:spacing w:before="0" w:after="0" w:line="240" w:lineRule="auto"/>
              <w:jc w:val="right"/>
              <w:rPr>
                <w:rFonts w:ascii="Arial" w:hAnsi="Arial" w:cs="Arial"/>
                <w:color w:val="000000"/>
                <w:sz w:val="16"/>
                <w:szCs w:val="16"/>
              </w:rPr>
            </w:pPr>
            <w:r w:rsidRPr="003E551D">
              <w:rPr>
                <w:rFonts w:ascii="Arial" w:hAnsi="Arial" w:cs="Arial"/>
                <w:color w:val="000000"/>
                <w:sz w:val="16"/>
                <w:szCs w:val="16"/>
              </w:rPr>
              <w:t>5,604</w:t>
            </w:r>
          </w:p>
        </w:tc>
      </w:tr>
      <w:tr w:rsidR="003E551D" w:rsidRPr="003E551D" w14:paraId="02EBCEE4" w14:textId="77777777" w:rsidTr="00204B48">
        <w:trPr>
          <w:trHeight w:val="225"/>
        </w:trPr>
        <w:tc>
          <w:tcPr>
            <w:tcW w:w="3036" w:type="dxa"/>
            <w:tcBorders>
              <w:top w:val="nil"/>
              <w:left w:val="nil"/>
              <w:bottom w:val="nil"/>
              <w:right w:val="nil"/>
            </w:tcBorders>
            <w:shd w:val="clear" w:color="000000" w:fill="FFFFFF"/>
            <w:noWrap/>
            <w:vAlign w:val="center"/>
            <w:hideMark/>
          </w:tcPr>
          <w:p w14:paraId="27D6F3B6" w14:textId="77777777" w:rsidR="003E551D" w:rsidRPr="003E551D" w:rsidRDefault="003E551D" w:rsidP="003E551D">
            <w:pPr>
              <w:spacing w:before="0" w:after="0" w:line="240" w:lineRule="auto"/>
              <w:rPr>
                <w:rFonts w:ascii="Arial" w:hAnsi="Arial" w:cs="Arial"/>
                <w:color w:val="000000"/>
                <w:sz w:val="16"/>
                <w:szCs w:val="16"/>
              </w:rPr>
            </w:pPr>
            <w:r w:rsidRPr="003E551D">
              <w:rPr>
                <w:rFonts w:ascii="Arial" w:hAnsi="Arial" w:cs="Arial"/>
                <w:color w:val="000000"/>
                <w:sz w:val="16"/>
                <w:szCs w:val="16"/>
              </w:rPr>
              <w:t>Fuel and energy</w:t>
            </w:r>
          </w:p>
        </w:tc>
        <w:tc>
          <w:tcPr>
            <w:tcW w:w="884" w:type="dxa"/>
            <w:tcBorders>
              <w:top w:val="nil"/>
              <w:left w:val="nil"/>
              <w:bottom w:val="nil"/>
              <w:right w:val="nil"/>
            </w:tcBorders>
            <w:shd w:val="clear" w:color="000000" w:fill="FFFFFF"/>
            <w:noWrap/>
            <w:vAlign w:val="center"/>
            <w:hideMark/>
          </w:tcPr>
          <w:p w14:paraId="7C5067B4" w14:textId="77777777" w:rsidR="003E551D" w:rsidRPr="003E551D" w:rsidRDefault="003E551D" w:rsidP="003E551D">
            <w:pPr>
              <w:spacing w:before="0" w:after="0" w:line="240" w:lineRule="auto"/>
              <w:jc w:val="right"/>
              <w:rPr>
                <w:rFonts w:ascii="Arial" w:hAnsi="Arial" w:cs="Arial"/>
                <w:color w:val="000000"/>
                <w:sz w:val="16"/>
                <w:szCs w:val="16"/>
              </w:rPr>
            </w:pPr>
            <w:r w:rsidRPr="003E551D">
              <w:rPr>
                <w:rFonts w:ascii="Arial" w:hAnsi="Arial" w:cs="Arial"/>
                <w:color w:val="000000"/>
                <w:sz w:val="16"/>
                <w:szCs w:val="16"/>
              </w:rPr>
              <w:t>13,273</w:t>
            </w:r>
          </w:p>
        </w:tc>
        <w:tc>
          <w:tcPr>
            <w:tcW w:w="883" w:type="dxa"/>
            <w:tcBorders>
              <w:top w:val="nil"/>
              <w:left w:val="nil"/>
              <w:bottom w:val="nil"/>
              <w:right w:val="nil"/>
            </w:tcBorders>
            <w:shd w:val="clear" w:color="000000" w:fill="E6F2FF"/>
            <w:noWrap/>
            <w:vAlign w:val="center"/>
            <w:hideMark/>
          </w:tcPr>
          <w:p w14:paraId="33A75562" w14:textId="77777777" w:rsidR="003E551D" w:rsidRPr="003E551D" w:rsidRDefault="003E551D" w:rsidP="003E551D">
            <w:pPr>
              <w:spacing w:before="0" w:after="0" w:line="240" w:lineRule="auto"/>
              <w:jc w:val="right"/>
              <w:rPr>
                <w:rFonts w:ascii="Arial" w:hAnsi="Arial" w:cs="Arial"/>
                <w:color w:val="000000"/>
                <w:sz w:val="16"/>
                <w:szCs w:val="16"/>
              </w:rPr>
            </w:pPr>
            <w:r w:rsidRPr="003E551D">
              <w:rPr>
                <w:rFonts w:ascii="Arial" w:hAnsi="Arial" w:cs="Arial"/>
                <w:color w:val="000000"/>
                <w:sz w:val="16"/>
                <w:szCs w:val="16"/>
              </w:rPr>
              <w:t>20,121</w:t>
            </w:r>
          </w:p>
        </w:tc>
        <w:tc>
          <w:tcPr>
            <w:tcW w:w="883" w:type="dxa"/>
            <w:tcBorders>
              <w:top w:val="nil"/>
              <w:left w:val="nil"/>
              <w:bottom w:val="nil"/>
              <w:right w:val="nil"/>
            </w:tcBorders>
            <w:shd w:val="clear" w:color="000000" w:fill="FFFFFF"/>
            <w:noWrap/>
            <w:vAlign w:val="center"/>
            <w:hideMark/>
          </w:tcPr>
          <w:p w14:paraId="35836725" w14:textId="77777777" w:rsidR="003E551D" w:rsidRPr="003E551D" w:rsidRDefault="003E551D" w:rsidP="003E551D">
            <w:pPr>
              <w:spacing w:before="0" w:after="0" w:line="240" w:lineRule="auto"/>
              <w:jc w:val="right"/>
              <w:rPr>
                <w:rFonts w:ascii="Arial" w:hAnsi="Arial" w:cs="Arial"/>
                <w:color w:val="000000"/>
                <w:sz w:val="16"/>
                <w:szCs w:val="16"/>
              </w:rPr>
            </w:pPr>
            <w:r w:rsidRPr="003E551D">
              <w:rPr>
                <w:rFonts w:ascii="Arial" w:hAnsi="Arial" w:cs="Arial"/>
                <w:color w:val="000000"/>
                <w:sz w:val="16"/>
                <w:szCs w:val="16"/>
              </w:rPr>
              <w:t>13,908</w:t>
            </w:r>
          </w:p>
        </w:tc>
        <w:tc>
          <w:tcPr>
            <w:tcW w:w="883" w:type="dxa"/>
            <w:tcBorders>
              <w:top w:val="nil"/>
              <w:left w:val="nil"/>
              <w:bottom w:val="nil"/>
              <w:right w:val="nil"/>
            </w:tcBorders>
            <w:shd w:val="clear" w:color="000000" w:fill="FFFFFF"/>
            <w:noWrap/>
            <w:vAlign w:val="center"/>
            <w:hideMark/>
          </w:tcPr>
          <w:p w14:paraId="0D18C86B" w14:textId="77777777" w:rsidR="003E551D" w:rsidRPr="003E551D" w:rsidRDefault="003E551D" w:rsidP="003E551D">
            <w:pPr>
              <w:spacing w:before="0" w:after="0" w:line="240" w:lineRule="auto"/>
              <w:jc w:val="right"/>
              <w:rPr>
                <w:rFonts w:ascii="Arial" w:hAnsi="Arial" w:cs="Arial"/>
                <w:color w:val="000000"/>
                <w:sz w:val="16"/>
                <w:szCs w:val="16"/>
              </w:rPr>
            </w:pPr>
            <w:r w:rsidRPr="003E551D">
              <w:rPr>
                <w:rFonts w:ascii="Arial" w:hAnsi="Arial" w:cs="Arial"/>
                <w:color w:val="000000"/>
                <w:sz w:val="16"/>
                <w:szCs w:val="16"/>
              </w:rPr>
              <w:t>13,794</w:t>
            </w:r>
          </w:p>
        </w:tc>
        <w:tc>
          <w:tcPr>
            <w:tcW w:w="883" w:type="dxa"/>
            <w:tcBorders>
              <w:top w:val="nil"/>
              <w:left w:val="nil"/>
              <w:bottom w:val="nil"/>
              <w:right w:val="nil"/>
            </w:tcBorders>
            <w:shd w:val="clear" w:color="000000" w:fill="FFFFFF"/>
            <w:noWrap/>
            <w:vAlign w:val="center"/>
            <w:hideMark/>
          </w:tcPr>
          <w:p w14:paraId="0ACD5969" w14:textId="77777777" w:rsidR="003E551D" w:rsidRPr="003E551D" w:rsidRDefault="003E551D" w:rsidP="003E551D">
            <w:pPr>
              <w:spacing w:before="0" w:after="0" w:line="240" w:lineRule="auto"/>
              <w:jc w:val="right"/>
              <w:rPr>
                <w:rFonts w:ascii="Arial" w:hAnsi="Arial" w:cs="Arial"/>
                <w:color w:val="000000"/>
                <w:sz w:val="16"/>
                <w:szCs w:val="16"/>
              </w:rPr>
            </w:pPr>
            <w:r w:rsidRPr="003E551D">
              <w:rPr>
                <w:rFonts w:ascii="Arial" w:hAnsi="Arial" w:cs="Arial"/>
                <w:color w:val="000000"/>
                <w:sz w:val="16"/>
                <w:szCs w:val="16"/>
              </w:rPr>
              <w:t>13,825</w:t>
            </w:r>
          </w:p>
        </w:tc>
      </w:tr>
      <w:tr w:rsidR="003E551D" w:rsidRPr="003E551D" w14:paraId="7C2B2CA0" w14:textId="77777777" w:rsidTr="00204B48">
        <w:trPr>
          <w:trHeight w:val="225"/>
        </w:trPr>
        <w:tc>
          <w:tcPr>
            <w:tcW w:w="3036" w:type="dxa"/>
            <w:tcBorders>
              <w:top w:val="nil"/>
              <w:left w:val="nil"/>
              <w:bottom w:val="nil"/>
              <w:right w:val="nil"/>
            </w:tcBorders>
            <w:shd w:val="clear" w:color="000000" w:fill="FFFFFF"/>
            <w:noWrap/>
            <w:vAlign w:val="center"/>
            <w:hideMark/>
          </w:tcPr>
          <w:p w14:paraId="2B6CA7B8" w14:textId="77777777" w:rsidR="003E551D" w:rsidRPr="003E551D" w:rsidRDefault="003E551D" w:rsidP="003E551D">
            <w:pPr>
              <w:spacing w:before="0" w:after="0" w:line="240" w:lineRule="auto"/>
              <w:rPr>
                <w:rFonts w:ascii="Arial" w:hAnsi="Arial" w:cs="Arial"/>
                <w:color w:val="000000"/>
                <w:sz w:val="16"/>
                <w:szCs w:val="16"/>
              </w:rPr>
            </w:pPr>
            <w:r w:rsidRPr="003E551D">
              <w:rPr>
                <w:rFonts w:ascii="Arial" w:hAnsi="Arial" w:cs="Arial"/>
                <w:color w:val="000000"/>
                <w:sz w:val="16"/>
                <w:szCs w:val="16"/>
              </w:rPr>
              <w:t>Agriculture, forestry and fishing</w:t>
            </w:r>
          </w:p>
        </w:tc>
        <w:tc>
          <w:tcPr>
            <w:tcW w:w="884" w:type="dxa"/>
            <w:tcBorders>
              <w:top w:val="nil"/>
              <w:left w:val="nil"/>
              <w:bottom w:val="nil"/>
              <w:right w:val="nil"/>
            </w:tcBorders>
            <w:shd w:val="clear" w:color="000000" w:fill="FFFFFF"/>
            <w:noWrap/>
            <w:vAlign w:val="center"/>
            <w:hideMark/>
          </w:tcPr>
          <w:p w14:paraId="026AFBBE" w14:textId="77777777" w:rsidR="003E551D" w:rsidRPr="003E551D" w:rsidRDefault="003E551D" w:rsidP="003E551D">
            <w:pPr>
              <w:spacing w:before="0" w:after="0" w:line="240" w:lineRule="auto"/>
              <w:jc w:val="right"/>
              <w:rPr>
                <w:rFonts w:ascii="Arial" w:hAnsi="Arial" w:cs="Arial"/>
                <w:color w:val="000000"/>
                <w:sz w:val="16"/>
                <w:szCs w:val="16"/>
              </w:rPr>
            </w:pPr>
            <w:r w:rsidRPr="003E551D">
              <w:rPr>
                <w:rFonts w:ascii="Arial" w:hAnsi="Arial" w:cs="Arial"/>
                <w:color w:val="000000"/>
                <w:sz w:val="16"/>
                <w:szCs w:val="16"/>
              </w:rPr>
              <w:t>4,068</w:t>
            </w:r>
          </w:p>
        </w:tc>
        <w:tc>
          <w:tcPr>
            <w:tcW w:w="883" w:type="dxa"/>
            <w:tcBorders>
              <w:top w:val="nil"/>
              <w:left w:val="nil"/>
              <w:bottom w:val="nil"/>
              <w:right w:val="nil"/>
            </w:tcBorders>
            <w:shd w:val="clear" w:color="000000" w:fill="E6F2FF"/>
            <w:noWrap/>
            <w:vAlign w:val="center"/>
            <w:hideMark/>
          </w:tcPr>
          <w:p w14:paraId="5D484D7C" w14:textId="77777777" w:rsidR="003E551D" w:rsidRPr="003E551D" w:rsidRDefault="003E551D" w:rsidP="003E551D">
            <w:pPr>
              <w:spacing w:before="0" w:after="0" w:line="240" w:lineRule="auto"/>
              <w:jc w:val="right"/>
              <w:rPr>
                <w:rFonts w:ascii="Arial" w:hAnsi="Arial" w:cs="Arial"/>
                <w:color w:val="000000"/>
                <w:sz w:val="16"/>
                <w:szCs w:val="16"/>
              </w:rPr>
            </w:pPr>
            <w:r w:rsidRPr="003E551D">
              <w:rPr>
                <w:rFonts w:ascii="Arial" w:hAnsi="Arial" w:cs="Arial"/>
                <w:color w:val="000000"/>
                <w:sz w:val="16"/>
                <w:szCs w:val="16"/>
              </w:rPr>
              <w:t>4,317</w:t>
            </w:r>
          </w:p>
        </w:tc>
        <w:tc>
          <w:tcPr>
            <w:tcW w:w="883" w:type="dxa"/>
            <w:tcBorders>
              <w:top w:val="nil"/>
              <w:left w:val="nil"/>
              <w:bottom w:val="nil"/>
              <w:right w:val="nil"/>
            </w:tcBorders>
            <w:shd w:val="clear" w:color="000000" w:fill="FFFFFF"/>
            <w:noWrap/>
            <w:vAlign w:val="center"/>
            <w:hideMark/>
          </w:tcPr>
          <w:p w14:paraId="39D1875C" w14:textId="77777777" w:rsidR="003E551D" w:rsidRPr="003E551D" w:rsidRDefault="003E551D" w:rsidP="003E551D">
            <w:pPr>
              <w:spacing w:before="0" w:after="0" w:line="240" w:lineRule="auto"/>
              <w:jc w:val="right"/>
              <w:rPr>
                <w:rFonts w:ascii="Arial" w:hAnsi="Arial" w:cs="Arial"/>
                <w:color w:val="000000"/>
                <w:sz w:val="16"/>
                <w:szCs w:val="16"/>
              </w:rPr>
            </w:pPr>
            <w:r w:rsidRPr="003E551D">
              <w:rPr>
                <w:rFonts w:ascii="Arial" w:hAnsi="Arial" w:cs="Arial"/>
                <w:color w:val="000000"/>
                <w:sz w:val="16"/>
                <w:szCs w:val="16"/>
              </w:rPr>
              <w:t>4,079</w:t>
            </w:r>
          </w:p>
        </w:tc>
        <w:tc>
          <w:tcPr>
            <w:tcW w:w="883" w:type="dxa"/>
            <w:tcBorders>
              <w:top w:val="nil"/>
              <w:left w:val="nil"/>
              <w:bottom w:val="nil"/>
              <w:right w:val="nil"/>
            </w:tcBorders>
            <w:shd w:val="clear" w:color="000000" w:fill="FFFFFF"/>
            <w:noWrap/>
            <w:vAlign w:val="center"/>
            <w:hideMark/>
          </w:tcPr>
          <w:p w14:paraId="3642A1D3" w14:textId="77777777" w:rsidR="003E551D" w:rsidRPr="003E551D" w:rsidRDefault="003E551D" w:rsidP="003E551D">
            <w:pPr>
              <w:spacing w:before="0" w:after="0" w:line="240" w:lineRule="auto"/>
              <w:jc w:val="right"/>
              <w:rPr>
                <w:rFonts w:ascii="Arial" w:hAnsi="Arial" w:cs="Arial"/>
                <w:color w:val="000000"/>
                <w:sz w:val="16"/>
                <w:szCs w:val="16"/>
              </w:rPr>
            </w:pPr>
            <w:r w:rsidRPr="003E551D">
              <w:rPr>
                <w:rFonts w:ascii="Arial" w:hAnsi="Arial" w:cs="Arial"/>
                <w:color w:val="000000"/>
                <w:sz w:val="16"/>
                <w:szCs w:val="16"/>
              </w:rPr>
              <w:t>3,949</w:t>
            </w:r>
          </w:p>
        </w:tc>
        <w:tc>
          <w:tcPr>
            <w:tcW w:w="883" w:type="dxa"/>
            <w:tcBorders>
              <w:top w:val="nil"/>
              <w:left w:val="nil"/>
              <w:bottom w:val="nil"/>
              <w:right w:val="nil"/>
            </w:tcBorders>
            <w:shd w:val="clear" w:color="000000" w:fill="FFFFFF"/>
            <w:noWrap/>
            <w:vAlign w:val="center"/>
            <w:hideMark/>
          </w:tcPr>
          <w:p w14:paraId="3546E77B" w14:textId="77777777" w:rsidR="003E551D" w:rsidRPr="003E551D" w:rsidRDefault="003E551D" w:rsidP="003E551D">
            <w:pPr>
              <w:spacing w:before="0" w:after="0" w:line="240" w:lineRule="auto"/>
              <w:jc w:val="right"/>
              <w:rPr>
                <w:rFonts w:ascii="Arial" w:hAnsi="Arial" w:cs="Arial"/>
                <w:color w:val="000000"/>
                <w:sz w:val="16"/>
                <w:szCs w:val="16"/>
              </w:rPr>
            </w:pPr>
            <w:r w:rsidRPr="003E551D">
              <w:rPr>
                <w:rFonts w:ascii="Arial" w:hAnsi="Arial" w:cs="Arial"/>
                <w:color w:val="000000"/>
                <w:sz w:val="16"/>
                <w:szCs w:val="16"/>
              </w:rPr>
              <w:t>3,294</w:t>
            </w:r>
          </w:p>
        </w:tc>
      </w:tr>
      <w:tr w:rsidR="003E551D" w:rsidRPr="003E551D" w14:paraId="2E8C2249" w14:textId="77777777" w:rsidTr="00204B48">
        <w:trPr>
          <w:trHeight w:val="225"/>
        </w:trPr>
        <w:tc>
          <w:tcPr>
            <w:tcW w:w="3036" w:type="dxa"/>
            <w:tcBorders>
              <w:top w:val="nil"/>
              <w:left w:val="nil"/>
              <w:bottom w:val="nil"/>
              <w:right w:val="nil"/>
            </w:tcBorders>
            <w:shd w:val="clear" w:color="000000" w:fill="FFFFFF"/>
            <w:noWrap/>
            <w:vAlign w:val="center"/>
            <w:hideMark/>
          </w:tcPr>
          <w:p w14:paraId="1F5BF940" w14:textId="77777777" w:rsidR="003E551D" w:rsidRPr="003E551D" w:rsidRDefault="003E551D" w:rsidP="003E551D">
            <w:pPr>
              <w:spacing w:before="0" w:after="0" w:line="240" w:lineRule="auto"/>
              <w:rPr>
                <w:rFonts w:ascii="Arial" w:hAnsi="Arial" w:cs="Arial"/>
                <w:color w:val="000000"/>
                <w:sz w:val="16"/>
                <w:szCs w:val="16"/>
              </w:rPr>
            </w:pPr>
            <w:r w:rsidRPr="003E551D">
              <w:rPr>
                <w:rFonts w:ascii="Arial" w:hAnsi="Arial" w:cs="Arial"/>
                <w:color w:val="000000"/>
                <w:sz w:val="16"/>
                <w:szCs w:val="16"/>
              </w:rPr>
              <w:t>Mining, manufacturing and construction</w:t>
            </w:r>
          </w:p>
        </w:tc>
        <w:tc>
          <w:tcPr>
            <w:tcW w:w="884" w:type="dxa"/>
            <w:tcBorders>
              <w:top w:val="nil"/>
              <w:left w:val="nil"/>
              <w:bottom w:val="nil"/>
              <w:right w:val="nil"/>
            </w:tcBorders>
            <w:shd w:val="clear" w:color="000000" w:fill="FFFFFF"/>
            <w:noWrap/>
            <w:vAlign w:val="center"/>
            <w:hideMark/>
          </w:tcPr>
          <w:p w14:paraId="2675E14C" w14:textId="77777777" w:rsidR="003E551D" w:rsidRPr="003E551D" w:rsidRDefault="003E551D" w:rsidP="003E551D">
            <w:pPr>
              <w:spacing w:before="0" w:after="0" w:line="240" w:lineRule="auto"/>
              <w:jc w:val="right"/>
              <w:rPr>
                <w:rFonts w:ascii="Arial" w:hAnsi="Arial" w:cs="Arial"/>
                <w:color w:val="000000"/>
                <w:sz w:val="16"/>
                <w:szCs w:val="16"/>
              </w:rPr>
            </w:pPr>
            <w:r w:rsidRPr="003E551D">
              <w:rPr>
                <w:rFonts w:ascii="Arial" w:hAnsi="Arial" w:cs="Arial"/>
                <w:color w:val="000000"/>
                <w:sz w:val="16"/>
                <w:szCs w:val="16"/>
              </w:rPr>
              <w:t>5,968</w:t>
            </w:r>
          </w:p>
        </w:tc>
        <w:tc>
          <w:tcPr>
            <w:tcW w:w="883" w:type="dxa"/>
            <w:tcBorders>
              <w:top w:val="nil"/>
              <w:left w:val="nil"/>
              <w:bottom w:val="nil"/>
              <w:right w:val="nil"/>
            </w:tcBorders>
            <w:shd w:val="clear" w:color="000000" w:fill="E6F2FF"/>
            <w:noWrap/>
            <w:vAlign w:val="center"/>
            <w:hideMark/>
          </w:tcPr>
          <w:p w14:paraId="1350DA4F" w14:textId="77777777" w:rsidR="003E551D" w:rsidRPr="003E551D" w:rsidRDefault="003E551D" w:rsidP="003E551D">
            <w:pPr>
              <w:spacing w:before="0" w:after="0" w:line="240" w:lineRule="auto"/>
              <w:jc w:val="right"/>
              <w:rPr>
                <w:rFonts w:ascii="Arial" w:hAnsi="Arial" w:cs="Arial"/>
                <w:color w:val="000000"/>
                <w:sz w:val="16"/>
                <w:szCs w:val="16"/>
              </w:rPr>
            </w:pPr>
            <w:r w:rsidRPr="003E551D">
              <w:rPr>
                <w:rFonts w:ascii="Arial" w:hAnsi="Arial" w:cs="Arial"/>
                <w:color w:val="000000"/>
                <w:sz w:val="16"/>
                <w:szCs w:val="16"/>
              </w:rPr>
              <w:t>5,511</w:t>
            </w:r>
          </w:p>
        </w:tc>
        <w:tc>
          <w:tcPr>
            <w:tcW w:w="883" w:type="dxa"/>
            <w:tcBorders>
              <w:top w:val="nil"/>
              <w:left w:val="nil"/>
              <w:bottom w:val="nil"/>
              <w:right w:val="nil"/>
            </w:tcBorders>
            <w:shd w:val="clear" w:color="000000" w:fill="FFFFFF"/>
            <w:noWrap/>
            <w:vAlign w:val="center"/>
            <w:hideMark/>
          </w:tcPr>
          <w:p w14:paraId="1FD3B6EF" w14:textId="77777777" w:rsidR="003E551D" w:rsidRPr="003E551D" w:rsidRDefault="003E551D" w:rsidP="003E551D">
            <w:pPr>
              <w:spacing w:before="0" w:after="0" w:line="240" w:lineRule="auto"/>
              <w:jc w:val="right"/>
              <w:rPr>
                <w:rFonts w:ascii="Arial" w:hAnsi="Arial" w:cs="Arial"/>
                <w:color w:val="000000"/>
                <w:sz w:val="16"/>
                <w:szCs w:val="16"/>
              </w:rPr>
            </w:pPr>
            <w:r w:rsidRPr="003E551D">
              <w:rPr>
                <w:rFonts w:ascii="Arial" w:hAnsi="Arial" w:cs="Arial"/>
                <w:color w:val="000000"/>
                <w:sz w:val="16"/>
                <w:szCs w:val="16"/>
              </w:rPr>
              <w:t>5,563</w:t>
            </w:r>
          </w:p>
        </w:tc>
        <w:tc>
          <w:tcPr>
            <w:tcW w:w="883" w:type="dxa"/>
            <w:tcBorders>
              <w:top w:val="nil"/>
              <w:left w:val="nil"/>
              <w:bottom w:val="nil"/>
              <w:right w:val="nil"/>
            </w:tcBorders>
            <w:shd w:val="clear" w:color="000000" w:fill="FFFFFF"/>
            <w:noWrap/>
            <w:vAlign w:val="center"/>
            <w:hideMark/>
          </w:tcPr>
          <w:p w14:paraId="181DA513" w14:textId="77777777" w:rsidR="003E551D" w:rsidRPr="003E551D" w:rsidRDefault="003E551D" w:rsidP="003E551D">
            <w:pPr>
              <w:spacing w:before="0" w:after="0" w:line="240" w:lineRule="auto"/>
              <w:jc w:val="right"/>
              <w:rPr>
                <w:rFonts w:ascii="Arial" w:hAnsi="Arial" w:cs="Arial"/>
                <w:color w:val="000000"/>
                <w:sz w:val="16"/>
                <w:szCs w:val="16"/>
              </w:rPr>
            </w:pPr>
            <w:r w:rsidRPr="003E551D">
              <w:rPr>
                <w:rFonts w:ascii="Arial" w:hAnsi="Arial" w:cs="Arial"/>
                <w:color w:val="000000"/>
                <w:sz w:val="16"/>
                <w:szCs w:val="16"/>
              </w:rPr>
              <w:t>5,776</w:t>
            </w:r>
          </w:p>
        </w:tc>
        <w:tc>
          <w:tcPr>
            <w:tcW w:w="883" w:type="dxa"/>
            <w:tcBorders>
              <w:top w:val="nil"/>
              <w:left w:val="nil"/>
              <w:bottom w:val="nil"/>
              <w:right w:val="nil"/>
            </w:tcBorders>
            <w:shd w:val="clear" w:color="000000" w:fill="FFFFFF"/>
            <w:noWrap/>
            <w:vAlign w:val="center"/>
            <w:hideMark/>
          </w:tcPr>
          <w:p w14:paraId="445290DC" w14:textId="77777777" w:rsidR="003E551D" w:rsidRPr="003E551D" w:rsidRDefault="003E551D" w:rsidP="003E551D">
            <w:pPr>
              <w:spacing w:before="0" w:after="0" w:line="240" w:lineRule="auto"/>
              <w:jc w:val="right"/>
              <w:rPr>
                <w:rFonts w:ascii="Arial" w:hAnsi="Arial" w:cs="Arial"/>
                <w:color w:val="000000"/>
                <w:sz w:val="16"/>
                <w:szCs w:val="16"/>
              </w:rPr>
            </w:pPr>
            <w:r w:rsidRPr="003E551D">
              <w:rPr>
                <w:rFonts w:ascii="Arial" w:hAnsi="Arial" w:cs="Arial"/>
                <w:color w:val="000000"/>
                <w:sz w:val="16"/>
                <w:szCs w:val="16"/>
              </w:rPr>
              <w:t>6,172</w:t>
            </w:r>
          </w:p>
        </w:tc>
      </w:tr>
      <w:tr w:rsidR="003E551D" w:rsidRPr="003E551D" w14:paraId="13C7D9DE" w14:textId="77777777" w:rsidTr="00204B48">
        <w:trPr>
          <w:trHeight w:val="225"/>
        </w:trPr>
        <w:tc>
          <w:tcPr>
            <w:tcW w:w="3036" w:type="dxa"/>
            <w:tcBorders>
              <w:top w:val="nil"/>
              <w:left w:val="nil"/>
              <w:bottom w:val="nil"/>
              <w:right w:val="nil"/>
            </w:tcBorders>
            <w:shd w:val="clear" w:color="000000" w:fill="FFFFFF"/>
            <w:noWrap/>
            <w:vAlign w:val="center"/>
            <w:hideMark/>
          </w:tcPr>
          <w:p w14:paraId="510C269B" w14:textId="77777777" w:rsidR="003E551D" w:rsidRPr="003E551D" w:rsidRDefault="003E551D" w:rsidP="003E551D">
            <w:pPr>
              <w:spacing w:before="0" w:after="0" w:line="240" w:lineRule="auto"/>
              <w:rPr>
                <w:rFonts w:ascii="Arial" w:hAnsi="Arial" w:cs="Arial"/>
                <w:color w:val="000000"/>
                <w:sz w:val="16"/>
                <w:szCs w:val="16"/>
              </w:rPr>
            </w:pPr>
            <w:r w:rsidRPr="003E551D">
              <w:rPr>
                <w:rFonts w:ascii="Arial" w:hAnsi="Arial" w:cs="Arial"/>
                <w:color w:val="000000"/>
                <w:sz w:val="16"/>
                <w:szCs w:val="16"/>
              </w:rPr>
              <w:t>Transport and communication</w:t>
            </w:r>
          </w:p>
        </w:tc>
        <w:tc>
          <w:tcPr>
            <w:tcW w:w="884" w:type="dxa"/>
            <w:tcBorders>
              <w:top w:val="nil"/>
              <w:left w:val="nil"/>
              <w:bottom w:val="nil"/>
              <w:right w:val="nil"/>
            </w:tcBorders>
            <w:shd w:val="clear" w:color="000000" w:fill="FFFFFF"/>
            <w:noWrap/>
            <w:vAlign w:val="center"/>
            <w:hideMark/>
          </w:tcPr>
          <w:p w14:paraId="5A31EB36" w14:textId="77777777" w:rsidR="003E551D" w:rsidRPr="003E551D" w:rsidRDefault="003E551D" w:rsidP="003E551D">
            <w:pPr>
              <w:spacing w:before="0" w:after="0" w:line="240" w:lineRule="auto"/>
              <w:jc w:val="right"/>
              <w:rPr>
                <w:rFonts w:ascii="Arial" w:hAnsi="Arial" w:cs="Arial"/>
                <w:color w:val="000000"/>
                <w:sz w:val="16"/>
                <w:szCs w:val="16"/>
              </w:rPr>
            </w:pPr>
            <w:r w:rsidRPr="003E551D">
              <w:rPr>
                <w:rFonts w:ascii="Arial" w:hAnsi="Arial" w:cs="Arial"/>
                <w:color w:val="000000"/>
                <w:sz w:val="16"/>
                <w:szCs w:val="16"/>
              </w:rPr>
              <w:t>14,928</w:t>
            </w:r>
          </w:p>
        </w:tc>
        <w:tc>
          <w:tcPr>
            <w:tcW w:w="883" w:type="dxa"/>
            <w:tcBorders>
              <w:top w:val="nil"/>
              <w:left w:val="nil"/>
              <w:bottom w:val="nil"/>
              <w:right w:val="nil"/>
            </w:tcBorders>
            <w:shd w:val="clear" w:color="000000" w:fill="E6F2FF"/>
            <w:noWrap/>
            <w:vAlign w:val="center"/>
            <w:hideMark/>
          </w:tcPr>
          <w:p w14:paraId="48196DD4" w14:textId="77777777" w:rsidR="003E551D" w:rsidRPr="003E551D" w:rsidRDefault="003E551D" w:rsidP="003E551D">
            <w:pPr>
              <w:spacing w:before="0" w:after="0" w:line="240" w:lineRule="auto"/>
              <w:jc w:val="right"/>
              <w:rPr>
                <w:rFonts w:ascii="Arial" w:hAnsi="Arial" w:cs="Arial"/>
                <w:color w:val="000000"/>
                <w:sz w:val="16"/>
                <w:szCs w:val="16"/>
              </w:rPr>
            </w:pPr>
            <w:r w:rsidRPr="003E551D">
              <w:rPr>
                <w:rFonts w:ascii="Arial" w:hAnsi="Arial" w:cs="Arial"/>
                <w:color w:val="000000"/>
                <w:sz w:val="16"/>
                <w:szCs w:val="16"/>
              </w:rPr>
              <w:t>16,769</w:t>
            </w:r>
          </w:p>
        </w:tc>
        <w:tc>
          <w:tcPr>
            <w:tcW w:w="883" w:type="dxa"/>
            <w:tcBorders>
              <w:top w:val="nil"/>
              <w:left w:val="nil"/>
              <w:bottom w:val="nil"/>
              <w:right w:val="nil"/>
            </w:tcBorders>
            <w:shd w:val="clear" w:color="000000" w:fill="FFFFFF"/>
            <w:noWrap/>
            <w:vAlign w:val="center"/>
            <w:hideMark/>
          </w:tcPr>
          <w:p w14:paraId="1297377C" w14:textId="77777777" w:rsidR="003E551D" w:rsidRPr="003E551D" w:rsidRDefault="003E551D" w:rsidP="003E551D">
            <w:pPr>
              <w:spacing w:before="0" w:after="0" w:line="240" w:lineRule="auto"/>
              <w:jc w:val="right"/>
              <w:rPr>
                <w:rFonts w:ascii="Arial" w:hAnsi="Arial" w:cs="Arial"/>
                <w:color w:val="000000"/>
                <w:sz w:val="16"/>
                <w:szCs w:val="16"/>
              </w:rPr>
            </w:pPr>
            <w:r w:rsidRPr="003E551D">
              <w:rPr>
                <w:rFonts w:ascii="Arial" w:hAnsi="Arial" w:cs="Arial"/>
                <w:color w:val="000000"/>
                <w:sz w:val="16"/>
                <w:szCs w:val="16"/>
              </w:rPr>
              <w:t>16,717</w:t>
            </w:r>
          </w:p>
        </w:tc>
        <w:tc>
          <w:tcPr>
            <w:tcW w:w="883" w:type="dxa"/>
            <w:tcBorders>
              <w:top w:val="nil"/>
              <w:left w:val="nil"/>
              <w:bottom w:val="nil"/>
              <w:right w:val="nil"/>
            </w:tcBorders>
            <w:shd w:val="clear" w:color="000000" w:fill="FFFFFF"/>
            <w:noWrap/>
            <w:vAlign w:val="center"/>
            <w:hideMark/>
          </w:tcPr>
          <w:p w14:paraId="4E383EE0" w14:textId="77777777" w:rsidR="003E551D" w:rsidRPr="003E551D" w:rsidRDefault="003E551D" w:rsidP="003E551D">
            <w:pPr>
              <w:spacing w:before="0" w:after="0" w:line="240" w:lineRule="auto"/>
              <w:jc w:val="right"/>
              <w:rPr>
                <w:rFonts w:ascii="Arial" w:hAnsi="Arial" w:cs="Arial"/>
                <w:color w:val="000000"/>
                <w:sz w:val="16"/>
                <w:szCs w:val="16"/>
              </w:rPr>
            </w:pPr>
            <w:r w:rsidRPr="003E551D">
              <w:rPr>
                <w:rFonts w:ascii="Arial" w:hAnsi="Arial" w:cs="Arial"/>
                <w:color w:val="000000"/>
                <w:sz w:val="16"/>
                <w:szCs w:val="16"/>
              </w:rPr>
              <w:t>16,375</w:t>
            </w:r>
          </w:p>
        </w:tc>
        <w:tc>
          <w:tcPr>
            <w:tcW w:w="883" w:type="dxa"/>
            <w:tcBorders>
              <w:top w:val="nil"/>
              <w:left w:val="nil"/>
              <w:bottom w:val="nil"/>
              <w:right w:val="nil"/>
            </w:tcBorders>
            <w:shd w:val="clear" w:color="000000" w:fill="FFFFFF"/>
            <w:noWrap/>
            <w:vAlign w:val="center"/>
            <w:hideMark/>
          </w:tcPr>
          <w:p w14:paraId="5ED1055E" w14:textId="77777777" w:rsidR="003E551D" w:rsidRPr="003E551D" w:rsidRDefault="003E551D" w:rsidP="003E551D">
            <w:pPr>
              <w:spacing w:before="0" w:after="0" w:line="240" w:lineRule="auto"/>
              <w:jc w:val="right"/>
              <w:rPr>
                <w:rFonts w:ascii="Arial" w:hAnsi="Arial" w:cs="Arial"/>
                <w:color w:val="000000"/>
                <w:sz w:val="16"/>
                <w:szCs w:val="16"/>
              </w:rPr>
            </w:pPr>
            <w:r w:rsidRPr="003E551D">
              <w:rPr>
                <w:rFonts w:ascii="Arial" w:hAnsi="Arial" w:cs="Arial"/>
                <w:color w:val="000000"/>
                <w:sz w:val="16"/>
                <w:szCs w:val="16"/>
              </w:rPr>
              <w:t>14,656</w:t>
            </w:r>
          </w:p>
        </w:tc>
      </w:tr>
      <w:tr w:rsidR="003E551D" w:rsidRPr="003E551D" w14:paraId="00562F01" w14:textId="77777777" w:rsidTr="00204B48">
        <w:trPr>
          <w:trHeight w:val="225"/>
        </w:trPr>
        <w:tc>
          <w:tcPr>
            <w:tcW w:w="3036" w:type="dxa"/>
            <w:tcBorders>
              <w:top w:val="nil"/>
              <w:left w:val="nil"/>
              <w:bottom w:val="nil"/>
              <w:right w:val="nil"/>
            </w:tcBorders>
            <w:shd w:val="clear" w:color="000000" w:fill="FFFFFF"/>
            <w:noWrap/>
            <w:vAlign w:val="center"/>
            <w:hideMark/>
          </w:tcPr>
          <w:p w14:paraId="74FDD0A5" w14:textId="77777777" w:rsidR="003E551D" w:rsidRPr="003E551D" w:rsidRDefault="003E551D" w:rsidP="003E551D">
            <w:pPr>
              <w:spacing w:before="0" w:after="0" w:line="240" w:lineRule="auto"/>
              <w:rPr>
                <w:rFonts w:ascii="Arial" w:hAnsi="Arial" w:cs="Arial"/>
                <w:color w:val="000000"/>
                <w:sz w:val="16"/>
                <w:szCs w:val="16"/>
              </w:rPr>
            </w:pPr>
            <w:r w:rsidRPr="003E551D">
              <w:rPr>
                <w:rFonts w:ascii="Arial" w:hAnsi="Arial" w:cs="Arial"/>
                <w:color w:val="000000"/>
                <w:sz w:val="16"/>
                <w:szCs w:val="16"/>
              </w:rPr>
              <w:t>Other economic affairs</w:t>
            </w:r>
          </w:p>
        </w:tc>
        <w:tc>
          <w:tcPr>
            <w:tcW w:w="884" w:type="dxa"/>
            <w:tcBorders>
              <w:top w:val="nil"/>
              <w:left w:val="nil"/>
              <w:bottom w:val="nil"/>
              <w:right w:val="nil"/>
            </w:tcBorders>
            <w:shd w:val="clear" w:color="000000" w:fill="FFFFFF"/>
            <w:noWrap/>
            <w:vAlign w:val="center"/>
            <w:hideMark/>
          </w:tcPr>
          <w:p w14:paraId="483A3038" w14:textId="77777777" w:rsidR="003E551D" w:rsidRPr="003E551D" w:rsidRDefault="003E551D" w:rsidP="003E551D">
            <w:pPr>
              <w:spacing w:before="0" w:after="0" w:line="240" w:lineRule="auto"/>
              <w:jc w:val="right"/>
              <w:rPr>
                <w:rFonts w:ascii="Arial" w:hAnsi="Arial" w:cs="Arial"/>
                <w:color w:val="000000"/>
                <w:sz w:val="16"/>
                <w:szCs w:val="16"/>
              </w:rPr>
            </w:pPr>
            <w:r w:rsidRPr="003E551D">
              <w:rPr>
                <w:rFonts w:ascii="Arial" w:hAnsi="Arial" w:cs="Arial"/>
                <w:color w:val="000000"/>
                <w:sz w:val="16"/>
                <w:szCs w:val="16"/>
              </w:rPr>
              <w:t>14,011</w:t>
            </w:r>
          </w:p>
        </w:tc>
        <w:tc>
          <w:tcPr>
            <w:tcW w:w="883" w:type="dxa"/>
            <w:tcBorders>
              <w:top w:val="nil"/>
              <w:left w:val="nil"/>
              <w:bottom w:val="nil"/>
              <w:right w:val="nil"/>
            </w:tcBorders>
            <w:shd w:val="clear" w:color="000000" w:fill="E6F2FF"/>
            <w:noWrap/>
            <w:vAlign w:val="center"/>
            <w:hideMark/>
          </w:tcPr>
          <w:p w14:paraId="7B58ABEE" w14:textId="77777777" w:rsidR="003E551D" w:rsidRPr="003E551D" w:rsidRDefault="003E551D" w:rsidP="003E551D">
            <w:pPr>
              <w:spacing w:before="0" w:after="0" w:line="240" w:lineRule="auto"/>
              <w:jc w:val="right"/>
              <w:rPr>
                <w:rFonts w:ascii="Arial" w:hAnsi="Arial" w:cs="Arial"/>
                <w:color w:val="000000"/>
                <w:sz w:val="16"/>
                <w:szCs w:val="16"/>
              </w:rPr>
            </w:pPr>
            <w:r w:rsidRPr="003E551D">
              <w:rPr>
                <w:rFonts w:ascii="Arial" w:hAnsi="Arial" w:cs="Arial"/>
                <w:color w:val="000000"/>
                <w:sz w:val="16"/>
                <w:szCs w:val="16"/>
              </w:rPr>
              <w:t>13,386</w:t>
            </w:r>
          </w:p>
        </w:tc>
        <w:tc>
          <w:tcPr>
            <w:tcW w:w="883" w:type="dxa"/>
            <w:tcBorders>
              <w:top w:val="nil"/>
              <w:left w:val="nil"/>
              <w:bottom w:val="nil"/>
              <w:right w:val="nil"/>
            </w:tcBorders>
            <w:shd w:val="clear" w:color="000000" w:fill="FFFFFF"/>
            <w:noWrap/>
            <w:vAlign w:val="center"/>
            <w:hideMark/>
          </w:tcPr>
          <w:p w14:paraId="13C8D6A1" w14:textId="77777777" w:rsidR="003E551D" w:rsidRPr="003E551D" w:rsidRDefault="003E551D" w:rsidP="003E551D">
            <w:pPr>
              <w:spacing w:before="0" w:after="0" w:line="240" w:lineRule="auto"/>
              <w:jc w:val="right"/>
              <w:rPr>
                <w:rFonts w:ascii="Arial" w:hAnsi="Arial" w:cs="Arial"/>
                <w:color w:val="000000"/>
                <w:sz w:val="16"/>
                <w:szCs w:val="16"/>
              </w:rPr>
            </w:pPr>
            <w:r w:rsidRPr="003E551D">
              <w:rPr>
                <w:rFonts w:ascii="Arial" w:hAnsi="Arial" w:cs="Arial"/>
                <w:color w:val="000000"/>
                <w:sz w:val="16"/>
                <w:szCs w:val="16"/>
              </w:rPr>
              <w:t>12,214</w:t>
            </w:r>
          </w:p>
        </w:tc>
        <w:tc>
          <w:tcPr>
            <w:tcW w:w="883" w:type="dxa"/>
            <w:tcBorders>
              <w:top w:val="nil"/>
              <w:left w:val="nil"/>
              <w:bottom w:val="nil"/>
              <w:right w:val="nil"/>
            </w:tcBorders>
            <w:shd w:val="clear" w:color="000000" w:fill="FFFFFF"/>
            <w:noWrap/>
            <w:vAlign w:val="center"/>
            <w:hideMark/>
          </w:tcPr>
          <w:p w14:paraId="1ADE9A0F" w14:textId="77777777" w:rsidR="003E551D" w:rsidRPr="003E551D" w:rsidRDefault="003E551D" w:rsidP="003E551D">
            <w:pPr>
              <w:spacing w:before="0" w:after="0" w:line="240" w:lineRule="auto"/>
              <w:jc w:val="right"/>
              <w:rPr>
                <w:rFonts w:ascii="Arial" w:hAnsi="Arial" w:cs="Arial"/>
                <w:color w:val="000000"/>
                <w:sz w:val="16"/>
                <w:szCs w:val="16"/>
              </w:rPr>
            </w:pPr>
            <w:r w:rsidRPr="003E551D">
              <w:rPr>
                <w:rFonts w:ascii="Arial" w:hAnsi="Arial" w:cs="Arial"/>
                <w:color w:val="000000"/>
                <w:sz w:val="16"/>
                <w:szCs w:val="16"/>
              </w:rPr>
              <w:t>11,733</w:t>
            </w:r>
          </w:p>
        </w:tc>
        <w:tc>
          <w:tcPr>
            <w:tcW w:w="883" w:type="dxa"/>
            <w:tcBorders>
              <w:top w:val="nil"/>
              <w:left w:val="nil"/>
              <w:bottom w:val="nil"/>
              <w:right w:val="nil"/>
            </w:tcBorders>
            <w:shd w:val="clear" w:color="000000" w:fill="FFFFFF"/>
            <w:noWrap/>
            <w:vAlign w:val="center"/>
            <w:hideMark/>
          </w:tcPr>
          <w:p w14:paraId="68C8F46F" w14:textId="77777777" w:rsidR="003E551D" w:rsidRPr="003E551D" w:rsidRDefault="003E551D" w:rsidP="003E551D">
            <w:pPr>
              <w:spacing w:before="0" w:after="0" w:line="240" w:lineRule="auto"/>
              <w:jc w:val="right"/>
              <w:rPr>
                <w:rFonts w:ascii="Arial" w:hAnsi="Arial" w:cs="Arial"/>
                <w:color w:val="000000"/>
                <w:sz w:val="16"/>
                <w:szCs w:val="16"/>
              </w:rPr>
            </w:pPr>
            <w:r w:rsidRPr="003E551D">
              <w:rPr>
                <w:rFonts w:ascii="Arial" w:hAnsi="Arial" w:cs="Arial"/>
                <w:color w:val="000000"/>
                <w:sz w:val="16"/>
                <w:szCs w:val="16"/>
              </w:rPr>
              <w:t>11,512</w:t>
            </w:r>
          </w:p>
        </w:tc>
      </w:tr>
      <w:tr w:rsidR="003E551D" w:rsidRPr="003E551D" w14:paraId="12E2472F" w14:textId="77777777" w:rsidTr="00204B48">
        <w:trPr>
          <w:trHeight w:val="225"/>
        </w:trPr>
        <w:tc>
          <w:tcPr>
            <w:tcW w:w="3036" w:type="dxa"/>
            <w:tcBorders>
              <w:top w:val="nil"/>
              <w:left w:val="nil"/>
              <w:bottom w:val="nil"/>
              <w:right w:val="nil"/>
            </w:tcBorders>
            <w:shd w:val="clear" w:color="000000" w:fill="FFFFFF"/>
            <w:noWrap/>
            <w:vAlign w:val="center"/>
            <w:hideMark/>
          </w:tcPr>
          <w:p w14:paraId="0555E354" w14:textId="77777777" w:rsidR="003E551D" w:rsidRPr="003E551D" w:rsidRDefault="003E551D" w:rsidP="003E551D">
            <w:pPr>
              <w:spacing w:before="0" w:after="0" w:line="240" w:lineRule="auto"/>
              <w:rPr>
                <w:rFonts w:ascii="Arial" w:hAnsi="Arial" w:cs="Arial"/>
                <w:sz w:val="16"/>
                <w:szCs w:val="16"/>
              </w:rPr>
            </w:pPr>
            <w:r w:rsidRPr="003E551D">
              <w:rPr>
                <w:rFonts w:ascii="Arial" w:hAnsi="Arial" w:cs="Arial"/>
                <w:sz w:val="16"/>
                <w:szCs w:val="16"/>
              </w:rPr>
              <w:t>Other purposes</w:t>
            </w:r>
          </w:p>
        </w:tc>
        <w:tc>
          <w:tcPr>
            <w:tcW w:w="884" w:type="dxa"/>
            <w:tcBorders>
              <w:top w:val="nil"/>
              <w:left w:val="nil"/>
              <w:bottom w:val="nil"/>
              <w:right w:val="nil"/>
            </w:tcBorders>
            <w:shd w:val="clear" w:color="000000" w:fill="FFFFFF"/>
            <w:noWrap/>
            <w:vAlign w:val="center"/>
            <w:hideMark/>
          </w:tcPr>
          <w:p w14:paraId="4AFEB634" w14:textId="77777777" w:rsidR="003E551D" w:rsidRPr="003E551D" w:rsidRDefault="003E551D" w:rsidP="003E551D">
            <w:pPr>
              <w:spacing w:before="0" w:after="0" w:line="240" w:lineRule="auto"/>
              <w:jc w:val="right"/>
              <w:rPr>
                <w:rFonts w:ascii="Arial" w:hAnsi="Arial" w:cs="Arial"/>
                <w:sz w:val="16"/>
                <w:szCs w:val="16"/>
              </w:rPr>
            </w:pPr>
            <w:r w:rsidRPr="003E551D">
              <w:rPr>
                <w:rFonts w:ascii="Arial" w:hAnsi="Arial" w:cs="Arial"/>
                <w:sz w:val="16"/>
                <w:szCs w:val="16"/>
              </w:rPr>
              <w:t>132,430</w:t>
            </w:r>
          </w:p>
        </w:tc>
        <w:tc>
          <w:tcPr>
            <w:tcW w:w="883" w:type="dxa"/>
            <w:tcBorders>
              <w:top w:val="nil"/>
              <w:left w:val="nil"/>
              <w:bottom w:val="nil"/>
              <w:right w:val="nil"/>
            </w:tcBorders>
            <w:shd w:val="clear" w:color="000000" w:fill="E6F2FF"/>
            <w:noWrap/>
            <w:vAlign w:val="center"/>
            <w:hideMark/>
          </w:tcPr>
          <w:p w14:paraId="28A0C2F1" w14:textId="77777777" w:rsidR="003E551D" w:rsidRPr="003E551D" w:rsidRDefault="003E551D" w:rsidP="003E551D">
            <w:pPr>
              <w:spacing w:before="0" w:after="0" w:line="240" w:lineRule="auto"/>
              <w:jc w:val="right"/>
              <w:rPr>
                <w:rFonts w:ascii="Arial" w:hAnsi="Arial" w:cs="Arial"/>
                <w:sz w:val="16"/>
                <w:szCs w:val="16"/>
              </w:rPr>
            </w:pPr>
            <w:r w:rsidRPr="003E551D">
              <w:rPr>
                <w:rFonts w:ascii="Arial" w:hAnsi="Arial" w:cs="Arial"/>
                <w:sz w:val="16"/>
                <w:szCs w:val="16"/>
              </w:rPr>
              <w:t>137,810</w:t>
            </w:r>
          </w:p>
        </w:tc>
        <w:tc>
          <w:tcPr>
            <w:tcW w:w="883" w:type="dxa"/>
            <w:tcBorders>
              <w:top w:val="nil"/>
              <w:left w:val="nil"/>
              <w:bottom w:val="nil"/>
              <w:right w:val="nil"/>
            </w:tcBorders>
            <w:shd w:val="clear" w:color="000000" w:fill="FFFFFF"/>
            <w:noWrap/>
            <w:vAlign w:val="center"/>
            <w:hideMark/>
          </w:tcPr>
          <w:p w14:paraId="3A636746" w14:textId="77777777" w:rsidR="003E551D" w:rsidRPr="003E551D" w:rsidRDefault="003E551D" w:rsidP="003E551D">
            <w:pPr>
              <w:spacing w:before="0" w:after="0" w:line="240" w:lineRule="auto"/>
              <w:jc w:val="right"/>
              <w:rPr>
                <w:rFonts w:ascii="Arial" w:hAnsi="Arial" w:cs="Arial"/>
                <w:sz w:val="16"/>
                <w:szCs w:val="16"/>
              </w:rPr>
            </w:pPr>
            <w:r w:rsidRPr="003E551D">
              <w:rPr>
                <w:rFonts w:ascii="Arial" w:hAnsi="Arial" w:cs="Arial"/>
                <w:sz w:val="16"/>
                <w:szCs w:val="16"/>
              </w:rPr>
              <w:t>161,683</w:t>
            </w:r>
          </w:p>
        </w:tc>
        <w:tc>
          <w:tcPr>
            <w:tcW w:w="883" w:type="dxa"/>
            <w:tcBorders>
              <w:top w:val="nil"/>
              <w:left w:val="nil"/>
              <w:bottom w:val="nil"/>
              <w:right w:val="nil"/>
            </w:tcBorders>
            <w:shd w:val="clear" w:color="000000" w:fill="FFFFFF"/>
            <w:noWrap/>
            <w:vAlign w:val="center"/>
            <w:hideMark/>
          </w:tcPr>
          <w:p w14:paraId="127DCC76" w14:textId="77777777" w:rsidR="003E551D" w:rsidRPr="003E551D" w:rsidRDefault="003E551D" w:rsidP="003E551D">
            <w:pPr>
              <w:spacing w:before="0" w:after="0" w:line="240" w:lineRule="auto"/>
              <w:jc w:val="right"/>
              <w:rPr>
                <w:rFonts w:ascii="Arial" w:hAnsi="Arial" w:cs="Arial"/>
                <w:sz w:val="16"/>
                <w:szCs w:val="16"/>
              </w:rPr>
            </w:pPr>
            <w:r w:rsidRPr="003E551D">
              <w:rPr>
                <w:rFonts w:ascii="Arial" w:hAnsi="Arial" w:cs="Arial"/>
                <w:sz w:val="16"/>
                <w:szCs w:val="16"/>
              </w:rPr>
              <w:t>176,135</w:t>
            </w:r>
          </w:p>
        </w:tc>
        <w:tc>
          <w:tcPr>
            <w:tcW w:w="883" w:type="dxa"/>
            <w:tcBorders>
              <w:top w:val="nil"/>
              <w:left w:val="nil"/>
              <w:bottom w:val="nil"/>
              <w:right w:val="nil"/>
            </w:tcBorders>
            <w:shd w:val="clear" w:color="000000" w:fill="FFFFFF"/>
            <w:noWrap/>
            <w:vAlign w:val="center"/>
            <w:hideMark/>
          </w:tcPr>
          <w:p w14:paraId="7F199125" w14:textId="77777777" w:rsidR="003E551D" w:rsidRPr="003E551D" w:rsidRDefault="003E551D" w:rsidP="003E551D">
            <w:pPr>
              <w:spacing w:before="0" w:after="0" w:line="240" w:lineRule="auto"/>
              <w:jc w:val="right"/>
              <w:rPr>
                <w:rFonts w:ascii="Arial" w:hAnsi="Arial" w:cs="Arial"/>
                <w:sz w:val="16"/>
                <w:szCs w:val="16"/>
              </w:rPr>
            </w:pPr>
            <w:r w:rsidRPr="003E551D">
              <w:rPr>
                <w:rFonts w:ascii="Arial" w:hAnsi="Arial" w:cs="Arial"/>
                <w:sz w:val="16"/>
                <w:szCs w:val="16"/>
              </w:rPr>
              <w:t>191,549</w:t>
            </w:r>
          </w:p>
        </w:tc>
      </w:tr>
      <w:tr w:rsidR="003E551D" w:rsidRPr="003E551D" w14:paraId="5272690C" w14:textId="77777777" w:rsidTr="00204B48">
        <w:trPr>
          <w:trHeight w:val="225"/>
        </w:trPr>
        <w:tc>
          <w:tcPr>
            <w:tcW w:w="3036" w:type="dxa"/>
            <w:tcBorders>
              <w:top w:val="nil"/>
              <w:left w:val="nil"/>
              <w:bottom w:val="single" w:sz="4" w:space="0" w:color="293F5B"/>
              <w:right w:val="nil"/>
            </w:tcBorders>
            <w:shd w:val="clear" w:color="000000" w:fill="FFFFFF"/>
            <w:noWrap/>
            <w:vAlign w:val="center"/>
            <w:hideMark/>
          </w:tcPr>
          <w:p w14:paraId="0DD18A9A" w14:textId="77777777" w:rsidR="003E551D" w:rsidRPr="003E551D" w:rsidRDefault="003E551D" w:rsidP="003E551D">
            <w:pPr>
              <w:spacing w:before="0" w:after="0" w:line="240" w:lineRule="auto"/>
              <w:rPr>
                <w:rFonts w:ascii="Arial" w:hAnsi="Arial" w:cs="Arial"/>
                <w:b/>
                <w:bCs/>
                <w:color w:val="000000"/>
                <w:sz w:val="16"/>
                <w:szCs w:val="16"/>
              </w:rPr>
            </w:pPr>
            <w:r w:rsidRPr="003E551D">
              <w:rPr>
                <w:rFonts w:ascii="Arial" w:hAnsi="Arial" w:cs="Arial"/>
                <w:b/>
                <w:bCs/>
                <w:color w:val="000000"/>
                <w:sz w:val="16"/>
                <w:szCs w:val="16"/>
              </w:rPr>
              <w:t>Total expenses</w:t>
            </w:r>
          </w:p>
        </w:tc>
        <w:tc>
          <w:tcPr>
            <w:tcW w:w="884" w:type="dxa"/>
            <w:tcBorders>
              <w:top w:val="single" w:sz="4" w:space="0" w:color="293F5B"/>
              <w:left w:val="nil"/>
              <w:bottom w:val="single" w:sz="4" w:space="0" w:color="293F5B"/>
              <w:right w:val="nil"/>
            </w:tcBorders>
            <w:shd w:val="clear" w:color="000000" w:fill="FFFFFF"/>
            <w:noWrap/>
            <w:vAlign w:val="center"/>
            <w:hideMark/>
          </w:tcPr>
          <w:p w14:paraId="3ABEF616" w14:textId="77777777" w:rsidR="003E551D" w:rsidRPr="003E551D" w:rsidRDefault="003E551D" w:rsidP="003E551D">
            <w:pPr>
              <w:spacing w:before="0" w:after="0" w:line="240" w:lineRule="auto"/>
              <w:jc w:val="right"/>
              <w:rPr>
                <w:rFonts w:ascii="Arial" w:hAnsi="Arial" w:cs="Arial"/>
                <w:b/>
                <w:bCs/>
                <w:color w:val="000000"/>
                <w:sz w:val="16"/>
                <w:szCs w:val="16"/>
              </w:rPr>
            </w:pPr>
            <w:r w:rsidRPr="003E551D">
              <w:rPr>
                <w:rFonts w:ascii="Arial" w:hAnsi="Arial" w:cs="Arial"/>
                <w:b/>
                <w:bCs/>
                <w:color w:val="000000"/>
                <w:sz w:val="16"/>
                <w:szCs w:val="16"/>
              </w:rPr>
              <w:t>691,070</w:t>
            </w:r>
          </w:p>
        </w:tc>
        <w:tc>
          <w:tcPr>
            <w:tcW w:w="883" w:type="dxa"/>
            <w:tcBorders>
              <w:top w:val="single" w:sz="4" w:space="0" w:color="293F5B"/>
              <w:left w:val="nil"/>
              <w:bottom w:val="single" w:sz="4" w:space="0" w:color="293F5B"/>
              <w:right w:val="nil"/>
            </w:tcBorders>
            <w:shd w:val="clear" w:color="000000" w:fill="E6F2FF"/>
            <w:noWrap/>
            <w:vAlign w:val="center"/>
            <w:hideMark/>
          </w:tcPr>
          <w:p w14:paraId="4AF3700D" w14:textId="77777777" w:rsidR="003E551D" w:rsidRPr="003E551D" w:rsidRDefault="003E551D" w:rsidP="003E551D">
            <w:pPr>
              <w:spacing w:before="0" w:after="0" w:line="240" w:lineRule="auto"/>
              <w:jc w:val="right"/>
              <w:rPr>
                <w:rFonts w:ascii="Arial" w:hAnsi="Arial" w:cs="Arial"/>
                <w:b/>
                <w:bCs/>
                <w:color w:val="000000"/>
                <w:sz w:val="16"/>
                <w:szCs w:val="16"/>
              </w:rPr>
            </w:pPr>
            <w:r w:rsidRPr="003E551D">
              <w:rPr>
                <w:rFonts w:ascii="Arial" w:hAnsi="Arial" w:cs="Arial"/>
                <w:b/>
                <w:bCs/>
                <w:color w:val="000000"/>
                <w:sz w:val="16"/>
                <w:szCs w:val="16"/>
              </w:rPr>
              <w:t>734,518</w:t>
            </w:r>
          </w:p>
        </w:tc>
        <w:tc>
          <w:tcPr>
            <w:tcW w:w="883" w:type="dxa"/>
            <w:tcBorders>
              <w:top w:val="single" w:sz="4" w:space="0" w:color="293F5B"/>
              <w:left w:val="nil"/>
              <w:bottom w:val="single" w:sz="4" w:space="0" w:color="293F5B"/>
              <w:right w:val="nil"/>
            </w:tcBorders>
            <w:shd w:val="clear" w:color="000000" w:fill="FFFFFF"/>
            <w:noWrap/>
            <w:vAlign w:val="center"/>
            <w:hideMark/>
          </w:tcPr>
          <w:p w14:paraId="781E7631" w14:textId="77777777" w:rsidR="003E551D" w:rsidRPr="003E551D" w:rsidRDefault="003E551D" w:rsidP="003E551D">
            <w:pPr>
              <w:spacing w:before="0" w:after="0" w:line="240" w:lineRule="auto"/>
              <w:jc w:val="right"/>
              <w:rPr>
                <w:rFonts w:ascii="Arial" w:hAnsi="Arial" w:cs="Arial"/>
                <w:b/>
                <w:bCs/>
                <w:color w:val="000000"/>
                <w:sz w:val="16"/>
                <w:szCs w:val="16"/>
              </w:rPr>
            </w:pPr>
            <w:r w:rsidRPr="003E551D">
              <w:rPr>
                <w:rFonts w:ascii="Arial" w:hAnsi="Arial" w:cs="Arial"/>
                <w:b/>
                <w:bCs/>
                <w:color w:val="000000"/>
                <w:sz w:val="16"/>
                <w:szCs w:val="16"/>
              </w:rPr>
              <w:t>767,290</w:t>
            </w:r>
          </w:p>
        </w:tc>
        <w:tc>
          <w:tcPr>
            <w:tcW w:w="883" w:type="dxa"/>
            <w:tcBorders>
              <w:top w:val="single" w:sz="4" w:space="0" w:color="293F5B"/>
              <w:left w:val="nil"/>
              <w:bottom w:val="single" w:sz="4" w:space="0" w:color="293F5B"/>
              <w:right w:val="nil"/>
            </w:tcBorders>
            <w:shd w:val="clear" w:color="000000" w:fill="FFFFFF"/>
            <w:noWrap/>
            <w:vAlign w:val="center"/>
            <w:hideMark/>
          </w:tcPr>
          <w:p w14:paraId="43A91CFA" w14:textId="77777777" w:rsidR="003E551D" w:rsidRPr="003E551D" w:rsidRDefault="003E551D" w:rsidP="003E551D">
            <w:pPr>
              <w:spacing w:before="0" w:after="0" w:line="240" w:lineRule="auto"/>
              <w:jc w:val="right"/>
              <w:rPr>
                <w:rFonts w:ascii="Arial" w:hAnsi="Arial" w:cs="Arial"/>
                <w:b/>
                <w:bCs/>
                <w:color w:val="000000"/>
                <w:sz w:val="16"/>
                <w:szCs w:val="16"/>
              </w:rPr>
            </w:pPr>
            <w:r w:rsidRPr="003E551D">
              <w:rPr>
                <w:rFonts w:ascii="Arial" w:hAnsi="Arial" w:cs="Arial"/>
                <w:b/>
                <w:bCs/>
                <w:color w:val="000000"/>
                <w:sz w:val="16"/>
                <w:szCs w:val="16"/>
              </w:rPr>
              <w:t>793,765</w:t>
            </w:r>
          </w:p>
        </w:tc>
        <w:tc>
          <w:tcPr>
            <w:tcW w:w="883" w:type="dxa"/>
            <w:tcBorders>
              <w:top w:val="single" w:sz="4" w:space="0" w:color="293F5B"/>
              <w:left w:val="nil"/>
              <w:bottom w:val="single" w:sz="4" w:space="0" w:color="293F5B"/>
              <w:right w:val="nil"/>
            </w:tcBorders>
            <w:shd w:val="clear" w:color="000000" w:fill="FFFFFF"/>
            <w:noWrap/>
            <w:vAlign w:val="center"/>
            <w:hideMark/>
          </w:tcPr>
          <w:p w14:paraId="49C9814E" w14:textId="77777777" w:rsidR="003E551D" w:rsidRPr="003E551D" w:rsidRDefault="003E551D" w:rsidP="003E551D">
            <w:pPr>
              <w:spacing w:before="0" w:after="0" w:line="240" w:lineRule="auto"/>
              <w:jc w:val="right"/>
              <w:rPr>
                <w:rFonts w:ascii="Arial" w:hAnsi="Arial" w:cs="Arial"/>
                <w:b/>
                <w:bCs/>
                <w:color w:val="000000"/>
                <w:sz w:val="16"/>
                <w:szCs w:val="16"/>
              </w:rPr>
            </w:pPr>
            <w:r w:rsidRPr="003E551D">
              <w:rPr>
                <w:rFonts w:ascii="Arial" w:hAnsi="Arial" w:cs="Arial"/>
                <w:b/>
                <w:bCs/>
                <w:color w:val="000000"/>
                <w:sz w:val="16"/>
                <w:szCs w:val="16"/>
              </w:rPr>
              <w:t>829,755</w:t>
            </w:r>
          </w:p>
        </w:tc>
      </w:tr>
    </w:tbl>
    <w:p w14:paraId="1A4F7271" w14:textId="0FA5E0C7" w:rsidR="00ED485A" w:rsidRDefault="00ED485A" w:rsidP="00E87DDC">
      <w:pPr>
        <w:pStyle w:val="ChartandTableFootnoteAlpha"/>
        <w:numPr>
          <w:ilvl w:val="0"/>
          <w:numId w:val="22"/>
        </w:numPr>
      </w:pPr>
      <w:bookmarkStart w:id="28" w:name="_Hlk133761362"/>
      <w:r w:rsidRPr="00DE482B">
        <w:t>The functions are based on an international standard classification of functions of government that is incorporated into the Government Finance Statistics (GFS) reporting framework</w:t>
      </w:r>
      <w:r w:rsidRPr="000177D7">
        <w:t>.</w:t>
      </w:r>
    </w:p>
    <w:p w14:paraId="74E6087A" w14:textId="77777777" w:rsidR="00ED485A" w:rsidRDefault="00ED485A" w:rsidP="00D91079">
      <w:pPr>
        <w:pStyle w:val="TableLine"/>
      </w:pPr>
    </w:p>
    <w:tbl>
      <w:tblPr>
        <w:tblW w:w="5000" w:type="pct"/>
        <w:shd w:val="clear" w:color="auto" w:fill="E6F2FF"/>
        <w:tblCellMar>
          <w:top w:w="284" w:type="dxa"/>
          <w:left w:w="284" w:type="dxa"/>
          <w:bottom w:w="284" w:type="dxa"/>
          <w:right w:w="284" w:type="dxa"/>
        </w:tblCellMar>
        <w:tblLook w:val="0000" w:firstRow="0" w:lastRow="0" w:firstColumn="0" w:lastColumn="0" w:noHBand="0" w:noVBand="0"/>
      </w:tblPr>
      <w:tblGrid>
        <w:gridCol w:w="7710"/>
      </w:tblGrid>
      <w:tr w:rsidR="00603726" w14:paraId="78E2C72F" w14:textId="77777777" w:rsidTr="007913DD">
        <w:trPr>
          <w:cantSplit/>
        </w:trPr>
        <w:tc>
          <w:tcPr>
            <w:tcW w:w="5000" w:type="pct"/>
            <w:shd w:val="clear" w:color="auto" w:fill="E6F2FF"/>
          </w:tcPr>
          <w:p w14:paraId="4D20468C" w14:textId="77777777" w:rsidR="00603726" w:rsidRDefault="00603726" w:rsidP="00B84C9C">
            <w:pPr>
              <w:pStyle w:val="BoxHeading"/>
            </w:pPr>
            <w:bookmarkStart w:id="29" w:name="_Toc4577268"/>
            <w:bookmarkStart w:id="30" w:name="_Toc4689179"/>
            <w:bookmarkStart w:id="31" w:name="_Toc99203677"/>
            <w:bookmarkStart w:id="32" w:name="_Toc117358170"/>
            <w:bookmarkEnd w:id="28"/>
            <w:r w:rsidRPr="00E32E1B">
              <w:lastRenderedPageBreak/>
              <w:t>Box 6.1: Where does government spending go in 2024–25?</w:t>
            </w:r>
          </w:p>
          <w:p w14:paraId="1B1FDB52" w14:textId="77777777" w:rsidR="00603726" w:rsidRDefault="00603726" w:rsidP="00603726">
            <w:pPr>
              <w:pStyle w:val="BoxText"/>
            </w:pPr>
            <w:r>
              <w:t>Government spending provides a wide range of services to the community. The most significant component of government spending relates to social security and welfare, with over one third of total expenses providing support to the aged, families with children, people with disabilities, veterans, carers and unemployed people.</w:t>
            </w:r>
          </w:p>
          <w:p w14:paraId="302D9F26" w14:textId="77777777" w:rsidR="00603726" w:rsidRDefault="00603726" w:rsidP="00603726">
            <w:pPr>
              <w:pStyle w:val="BoxText"/>
            </w:pPr>
            <w:r>
              <w:t>Around a seventh of government expenses occur in health, including spending on the Medicare Benefits Schedule and the Pharmaceutical Benefits Scheme.</w:t>
            </w:r>
          </w:p>
          <w:p w14:paraId="613F3DC8" w14:textId="0EC34AB9" w:rsidR="00603726" w:rsidRDefault="00603726" w:rsidP="00603726">
            <w:pPr>
              <w:pStyle w:val="BoxText"/>
            </w:pPr>
            <w:r>
              <w:t>The Government also provides significant investment in education, supporting government and non</w:t>
            </w:r>
            <w:r w:rsidR="008D4F6B">
              <w:noBreakHyphen/>
            </w:r>
            <w:r>
              <w:t>government schools, as well as higher education and vocational education and training.</w:t>
            </w:r>
          </w:p>
          <w:p w14:paraId="69ED79AE" w14:textId="1C62BDC2" w:rsidR="00603726" w:rsidRDefault="00603726" w:rsidP="00603726">
            <w:pPr>
              <w:pStyle w:val="BoxText"/>
            </w:pPr>
            <w:r>
              <w:t>Defence is another significant component of government expenditure, providing capability to the Australian Defence Force to protect Australia</w:t>
            </w:r>
            <w:r w:rsidR="008D4F6B">
              <w:t>’</w:t>
            </w:r>
            <w:r>
              <w:t>s security and defend our national interests.</w:t>
            </w:r>
          </w:p>
          <w:p w14:paraId="4563E39B" w14:textId="11D669EA" w:rsidR="00603726" w:rsidRDefault="00603726" w:rsidP="00B84C9C">
            <w:pPr>
              <w:pStyle w:val="ChartHeading"/>
            </w:pPr>
            <w:r w:rsidRPr="000177D7">
              <w:t xml:space="preserve">Chart 6.1: Expenses by </w:t>
            </w:r>
            <w:r w:rsidRPr="00A06387">
              <w:t>function</w:t>
            </w:r>
            <w:r w:rsidRPr="000177D7">
              <w:t xml:space="preserve"> in 202</w:t>
            </w:r>
            <w:r>
              <w:t>4</w:t>
            </w:r>
            <w:r w:rsidRPr="00002DB4">
              <w:t>–</w:t>
            </w:r>
            <w:r w:rsidRPr="0047176C">
              <w:t>2</w:t>
            </w:r>
            <w:r>
              <w:t>5</w:t>
            </w:r>
          </w:p>
          <w:p w14:paraId="19FE21D0" w14:textId="043C12B2" w:rsidR="00603726" w:rsidRDefault="007528E4" w:rsidP="00100C3E">
            <w:pPr>
              <w:pStyle w:val="ChartGraphic"/>
            </w:pPr>
            <w:r>
              <w:rPr>
                <w:noProof/>
              </w:rPr>
              <w:pict w14:anchorId="61408B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This chart breaks down general government sector expenses by function as a per cent of total expenses in 2024–25. The majority of expenses for 2024–25 are in the social security and welfare function (36.3 per cent), followed by other purposes (18.8 per cent), health (15.3 per cent), education (7.2 per cent), defence (6.5 per cent), general public services (4.4 per cent). All other function expenses account for 11.4 per cent of total general government sector expenses in 2024–25.&#10;" style="width:349.65pt;height:210.8pt;mso-position-horizontal:absolute">
                  <v:imagedata r:id="rId23" o:title=""/>
                </v:shape>
              </w:pict>
            </w:r>
          </w:p>
          <w:p w14:paraId="28A4554F" w14:textId="77777777" w:rsidR="00603726" w:rsidRPr="000177D7" w:rsidRDefault="00603726" w:rsidP="00603726">
            <w:pPr>
              <w:pStyle w:val="ChartLine"/>
            </w:pPr>
          </w:p>
          <w:p w14:paraId="7CF90932" w14:textId="43697E48" w:rsidR="00603726" w:rsidRDefault="00603726" w:rsidP="00603726">
            <w:pPr>
              <w:pStyle w:val="BoxText"/>
            </w:pPr>
            <w:r w:rsidRPr="000177D7">
              <w:t>The estimates presented in the chart above are explained in greater detail under each function in the following pages.</w:t>
            </w:r>
          </w:p>
        </w:tc>
      </w:tr>
    </w:tbl>
    <w:p w14:paraId="6747189D" w14:textId="77777777" w:rsidR="00E32E1B" w:rsidRPr="000177D7" w:rsidRDefault="00E32E1B" w:rsidP="00E32E1B">
      <w:pPr>
        <w:spacing w:before="0" w:after="160" w:line="259" w:lineRule="auto"/>
      </w:pPr>
      <w:r w:rsidRPr="000177D7">
        <w:br w:type="page"/>
      </w:r>
    </w:p>
    <w:p w14:paraId="2873B1B1" w14:textId="77777777" w:rsidR="00ED485A" w:rsidRPr="000177D7" w:rsidRDefault="00ED485A" w:rsidP="00ED485A">
      <w:pPr>
        <w:pStyle w:val="Heading3"/>
      </w:pPr>
      <w:bookmarkStart w:id="33" w:name="_Toc166369415"/>
      <w:r w:rsidRPr="000177D7">
        <w:lastRenderedPageBreak/>
        <w:t>Program expenses</w:t>
      </w:r>
      <w:bookmarkEnd w:id="29"/>
      <w:bookmarkEnd w:id="30"/>
      <w:bookmarkEnd w:id="31"/>
      <w:bookmarkEnd w:id="32"/>
      <w:bookmarkEnd w:id="33"/>
    </w:p>
    <w:p w14:paraId="54AE09B1" w14:textId="00DC5188" w:rsidR="00C418C7" w:rsidRPr="000177D7" w:rsidRDefault="00C418C7" w:rsidP="00C418C7">
      <w:bookmarkStart w:id="34" w:name="_Toc4577269"/>
      <w:bookmarkStart w:id="35" w:name="_Toc4689180"/>
      <w:r>
        <w:t>T</w:t>
      </w:r>
      <w:r w:rsidRPr="000177D7">
        <w:t xml:space="preserve">he top 20 expense programs in the </w:t>
      </w:r>
      <w:r>
        <w:t>2024–25</w:t>
      </w:r>
      <w:r w:rsidRPr="000177D7">
        <w:t> financial year</w:t>
      </w:r>
      <w:r>
        <w:t xml:space="preserve"> are presented in </w:t>
      </w:r>
      <w:r w:rsidR="00F53FD5">
        <w:t>Table </w:t>
      </w:r>
      <w:r>
        <w:t>6.3.1</w:t>
      </w:r>
      <w:r w:rsidRPr="000177D7">
        <w:t xml:space="preserve">. These programs represent more than two thirds of total expenses in </w:t>
      </w:r>
      <w:r w:rsidR="0026203E">
        <w:t>2024</w:t>
      </w:r>
      <w:r w:rsidR="00F8401A">
        <w:t>–</w:t>
      </w:r>
      <w:r w:rsidR="0026203E">
        <w:t>25</w:t>
      </w:r>
      <w:r w:rsidRPr="000177D7">
        <w:t>.</w:t>
      </w:r>
    </w:p>
    <w:p w14:paraId="72C99072" w14:textId="567B0F6F" w:rsidR="00C17931" w:rsidRDefault="00E32E1B" w:rsidP="00C17931">
      <w:pPr>
        <w:pStyle w:val="TableHeading"/>
        <w:rPr>
          <w:rFonts w:asciiTheme="minorHAnsi" w:eastAsiaTheme="minorHAnsi" w:hAnsiTheme="minorHAnsi" w:cstheme="minorBidi"/>
          <w:sz w:val="22"/>
          <w:szCs w:val="22"/>
          <w:lang w:eastAsia="en-US"/>
        </w:rPr>
      </w:pPr>
      <w:r>
        <w:t>Table </w:t>
      </w:r>
      <w:r w:rsidRPr="000177D7">
        <w:t xml:space="preserve">6.3.1: Top 20 programs by </w:t>
      </w:r>
      <w:r w:rsidRPr="007D0F35">
        <w:t>expense</w:t>
      </w:r>
      <w:bookmarkStart w:id="36" w:name="_1727953875"/>
      <w:bookmarkStart w:id="37" w:name="_1727955052"/>
      <w:bookmarkStart w:id="38" w:name="_1776937162"/>
      <w:bookmarkEnd w:id="36"/>
      <w:bookmarkEnd w:id="37"/>
      <w:bookmarkEnd w:id="38"/>
    </w:p>
    <w:tbl>
      <w:tblPr>
        <w:tblW w:w="5000" w:type="pct"/>
        <w:tblCellMar>
          <w:left w:w="0" w:type="dxa"/>
          <w:right w:w="28" w:type="dxa"/>
        </w:tblCellMar>
        <w:tblLook w:val="04A0" w:firstRow="1" w:lastRow="0" w:firstColumn="1" w:lastColumn="0" w:noHBand="0" w:noVBand="1"/>
      </w:tblPr>
      <w:tblGrid>
        <w:gridCol w:w="2875"/>
        <w:gridCol w:w="1185"/>
        <w:gridCol w:w="78"/>
        <w:gridCol w:w="715"/>
        <w:gridCol w:w="715"/>
        <w:gridCol w:w="715"/>
        <w:gridCol w:w="716"/>
        <w:gridCol w:w="711"/>
      </w:tblGrid>
      <w:tr w:rsidR="00C17931" w:rsidRPr="00C17931" w14:paraId="4DF9A6EE" w14:textId="77777777" w:rsidTr="00C17931">
        <w:trPr>
          <w:trHeight w:hRule="exact" w:val="20"/>
        </w:trPr>
        <w:tc>
          <w:tcPr>
            <w:tcW w:w="1873" w:type="pct"/>
            <w:tcBorders>
              <w:top w:val="nil"/>
              <w:left w:val="nil"/>
              <w:bottom w:val="single" w:sz="4" w:space="0" w:color="293F5B"/>
              <w:right w:val="nil"/>
            </w:tcBorders>
            <w:shd w:val="clear" w:color="000000" w:fill="FFFFFF"/>
            <w:noWrap/>
            <w:vAlign w:val="center"/>
            <w:hideMark/>
          </w:tcPr>
          <w:p w14:paraId="379053BF" w14:textId="7CF23433" w:rsidR="00C17931" w:rsidRPr="00C17931" w:rsidRDefault="00C17931" w:rsidP="00C17931">
            <w:pPr>
              <w:spacing w:before="0" w:after="0" w:line="240" w:lineRule="auto"/>
              <w:rPr>
                <w:rFonts w:ascii="Arial" w:hAnsi="Arial" w:cs="Arial"/>
                <w:b/>
                <w:bCs/>
                <w:color w:val="000000"/>
                <w:sz w:val="16"/>
                <w:szCs w:val="16"/>
              </w:rPr>
            </w:pPr>
            <w:r w:rsidRPr="00C17931">
              <w:rPr>
                <w:rFonts w:ascii="Arial" w:hAnsi="Arial" w:cs="Arial"/>
                <w:b/>
                <w:bCs/>
                <w:color w:val="000000"/>
                <w:sz w:val="16"/>
                <w:szCs w:val="16"/>
              </w:rPr>
              <w:t> </w:t>
            </w:r>
          </w:p>
        </w:tc>
        <w:tc>
          <w:tcPr>
            <w:tcW w:w="711" w:type="pct"/>
            <w:tcBorders>
              <w:top w:val="nil"/>
              <w:left w:val="nil"/>
              <w:bottom w:val="single" w:sz="4" w:space="0" w:color="293F5B"/>
              <w:right w:val="nil"/>
            </w:tcBorders>
            <w:shd w:val="clear" w:color="000000" w:fill="FFFFFF"/>
            <w:noWrap/>
            <w:vAlign w:val="center"/>
            <w:hideMark/>
          </w:tcPr>
          <w:p w14:paraId="36E995BD" w14:textId="77777777" w:rsidR="00C17931" w:rsidRPr="00C17931" w:rsidRDefault="00C17931" w:rsidP="00C17931">
            <w:pPr>
              <w:spacing w:before="0" w:after="0" w:line="240" w:lineRule="auto"/>
              <w:rPr>
                <w:rFonts w:ascii="Arial" w:hAnsi="Arial" w:cs="Arial"/>
                <w:b/>
                <w:bCs/>
                <w:color w:val="000000"/>
                <w:sz w:val="16"/>
                <w:szCs w:val="16"/>
              </w:rPr>
            </w:pPr>
            <w:r w:rsidRPr="00C17931">
              <w:rPr>
                <w:rFonts w:ascii="Arial" w:hAnsi="Arial" w:cs="Arial"/>
                <w:b/>
                <w:bCs/>
                <w:color w:val="000000"/>
                <w:sz w:val="16"/>
                <w:szCs w:val="16"/>
              </w:rPr>
              <w:t> </w:t>
            </w:r>
          </w:p>
        </w:tc>
        <w:tc>
          <w:tcPr>
            <w:tcW w:w="59" w:type="pct"/>
            <w:tcBorders>
              <w:top w:val="nil"/>
              <w:left w:val="nil"/>
              <w:bottom w:val="single" w:sz="4" w:space="0" w:color="293F5B"/>
              <w:right w:val="nil"/>
            </w:tcBorders>
            <w:shd w:val="clear" w:color="000000" w:fill="FFFFFF"/>
            <w:noWrap/>
            <w:vAlign w:val="center"/>
            <w:hideMark/>
          </w:tcPr>
          <w:p w14:paraId="3A2234D9" w14:textId="77777777" w:rsidR="00C17931" w:rsidRPr="00C17931" w:rsidRDefault="00C17931" w:rsidP="00C17931">
            <w:pPr>
              <w:spacing w:before="0" w:after="0" w:line="240" w:lineRule="auto"/>
              <w:rPr>
                <w:rFonts w:ascii="Arial" w:hAnsi="Arial" w:cs="Arial"/>
                <w:b/>
                <w:bCs/>
                <w:color w:val="000000"/>
                <w:sz w:val="16"/>
                <w:szCs w:val="16"/>
              </w:rPr>
            </w:pPr>
            <w:r w:rsidRPr="00C17931">
              <w:rPr>
                <w:rFonts w:ascii="Arial" w:hAnsi="Arial" w:cs="Arial"/>
                <w:b/>
                <w:bCs/>
                <w:color w:val="000000"/>
                <w:sz w:val="16"/>
                <w:szCs w:val="16"/>
              </w:rPr>
              <w:t> </w:t>
            </w:r>
          </w:p>
        </w:tc>
        <w:tc>
          <w:tcPr>
            <w:tcW w:w="472" w:type="pct"/>
            <w:tcBorders>
              <w:top w:val="nil"/>
              <w:left w:val="nil"/>
              <w:bottom w:val="single" w:sz="4" w:space="0" w:color="293F5B"/>
              <w:right w:val="nil"/>
            </w:tcBorders>
            <w:shd w:val="clear" w:color="000000" w:fill="FFFFFF"/>
            <w:noWrap/>
            <w:vAlign w:val="center"/>
            <w:hideMark/>
          </w:tcPr>
          <w:p w14:paraId="4D5243B8" w14:textId="77777777" w:rsidR="00C17931" w:rsidRPr="00C17931" w:rsidRDefault="00C17931" w:rsidP="00C17931">
            <w:pPr>
              <w:spacing w:before="0" w:after="0" w:line="240" w:lineRule="auto"/>
              <w:rPr>
                <w:rFonts w:ascii="Arial" w:hAnsi="Arial" w:cs="Arial"/>
                <w:color w:val="000000"/>
                <w:sz w:val="16"/>
                <w:szCs w:val="16"/>
              </w:rPr>
            </w:pPr>
            <w:r w:rsidRPr="00C17931">
              <w:rPr>
                <w:rFonts w:ascii="Arial" w:hAnsi="Arial" w:cs="Arial"/>
                <w:color w:val="000000"/>
                <w:sz w:val="16"/>
                <w:szCs w:val="16"/>
              </w:rPr>
              <w:t> </w:t>
            </w:r>
          </w:p>
        </w:tc>
        <w:tc>
          <w:tcPr>
            <w:tcW w:w="472" w:type="pct"/>
            <w:tcBorders>
              <w:top w:val="nil"/>
              <w:left w:val="nil"/>
              <w:bottom w:val="single" w:sz="4" w:space="0" w:color="293F5B"/>
              <w:right w:val="nil"/>
            </w:tcBorders>
            <w:shd w:val="clear" w:color="000000" w:fill="FFFFFF"/>
            <w:noWrap/>
            <w:vAlign w:val="center"/>
            <w:hideMark/>
          </w:tcPr>
          <w:p w14:paraId="67FCD058" w14:textId="77777777" w:rsidR="00C17931" w:rsidRPr="00C17931" w:rsidRDefault="00C17931" w:rsidP="00C17931">
            <w:pPr>
              <w:spacing w:before="0" w:after="0" w:line="240" w:lineRule="auto"/>
              <w:rPr>
                <w:rFonts w:ascii="Arial" w:hAnsi="Arial" w:cs="Arial"/>
                <w:color w:val="000000"/>
                <w:sz w:val="16"/>
                <w:szCs w:val="16"/>
              </w:rPr>
            </w:pPr>
            <w:r w:rsidRPr="00C17931">
              <w:rPr>
                <w:rFonts w:ascii="Arial" w:hAnsi="Arial" w:cs="Arial"/>
                <w:color w:val="000000"/>
                <w:sz w:val="16"/>
                <w:szCs w:val="16"/>
              </w:rPr>
              <w:t> </w:t>
            </w:r>
          </w:p>
        </w:tc>
        <w:tc>
          <w:tcPr>
            <w:tcW w:w="472" w:type="pct"/>
            <w:tcBorders>
              <w:top w:val="nil"/>
              <w:left w:val="nil"/>
              <w:bottom w:val="single" w:sz="4" w:space="0" w:color="293F5B"/>
              <w:right w:val="nil"/>
            </w:tcBorders>
            <w:shd w:val="clear" w:color="000000" w:fill="FFFFFF"/>
            <w:noWrap/>
            <w:vAlign w:val="center"/>
            <w:hideMark/>
          </w:tcPr>
          <w:p w14:paraId="68D1AC63" w14:textId="77777777" w:rsidR="00C17931" w:rsidRPr="00C17931" w:rsidRDefault="00C17931" w:rsidP="00C17931">
            <w:pPr>
              <w:spacing w:before="0" w:after="0" w:line="240" w:lineRule="auto"/>
              <w:rPr>
                <w:rFonts w:ascii="Arial" w:hAnsi="Arial" w:cs="Arial"/>
                <w:color w:val="000000"/>
                <w:sz w:val="16"/>
                <w:szCs w:val="16"/>
              </w:rPr>
            </w:pPr>
            <w:r w:rsidRPr="00C17931">
              <w:rPr>
                <w:rFonts w:ascii="Arial" w:hAnsi="Arial" w:cs="Arial"/>
                <w:color w:val="000000"/>
                <w:sz w:val="16"/>
                <w:szCs w:val="16"/>
              </w:rPr>
              <w:t> </w:t>
            </w:r>
          </w:p>
        </w:tc>
        <w:tc>
          <w:tcPr>
            <w:tcW w:w="472" w:type="pct"/>
            <w:tcBorders>
              <w:top w:val="nil"/>
              <w:left w:val="nil"/>
              <w:bottom w:val="single" w:sz="4" w:space="0" w:color="293F5B"/>
              <w:right w:val="nil"/>
            </w:tcBorders>
            <w:shd w:val="clear" w:color="000000" w:fill="FFFFFF"/>
            <w:noWrap/>
            <w:vAlign w:val="center"/>
            <w:hideMark/>
          </w:tcPr>
          <w:p w14:paraId="4ECF4BCC" w14:textId="77777777" w:rsidR="00C17931" w:rsidRPr="00C17931" w:rsidRDefault="00C17931" w:rsidP="00C17931">
            <w:pPr>
              <w:spacing w:before="0" w:after="0" w:line="240" w:lineRule="auto"/>
              <w:rPr>
                <w:rFonts w:ascii="Arial" w:hAnsi="Arial" w:cs="Arial"/>
                <w:color w:val="000000"/>
                <w:sz w:val="16"/>
                <w:szCs w:val="16"/>
              </w:rPr>
            </w:pPr>
            <w:r w:rsidRPr="00C17931">
              <w:rPr>
                <w:rFonts w:ascii="Arial" w:hAnsi="Arial" w:cs="Arial"/>
                <w:color w:val="000000"/>
                <w:sz w:val="16"/>
                <w:szCs w:val="16"/>
              </w:rPr>
              <w:t> </w:t>
            </w:r>
          </w:p>
        </w:tc>
        <w:tc>
          <w:tcPr>
            <w:tcW w:w="472" w:type="pct"/>
            <w:tcBorders>
              <w:top w:val="nil"/>
              <w:left w:val="nil"/>
              <w:bottom w:val="single" w:sz="4" w:space="0" w:color="293F5B"/>
              <w:right w:val="nil"/>
            </w:tcBorders>
            <w:shd w:val="clear" w:color="000000" w:fill="FFFFFF"/>
            <w:noWrap/>
            <w:vAlign w:val="center"/>
            <w:hideMark/>
          </w:tcPr>
          <w:p w14:paraId="019BB84A" w14:textId="77777777" w:rsidR="00C17931" w:rsidRPr="00C17931" w:rsidRDefault="00C17931" w:rsidP="00C17931">
            <w:pPr>
              <w:spacing w:before="0" w:after="0" w:line="240" w:lineRule="auto"/>
              <w:rPr>
                <w:rFonts w:ascii="Arial" w:hAnsi="Arial" w:cs="Arial"/>
                <w:color w:val="000000"/>
                <w:sz w:val="16"/>
                <w:szCs w:val="16"/>
              </w:rPr>
            </w:pPr>
            <w:r w:rsidRPr="00C17931">
              <w:rPr>
                <w:rFonts w:ascii="Arial" w:hAnsi="Arial" w:cs="Arial"/>
                <w:color w:val="000000"/>
                <w:sz w:val="16"/>
                <w:szCs w:val="16"/>
              </w:rPr>
              <w:t> </w:t>
            </w:r>
          </w:p>
        </w:tc>
      </w:tr>
      <w:tr w:rsidR="00C17931" w:rsidRPr="00C17931" w14:paraId="3E7B1E62" w14:textId="77777777" w:rsidTr="007D0F35">
        <w:trPr>
          <w:trHeight w:hRule="exact" w:val="224"/>
        </w:trPr>
        <w:tc>
          <w:tcPr>
            <w:tcW w:w="1873" w:type="pct"/>
            <w:tcBorders>
              <w:top w:val="nil"/>
              <w:left w:val="nil"/>
              <w:bottom w:val="nil"/>
              <w:right w:val="nil"/>
            </w:tcBorders>
            <w:shd w:val="clear" w:color="000000" w:fill="FFFFFF"/>
            <w:noWrap/>
            <w:vAlign w:val="center"/>
            <w:hideMark/>
          </w:tcPr>
          <w:p w14:paraId="7D85CD34" w14:textId="77777777" w:rsidR="00C17931" w:rsidRPr="00C17931" w:rsidRDefault="00C17931" w:rsidP="00C17931">
            <w:pPr>
              <w:spacing w:before="0" w:after="0" w:line="240" w:lineRule="auto"/>
              <w:rPr>
                <w:rFonts w:ascii="Arial" w:hAnsi="Arial" w:cs="Arial"/>
                <w:b/>
                <w:bCs/>
                <w:color w:val="000000"/>
                <w:sz w:val="16"/>
                <w:szCs w:val="16"/>
              </w:rPr>
            </w:pPr>
            <w:r w:rsidRPr="00C17931">
              <w:rPr>
                <w:rFonts w:ascii="Arial" w:hAnsi="Arial" w:cs="Arial"/>
                <w:b/>
                <w:bCs/>
                <w:color w:val="000000"/>
                <w:sz w:val="16"/>
                <w:szCs w:val="16"/>
              </w:rPr>
              <w:t> </w:t>
            </w:r>
          </w:p>
        </w:tc>
        <w:tc>
          <w:tcPr>
            <w:tcW w:w="711" w:type="pct"/>
            <w:tcBorders>
              <w:top w:val="nil"/>
              <w:left w:val="nil"/>
              <w:bottom w:val="nil"/>
              <w:right w:val="nil"/>
            </w:tcBorders>
            <w:shd w:val="clear" w:color="000000" w:fill="FFFFFF"/>
            <w:noWrap/>
            <w:vAlign w:val="center"/>
            <w:hideMark/>
          </w:tcPr>
          <w:p w14:paraId="111E39E8" w14:textId="77777777" w:rsidR="00C17931" w:rsidRPr="00C17931" w:rsidRDefault="00C17931" w:rsidP="00C17931">
            <w:pPr>
              <w:spacing w:before="0" w:after="0" w:line="240" w:lineRule="auto"/>
              <w:rPr>
                <w:rFonts w:ascii="Arial" w:hAnsi="Arial" w:cs="Arial"/>
                <w:color w:val="000000"/>
                <w:sz w:val="16"/>
                <w:szCs w:val="16"/>
              </w:rPr>
            </w:pPr>
            <w:r w:rsidRPr="00C17931">
              <w:rPr>
                <w:rFonts w:ascii="Arial" w:hAnsi="Arial" w:cs="Arial"/>
                <w:color w:val="000000"/>
                <w:sz w:val="16"/>
                <w:szCs w:val="16"/>
              </w:rPr>
              <w:t> </w:t>
            </w:r>
          </w:p>
        </w:tc>
        <w:tc>
          <w:tcPr>
            <w:tcW w:w="59" w:type="pct"/>
            <w:tcBorders>
              <w:top w:val="nil"/>
              <w:left w:val="nil"/>
              <w:bottom w:val="nil"/>
              <w:right w:val="nil"/>
            </w:tcBorders>
            <w:shd w:val="clear" w:color="000000" w:fill="FFFFFF"/>
            <w:noWrap/>
            <w:vAlign w:val="center"/>
            <w:hideMark/>
          </w:tcPr>
          <w:p w14:paraId="4FA0300E" w14:textId="77777777" w:rsidR="00C17931" w:rsidRPr="00C17931" w:rsidRDefault="00C17931" w:rsidP="00C17931">
            <w:pPr>
              <w:spacing w:before="0" w:after="0" w:line="240" w:lineRule="auto"/>
              <w:rPr>
                <w:rFonts w:ascii="Arial" w:hAnsi="Arial" w:cs="Arial"/>
                <w:color w:val="000000"/>
                <w:sz w:val="16"/>
                <w:szCs w:val="16"/>
              </w:rPr>
            </w:pPr>
            <w:r w:rsidRPr="00C17931">
              <w:rPr>
                <w:rFonts w:ascii="Arial" w:hAnsi="Arial" w:cs="Arial"/>
                <w:color w:val="000000"/>
                <w:sz w:val="16"/>
                <w:szCs w:val="16"/>
              </w:rPr>
              <w:t> </w:t>
            </w:r>
          </w:p>
        </w:tc>
        <w:tc>
          <w:tcPr>
            <w:tcW w:w="2358" w:type="pct"/>
            <w:gridSpan w:val="5"/>
            <w:tcBorders>
              <w:top w:val="single" w:sz="4" w:space="0" w:color="293F5B"/>
              <w:left w:val="nil"/>
              <w:bottom w:val="single" w:sz="4" w:space="0" w:color="293F5B"/>
              <w:right w:val="nil"/>
            </w:tcBorders>
            <w:shd w:val="clear" w:color="000000" w:fill="FFFFFF"/>
            <w:noWrap/>
            <w:vAlign w:val="center"/>
            <w:hideMark/>
          </w:tcPr>
          <w:p w14:paraId="4F605A75" w14:textId="77777777" w:rsidR="00C17931" w:rsidRPr="00C17931" w:rsidRDefault="00C17931" w:rsidP="00C17931">
            <w:pPr>
              <w:spacing w:before="0" w:after="0" w:line="240" w:lineRule="auto"/>
              <w:jc w:val="center"/>
              <w:rPr>
                <w:rFonts w:ascii="Arial" w:hAnsi="Arial" w:cs="Arial"/>
                <w:color w:val="000000"/>
                <w:sz w:val="16"/>
                <w:szCs w:val="16"/>
              </w:rPr>
            </w:pPr>
            <w:r w:rsidRPr="00C17931">
              <w:rPr>
                <w:rFonts w:ascii="Arial" w:hAnsi="Arial" w:cs="Arial"/>
                <w:color w:val="000000"/>
                <w:sz w:val="16"/>
                <w:szCs w:val="16"/>
              </w:rPr>
              <w:t>Estimates</w:t>
            </w:r>
          </w:p>
        </w:tc>
      </w:tr>
      <w:tr w:rsidR="00C17931" w:rsidRPr="00C17931" w14:paraId="43208B5A" w14:textId="77777777" w:rsidTr="00C17931">
        <w:trPr>
          <w:trHeight w:hRule="exact" w:val="226"/>
        </w:trPr>
        <w:tc>
          <w:tcPr>
            <w:tcW w:w="1873" w:type="pct"/>
            <w:tcBorders>
              <w:top w:val="nil"/>
              <w:left w:val="nil"/>
              <w:bottom w:val="nil"/>
              <w:right w:val="nil"/>
            </w:tcBorders>
            <w:shd w:val="clear" w:color="000000" w:fill="FFFFFF"/>
            <w:noWrap/>
            <w:vAlign w:val="bottom"/>
            <w:hideMark/>
          </w:tcPr>
          <w:p w14:paraId="14497450" w14:textId="77777777" w:rsidR="00C17931" w:rsidRPr="00C17931" w:rsidRDefault="00C17931" w:rsidP="00C17931">
            <w:pPr>
              <w:spacing w:before="0" w:after="0" w:line="240" w:lineRule="auto"/>
              <w:rPr>
                <w:rFonts w:ascii="Arial" w:hAnsi="Arial" w:cs="Arial"/>
                <w:color w:val="000000"/>
                <w:sz w:val="16"/>
                <w:szCs w:val="16"/>
              </w:rPr>
            </w:pPr>
            <w:r w:rsidRPr="00C17931">
              <w:rPr>
                <w:rFonts w:ascii="Arial" w:hAnsi="Arial" w:cs="Arial"/>
                <w:color w:val="000000"/>
                <w:sz w:val="16"/>
                <w:szCs w:val="16"/>
              </w:rPr>
              <w:t> </w:t>
            </w:r>
          </w:p>
        </w:tc>
        <w:tc>
          <w:tcPr>
            <w:tcW w:w="711" w:type="pct"/>
            <w:tcBorders>
              <w:top w:val="nil"/>
              <w:left w:val="nil"/>
              <w:bottom w:val="nil"/>
              <w:right w:val="nil"/>
            </w:tcBorders>
            <w:shd w:val="clear" w:color="000000" w:fill="FFFFFF"/>
            <w:noWrap/>
            <w:vAlign w:val="center"/>
            <w:hideMark/>
          </w:tcPr>
          <w:p w14:paraId="60FFEB51" w14:textId="77777777" w:rsidR="00C17931" w:rsidRPr="00C17931" w:rsidRDefault="00C17931" w:rsidP="00C17931">
            <w:pPr>
              <w:spacing w:before="0" w:after="0" w:line="240" w:lineRule="auto"/>
              <w:jc w:val="right"/>
              <w:rPr>
                <w:rFonts w:ascii="Arial" w:hAnsi="Arial" w:cs="Arial"/>
                <w:sz w:val="16"/>
                <w:szCs w:val="16"/>
              </w:rPr>
            </w:pPr>
            <w:r w:rsidRPr="00C17931">
              <w:rPr>
                <w:rFonts w:ascii="Arial" w:hAnsi="Arial" w:cs="Arial"/>
                <w:sz w:val="16"/>
                <w:szCs w:val="16"/>
              </w:rPr>
              <w:t> </w:t>
            </w:r>
          </w:p>
        </w:tc>
        <w:tc>
          <w:tcPr>
            <w:tcW w:w="59" w:type="pct"/>
            <w:tcBorders>
              <w:top w:val="nil"/>
              <w:left w:val="nil"/>
              <w:bottom w:val="nil"/>
              <w:right w:val="nil"/>
            </w:tcBorders>
            <w:shd w:val="clear" w:color="000000" w:fill="FFFFFF"/>
            <w:noWrap/>
            <w:vAlign w:val="center"/>
            <w:hideMark/>
          </w:tcPr>
          <w:p w14:paraId="54F35C7D" w14:textId="77777777" w:rsidR="00C17931" w:rsidRPr="00C17931" w:rsidRDefault="00C17931" w:rsidP="00C17931">
            <w:pPr>
              <w:spacing w:before="0" w:after="0" w:line="240" w:lineRule="auto"/>
              <w:jc w:val="right"/>
              <w:rPr>
                <w:rFonts w:ascii="Arial" w:hAnsi="Arial" w:cs="Arial"/>
                <w:sz w:val="16"/>
                <w:szCs w:val="16"/>
              </w:rPr>
            </w:pPr>
            <w:r w:rsidRPr="00C17931">
              <w:rPr>
                <w:rFonts w:ascii="Arial" w:hAnsi="Arial" w:cs="Arial"/>
                <w:sz w:val="16"/>
                <w:szCs w:val="16"/>
              </w:rPr>
              <w:t> </w:t>
            </w:r>
          </w:p>
        </w:tc>
        <w:tc>
          <w:tcPr>
            <w:tcW w:w="472" w:type="pct"/>
            <w:tcBorders>
              <w:top w:val="single" w:sz="4" w:space="0" w:color="293F5B"/>
              <w:left w:val="nil"/>
              <w:bottom w:val="nil"/>
              <w:right w:val="nil"/>
            </w:tcBorders>
            <w:shd w:val="clear" w:color="000000" w:fill="FFFFFF"/>
            <w:noWrap/>
            <w:vAlign w:val="center"/>
            <w:hideMark/>
          </w:tcPr>
          <w:p w14:paraId="17300DFD" w14:textId="49A05B3E" w:rsidR="00C17931" w:rsidRPr="00C17931" w:rsidRDefault="00C17931" w:rsidP="00C17931">
            <w:pPr>
              <w:spacing w:before="0" w:after="0" w:line="240" w:lineRule="auto"/>
              <w:jc w:val="right"/>
              <w:rPr>
                <w:rFonts w:ascii="Arial" w:hAnsi="Arial" w:cs="Arial"/>
                <w:sz w:val="16"/>
                <w:szCs w:val="16"/>
              </w:rPr>
            </w:pPr>
            <w:r w:rsidRPr="00C17931">
              <w:rPr>
                <w:rFonts w:ascii="Arial" w:hAnsi="Arial" w:cs="Arial"/>
                <w:sz w:val="16"/>
                <w:szCs w:val="16"/>
              </w:rPr>
              <w:t>2023</w:t>
            </w:r>
            <w:r w:rsidR="008D4F6B">
              <w:rPr>
                <w:rFonts w:ascii="Arial" w:hAnsi="Arial" w:cs="Arial"/>
                <w:sz w:val="16"/>
                <w:szCs w:val="16"/>
              </w:rPr>
              <w:noBreakHyphen/>
            </w:r>
            <w:r w:rsidRPr="00C17931">
              <w:rPr>
                <w:rFonts w:ascii="Arial" w:hAnsi="Arial" w:cs="Arial"/>
                <w:sz w:val="16"/>
                <w:szCs w:val="16"/>
              </w:rPr>
              <w:t>24</w:t>
            </w:r>
          </w:p>
        </w:tc>
        <w:tc>
          <w:tcPr>
            <w:tcW w:w="472" w:type="pct"/>
            <w:tcBorders>
              <w:top w:val="single" w:sz="4" w:space="0" w:color="293F5B"/>
              <w:left w:val="nil"/>
              <w:bottom w:val="nil"/>
              <w:right w:val="nil"/>
            </w:tcBorders>
            <w:shd w:val="clear" w:color="000000" w:fill="E6F2FF"/>
            <w:noWrap/>
            <w:vAlign w:val="center"/>
            <w:hideMark/>
          </w:tcPr>
          <w:p w14:paraId="29956FF0" w14:textId="506C6149" w:rsidR="00C17931" w:rsidRPr="00C17931" w:rsidRDefault="00C17931" w:rsidP="00C17931">
            <w:pPr>
              <w:spacing w:before="0" w:after="0" w:line="240" w:lineRule="auto"/>
              <w:jc w:val="right"/>
              <w:rPr>
                <w:rFonts w:ascii="Arial" w:hAnsi="Arial" w:cs="Arial"/>
                <w:sz w:val="16"/>
                <w:szCs w:val="16"/>
              </w:rPr>
            </w:pPr>
            <w:r w:rsidRPr="00C17931">
              <w:rPr>
                <w:rFonts w:ascii="Arial" w:hAnsi="Arial" w:cs="Arial"/>
                <w:sz w:val="16"/>
                <w:szCs w:val="16"/>
              </w:rPr>
              <w:t>2024</w:t>
            </w:r>
            <w:r w:rsidR="008D4F6B">
              <w:rPr>
                <w:rFonts w:ascii="Arial" w:hAnsi="Arial" w:cs="Arial"/>
                <w:sz w:val="16"/>
                <w:szCs w:val="16"/>
              </w:rPr>
              <w:noBreakHyphen/>
            </w:r>
            <w:r w:rsidRPr="00C17931">
              <w:rPr>
                <w:rFonts w:ascii="Arial" w:hAnsi="Arial" w:cs="Arial"/>
                <w:sz w:val="16"/>
                <w:szCs w:val="16"/>
              </w:rPr>
              <w:t>25</w:t>
            </w:r>
          </w:p>
        </w:tc>
        <w:tc>
          <w:tcPr>
            <w:tcW w:w="472" w:type="pct"/>
            <w:tcBorders>
              <w:top w:val="single" w:sz="4" w:space="0" w:color="293F5B"/>
              <w:left w:val="nil"/>
              <w:bottom w:val="nil"/>
              <w:right w:val="nil"/>
            </w:tcBorders>
            <w:shd w:val="clear" w:color="000000" w:fill="FFFFFF"/>
            <w:noWrap/>
            <w:vAlign w:val="center"/>
            <w:hideMark/>
          </w:tcPr>
          <w:p w14:paraId="64F41989" w14:textId="05F6BD7D" w:rsidR="00C17931" w:rsidRPr="00C17931" w:rsidRDefault="00C17931" w:rsidP="00C17931">
            <w:pPr>
              <w:spacing w:before="0" w:after="0" w:line="240" w:lineRule="auto"/>
              <w:jc w:val="right"/>
              <w:rPr>
                <w:rFonts w:ascii="Arial" w:hAnsi="Arial" w:cs="Arial"/>
                <w:sz w:val="16"/>
                <w:szCs w:val="16"/>
              </w:rPr>
            </w:pPr>
            <w:r w:rsidRPr="00C17931">
              <w:rPr>
                <w:rFonts w:ascii="Arial" w:hAnsi="Arial" w:cs="Arial"/>
                <w:sz w:val="16"/>
                <w:szCs w:val="16"/>
              </w:rPr>
              <w:t>2025</w:t>
            </w:r>
            <w:r w:rsidR="008D4F6B">
              <w:rPr>
                <w:rFonts w:ascii="Arial" w:hAnsi="Arial" w:cs="Arial"/>
                <w:sz w:val="16"/>
                <w:szCs w:val="16"/>
              </w:rPr>
              <w:noBreakHyphen/>
            </w:r>
            <w:r w:rsidRPr="00C17931">
              <w:rPr>
                <w:rFonts w:ascii="Arial" w:hAnsi="Arial" w:cs="Arial"/>
                <w:sz w:val="16"/>
                <w:szCs w:val="16"/>
              </w:rPr>
              <w:t>26</w:t>
            </w:r>
          </w:p>
        </w:tc>
        <w:tc>
          <w:tcPr>
            <w:tcW w:w="472" w:type="pct"/>
            <w:tcBorders>
              <w:top w:val="single" w:sz="4" w:space="0" w:color="293F5B"/>
              <w:left w:val="nil"/>
              <w:bottom w:val="nil"/>
              <w:right w:val="nil"/>
            </w:tcBorders>
            <w:shd w:val="clear" w:color="000000" w:fill="FFFFFF"/>
            <w:noWrap/>
            <w:vAlign w:val="center"/>
            <w:hideMark/>
          </w:tcPr>
          <w:p w14:paraId="03848453" w14:textId="7CACA010" w:rsidR="00C17931" w:rsidRPr="00C17931" w:rsidRDefault="00C17931" w:rsidP="00C17931">
            <w:pPr>
              <w:spacing w:before="0" w:after="0" w:line="240" w:lineRule="auto"/>
              <w:jc w:val="right"/>
              <w:rPr>
                <w:rFonts w:ascii="Arial" w:hAnsi="Arial" w:cs="Arial"/>
                <w:sz w:val="16"/>
                <w:szCs w:val="16"/>
              </w:rPr>
            </w:pPr>
            <w:r w:rsidRPr="00C17931">
              <w:rPr>
                <w:rFonts w:ascii="Arial" w:hAnsi="Arial" w:cs="Arial"/>
                <w:sz w:val="16"/>
                <w:szCs w:val="16"/>
              </w:rPr>
              <w:t>2026</w:t>
            </w:r>
            <w:r w:rsidR="008D4F6B">
              <w:rPr>
                <w:rFonts w:ascii="Arial" w:hAnsi="Arial" w:cs="Arial"/>
                <w:sz w:val="16"/>
                <w:szCs w:val="16"/>
              </w:rPr>
              <w:noBreakHyphen/>
            </w:r>
            <w:r w:rsidRPr="00C17931">
              <w:rPr>
                <w:rFonts w:ascii="Arial" w:hAnsi="Arial" w:cs="Arial"/>
                <w:sz w:val="16"/>
                <w:szCs w:val="16"/>
              </w:rPr>
              <w:t>27</w:t>
            </w:r>
          </w:p>
        </w:tc>
        <w:tc>
          <w:tcPr>
            <w:tcW w:w="472" w:type="pct"/>
            <w:tcBorders>
              <w:top w:val="single" w:sz="4" w:space="0" w:color="293F5B"/>
              <w:left w:val="nil"/>
              <w:bottom w:val="nil"/>
              <w:right w:val="nil"/>
            </w:tcBorders>
            <w:shd w:val="clear" w:color="000000" w:fill="FFFFFF"/>
            <w:noWrap/>
            <w:vAlign w:val="center"/>
            <w:hideMark/>
          </w:tcPr>
          <w:p w14:paraId="0DD518AE" w14:textId="6D5965DF" w:rsidR="00C17931" w:rsidRPr="00C17931" w:rsidRDefault="00C17931" w:rsidP="00C17931">
            <w:pPr>
              <w:spacing w:before="0" w:after="0" w:line="240" w:lineRule="auto"/>
              <w:jc w:val="right"/>
              <w:rPr>
                <w:rFonts w:ascii="Arial" w:hAnsi="Arial" w:cs="Arial"/>
                <w:color w:val="000000"/>
                <w:sz w:val="16"/>
                <w:szCs w:val="16"/>
              </w:rPr>
            </w:pPr>
            <w:r w:rsidRPr="00C17931">
              <w:rPr>
                <w:rFonts w:ascii="Arial" w:hAnsi="Arial" w:cs="Arial"/>
                <w:color w:val="000000"/>
                <w:sz w:val="16"/>
                <w:szCs w:val="16"/>
              </w:rPr>
              <w:t>2027</w:t>
            </w:r>
            <w:r w:rsidR="008D4F6B">
              <w:rPr>
                <w:rFonts w:ascii="Arial" w:hAnsi="Arial" w:cs="Arial"/>
                <w:color w:val="000000"/>
                <w:sz w:val="16"/>
                <w:szCs w:val="16"/>
              </w:rPr>
              <w:noBreakHyphen/>
            </w:r>
            <w:r w:rsidRPr="00C17931">
              <w:rPr>
                <w:rFonts w:ascii="Arial" w:hAnsi="Arial" w:cs="Arial"/>
                <w:color w:val="000000"/>
                <w:sz w:val="16"/>
                <w:szCs w:val="16"/>
              </w:rPr>
              <w:t>28</w:t>
            </w:r>
          </w:p>
        </w:tc>
      </w:tr>
      <w:tr w:rsidR="00C17931" w:rsidRPr="00C17931" w14:paraId="6E6E60AF" w14:textId="77777777" w:rsidTr="00C17931">
        <w:trPr>
          <w:trHeight w:hRule="exact" w:val="226"/>
        </w:trPr>
        <w:tc>
          <w:tcPr>
            <w:tcW w:w="1873" w:type="pct"/>
            <w:tcBorders>
              <w:top w:val="nil"/>
              <w:left w:val="nil"/>
              <w:bottom w:val="nil"/>
              <w:right w:val="nil"/>
            </w:tcBorders>
            <w:shd w:val="clear" w:color="000000" w:fill="FFFFFF"/>
            <w:noWrap/>
            <w:vAlign w:val="center"/>
            <w:hideMark/>
          </w:tcPr>
          <w:p w14:paraId="528EC1C1" w14:textId="77777777" w:rsidR="00C17931" w:rsidRPr="00C17931" w:rsidRDefault="00C17931" w:rsidP="00C17931">
            <w:pPr>
              <w:spacing w:before="0" w:after="0" w:line="240" w:lineRule="auto"/>
              <w:rPr>
                <w:rFonts w:ascii="Arial" w:hAnsi="Arial" w:cs="Arial"/>
                <w:b/>
                <w:bCs/>
                <w:color w:val="000000"/>
                <w:sz w:val="16"/>
                <w:szCs w:val="16"/>
              </w:rPr>
            </w:pPr>
            <w:r w:rsidRPr="00C17931">
              <w:rPr>
                <w:rFonts w:ascii="Arial" w:hAnsi="Arial" w:cs="Arial"/>
                <w:b/>
                <w:bCs/>
                <w:color w:val="000000"/>
                <w:sz w:val="16"/>
                <w:szCs w:val="16"/>
              </w:rPr>
              <w:t>Program(a)</w:t>
            </w:r>
          </w:p>
        </w:tc>
        <w:tc>
          <w:tcPr>
            <w:tcW w:w="711" w:type="pct"/>
            <w:tcBorders>
              <w:top w:val="nil"/>
              <w:left w:val="nil"/>
              <w:bottom w:val="nil"/>
              <w:right w:val="nil"/>
            </w:tcBorders>
            <w:shd w:val="clear" w:color="000000" w:fill="FFFFFF"/>
            <w:noWrap/>
            <w:vAlign w:val="center"/>
            <w:hideMark/>
          </w:tcPr>
          <w:p w14:paraId="49ABDC95" w14:textId="77777777" w:rsidR="00C17931" w:rsidRPr="00C17931" w:rsidRDefault="00C17931" w:rsidP="00C17931">
            <w:pPr>
              <w:spacing w:before="0" w:after="0" w:line="240" w:lineRule="auto"/>
              <w:rPr>
                <w:rFonts w:ascii="Arial" w:hAnsi="Arial" w:cs="Arial"/>
                <w:b/>
                <w:bCs/>
                <w:color w:val="000000"/>
                <w:sz w:val="16"/>
                <w:szCs w:val="16"/>
              </w:rPr>
            </w:pPr>
            <w:r w:rsidRPr="00C17931">
              <w:rPr>
                <w:rFonts w:ascii="Arial" w:hAnsi="Arial" w:cs="Arial"/>
                <w:b/>
                <w:bCs/>
                <w:color w:val="000000"/>
                <w:sz w:val="16"/>
                <w:szCs w:val="16"/>
              </w:rPr>
              <w:t>Function</w:t>
            </w:r>
          </w:p>
        </w:tc>
        <w:tc>
          <w:tcPr>
            <w:tcW w:w="59" w:type="pct"/>
            <w:tcBorders>
              <w:top w:val="nil"/>
              <w:left w:val="nil"/>
              <w:bottom w:val="nil"/>
              <w:right w:val="nil"/>
            </w:tcBorders>
            <w:shd w:val="clear" w:color="000000" w:fill="FFFFFF"/>
            <w:noWrap/>
            <w:vAlign w:val="center"/>
            <w:hideMark/>
          </w:tcPr>
          <w:p w14:paraId="613A274E" w14:textId="77777777" w:rsidR="00C17931" w:rsidRPr="00C17931" w:rsidRDefault="00C17931" w:rsidP="00C17931">
            <w:pPr>
              <w:spacing w:before="0" w:after="0" w:line="240" w:lineRule="auto"/>
              <w:jc w:val="right"/>
              <w:rPr>
                <w:rFonts w:ascii="Arial" w:hAnsi="Arial" w:cs="Arial"/>
                <w:color w:val="000000"/>
                <w:sz w:val="16"/>
                <w:szCs w:val="16"/>
              </w:rPr>
            </w:pPr>
            <w:r w:rsidRPr="00C17931">
              <w:rPr>
                <w:rFonts w:ascii="Arial" w:hAnsi="Arial" w:cs="Arial"/>
                <w:color w:val="000000"/>
                <w:sz w:val="16"/>
                <w:szCs w:val="16"/>
              </w:rPr>
              <w:t> </w:t>
            </w:r>
          </w:p>
        </w:tc>
        <w:tc>
          <w:tcPr>
            <w:tcW w:w="472" w:type="pct"/>
            <w:tcBorders>
              <w:top w:val="nil"/>
              <w:left w:val="nil"/>
              <w:bottom w:val="single" w:sz="4" w:space="0" w:color="293F5B"/>
              <w:right w:val="nil"/>
            </w:tcBorders>
            <w:shd w:val="clear" w:color="000000" w:fill="FFFFFF"/>
            <w:noWrap/>
            <w:vAlign w:val="center"/>
            <w:hideMark/>
          </w:tcPr>
          <w:p w14:paraId="0F02B9C0" w14:textId="77777777" w:rsidR="00C17931" w:rsidRPr="00C17931" w:rsidRDefault="00C17931" w:rsidP="00C17931">
            <w:pPr>
              <w:spacing w:before="0" w:after="0" w:line="240" w:lineRule="auto"/>
              <w:jc w:val="right"/>
              <w:rPr>
                <w:rFonts w:ascii="Arial" w:hAnsi="Arial" w:cs="Arial"/>
                <w:color w:val="000000"/>
                <w:sz w:val="16"/>
                <w:szCs w:val="16"/>
              </w:rPr>
            </w:pPr>
            <w:r w:rsidRPr="00C17931">
              <w:rPr>
                <w:rFonts w:ascii="Arial" w:hAnsi="Arial" w:cs="Arial"/>
                <w:color w:val="000000"/>
                <w:sz w:val="16"/>
                <w:szCs w:val="16"/>
              </w:rPr>
              <w:t>$m</w:t>
            </w:r>
          </w:p>
        </w:tc>
        <w:tc>
          <w:tcPr>
            <w:tcW w:w="472" w:type="pct"/>
            <w:tcBorders>
              <w:top w:val="nil"/>
              <w:left w:val="nil"/>
              <w:bottom w:val="single" w:sz="4" w:space="0" w:color="293F5B"/>
              <w:right w:val="nil"/>
            </w:tcBorders>
            <w:shd w:val="clear" w:color="000000" w:fill="E6F2FF"/>
            <w:noWrap/>
            <w:vAlign w:val="center"/>
            <w:hideMark/>
          </w:tcPr>
          <w:p w14:paraId="769CA921" w14:textId="77777777" w:rsidR="00C17931" w:rsidRPr="00C17931" w:rsidRDefault="00C17931" w:rsidP="00C17931">
            <w:pPr>
              <w:spacing w:before="0" w:after="0" w:line="240" w:lineRule="auto"/>
              <w:jc w:val="right"/>
              <w:rPr>
                <w:rFonts w:ascii="Arial" w:hAnsi="Arial" w:cs="Arial"/>
                <w:color w:val="000000"/>
                <w:sz w:val="16"/>
                <w:szCs w:val="16"/>
              </w:rPr>
            </w:pPr>
            <w:r w:rsidRPr="00C17931">
              <w:rPr>
                <w:rFonts w:ascii="Arial" w:hAnsi="Arial" w:cs="Arial"/>
                <w:color w:val="000000"/>
                <w:sz w:val="16"/>
                <w:szCs w:val="16"/>
              </w:rPr>
              <w:t>$m</w:t>
            </w:r>
          </w:p>
        </w:tc>
        <w:tc>
          <w:tcPr>
            <w:tcW w:w="472" w:type="pct"/>
            <w:tcBorders>
              <w:top w:val="nil"/>
              <w:left w:val="nil"/>
              <w:bottom w:val="single" w:sz="4" w:space="0" w:color="293F5B"/>
              <w:right w:val="nil"/>
            </w:tcBorders>
            <w:shd w:val="clear" w:color="000000" w:fill="FFFFFF"/>
            <w:noWrap/>
            <w:vAlign w:val="center"/>
            <w:hideMark/>
          </w:tcPr>
          <w:p w14:paraId="73114189" w14:textId="77777777" w:rsidR="00C17931" w:rsidRPr="00C17931" w:rsidRDefault="00C17931" w:rsidP="00C17931">
            <w:pPr>
              <w:spacing w:before="0" w:after="0" w:line="240" w:lineRule="auto"/>
              <w:jc w:val="right"/>
              <w:rPr>
                <w:rFonts w:ascii="Arial" w:hAnsi="Arial" w:cs="Arial"/>
                <w:color w:val="000000"/>
                <w:sz w:val="16"/>
                <w:szCs w:val="16"/>
              </w:rPr>
            </w:pPr>
            <w:r w:rsidRPr="00C17931">
              <w:rPr>
                <w:rFonts w:ascii="Arial" w:hAnsi="Arial" w:cs="Arial"/>
                <w:color w:val="000000"/>
                <w:sz w:val="16"/>
                <w:szCs w:val="16"/>
              </w:rPr>
              <w:t>$m</w:t>
            </w:r>
          </w:p>
        </w:tc>
        <w:tc>
          <w:tcPr>
            <w:tcW w:w="472" w:type="pct"/>
            <w:tcBorders>
              <w:top w:val="nil"/>
              <w:left w:val="nil"/>
              <w:bottom w:val="single" w:sz="4" w:space="0" w:color="293F5B"/>
              <w:right w:val="nil"/>
            </w:tcBorders>
            <w:shd w:val="clear" w:color="000000" w:fill="FFFFFF"/>
            <w:noWrap/>
            <w:vAlign w:val="center"/>
            <w:hideMark/>
          </w:tcPr>
          <w:p w14:paraId="780C09FF" w14:textId="77777777" w:rsidR="00C17931" w:rsidRPr="00C17931" w:rsidRDefault="00C17931" w:rsidP="00C17931">
            <w:pPr>
              <w:spacing w:before="0" w:after="0" w:line="240" w:lineRule="auto"/>
              <w:jc w:val="right"/>
              <w:rPr>
                <w:rFonts w:ascii="Arial" w:hAnsi="Arial" w:cs="Arial"/>
                <w:color w:val="000000"/>
                <w:sz w:val="16"/>
                <w:szCs w:val="16"/>
              </w:rPr>
            </w:pPr>
            <w:r w:rsidRPr="00C17931">
              <w:rPr>
                <w:rFonts w:ascii="Arial" w:hAnsi="Arial" w:cs="Arial"/>
                <w:color w:val="000000"/>
                <w:sz w:val="16"/>
                <w:szCs w:val="16"/>
              </w:rPr>
              <w:t>$m</w:t>
            </w:r>
          </w:p>
        </w:tc>
        <w:tc>
          <w:tcPr>
            <w:tcW w:w="472" w:type="pct"/>
            <w:tcBorders>
              <w:top w:val="nil"/>
              <w:left w:val="nil"/>
              <w:bottom w:val="single" w:sz="4" w:space="0" w:color="293F5B"/>
              <w:right w:val="nil"/>
            </w:tcBorders>
            <w:shd w:val="clear" w:color="000000" w:fill="FFFFFF"/>
            <w:noWrap/>
            <w:vAlign w:val="center"/>
            <w:hideMark/>
          </w:tcPr>
          <w:p w14:paraId="00E864C4" w14:textId="77777777" w:rsidR="00C17931" w:rsidRPr="00C17931" w:rsidRDefault="00C17931" w:rsidP="00C17931">
            <w:pPr>
              <w:spacing w:before="0" w:after="0" w:line="240" w:lineRule="auto"/>
              <w:jc w:val="right"/>
              <w:rPr>
                <w:rFonts w:ascii="Arial" w:hAnsi="Arial" w:cs="Arial"/>
                <w:color w:val="000000"/>
                <w:sz w:val="16"/>
                <w:szCs w:val="16"/>
              </w:rPr>
            </w:pPr>
            <w:r w:rsidRPr="00C17931">
              <w:rPr>
                <w:rFonts w:ascii="Arial" w:hAnsi="Arial" w:cs="Arial"/>
                <w:color w:val="000000"/>
                <w:sz w:val="16"/>
                <w:szCs w:val="16"/>
              </w:rPr>
              <w:t>$m</w:t>
            </w:r>
          </w:p>
        </w:tc>
      </w:tr>
      <w:tr w:rsidR="00C17931" w:rsidRPr="00C17931" w14:paraId="3D3FA266" w14:textId="77777777" w:rsidTr="00C17931">
        <w:trPr>
          <w:trHeight w:hRule="exact" w:val="226"/>
        </w:trPr>
        <w:tc>
          <w:tcPr>
            <w:tcW w:w="1873" w:type="pct"/>
            <w:tcBorders>
              <w:top w:val="nil"/>
              <w:left w:val="nil"/>
              <w:bottom w:val="nil"/>
              <w:right w:val="nil"/>
            </w:tcBorders>
            <w:shd w:val="clear" w:color="000000" w:fill="FFFFFF"/>
            <w:noWrap/>
            <w:vAlign w:val="center"/>
            <w:hideMark/>
          </w:tcPr>
          <w:p w14:paraId="1B7FFD3C" w14:textId="77777777" w:rsidR="00C17931" w:rsidRPr="00C17931" w:rsidRDefault="00C17931" w:rsidP="00C17931">
            <w:pPr>
              <w:spacing w:before="0" w:after="0" w:line="240" w:lineRule="auto"/>
              <w:rPr>
                <w:rFonts w:ascii="Arial" w:hAnsi="Arial" w:cs="Arial"/>
                <w:color w:val="000000"/>
                <w:sz w:val="16"/>
                <w:szCs w:val="16"/>
              </w:rPr>
            </w:pPr>
            <w:r w:rsidRPr="00C17931">
              <w:rPr>
                <w:rFonts w:ascii="Arial" w:hAnsi="Arial" w:cs="Arial"/>
                <w:color w:val="000000"/>
                <w:sz w:val="16"/>
                <w:szCs w:val="16"/>
              </w:rPr>
              <w:t>Revenue assistance to the</w:t>
            </w:r>
          </w:p>
        </w:tc>
        <w:tc>
          <w:tcPr>
            <w:tcW w:w="711" w:type="pct"/>
            <w:tcBorders>
              <w:top w:val="nil"/>
              <w:left w:val="nil"/>
              <w:bottom w:val="nil"/>
              <w:right w:val="nil"/>
            </w:tcBorders>
            <w:shd w:val="clear" w:color="000000" w:fill="FFFFFF"/>
            <w:noWrap/>
            <w:vAlign w:val="center"/>
            <w:hideMark/>
          </w:tcPr>
          <w:p w14:paraId="182295C8" w14:textId="77777777" w:rsidR="00C17931" w:rsidRPr="00C17931" w:rsidRDefault="00C17931" w:rsidP="00C17931">
            <w:pPr>
              <w:spacing w:before="0" w:after="0" w:line="240" w:lineRule="auto"/>
              <w:rPr>
                <w:rFonts w:ascii="Arial" w:hAnsi="Arial" w:cs="Arial"/>
                <w:color w:val="000000"/>
                <w:sz w:val="16"/>
                <w:szCs w:val="16"/>
              </w:rPr>
            </w:pPr>
            <w:r w:rsidRPr="00C17931">
              <w:rPr>
                <w:rFonts w:ascii="Arial" w:hAnsi="Arial" w:cs="Arial"/>
                <w:color w:val="000000"/>
                <w:sz w:val="16"/>
                <w:szCs w:val="16"/>
              </w:rPr>
              <w:t> </w:t>
            </w:r>
          </w:p>
        </w:tc>
        <w:tc>
          <w:tcPr>
            <w:tcW w:w="59" w:type="pct"/>
            <w:tcBorders>
              <w:top w:val="nil"/>
              <w:left w:val="nil"/>
              <w:bottom w:val="nil"/>
              <w:right w:val="nil"/>
            </w:tcBorders>
            <w:shd w:val="clear" w:color="000000" w:fill="FFFFFF"/>
            <w:noWrap/>
            <w:vAlign w:val="center"/>
            <w:hideMark/>
          </w:tcPr>
          <w:p w14:paraId="01D8C8DD" w14:textId="77777777" w:rsidR="00C17931" w:rsidRPr="00C17931" w:rsidRDefault="00C17931" w:rsidP="00C17931">
            <w:pPr>
              <w:spacing w:before="0" w:after="0" w:line="240" w:lineRule="auto"/>
              <w:rPr>
                <w:rFonts w:ascii="Arial" w:hAnsi="Arial" w:cs="Arial"/>
                <w:color w:val="000000"/>
                <w:sz w:val="16"/>
                <w:szCs w:val="16"/>
              </w:rPr>
            </w:pPr>
            <w:r w:rsidRPr="00C17931">
              <w:rPr>
                <w:rFonts w:ascii="Arial" w:hAnsi="Arial" w:cs="Arial"/>
                <w:color w:val="000000"/>
                <w:sz w:val="16"/>
                <w:szCs w:val="16"/>
              </w:rPr>
              <w:t> </w:t>
            </w:r>
          </w:p>
        </w:tc>
        <w:tc>
          <w:tcPr>
            <w:tcW w:w="472" w:type="pct"/>
            <w:tcBorders>
              <w:top w:val="nil"/>
              <w:left w:val="nil"/>
              <w:bottom w:val="nil"/>
              <w:right w:val="nil"/>
            </w:tcBorders>
            <w:shd w:val="clear" w:color="000000" w:fill="FFFFFF"/>
            <w:noWrap/>
            <w:vAlign w:val="center"/>
            <w:hideMark/>
          </w:tcPr>
          <w:p w14:paraId="749E8A64" w14:textId="77777777" w:rsidR="00C17931" w:rsidRPr="00C17931" w:rsidRDefault="00C17931" w:rsidP="00C17931">
            <w:pPr>
              <w:spacing w:before="0" w:after="0" w:line="240" w:lineRule="auto"/>
              <w:rPr>
                <w:rFonts w:ascii="Arial" w:hAnsi="Arial" w:cs="Arial"/>
                <w:color w:val="000000"/>
                <w:sz w:val="16"/>
                <w:szCs w:val="16"/>
              </w:rPr>
            </w:pPr>
            <w:r w:rsidRPr="00C17931">
              <w:rPr>
                <w:rFonts w:ascii="Arial" w:hAnsi="Arial" w:cs="Arial"/>
                <w:color w:val="000000"/>
                <w:sz w:val="16"/>
                <w:szCs w:val="16"/>
              </w:rPr>
              <w:t> </w:t>
            </w:r>
          </w:p>
        </w:tc>
        <w:tc>
          <w:tcPr>
            <w:tcW w:w="472" w:type="pct"/>
            <w:tcBorders>
              <w:top w:val="nil"/>
              <w:left w:val="nil"/>
              <w:bottom w:val="nil"/>
              <w:right w:val="nil"/>
            </w:tcBorders>
            <w:shd w:val="clear" w:color="000000" w:fill="E6F2FF"/>
            <w:noWrap/>
            <w:vAlign w:val="center"/>
            <w:hideMark/>
          </w:tcPr>
          <w:p w14:paraId="013022CF" w14:textId="77777777" w:rsidR="00C17931" w:rsidRPr="00C17931" w:rsidRDefault="00C17931" w:rsidP="00C17931">
            <w:pPr>
              <w:spacing w:before="0" w:after="0" w:line="240" w:lineRule="auto"/>
              <w:rPr>
                <w:rFonts w:ascii="Arial" w:hAnsi="Arial" w:cs="Arial"/>
                <w:color w:val="000000"/>
                <w:sz w:val="16"/>
                <w:szCs w:val="16"/>
              </w:rPr>
            </w:pPr>
            <w:r w:rsidRPr="00C17931">
              <w:rPr>
                <w:rFonts w:ascii="Arial" w:hAnsi="Arial" w:cs="Arial"/>
                <w:color w:val="000000"/>
                <w:sz w:val="16"/>
                <w:szCs w:val="16"/>
              </w:rPr>
              <w:t> </w:t>
            </w:r>
          </w:p>
        </w:tc>
        <w:tc>
          <w:tcPr>
            <w:tcW w:w="472" w:type="pct"/>
            <w:tcBorders>
              <w:top w:val="nil"/>
              <w:left w:val="nil"/>
              <w:bottom w:val="nil"/>
              <w:right w:val="nil"/>
            </w:tcBorders>
            <w:shd w:val="clear" w:color="000000" w:fill="FFFFFF"/>
            <w:noWrap/>
            <w:vAlign w:val="center"/>
            <w:hideMark/>
          </w:tcPr>
          <w:p w14:paraId="2EB408C9" w14:textId="77777777" w:rsidR="00C17931" w:rsidRPr="00C17931" w:rsidRDefault="00C17931" w:rsidP="00C17931">
            <w:pPr>
              <w:spacing w:before="0" w:after="0" w:line="240" w:lineRule="auto"/>
              <w:rPr>
                <w:rFonts w:ascii="Arial" w:hAnsi="Arial" w:cs="Arial"/>
                <w:color w:val="000000"/>
                <w:sz w:val="16"/>
                <w:szCs w:val="16"/>
              </w:rPr>
            </w:pPr>
            <w:r w:rsidRPr="00C17931">
              <w:rPr>
                <w:rFonts w:ascii="Arial" w:hAnsi="Arial" w:cs="Arial"/>
                <w:color w:val="000000"/>
                <w:sz w:val="16"/>
                <w:szCs w:val="16"/>
              </w:rPr>
              <w:t> </w:t>
            </w:r>
          </w:p>
        </w:tc>
        <w:tc>
          <w:tcPr>
            <w:tcW w:w="472" w:type="pct"/>
            <w:tcBorders>
              <w:top w:val="nil"/>
              <w:left w:val="nil"/>
              <w:bottom w:val="nil"/>
              <w:right w:val="nil"/>
            </w:tcBorders>
            <w:shd w:val="clear" w:color="000000" w:fill="FFFFFF"/>
            <w:noWrap/>
            <w:vAlign w:val="center"/>
            <w:hideMark/>
          </w:tcPr>
          <w:p w14:paraId="4BC1D997" w14:textId="77777777" w:rsidR="00C17931" w:rsidRPr="00C17931" w:rsidRDefault="00C17931" w:rsidP="00C17931">
            <w:pPr>
              <w:spacing w:before="0" w:after="0" w:line="240" w:lineRule="auto"/>
              <w:rPr>
                <w:rFonts w:ascii="Arial" w:hAnsi="Arial" w:cs="Arial"/>
                <w:color w:val="000000"/>
                <w:sz w:val="16"/>
                <w:szCs w:val="16"/>
              </w:rPr>
            </w:pPr>
            <w:r w:rsidRPr="00C17931">
              <w:rPr>
                <w:rFonts w:ascii="Arial" w:hAnsi="Arial" w:cs="Arial"/>
                <w:color w:val="000000"/>
                <w:sz w:val="16"/>
                <w:szCs w:val="16"/>
              </w:rPr>
              <w:t> </w:t>
            </w:r>
          </w:p>
        </w:tc>
        <w:tc>
          <w:tcPr>
            <w:tcW w:w="472" w:type="pct"/>
            <w:tcBorders>
              <w:top w:val="nil"/>
              <w:left w:val="nil"/>
              <w:bottom w:val="nil"/>
              <w:right w:val="nil"/>
            </w:tcBorders>
            <w:shd w:val="clear" w:color="000000" w:fill="FFFFFF"/>
            <w:noWrap/>
            <w:vAlign w:val="center"/>
            <w:hideMark/>
          </w:tcPr>
          <w:p w14:paraId="66C561A3" w14:textId="77777777" w:rsidR="00C17931" w:rsidRPr="00C17931" w:rsidRDefault="00C17931" w:rsidP="00C17931">
            <w:pPr>
              <w:spacing w:before="0" w:after="0" w:line="240" w:lineRule="auto"/>
              <w:rPr>
                <w:rFonts w:ascii="Arial" w:hAnsi="Arial" w:cs="Arial"/>
                <w:color w:val="000000"/>
                <w:sz w:val="16"/>
                <w:szCs w:val="16"/>
              </w:rPr>
            </w:pPr>
            <w:r w:rsidRPr="00C17931">
              <w:rPr>
                <w:rFonts w:ascii="Arial" w:hAnsi="Arial" w:cs="Arial"/>
                <w:color w:val="000000"/>
                <w:sz w:val="16"/>
                <w:szCs w:val="16"/>
              </w:rPr>
              <w:t> </w:t>
            </w:r>
          </w:p>
        </w:tc>
      </w:tr>
      <w:tr w:rsidR="00C17931" w:rsidRPr="00C17931" w14:paraId="5C5E9C0D" w14:textId="77777777" w:rsidTr="00C17931">
        <w:trPr>
          <w:trHeight w:hRule="exact" w:val="226"/>
        </w:trPr>
        <w:tc>
          <w:tcPr>
            <w:tcW w:w="1873" w:type="pct"/>
            <w:tcBorders>
              <w:top w:val="nil"/>
              <w:left w:val="nil"/>
              <w:bottom w:val="nil"/>
              <w:right w:val="nil"/>
            </w:tcBorders>
            <w:shd w:val="clear" w:color="000000" w:fill="FFFFFF"/>
            <w:noWrap/>
            <w:vAlign w:val="center"/>
            <w:hideMark/>
          </w:tcPr>
          <w:p w14:paraId="4D460A61" w14:textId="77777777" w:rsidR="00C17931" w:rsidRPr="00C17931" w:rsidRDefault="00C17931" w:rsidP="00C17931">
            <w:pPr>
              <w:spacing w:before="0" w:after="0" w:line="240" w:lineRule="auto"/>
              <w:ind w:left="170"/>
              <w:rPr>
                <w:rFonts w:ascii="Arial" w:hAnsi="Arial" w:cs="Arial"/>
                <w:color w:val="000000"/>
                <w:sz w:val="16"/>
                <w:szCs w:val="16"/>
              </w:rPr>
            </w:pPr>
            <w:r w:rsidRPr="00C17931">
              <w:rPr>
                <w:rFonts w:ascii="Arial" w:hAnsi="Arial" w:cs="Arial"/>
                <w:color w:val="000000"/>
                <w:sz w:val="16"/>
                <w:szCs w:val="16"/>
              </w:rPr>
              <w:t>States and Territories</w:t>
            </w:r>
          </w:p>
        </w:tc>
        <w:tc>
          <w:tcPr>
            <w:tcW w:w="711" w:type="pct"/>
            <w:tcBorders>
              <w:top w:val="nil"/>
              <w:left w:val="nil"/>
              <w:bottom w:val="nil"/>
              <w:right w:val="nil"/>
            </w:tcBorders>
            <w:shd w:val="clear" w:color="000000" w:fill="FFFFFF"/>
            <w:noWrap/>
            <w:vAlign w:val="center"/>
            <w:hideMark/>
          </w:tcPr>
          <w:p w14:paraId="13091796" w14:textId="77777777" w:rsidR="00C17931" w:rsidRPr="00C17931" w:rsidRDefault="00C17931" w:rsidP="00C17931">
            <w:pPr>
              <w:spacing w:before="0" w:after="0" w:line="240" w:lineRule="auto"/>
              <w:rPr>
                <w:rFonts w:ascii="Arial" w:hAnsi="Arial" w:cs="Arial"/>
                <w:color w:val="000000"/>
                <w:sz w:val="16"/>
                <w:szCs w:val="16"/>
              </w:rPr>
            </w:pPr>
            <w:r w:rsidRPr="00C17931">
              <w:rPr>
                <w:rFonts w:ascii="Arial" w:hAnsi="Arial" w:cs="Arial"/>
                <w:color w:val="000000"/>
                <w:sz w:val="16"/>
                <w:szCs w:val="16"/>
              </w:rPr>
              <w:t>Other purposes</w:t>
            </w:r>
          </w:p>
        </w:tc>
        <w:tc>
          <w:tcPr>
            <w:tcW w:w="59" w:type="pct"/>
            <w:tcBorders>
              <w:top w:val="nil"/>
              <w:left w:val="nil"/>
              <w:bottom w:val="nil"/>
              <w:right w:val="nil"/>
            </w:tcBorders>
            <w:shd w:val="clear" w:color="000000" w:fill="FFFFFF"/>
            <w:noWrap/>
            <w:vAlign w:val="center"/>
            <w:hideMark/>
          </w:tcPr>
          <w:p w14:paraId="5EDAA1FE" w14:textId="77777777" w:rsidR="00C17931" w:rsidRPr="00C17931" w:rsidRDefault="00C17931" w:rsidP="00C17931">
            <w:pPr>
              <w:spacing w:before="0" w:after="0" w:line="240" w:lineRule="auto"/>
              <w:rPr>
                <w:rFonts w:ascii="Arial" w:hAnsi="Arial" w:cs="Arial"/>
                <w:color w:val="000000"/>
                <w:sz w:val="16"/>
                <w:szCs w:val="16"/>
              </w:rPr>
            </w:pPr>
            <w:r w:rsidRPr="00C17931">
              <w:rPr>
                <w:rFonts w:ascii="Arial" w:hAnsi="Arial" w:cs="Arial"/>
                <w:color w:val="000000"/>
                <w:sz w:val="16"/>
                <w:szCs w:val="16"/>
              </w:rPr>
              <w:t> </w:t>
            </w:r>
          </w:p>
        </w:tc>
        <w:tc>
          <w:tcPr>
            <w:tcW w:w="472" w:type="pct"/>
            <w:tcBorders>
              <w:top w:val="nil"/>
              <w:left w:val="nil"/>
              <w:bottom w:val="nil"/>
              <w:right w:val="nil"/>
            </w:tcBorders>
            <w:shd w:val="clear" w:color="000000" w:fill="FFFFFF"/>
            <w:noWrap/>
            <w:vAlign w:val="center"/>
            <w:hideMark/>
          </w:tcPr>
          <w:p w14:paraId="04857893" w14:textId="77777777" w:rsidR="00C17931" w:rsidRPr="00C17931" w:rsidRDefault="00C17931" w:rsidP="00C17931">
            <w:pPr>
              <w:spacing w:before="0" w:after="0" w:line="240" w:lineRule="auto"/>
              <w:jc w:val="right"/>
              <w:rPr>
                <w:rFonts w:ascii="Arial" w:hAnsi="Arial" w:cs="Arial"/>
                <w:color w:val="000000"/>
                <w:sz w:val="16"/>
                <w:szCs w:val="16"/>
              </w:rPr>
            </w:pPr>
            <w:r w:rsidRPr="00C17931">
              <w:rPr>
                <w:rFonts w:ascii="Arial" w:hAnsi="Arial" w:cs="Arial"/>
                <w:color w:val="000000"/>
                <w:sz w:val="16"/>
                <w:szCs w:val="16"/>
              </w:rPr>
              <w:t>92,107</w:t>
            </w:r>
          </w:p>
        </w:tc>
        <w:tc>
          <w:tcPr>
            <w:tcW w:w="472" w:type="pct"/>
            <w:tcBorders>
              <w:top w:val="nil"/>
              <w:left w:val="nil"/>
              <w:bottom w:val="nil"/>
              <w:right w:val="nil"/>
            </w:tcBorders>
            <w:shd w:val="clear" w:color="000000" w:fill="E6F2FF"/>
            <w:noWrap/>
            <w:vAlign w:val="center"/>
            <w:hideMark/>
          </w:tcPr>
          <w:p w14:paraId="0F6F5714" w14:textId="77777777" w:rsidR="00C17931" w:rsidRPr="00C17931" w:rsidRDefault="00C17931" w:rsidP="00C17931">
            <w:pPr>
              <w:spacing w:before="0" w:after="0" w:line="240" w:lineRule="auto"/>
              <w:jc w:val="right"/>
              <w:rPr>
                <w:rFonts w:ascii="Arial" w:hAnsi="Arial" w:cs="Arial"/>
                <w:color w:val="000000"/>
                <w:sz w:val="16"/>
                <w:szCs w:val="16"/>
              </w:rPr>
            </w:pPr>
            <w:r w:rsidRPr="00C17931">
              <w:rPr>
                <w:rFonts w:ascii="Arial" w:hAnsi="Arial" w:cs="Arial"/>
                <w:color w:val="000000"/>
                <w:sz w:val="16"/>
                <w:szCs w:val="16"/>
              </w:rPr>
              <w:t>94,412</w:t>
            </w:r>
          </w:p>
        </w:tc>
        <w:tc>
          <w:tcPr>
            <w:tcW w:w="472" w:type="pct"/>
            <w:tcBorders>
              <w:top w:val="nil"/>
              <w:left w:val="nil"/>
              <w:bottom w:val="nil"/>
              <w:right w:val="nil"/>
            </w:tcBorders>
            <w:shd w:val="clear" w:color="000000" w:fill="FFFFFF"/>
            <w:noWrap/>
            <w:vAlign w:val="center"/>
            <w:hideMark/>
          </w:tcPr>
          <w:p w14:paraId="3D6C4C2B" w14:textId="77777777" w:rsidR="00C17931" w:rsidRPr="00C17931" w:rsidRDefault="00C17931" w:rsidP="00C17931">
            <w:pPr>
              <w:spacing w:before="0" w:after="0" w:line="240" w:lineRule="auto"/>
              <w:jc w:val="right"/>
              <w:rPr>
                <w:rFonts w:ascii="Arial" w:hAnsi="Arial" w:cs="Arial"/>
                <w:color w:val="000000"/>
                <w:sz w:val="16"/>
                <w:szCs w:val="16"/>
              </w:rPr>
            </w:pPr>
            <w:r w:rsidRPr="00C17931">
              <w:rPr>
                <w:rFonts w:ascii="Arial" w:hAnsi="Arial" w:cs="Arial"/>
                <w:color w:val="000000"/>
                <w:sz w:val="16"/>
                <w:szCs w:val="16"/>
              </w:rPr>
              <w:t>99,241</w:t>
            </w:r>
          </w:p>
        </w:tc>
        <w:tc>
          <w:tcPr>
            <w:tcW w:w="472" w:type="pct"/>
            <w:tcBorders>
              <w:top w:val="nil"/>
              <w:left w:val="nil"/>
              <w:bottom w:val="nil"/>
              <w:right w:val="nil"/>
            </w:tcBorders>
            <w:shd w:val="clear" w:color="000000" w:fill="FFFFFF"/>
            <w:noWrap/>
            <w:vAlign w:val="center"/>
            <w:hideMark/>
          </w:tcPr>
          <w:p w14:paraId="7EB2E668" w14:textId="77777777" w:rsidR="00C17931" w:rsidRPr="00C17931" w:rsidRDefault="00C17931" w:rsidP="00C17931">
            <w:pPr>
              <w:spacing w:before="0" w:after="0" w:line="240" w:lineRule="auto"/>
              <w:jc w:val="right"/>
              <w:rPr>
                <w:rFonts w:ascii="Arial" w:hAnsi="Arial" w:cs="Arial"/>
                <w:color w:val="000000"/>
                <w:sz w:val="16"/>
                <w:szCs w:val="16"/>
              </w:rPr>
            </w:pPr>
            <w:r w:rsidRPr="00C17931">
              <w:rPr>
                <w:rFonts w:ascii="Arial" w:hAnsi="Arial" w:cs="Arial"/>
                <w:color w:val="000000"/>
                <w:sz w:val="16"/>
                <w:szCs w:val="16"/>
              </w:rPr>
              <w:t>104,771</w:t>
            </w:r>
          </w:p>
        </w:tc>
        <w:tc>
          <w:tcPr>
            <w:tcW w:w="472" w:type="pct"/>
            <w:tcBorders>
              <w:top w:val="nil"/>
              <w:left w:val="nil"/>
              <w:bottom w:val="nil"/>
              <w:right w:val="nil"/>
            </w:tcBorders>
            <w:shd w:val="clear" w:color="000000" w:fill="FFFFFF"/>
            <w:noWrap/>
            <w:vAlign w:val="center"/>
            <w:hideMark/>
          </w:tcPr>
          <w:p w14:paraId="303E2D5A" w14:textId="77777777" w:rsidR="00C17931" w:rsidRPr="00C17931" w:rsidRDefault="00C17931" w:rsidP="00C17931">
            <w:pPr>
              <w:spacing w:before="0" w:after="0" w:line="240" w:lineRule="auto"/>
              <w:jc w:val="right"/>
              <w:rPr>
                <w:rFonts w:ascii="Arial" w:hAnsi="Arial" w:cs="Arial"/>
                <w:color w:val="000000"/>
                <w:sz w:val="16"/>
                <w:szCs w:val="16"/>
              </w:rPr>
            </w:pPr>
            <w:r w:rsidRPr="00C17931">
              <w:rPr>
                <w:rFonts w:ascii="Arial" w:hAnsi="Arial" w:cs="Arial"/>
                <w:color w:val="000000"/>
                <w:sz w:val="16"/>
                <w:szCs w:val="16"/>
              </w:rPr>
              <w:t>109,243</w:t>
            </w:r>
          </w:p>
        </w:tc>
      </w:tr>
      <w:tr w:rsidR="00C17931" w:rsidRPr="00C17931" w14:paraId="3CDCA122" w14:textId="77777777" w:rsidTr="00C17931">
        <w:trPr>
          <w:trHeight w:hRule="exact" w:val="226"/>
        </w:trPr>
        <w:tc>
          <w:tcPr>
            <w:tcW w:w="1873" w:type="pct"/>
            <w:tcBorders>
              <w:top w:val="nil"/>
              <w:left w:val="nil"/>
              <w:bottom w:val="nil"/>
              <w:right w:val="nil"/>
            </w:tcBorders>
            <w:shd w:val="clear" w:color="000000" w:fill="FFFFFF"/>
            <w:noWrap/>
            <w:vAlign w:val="center"/>
            <w:hideMark/>
          </w:tcPr>
          <w:p w14:paraId="34958E11" w14:textId="77777777" w:rsidR="00C17931" w:rsidRPr="00C17931" w:rsidRDefault="00C17931" w:rsidP="00C17931">
            <w:pPr>
              <w:spacing w:before="0" w:after="0" w:line="240" w:lineRule="auto"/>
              <w:rPr>
                <w:rFonts w:ascii="Arial" w:hAnsi="Arial" w:cs="Arial"/>
                <w:color w:val="000000"/>
                <w:sz w:val="16"/>
                <w:szCs w:val="16"/>
              </w:rPr>
            </w:pPr>
            <w:r w:rsidRPr="00C17931">
              <w:rPr>
                <w:rFonts w:ascii="Arial" w:hAnsi="Arial" w:cs="Arial"/>
                <w:color w:val="000000"/>
                <w:sz w:val="16"/>
                <w:szCs w:val="16"/>
              </w:rPr>
              <w:t>Support for Seniors</w:t>
            </w:r>
          </w:p>
        </w:tc>
        <w:tc>
          <w:tcPr>
            <w:tcW w:w="711" w:type="pct"/>
            <w:tcBorders>
              <w:top w:val="nil"/>
              <w:left w:val="nil"/>
              <w:bottom w:val="nil"/>
              <w:right w:val="nil"/>
            </w:tcBorders>
            <w:shd w:val="clear" w:color="000000" w:fill="FFFFFF"/>
            <w:noWrap/>
            <w:vAlign w:val="center"/>
            <w:hideMark/>
          </w:tcPr>
          <w:p w14:paraId="6877F8DE" w14:textId="77777777" w:rsidR="00C17931" w:rsidRPr="00C17931" w:rsidRDefault="00C17931" w:rsidP="00C17931">
            <w:pPr>
              <w:spacing w:before="0" w:after="0" w:line="240" w:lineRule="auto"/>
              <w:rPr>
                <w:rFonts w:ascii="Arial" w:hAnsi="Arial" w:cs="Arial"/>
                <w:color w:val="000000"/>
                <w:sz w:val="16"/>
                <w:szCs w:val="16"/>
              </w:rPr>
            </w:pPr>
            <w:r w:rsidRPr="00C17931">
              <w:rPr>
                <w:rFonts w:ascii="Arial" w:hAnsi="Arial" w:cs="Arial"/>
                <w:color w:val="000000"/>
                <w:sz w:val="16"/>
                <w:szCs w:val="16"/>
              </w:rPr>
              <w:t>SSW</w:t>
            </w:r>
          </w:p>
        </w:tc>
        <w:tc>
          <w:tcPr>
            <w:tcW w:w="59" w:type="pct"/>
            <w:tcBorders>
              <w:top w:val="nil"/>
              <w:left w:val="nil"/>
              <w:bottom w:val="nil"/>
              <w:right w:val="nil"/>
            </w:tcBorders>
            <w:shd w:val="clear" w:color="000000" w:fill="FFFFFF"/>
            <w:noWrap/>
            <w:vAlign w:val="center"/>
            <w:hideMark/>
          </w:tcPr>
          <w:p w14:paraId="5D933C8E" w14:textId="77777777" w:rsidR="00C17931" w:rsidRPr="00C17931" w:rsidRDefault="00C17931" w:rsidP="00C17931">
            <w:pPr>
              <w:spacing w:before="0" w:after="0" w:line="240" w:lineRule="auto"/>
              <w:rPr>
                <w:rFonts w:ascii="Arial" w:hAnsi="Arial" w:cs="Arial"/>
                <w:color w:val="000000"/>
                <w:sz w:val="16"/>
                <w:szCs w:val="16"/>
              </w:rPr>
            </w:pPr>
            <w:r w:rsidRPr="00C17931">
              <w:rPr>
                <w:rFonts w:ascii="Arial" w:hAnsi="Arial" w:cs="Arial"/>
                <w:color w:val="000000"/>
                <w:sz w:val="16"/>
                <w:szCs w:val="16"/>
              </w:rPr>
              <w:t> </w:t>
            </w:r>
          </w:p>
        </w:tc>
        <w:tc>
          <w:tcPr>
            <w:tcW w:w="472" w:type="pct"/>
            <w:tcBorders>
              <w:top w:val="nil"/>
              <w:left w:val="nil"/>
              <w:bottom w:val="nil"/>
              <w:right w:val="nil"/>
            </w:tcBorders>
            <w:shd w:val="clear" w:color="000000" w:fill="FFFFFF"/>
            <w:noWrap/>
            <w:vAlign w:val="center"/>
            <w:hideMark/>
          </w:tcPr>
          <w:p w14:paraId="7487009B" w14:textId="77777777" w:rsidR="00C17931" w:rsidRPr="00C17931" w:rsidRDefault="00C17931" w:rsidP="00C17931">
            <w:pPr>
              <w:spacing w:before="0" w:after="0" w:line="240" w:lineRule="auto"/>
              <w:jc w:val="right"/>
              <w:rPr>
                <w:rFonts w:ascii="Arial" w:hAnsi="Arial" w:cs="Arial"/>
                <w:color w:val="000000"/>
                <w:sz w:val="16"/>
                <w:szCs w:val="16"/>
              </w:rPr>
            </w:pPr>
            <w:r w:rsidRPr="00C17931">
              <w:rPr>
                <w:rFonts w:ascii="Arial" w:hAnsi="Arial" w:cs="Arial"/>
                <w:color w:val="000000"/>
                <w:sz w:val="16"/>
                <w:szCs w:val="16"/>
              </w:rPr>
              <w:t>59,160</w:t>
            </w:r>
          </w:p>
        </w:tc>
        <w:tc>
          <w:tcPr>
            <w:tcW w:w="472" w:type="pct"/>
            <w:tcBorders>
              <w:top w:val="nil"/>
              <w:left w:val="nil"/>
              <w:bottom w:val="nil"/>
              <w:right w:val="nil"/>
            </w:tcBorders>
            <w:shd w:val="clear" w:color="000000" w:fill="E6F2FF"/>
            <w:noWrap/>
            <w:vAlign w:val="center"/>
            <w:hideMark/>
          </w:tcPr>
          <w:p w14:paraId="7A2F1F29" w14:textId="77777777" w:rsidR="00C17931" w:rsidRPr="00C17931" w:rsidRDefault="00C17931" w:rsidP="00C17931">
            <w:pPr>
              <w:spacing w:before="0" w:after="0" w:line="240" w:lineRule="auto"/>
              <w:jc w:val="right"/>
              <w:rPr>
                <w:rFonts w:ascii="Arial" w:hAnsi="Arial" w:cs="Arial"/>
                <w:color w:val="000000"/>
                <w:sz w:val="16"/>
                <w:szCs w:val="16"/>
              </w:rPr>
            </w:pPr>
            <w:r w:rsidRPr="00C17931">
              <w:rPr>
                <w:rFonts w:ascii="Arial" w:hAnsi="Arial" w:cs="Arial"/>
                <w:color w:val="000000"/>
                <w:sz w:val="16"/>
                <w:szCs w:val="16"/>
              </w:rPr>
              <w:t>61,672</w:t>
            </w:r>
          </w:p>
        </w:tc>
        <w:tc>
          <w:tcPr>
            <w:tcW w:w="472" w:type="pct"/>
            <w:tcBorders>
              <w:top w:val="nil"/>
              <w:left w:val="nil"/>
              <w:bottom w:val="nil"/>
              <w:right w:val="nil"/>
            </w:tcBorders>
            <w:shd w:val="clear" w:color="000000" w:fill="FFFFFF"/>
            <w:noWrap/>
            <w:vAlign w:val="center"/>
            <w:hideMark/>
          </w:tcPr>
          <w:p w14:paraId="7CCB549D" w14:textId="77777777" w:rsidR="00C17931" w:rsidRPr="00C17931" w:rsidRDefault="00C17931" w:rsidP="00C17931">
            <w:pPr>
              <w:spacing w:before="0" w:after="0" w:line="240" w:lineRule="auto"/>
              <w:jc w:val="right"/>
              <w:rPr>
                <w:rFonts w:ascii="Arial" w:hAnsi="Arial" w:cs="Arial"/>
                <w:color w:val="000000"/>
                <w:sz w:val="16"/>
                <w:szCs w:val="16"/>
              </w:rPr>
            </w:pPr>
            <w:r w:rsidRPr="00C17931">
              <w:rPr>
                <w:rFonts w:ascii="Arial" w:hAnsi="Arial" w:cs="Arial"/>
                <w:color w:val="000000"/>
                <w:sz w:val="16"/>
                <w:szCs w:val="16"/>
              </w:rPr>
              <w:t>64,459</w:t>
            </w:r>
          </w:p>
        </w:tc>
        <w:tc>
          <w:tcPr>
            <w:tcW w:w="472" w:type="pct"/>
            <w:tcBorders>
              <w:top w:val="nil"/>
              <w:left w:val="nil"/>
              <w:bottom w:val="nil"/>
              <w:right w:val="nil"/>
            </w:tcBorders>
            <w:shd w:val="clear" w:color="000000" w:fill="FFFFFF"/>
            <w:noWrap/>
            <w:vAlign w:val="center"/>
            <w:hideMark/>
          </w:tcPr>
          <w:p w14:paraId="1F79FA75" w14:textId="77777777" w:rsidR="00C17931" w:rsidRPr="00C17931" w:rsidRDefault="00C17931" w:rsidP="00C17931">
            <w:pPr>
              <w:spacing w:before="0" w:after="0" w:line="240" w:lineRule="auto"/>
              <w:jc w:val="right"/>
              <w:rPr>
                <w:rFonts w:ascii="Arial" w:hAnsi="Arial" w:cs="Arial"/>
                <w:color w:val="000000"/>
                <w:sz w:val="16"/>
                <w:szCs w:val="16"/>
              </w:rPr>
            </w:pPr>
            <w:r w:rsidRPr="00C17931">
              <w:rPr>
                <w:rFonts w:ascii="Arial" w:hAnsi="Arial" w:cs="Arial"/>
                <w:color w:val="000000"/>
                <w:sz w:val="16"/>
                <w:szCs w:val="16"/>
              </w:rPr>
              <w:t>67,163</w:t>
            </w:r>
          </w:p>
        </w:tc>
        <w:tc>
          <w:tcPr>
            <w:tcW w:w="472" w:type="pct"/>
            <w:tcBorders>
              <w:top w:val="nil"/>
              <w:left w:val="nil"/>
              <w:bottom w:val="nil"/>
              <w:right w:val="nil"/>
            </w:tcBorders>
            <w:shd w:val="clear" w:color="000000" w:fill="FFFFFF"/>
            <w:noWrap/>
            <w:vAlign w:val="center"/>
            <w:hideMark/>
          </w:tcPr>
          <w:p w14:paraId="258A11E1" w14:textId="77777777" w:rsidR="00C17931" w:rsidRPr="00C17931" w:rsidRDefault="00C17931" w:rsidP="00C17931">
            <w:pPr>
              <w:spacing w:before="0" w:after="0" w:line="240" w:lineRule="auto"/>
              <w:jc w:val="right"/>
              <w:rPr>
                <w:rFonts w:ascii="Arial" w:hAnsi="Arial" w:cs="Arial"/>
                <w:color w:val="000000"/>
                <w:sz w:val="16"/>
                <w:szCs w:val="16"/>
              </w:rPr>
            </w:pPr>
            <w:r w:rsidRPr="00C17931">
              <w:rPr>
                <w:rFonts w:ascii="Arial" w:hAnsi="Arial" w:cs="Arial"/>
                <w:color w:val="000000"/>
                <w:sz w:val="16"/>
                <w:szCs w:val="16"/>
              </w:rPr>
              <w:t>70,025</w:t>
            </w:r>
          </w:p>
        </w:tc>
      </w:tr>
      <w:tr w:rsidR="00C17931" w:rsidRPr="00C17931" w14:paraId="0E921ACA" w14:textId="77777777" w:rsidTr="00C17931">
        <w:trPr>
          <w:trHeight w:hRule="exact" w:val="226"/>
        </w:trPr>
        <w:tc>
          <w:tcPr>
            <w:tcW w:w="1873" w:type="pct"/>
            <w:tcBorders>
              <w:top w:val="nil"/>
              <w:left w:val="nil"/>
              <w:bottom w:val="nil"/>
              <w:right w:val="nil"/>
            </w:tcBorders>
            <w:shd w:val="clear" w:color="000000" w:fill="FFFFFF"/>
            <w:noWrap/>
            <w:vAlign w:val="center"/>
            <w:hideMark/>
          </w:tcPr>
          <w:p w14:paraId="771E5842" w14:textId="77777777" w:rsidR="00C17931" w:rsidRPr="00C17931" w:rsidRDefault="00C17931" w:rsidP="00C17931">
            <w:pPr>
              <w:spacing w:before="0" w:after="0" w:line="240" w:lineRule="auto"/>
              <w:rPr>
                <w:rFonts w:ascii="Arial" w:hAnsi="Arial" w:cs="Arial"/>
                <w:color w:val="000000"/>
                <w:sz w:val="16"/>
                <w:szCs w:val="16"/>
              </w:rPr>
            </w:pPr>
            <w:r w:rsidRPr="00C17931">
              <w:rPr>
                <w:rFonts w:ascii="Arial" w:hAnsi="Arial" w:cs="Arial"/>
                <w:color w:val="000000"/>
                <w:sz w:val="16"/>
                <w:szCs w:val="16"/>
              </w:rPr>
              <w:t>National Disability Insurance</w:t>
            </w:r>
          </w:p>
        </w:tc>
        <w:tc>
          <w:tcPr>
            <w:tcW w:w="711" w:type="pct"/>
            <w:tcBorders>
              <w:top w:val="nil"/>
              <w:left w:val="nil"/>
              <w:bottom w:val="nil"/>
              <w:right w:val="nil"/>
            </w:tcBorders>
            <w:shd w:val="clear" w:color="auto" w:fill="auto"/>
            <w:noWrap/>
            <w:vAlign w:val="center"/>
            <w:hideMark/>
          </w:tcPr>
          <w:p w14:paraId="622CE40B" w14:textId="77777777" w:rsidR="00C17931" w:rsidRPr="00C17931" w:rsidRDefault="00C17931" w:rsidP="00C17931">
            <w:pPr>
              <w:spacing w:before="0" w:after="0" w:line="240" w:lineRule="auto"/>
              <w:rPr>
                <w:rFonts w:ascii="Arial" w:hAnsi="Arial" w:cs="Arial"/>
                <w:color w:val="000000"/>
                <w:sz w:val="16"/>
                <w:szCs w:val="16"/>
              </w:rPr>
            </w:pPr>
          </w:p>
        </w:tc>
        <w:tc>
          <w:tcPr>
            <w:tcW w:w="59" w:type="pct"/>
            <w:tcBorders>
              <w:top w:val="nil"/>
              <w:left w:val="nil"/>
              <w:bottom w:val="nil"/>
              <w:right w:val="nil"/>
            </w:tcBorders>
            <w:shd w:val="clear" w:color="000000" w:fill="FFFFFF"/>
            <w:noWrap/>
            <w:vAlign w:val="center"/>
            <w:hideMark/>
          </w:tcPr>
          <w:p w14:paraId="6F3574CD" w14:textId="77777777" w:rsidR="00C17931" w:rsidRPr="00C17931" w:rsidRDefault="00C17931" w:rsidP="00C17931">
            <w:pPr>
              <w:spacing w:before="0" w:after="0" w:line="240" w:lineRule="auto"/>
              <w:rPr>
                <w:rFonts w:ascii="Arial" w:hAnsi="Arial" w:cs="Arial"/>
                <w:color w:val="000000"/>
                <w:sz w:val="16"/>
                <w:szCs w:val="16"/>
              </w:rPr>
            </w:pPr>
            <w:r w:rsidRPr="00C17931">
              <w:rPr>
                <w:rFonts w:ascii="Arial" w:hAnsi="Arial" w:cs="Arial"/>
                <w:color w:val="000000"/>
                <w:sz w:val="16"/>
                <w:szCs w:val="16"/>
              </w:rPr>
              <w:t> </w:t>
            </w:r>
          </w:p>
        </w:tc>
        <w:tc>
          <w:tcPr>
            <w:tcW w:w="472" w:type="pct"/>
            <w:tcBorders>
              <w:top w:val="nil"/>
              <w:left w:val="nil"/>
              <w:bottom w:val="nil"/>
              <w:right w:val="nil"/>
            </w:tcBorders>
            <w:shd w:val="clear" w:color="000000" w:fill="FFFFFF"/>
            <w:noWrap/>
            <w:vAlign w:val="center"/>
            <w:hideMark/>
          </w:tcPr>
          <w:p w14:paraId="70CED182" w14:textId="77777777" w:rsidR="00C17931" w:rsidRPr="00C17931" w:rsidRDefault="00C17931" w:rsidP="00C17931">
            <w:pPr>
              <w:spacing w:before="0" w:after="0" w:line="240" w:lineRule="auto"/>
              <w:rPr>
                <w:rFonts w:ascii="Arial" w:hAnsi="Arial" w:cs="Arial"/>
                <w:color w:val="000000"/>
                <w:sz w:val="16"/>
                <w:szCs w:val="16"/>
              </w:rPr>
            </w:pPr>
            <w:r w:rsidRPr="00C17931">
              <w:rPr>
                <w:rFonts w:ascii="Arial" w:hAnsi="Arial" w:cs="Arial"/>
                <w:color w:val="000000"/>
                <w:sz w:val="16"/>
                <w:szCs w:val="16"/>
              </w:rPr>
              <w:t> </w:t>
            </w:r>
          </w:p>
        </w:tc>
        <w:tc>
          <w:tcPr>
            <w:tcW w:w="472" w:type="pct"/>
            <w:tcBorders>
              <w:top w:val="nil"/>
              <w:left w:val="nil"/>
              <w:bottom w:val="nil"/>
              <w:right w:val="nil"/>
            </w:tcBorders>
            <w:shd w:val="clear" w:color="000000" w:fill="E6F2FF"/>
            <w:noWrap/>
            <w:vAlign w:val="center"/>
            <w:hideMark/>
          </w:tcPr>
          <w:p w14:paraId="49485DF0" w14:textId="77777777" w:rsidR="00C17931" w:rsidRPr="00C17931" w:rsidRDefault="00C17931" w:rsidP="00C17931">
            <w:pPr>
              <w:spacing w:before="0" w:after="0" w:line="240" w:lineRule="auto"/>
              <w:rPr>
                <w:rFonts w:ascii="Arial" w:hAnsi="Arial" w:cs="Arial"/>
                <w:color w:val="000000"/>
                <w:sz w:val="16"/>
                <w:szCs w:val="16"/>
              </w:rPr>
            </w:pPr>
            <w:r w:rsidRPr="00C17931">
              <w:rPr>
                <w:rFonts w:ascii="Arial" w:hAnsi="Arial" w:cs="Arial"/>
                <w:color w:val="000000"/>
                <w:sz w:val="16"/>
                <w:szCs w:val="16"/>
              </w:rPr>
              <w:t> </w:t>
            </w:r>
          </w:p>
        </w:tc>
        <w:tc>
          <w:tcPr>
            <w:tcW w:w="472" w:type="pct"/>
            <w:tcBorders>
              <w:top w:val="nil"/>
              <w:left w:val="nil"/>
              <w:bottom w:val="nil"/>
              <w:right w:val="nil"/>
            </w:tcBorders>
            <w:shd w:val="clear" w:color="000000" w:fill="FFFFFF"/>
            <w:noWrap/>
            <w:vAlign w:val="center"/>
            <w:hideMark/>
          </w:tcPr>
          <w:p w14:paraId="7848A7CF" w14:textId="77777777" w:rsidR="00C17931" w:rsidRPr="00C17931" w:rsidRDefault="00C17931" w:rsidP="00C17931">
            <w:pPr>
              <w:spacing w:before="0" w:after="0" w:line="240" w:lineRule="auto"/>
              <w:rPr>
                <w:rFonts w:ascii="Arial" w:hAnsi="Arial" w:cs="Arial"/>
                <w:color w:val="000000"/>
                <w:sz w:val="16"/>
                <w:szCs w:val="16"/>
              </w:rPr>
            </w:pPr>
            <w:r w:rsidRPr="00C17931">
              <w:rPr>
                <w:rFonts w:ascii="Arial" w:hAnsi="Arial" w:cs="Arial"/>
                <w:color w:val="000000"/>
                <w:sz w:val="16"/>
                <w:szCs w:val="16"/>
              </w:rPr>
              <w:t> </w:t>
            </w:r>
          </w:p>
        </w:tc>
        <w:tc>
          <w:tcPr>
            <w:tcW w:w="472" w:type="pct"/>
            <w:tcBorders>
              <w:top w:val="nil"/>
              <w:left w:val="nil"/>
              <w:bottom w:val="nil"/>
              <w:right w:val="nil"/>
            </w:tcBorders>
            <w:shd w:val="clear" w:color="000000" w:fill="FFFFFF"/>
            <w:noWrap/>
            <w:vAlign w:val="center"/>
            <w:hideMark/>
          </w:tcPr>
          <w:p w14:paraId="165AB86C" w14:textId="77777777" w:rsidR="00C17931" w:rsidRPr="00C17931" w:rsidRDefault="00C17931" w:rsidP="00C17931">
            <w:pPr>
              <w:spacing w:before="0" w:after="0" w:line="240" w:lineRule="auto"/>
              <w:rPr>
                <w:rFonts w:ascii="Arial" w:hAnsi="Arial" w:cs="Arial"/>
                <w:color w:val="000000"/>
                <w:sz w:val="16"/>
                <w:szCs w:val="16"/>
              </w:rPr>
            </w:pPr>
            <w:r w:rsidRPr="00C17931">
              <w:rPr>
                <w:rFonts w:ascii="Arial" w:hAnsi="Arial" w:cs="Arial"/>
                <w:color w:val="000000"/>
                <w:sz w:val="16"/>
                <w:szCs w:val="16"/>
              </w:rPr>
              <w:t> </w:t>
            </w:r>
          </w:p>
        </w:tc>
        <w:tc>
          <w:tcPr>
            <w:tcW w:w="472" w:type="pct"/>
            <w:tcBorders>
              <w:top w:val="nil"/>
              <w:left w:val="nil"/>
              <w:bottom w:val="nil"/>
              <w:right w:val="nil"/>
            </w:tcBorders>
            <w:shd w:val="clear" w:color="000000" w:fill="FFFFFF"/>
            <w:noWrap/>
            <w:vAlign w:val="center"/>
            <w:hideMark/>
          </w:tcPr>
          <w:p w14:paraId="3161C367" w14:textId="77777777" w:rsidR="00C17931" w:rsidRPr="00C17931" w:rsidRDefault="00C17931" w:rsidP="00C17931">
            <w:pPr>
              <w:spacing w:before="0" w:after="0" w:line="240" w:lineRule="auto"/>
              <w:rPr>
                <w:rFonts w:ascii="Arial" w:hAnsi="Arial" w:cs="Arial"/>
                <w:color w:val="000000"/>
                <w:sz w:val="16"/>
                <w:szCs w:val="16"/>
              </w:rPr>
            </w:pPr>
            <w:r w:rsidRPr="00C17931">
              <w:rPr>
                <w:rFonts w:ascii="Arial" w:hAnsi="Arial" w:cs="Arial"/>
                <w:color w:val="000000"/>
                <w:sz w:val="16"/>
                <w:szCs w:val="16"/>
              </w:rPr>
              <w:t> </w:t>
            </w:r>
          </w:p>
        </w:tc>
      </w:tr>
      <w:tr w:rsidR="00C17931" w:rsidRPr="00C17931" w14:paraId="1B47F65A" w14:textId="77777777" w:rsidTr="00C17931">
        <w:trPr>
          <w:trHeight w:hRule="exact" w:val="226"/>
        </w:trPr>
        <w:tc>
          <w:tcPr>
            <w:tcW w:w="1873" w:type="pct"/>
            <w:tcBorders>
              <w:top w:val="nil"/>
              <w:left w:val="nil"/>
              <w:bottom w:val="nil"/>
              <w:right w:val="nil"/>
            </w:tcBorders>
            <w:shd w:val="clear" w:color="000000" w:fill="FFFFFF"/>
            <w:noWrap/>
            <w:vAlign w:val="center"/>
            <w:hideMark/>
          </w:tcPr>
          <w:p w14:paraId="161A7F18" w14:textId="77777777" w:rsidR="00C17931" w:rsidRPr="00C17931" w:rsidRDefault="00C17931" w:rsidP="00C17931">
            <w:pPr>
              <w:spacing w:before="0" w:after="0" w:line="240" w:lineRule="auto"/>
              <w:ind w:left="170"/>
              <w:rPr>
                <w:rFonts w:ascii="Arial" w:hAnsi="Arial" w:cs="Arial"/>
                <w:color w:val="000000"/>
                <w:sz w:val="16"/>
                <w:szCs w:val="16"/>
              </w:rPr>
            </w:pPr>
            <w:r w:rsidRPr="00C17931">
              <w:rPr>
                <w:rFonts w:ascii="Arial" w:hAnsi="Arial" w:cs="Arial"/>
                <w:color w:val="000000"/>
                <w:sz w:val="16"/>
                <w:szCs w:val="16"/>
              </w:rPr>
              <w:t>Scheme(b)</w:t>
            </w:r>
          </w:p>
        </w:tc>
        <w:tc>
          <w:tcPr>
            <w:tcW w:w="711" w:type="pct"/>
            <w:tcBorders>
              <w:top w:val="nil"/>
              <w:left w:val="nil"/>
              <w:bottom w:val="nil"/>
              <w:right w:val="nil"/>
            </w:tcBorders>
            <w:shd w:val="clear" w:color="000000" w:fill="FFFFFF"/>
            <w:noWrap/>
            <w:vAlign w:val="center"/>
            <w:hideMark/>
          </w:tcPr>
          <w:p w14:paraId="118A68AE" w14:textId="77777777" w:rsidR="00C17931" w:rsidRPr="00C17931" w:rsidRDefault="00C17931" w:rsidP="00C17931">
            <w:pPr>
              <w:spacing w:before="0" w:after="0" w:line="240" w:lineRule="auto"/>
              <w:rPr>
                <w:rFonts w:ascii="Arial" w:hAnsi="Arial" w:cs="Arial"/>
                <w:color w:val="000000"/>
                <w:sz w:val="16"/>
                <w:szCs w:val="16"/>
              </w:rPr>
            </w:pPr>
            <w:r w:rsidRPr="00C17931">
              <w:rPr>
                <w:rFonts w:ascii="Arial" w:hAnsi="Arial" w:cs="Arial"/>
                <w:color w:val="000000"/>
                <w:sz w:val="16"/>
                <w:szCs w:val="16"/>
              </w:rPr>
              <w:t>SSW</w:t>
            </w:r>
          </w:p>
        </w:tc>
        <w:tc>
          <w:tcPr>
            <w:tcW w:w="59" w:type="pct"/>
            <w:tcBorders>
              <w:top w:val="nil"/>
              <w:left w:val="nil"/>
              <w:bottom w:val="nil"/>
              <w:right w:val="nil"/>
            </w:tcBorders>
            <w:shd w:val="clear" w:color="000000" w:fill="FFFFFF"/>
            <w:noWrap/>
            <w:vAlign w:val="center"/>
            <w:hideMark/>
          </w:tcPr>
          <w:p w14:paraId="05DE8E17" w14:textId="77777777" w:rsidR="00C17931" w:rsidRPr="00C17931" w:rsidRDefault="00C17931" w:rsidP="00C17931">
            <w:pPr>
              <w:spacing w:before="0" w:after="0" w:line="240" w:lineRule="auto"/>
              <w:rPr>
                <w:rFonts w:ascii="Arial" w:hAnsi="Arial" w:cs="Arial"/>
                <w:color w:val="000000"/>
                <w:sz w:val="16"/>
                <w:szCs w:val="16"/>
              </w:rPr>
            </w:pPr>
            <w:r w:rsidRPr="00C17931">
              <w:rPr>
                <w:rFonts w:ascii="Arial" w:hAnsi="Arial" w:cs="Arial"/>
                <w:color w:val="000000"/>
                <w:sz w:val="16"/>
                <w:szCs w:val="16"/>
              </w:rPr>
              <w:t> </w:t>
            </w:r>
          </w:p>
        </w:tc>
        <w:tc>
          <w:tcPr>
            <w:tcW w:w="472" w:type="pct"/>
            <w:tcBorders>
              <w:top w:val="nil"/>
              <w:left w:val="nil"/>
              <w:bottom w:val="nil"/>
              <w:right w:val="nil"/>
            </w:tcBorders>
            <w:shd w:val="clear" w:color="000000" w:fill="FFFFFF"/>
            <w:noWrap/>
            <w:vAlign w:val="center"/>
            <w:hideMark/>
          </w:tcPr>
          <w:p w14:paraId="45FDC8A5" w14:textId="77777777" w:rsidR="00C17931" w:rsidRPr="00C17931" w:rsidRDefault="00C17931" w:rsidP="00C17931">
            <w:pPr>
              <w:spacing w:before="0" w:after="0" w:line="240" w:lineRule="auto"/>
              <w:jc w:val="right"/>
              <w:rPr>
                <w:rFonts w:ascii="Arial" w:hAnsi="Arial" w:cs="Arial"/>
                <w:color w:val="000000"/>
                <w:sz w:val="16"/>
                <w:szCs w:val="16"/>
              </w:rPr>
            </w:pPr>
            <w:r w:rsidRPr="00C17931">
              <w:rPr>
                <w:rFonts w:ascii="Arial" w:hAnsi="Arial" w:cs="Arial"/>
                <w:color w:val="000000"/>
                <w:sz w:val="16"/>
                <w:szCs w:val="16"/>
              </w:rPr>
              <w:t>44,322</w:t>
            </w:r>
          </w:p>
        </w:tc>
        <w:tc>
          <w:tcPr>
            <w:tcW w:w="472" w:type="pct"/>
            <w:tcBorders>
              <w:top w:val="nil"/>
              <w:left w:val="nil"/>
              <w:bottom w:val="nil"/>
              <w:right w:val="nil"/>
            </w:tcBorders>
            <w:shd w:val="clear" w:color="000000" w:fill="E6F2FF"/>
            <w:noWrap/>
            <w:vAlign w:val="center"/>
            <w:hideMark/>
          </w:tcPr>
          <w:p w14:paraId="340735F0" w14:textId="77777777" w:rsidR="00C17931" w:rsidRPr="00C17931" w:rsidRDefault="00C17931" w:rsidP="00C17931">
            <w:pPr>
              <w:spacing w:before="0" w:after="0" w:line="240" w:lineRule="auto"/>
              <w:jc w:val="right"/>
              <w:rPr>
                <w:rFonts w:ascii="Arial" w:hAnsi="Arial" w:cs="Arial"/>
                <w:color w:val="000000"/>
                <w:sz w:val="16"/>
                <w:szCs w:val="16"/>
              </w:rPr>
            </w:pPr>
            <w:r w:rsidRPr="00C17931">
              <w:rPr>
                <w:rFonts w:ascii="Arial" w:hAnsi="Arial" w:cs="Arial"/>
                <w:color w:val="000000"/>
                <w:sz w:val="16"/>
                <w:szCs w:val="16"/>
              </w:rPr>
              <w:t>48,752</w:t>
            </w:r>
          </w:p>
        </w:tc>
        <w:tc>
          <w:tcPr>
            <w:tcW w:w="472" w:type="pct"/>
            <w:tcBorders>
              <w:top w:val="nil"/>
              <w:left w:val="nil"/>
              <w:bottom w:val="nil"/>
              <w:right w:val="nil"/>
            </w:tcBorders>
            <w:shd w:val="clear" w:color="000000" w:fill="FFFFFF"/>
            <w:noWrap/>
            <w:vAlign w:val="center"/>
            <w:hideMark/>
          </w:tcPr>
          <w:p w14:paraId="13AD036B" w14:textId="77777777" w:rsidR="00C17931" w:rsidRPr="00C17931" w:rsidRDefault="00C17931" w:rsidP="00C17931">
            <w:pPr>
              <w:spacing w:before="0" w:after="0" w:line="240" w:lineRule="auto"/>
              <w:jc w:val="right"/>
              <w:rPr>
                <w:rFonts w:ascii="Arial" w:hAnsi="Arial" w:cs="Arial"/>
                <w:color w:val="000000"/>
                <w:sz w:val="16"/>
                <w:szCs w:val="16"/>
              </w:rPr>
            </w:pPr>
            <w:r w:rsidRPr="00C17931">
              <w:rPr>
                <w:rFonts w:ascii="Arial" w:hAnsi="Arial" w:cs="Arial"/>
                <w:color w:val="000000"/>
                <w:sz w:val="16"/>
                <w:szCs w:val="16"/>
              </w:rPr>
              <w:t>52,318</w:t>
            </w:r>
          </w:p>
        </w:tc>
        <w:tc>
          <w:tcPr>
            <w:tcW w:w="472" w:type="pct"/>
            <w:tcBorders>
              <w:top w:val="nil"/>
              <w:left w:val="nil"/>
              <w:bottom w:val="nil"/>
              <w:right w:val="nil"/>
            </w:tcBorders>
            <w:shd w:val="clear" w:color="000000" w:fill="FFFFFF"/>
            <w:noWrap/>
            <w:vAlign w:val="center"/>
            <w:hideMark/>
          </w:tcPr>
          <w:p w14:paraId="6F68E16E" w14:textId="77777777" w:rsidR="00C17931" w:rsidRPr="00C17931" w:rsidRDefault="00C17931" w:rsidP="00C17931">
            <w:pPr>
              <w:spacing w:before="0" w:after="0" w:line="240" w:lineRule="auto"/>
              <w:jc w:val="right"/>
              <w:rPr>
                <w:rFonts w:ascii="Arial" w:hAnsi="Arial" w:cs="Arial"/>
                <w:color w:val="000000"/>
                <w:sz w:val="16"/>
                <w:szCs w:val="16"/>
              </w:rPr>
            </w:pPr>
            <w:r w:rsidRPr="00C17931">
              <w:rPr>
                <w:rFonts w:ascii="Arial" w:hAnsi="Arial" w:cs="Arial"/>
                <w:color w:val="000000"/>
                <w:sz w:val="16"/>
                <w:szCs w:val="16"/>
              </w:rPr>
              <w:t>56,458</w:t>
            </w:r>
          </w:p>
        </w:tc>
        <w:tc>
          <w:tcPr>
            <w:tcW w:w="472" w:type="pct"/>
            <w:tcBorders>
              <w:top w:val="nil"/>
              <w:left w:val="nil"/>
              <w:bottom w:val="nil"/>
              <w:right w:val="nil"/>
            </w:tcBorders>
            <w:shd w:val="clear" w:color="000000" w:fill="FFFFFF"/>
            <w:noWrap/>
            <w:vAlign w:val="center"/>
            <w:hideMark/>
          </w:tcPr>
          <w:p w14:paraId="259D36B1" w14:textId="77777777" w:rsidR="00C17931" w:rsidRPr="00C17931" w:rsidRDefault="00C17931" w:rsidP="00C17931">
            <w:pPr>
              <w:spacing w:before="0" w:after="0" w:line="240" w:lineRule="auto"/>
              <w:jc w:val="right"/>
              <w:rPr>
                <w:rFonts w:ascii="Arial" w:hAnsi="Arial" w:cs="Arial"/>
                <w:color w:val="000000"/>
                <w:sz w:val="16"/>
                <w:szCs w:val="16"/>
              </w:rPr>
            </w:pPr>
            <w:r w:rsidRPr="00C17931">
              <w:rPr>
                <w:rFonts w:ascii="Arial" w:hAnsi="Arial" w:cs="Arial"/>
                <w:color w:val="000000"/>
                <w:sz w:val="16"/>
                <w:szCs w:val="16"/>
              </w:rPr>
              <w:t>60,746</w:t>
            </w:r>
          </w:p>
        </w:tc>
      </w:tr>
      <w:tr w:rsidR="00C17931" w:rsidRPr="00C17931" w14:paraId="1B9965F7" w14:textId="77777777" w:rsidTr="00C17931">
        <w:trPr>
          <w:trHeight w:hRule="exact" w:val="226"/>
        </w:trPr>
        <w:tc>
          <w:tcPr>
            <w:tcW w:w="1873" w:type="pct"/>
            <w:tcBorders>
              <w:top w:val="nil"/>
              <w:left w:val="nil"/>
              <w:bottom w:val="nil"/>
              <w:right w:val="nil"/>
            </w:tcBorders>
            <w:shd w:val="clear" w:color="000000" w:fill="FFFFFF"/>
            <w:noWrap/>
            <w:vAlign w:val="center"/>
            <w:hideMark/>
          </w:tcPr>
          <w:p w14:paraId="32C28A33" w14:textId="77777777" w:rsidR="00C17931" w:rsidRPr="00C17931" w:rsidRDefault="00C17931" w:rsidP="00C17931">
            <w:pPr>
              <w:spacing w:before="0" w:after="0" w:line="240" w:lineRule="auto"/>
              <w:rPr>
                <w:rFonts w:ascii="Arial" w:hAnsi="Arial" w:cs="Arial"/>
                <w:color w:val="000000"/>
                <w:sz w:val="16"/>
                <w:szCs w:val="16"/>
              </w:rPr>
            </w:pPr>
            <w:r w:rsidRPr="00C17931">
              <w:rPr>
                <w:rFonts w:ascii="Arial" w:hAnsi="Arial" w:cs="Arial"/>
                <w:color w:val="000000"/>
                <w:sz w:val="16"/>
                <w:szCs w:val="16"/>
              </w:rPr>
              <w:t>Aged Care Services</w:t>
            </w:r>
          </w:p>
        </w:tc>
        <w:tc>
          <w:tcPr>
            <w:tcW w:w="711" w:type="pct"/>
            <w:tcBorders>
              <w:top w:val="nil"/>
              <w:left w:val="nil"/>
              <w:bottom w:val="nil"/>
              <w:right w:val="nil"/>
            </w:tcBorders>
            <w:shd w:val="clear" w:color="000000" w:fill="FFFFFF"/>
            <w:noWrap/>
            <w:vAlign w:val="center"/>
            <w:hideMark/>
          </w:tcPr>
          <w:p w14:paraId="6C3CA682" w14:textId="77777777" w:rsidR="00C17931" w:rsidRPr="00C17931" w:rsidRDefault="00C17931" w:rsidP="00C17931">
            <w:pPr>
              <w:spacing w:before="0" w:after="0" w:line="240" w:lineRule="auto"/>
              <w:rPr>
                <w:rFonts w:ascii="Arial" w:hAnsi="Arial" w:cs="Arial"/>
                <w:color w:val="000000"/>
                <w:sz w:val="16"/>
                <w:szCs w:val="16"/>
              </w:rPr>
            </w:pPr>
            <w:r w:rsidRPr="00C17931">
              <w:rPr>
                <w:rFonts w:ascii="Arial" w:hAnsi="Arial" w:cs="Arial"/>
                <w:color w:val="000000"/>
                <w:sz w:val="16"/>
                <w:szCs w:val="16"/>
              </w:rPr>
              <w:t>SSW</w:t>
            </w:r>
          </w:p>
        </w:tc>
        <w:tc>
          <w:tcPr>
            <w:tcW w:w="59" w:type="pct"/>
            <w:tcBorders>
              <w:top w:val="nil"/>
              <w:left w:val="nil"/>
              <w:bottom w:val="nil"/>
              <w:right w:val="nil"/>
            </w:tcBorders>
            <w:shd w:val="clear" w:color="000000" w:fill="FFFFFF"/>
            <w:noWrap/>
            <w:vAlign w:val="center"/>
            <w:hideMark/>
          </w:tcPr>
          <w:p w14:paraId="6DCCBD37" w14:textId="77777777" w:rsidR="00C17931" w:rsidRPr="00C17931" w:rsidRDefault="00C17931" w:rsidP="00C17931">
            <w:pPr>
              <w:spacing w:before="0" w:after="0" w:line="240" w:lineRule="auto"/>
              <w:rPr>
                <w:rFonts w:ascii="Arial" w:hAnsi="Arial" w:cs="Arial"/>
                <w:color w:val="000000"/>
                <w:sz w:val="16"/>
                <w:szCs w:val="16"/>
              </w:rPr>
            </w:pPr>
            <w:r w:rsidRPr="00C17931">
              <w:rPr>
                <w:rFonts w:ascii="Arial" w:hAnsi="Arial" w:cs="Arial"/>
                <w:color w:val="000000"/>
                <w:sz w:val="16"/>
                <w:szCs w:val="16"/>
              </w:rPr>
              <w:t> </w:t>
            </w:r>
          </w:p>
        </w:tc>
        <w:tc>
          <w:tcPr>
            <w:tcW w:w="472" w:type="pct"/>
            <w:tcBorders>
              <w:top w:val="nil"/>
              <w:left w:val="nil"/>
              <w:bottom w:val="nil"/>
              <w:right w:val="nil"/>
            </w:tcBorders>
            <w:shd w:val="clear" w:color="000000" w:fill="FFFFFF"/>
            <w:noWrap/>
            <w:vAlign w:val="center"/>
            <w:hideMark/>
          </w:tcPr>
          <w:p w14:paraId="6283C7B6" w14:textId="77777777" w:rsidR="00C17931" w:rsidRPr="00C17931" w:rsidRDefault="00C17931" w:rsidP="00C17931">
            <w:pPr>
              <w:spacing w:before="0" w:after="0" w:line="240" w:lineRule="auto"/>
              <w:jc w:val="right"/>
              <w:rPr>
                <w:rFonts w:ascii="Arial" w:hAnsi="Arial" w:cs="Arial"/>
                <w:color w:val="000000"/>
                <w:sz w:val="16"/>
                <w:szCs w:val="16"/>
              </w:rPr>
            </w:pPr>
            <w:r w:rsidRPr="00C17931">
              <w:rPr>
                <w:rFonts w:ascii="Arial" w:hAnsi="Arial" w:cs="Arial"/>
                <w:color w:val="000000"/>
                <w:sz w:val="16"/>
                <w:szCs w:val="16"/>
              </w:rPr>
              <w:t>32,321</w:t>
            </w:r>
          </w:p>
        </w:tc>
        <w:tc>
          <w:tcPr>
            <w:tcW w:w="472" w:type="pct"/>
            <w:tcBorders>
              <w:top w:val="nil"/>
              <w:left w:val="nil"/>
              <w:bottom w:val="nil"/>
              <w:right w:val="nil"/>
            </w:tcBorders>
            <w:shd w:val="clear" w:color="000000" w:fill="E6F2FF"/>
            <w:noWrap/>
            <w:vAlign w:val="center"/>
            <w:hideMark/>
          </w:tcPr>
          <w:p w14:paraId="74917E23" w14:textId="77777777" w:rsidR="00C17931" w:rsidRPr="00C17931" w:rsidRDefault="00C17931" w:rsidP="00C17931">
            <w:pPr>
              <w:spacing w:before="0" w:after="0" w:line="240" w:lineRule="auto"/>
              <w:jc w:val="right"/>
              <w:rPr>
                <w:rFonts w:ascii="Arial" w:hAnsi="Arial" w:cs="Arial"/>
                <w:color w:val="000000"/>
                <w:sz w:val="16"/>
                <w:szCs w:val="16"/>
              </w:rPr>
            </w:pPr>
            <w:r w:rsidRPr="00C17931">
              <w:rPr>
                <w:rFonts w:ascii="Arial" w:hAnsi="Arial" w:cs="Arial"/>
                <w:color w:val="000000"/>
                <w:sz w:val="16"/>
                <w:szCs w:val="16"/>
              </w:rPr>
              <w:t>36,150</w:t>
            </w:r>
          </w:p>
        </w:tc>
        <w:tc>
          <w:tcPr>
            <w:tcW w:w="472" w:type="pct"/>
            <w:tcBorders>
              <w:top w:val="nil"/>
              <w:left w:val="nil"/>
              <w:bottom w:val="nil"/>
              <w:right w:val="nil"/>
            </w:tcBorders>
            <w:shd w:val="clear" w:color="000000" w:fill="FFFFFF"/>
            <w:noWrap/>
            <w:vAlign w:val="center"/>
            <w:hideMark/>
          </w:tcPr>
          <w:p w14:paraId="0CA0E992" w14:textId="77777777" w:rsidR="00C17931" w:rsidRPr="00C17931" w:rsidRDefault="00C17931" w:rsidP="00C17931">
            <w:pPr>
              <w:spacing w:before="0" w:after="0" w:line="240" w:lineRule="auto"/>
              <w:jc w:val="right"/>
              <w:rPr>
                <w:rFonts w:ascii="Arial" w:hAnsi="Arial" w:cs="Arial"/>
                <w:color w:val="000000"/>
                <w:sz w:val="16"/>
                <w:szCs w:val="16"/>
              </w:rPr>
            </w:pPr>
            <w:r w:rsidRPr="00C17931">
              <w:rPr>
                <w:rFonts w:ascii="Arial" w:hAnsi="Arial" w:cs="Arial"/>
                <w:color w:val="000000"/>
                <w:sz w:val="16"/>
                <w:szCs w:val="16"/>
              </w:rPr>
              <w:t>37,863</w:t>
            </w:r>
          </w:p>
        </w:tc>
        <w:tc>
          <w:tcPr>
            <w:tcW w:w="472" w:type="pct"/>
            <w:tcBorders>
              <w:top w:val="nil"/>
              <w:left w:val="nil"/>
              <w:bottom w:val="nil"/>
              <w:right w:val="nil"/>
            </w:tcBorders>
            <w:shd w:val="clear" w:color="000000" w:fill="FFFFFF"/>
            <w:noWrap/>
            <w:vAlign w:val="center"/>
            <w:hideMark/>
          </w:tcPr>
          <w:p w14:paraId="142D4C66" w14:textId="77777777" w:rsidR="00C17931" w:rsidRPr="00C17931" w:rsidRDefault="00C17931" w:rsidP="00C17931">
            <w:pPr>
              <w:spacing w:before="0" w:after="0" w:line="240" w:lineRule="auto"/>
              <w:jc w:val="right"/>
              <w:rPr>
                <w:rFonts w:ascii="Arial" w:hAnsi="Arial" w:cs="Arial"/>
                <w:color w:val="000000"/>
                <w:sz w:val="16"/>
                <w:szCs w:val="16"/>
              </w:rPr>
            </w:pPr>
            <w:r w:rsidRPr="00C17931">
              <w:rPr>
                <w:rFonts w:ascii="Arial" w:hAnsi="Arial" w:cs="Arial"/>
                <w:color w:val="000000"/>
                <w:sz w:val="16"/>
                <w:szCs w:val="16"/>
              </w:rPr>
              <w:t>40,061</w:t>
            </w:r>
          </w:p>
        </w:tc>
        <w:tc>
          <w:tcPr>
            <w:tcW w:w="472" w:type="pct"/>
            <w:tcBorders>
              <w:top w:val="nil"/>
              <w:left w:val="nil"/>
              <w:bottom w:val="nil"/>
              <w:right w:val="nil"/>
            </w:tcBorders>
            <w:shd w:val="clear" w:color="000000" w:fill="FFFFFF"/>
            <w:noWrap/>
            <w:vAlign w:val="center"/>
            <w:hideMark/>
          </w:tcPr>
          <w:p w14:paraId="28D8AE09" w14:textId="77777777" w:rsidR="00C17931" w:rsidRPr="00C17931" w:rsidRDefault="00C17931" w:rsidP="00C17931">
            <w:pPr>
              <w:spacing w:before="0" w:after="0" w:line="240" w:lineRule="auto"/>
              <w:jc w:val="right"/>
              <w:rPr>
                <w:rFonts w:ascii="Arial" w:hAnsi="Arial" w:cs="Arial"/>
                <w:color w:val="000000"/>
                <w:sz w:val="16"/>
                <w:szCs w:val="16"/>
              </w:rPr>
            </w:pPr>
            <w:r w:rsidRPr="00C17931">
              <w:rPr>
                <w:rFonts w:ascii="Arial" w:hAnsi="Arial" w:cs="Arial"/>
                <w:color w:val="000000"/>
                <w:sz w:val="16"/>
                <w:szCs w:val="16"/>
              </w:rPr>
              <w:t>43,558</w:t>
            </w:r>
          </w:p>
        </w:tc>
      </w:tr>
      <w:tr w:rsidR="00C17931" w:rsidRPr="00C17931" w14:paraId="7193BB61" w14:textId="77777777" w:rsidTr="00C17931">
        <w:trPr>
          <w:trHeight w:hRule="exact" w:val="226"/>
        </w:trPr>
        <w:tc>
          <w:tcPr>
            <w:tcW w:w="1873" w:type="pct"/>
            <w:tcBorders>
              <w:top w:val="nil"/>
              <w:left w:val="nil"/>
              <w:bottom w:val="nil"/>
              <w:right w:val="nil"/>
            </w:tcBorders>
            <w:shd w:val="clear" w:color="000000" w:fill="FFFFFF"/>
            <w:noWrap/>
            <w:vAlign w:val="center"/>
            <w:hideMark/>
          </w:tcPr>
          <w:p w14:paraId="66E96E46" w14:textId="77777777" w:rsidR="00C17931" w:rsidRPr="00C17931" w:rsidRDefault="00C17931" w:rsidP="00C17931">
            <w:pPr>
              <w:spacing w:before="0" w:after="0" w:line="240" w:lineRule="auto"/>
              <w:rPr>
                <w:rFonts w:ascii="Arial" w:hAnsi="Arial" w:cs="Arial"/>
                <w:color w:val="000000"/>
                <w:sz w:val="16"/>
                <w:szCs w:val="16"/>
              </w:rPr>
            </w:pPr>
            <w:r w:rsidRPr="00C17931">
              <w:rPr>
                <w:rFonts w:ascii="Arial" w:hAnsi="Arial" w:cs="Arial"/>
                <w:color w:val="000000"/>
                <w:sz w:val="16"/>
                <w:szCs w:val="16"/>
              </w:rPr>
              <w:t>Medical Benefits</w:t>
            </w:r>
          </w:p>
        </w:tc>
        <w:tc>
          <w:tcPr>
            <w:tcW w:w="711" w:type="pct"/>
            <w:tcBorders>
              <w:top w:val="nil"/>
              <w:left w:val="nil"/>
              <w:bottom w:val="nil"/>
              <w:right w:val="nil"/>
            </w:tcBorders>
            <w:shd w:val="clear" w:color="000000" w:fill="FFFFFF"/>
            <w:noWrap/>
            <w:vAlign w:val="center"/>
            <w:hideMark/>
          </w:tcPr>
          <w:p w14:paraId="24386074" w14:textId="77777777" w:rsidR="00C17931" w:rsidRPr="00C17931" w:rsidRDefault="00C17931" w:rsidP="00C17931">
            <w:pPr>
              <w:spacing w:before="0" w:after="0" w:line="240" w:lineRule="auto"/>
              <w:rPr>
                <w:rFonts w:ascii="Arial" w:hAnsi="Arial" w:cs="Arial"/>
                <w:color w:val="000000"/>
                <w:sz w:val="16"/>
                <w:szCs w:val="16"/>
              </w:rPr>
            </w:pPr>
            <w:r w:rsidRPr="00C17931">
              <w:rPr>
                <w:rFonts w:ascii="Arial" w:hAnsi="Arial" w:cs="Arial"/>
                <w:color w:val="000000"/>
                <w:sz w:val="16"/>
                <w:szCs w:val="16"/>
              </w:rPr>
              <w:t>Health</w:t>
            </w:r>
          </w:p>
        </w:tc>
        <w:tc>
          <w:tcPr>
            <w:tcW w:w="59" w:type="pct"/>
            <w:tcBorders>
              <w:top w:val="nil"/>
              <w:left w:val="nil"/>
              <w:bottom w:val="nil"/>
              <w:right w:val="nil"/>
            </w:tcBorders>
            <w:shd w:val="clear" w:color="000000" w:fill="FFFFFF"/>
            <w:noWrap/>
            <w:vAlign w:val="center"/>
            <w:hideMark/>
          </w:tcPr>
          <w:p w14:paraId="21D900A2" w14:textId="77777777" w:rsidR="00C17931" w:rsidRPr="00C17931" w:rsidRDefault="00C17931" w:rsidP="00C17931">
            <w:pPr>
              <w:spacing w:before="0" w:after="0" w:line="240" w:lineRule="auto"/>
              <w:rPr>
                <w:rFonts w:ascii="Arial" w:hAnsi="Arial" w:cs="Arial"/>
                <w:color w:val="000000"/>
                <w:sz w:val="16"/>
                <w:szCs w:val="16"/>
              </w:rPr>
            </w:pPr>
            <w:r w:rsidRPr="00C17931">
              <w:rPr>
                <w:rFonts w:ascii="Arial" w:hAnsi="Arial" w:cs="Arial"/>
                <w:color w:val="000000"/>
                <w:sz w:val="16"/>
                <w:szCs w:val="16"/>
              </w:rPr>
              <w:t> </w:t>
            </w:r>
          </w:p>
        </w:tc>
        <w:tc>
          <w:tcPr>
            <w:tcW w:w="472" w:type="pct"/>
            <w:tcBorders>
              <w:top w:val="nil"/>
              <w:left w:val="nil"/>
              <w:bottom w:val="nil"/>
              <w:right w:val="nil"/>
            </w:tcBorders>
            <w:shd w:val="clear" w:color="000000" w:fill="FFFFFF"/>
            <w:noWrap/>
            <w:vAlign w:val="center"/>
            <w:hideMark/>
          </w:tcPr>
          <w:p w14:paraId="1CFA0D10" w14:textId="77777777" w:rsidR="00C17931" w:rsidRPr="00C17931" w:rsidRDefault="00C17931" w:rsidP="00C17931">
            <w:pPr>
              <w:spacing w:before="0" w:after="0" w:line="240" w:lineRule="auto"/>
              <w:jc w:val="right"/>
              <w:rPr>
                <w:rFonts w:ascii="Arial" w:hAnsi="Arial" w:cs="Arial"/>
                <w:color w:val="000000"/>
                <w:sz w:val="16"/>
                <w:szCs w:val="16"/>
              </w:rPr>
            </w:pPr>
            <w:r w:rsidRPr="00C17931">
              <w:rPr>
                <w:rFonts w:ascii="Arial" w:hAnsi="Arial" w:cs="Arial"/>
                <w:color w:val="000000"/>
                <w:sz w:val="16"/>
                <w:szCs w:val="16"/>
              </w:rPr>
              <w:t>29,763</w:t>
            </w:r>
          </w:p>
        </w:tc>
        <w:tc>
          <w:tcPr>
            <w:tcW w:w="472" w:type="pct"/>
            <w:tcBorders>
              <w:top w:val="nil"/>
              <w:left w:val="nil"/>
              <w:bottom w:val="nil"/>
              <w:right w:val="nil"/>
            </w:tcBorders>
            <w:shd w:val="clear" w:color="000000" w:fill="E6F2FF"/>
            <w:noWrap/>
            <w:vAlign w:val="center"/>
            <w:hideMark/>
          </w:tcPr>
          <w:p w14:paraId="3FD3D9DB" w14:textId="77777777" w:rsidR="00C17931" w:rsidRPr="00C17931" w:rsidRDefault="00C17931" w:rsidP="00C17931">
            <w:pPr>
              <w:spacing w:before="0" w:after="0" w:line="240" w:lineRule="auto"/>
              <w:jc w:val="right"/>
              <w:rPr>
                <w:rFonts w:ascii="Arial" w:hAnsi="Arial" w:cs="Arial"/>
                <w:color w:val="000000"/>
                <w:sz w:val="16"/>
                <w:szCs w:val="16"/>
              </w:rPr>
            </w:pPr>
            <w:r w:rsidRPr="00C17931">
              <w:rPr>
                <w:rFonts w:ascii="Arial" w:hAnsi="Arial" w:cs="Arial"/>
                <w:color w:val="000000"/>
                <w:sz w:val="16"/>
                <w:szCs w:val="16"/>
              </w:rPr>
              <w:t>31,983</w:t>
            </w:r>
          </w:p>
        </w:tc>
        <w:tc>
          <w:tcPr>
            <w:tcW w:w="472" w:type="pct"/>
            <w:tcBorders>
              <w:top w:val="nil"/>
              <w:left w:val="nil"/>
              <w:bottom w:val="nil"/>
              <w:right w:val="nil"/>
            </w:tcBorders>
            <w:shd w:val="clear" w:color="000000" w:fill="FFFFFF"/>
            <w:noWrap/>
            <w:vAlign w:val="center"/>
            <w:hideMark/>
          </w:tcPr>
          <w:p w14:paraId="3D59857E" w14:textId="77777777" w:rsidR="00C17931" w:rsidRPr="00C17931" w:rsidRDefault="00C17931" w:rsidP="00C17931">
            <w:pPr>
              <w:spacing w:before="0" w:after="0" w:line="240" w:lineRule="auto"/>
              <w:jc w:val="right"/>
              <w:rPr>
                <w:rFonts w:ascii="Arial" w:hAnsi="Arial" w:cs="Arial"/>
                <w:color w:val="000000"/>
                <w:sz w:val="16"/>
                <w:szCs w:val="16"/>
              </w:rPr>
            </w:pPr>
            <w:r w:rsidRPr="00C17931">
              <w:rPr>
                <w:rFonts w:ascii="Arial" w:hAnsi="Arial" w:cs="Arial"/>
                <w:color w:val="000000"/>
                <w:sz w:val="16"/>
                <w:szCs w:val="16"/>
              </w:rPr>
              <w:t>33,915</w:t>
            </w:r>
          </w:p>
        </w:tc>
        <w:tc>
          <w:tcPr>
            <w:tcW w:w="472" w:type="pct"/>
            <w:tcBorders>
              <w:top w:val="nil"/>
              <w:left w:val="nil"/>
              <w:bottom w:val="nil"/>
              <w:right w:val="nil"/>
            </w:tcBorders>
            <w:shd w:val="clear" w:color="000000" w:fill="FFFFFF"/>
            <w:noWrap/>
            <w:vAlign w:val="center"/>
            <w:hideMark/>
          </w:tcPr>
          <w:p w14:paraId="2E6311EF" w14:textId="77777777" w:rsidR="00C17931" w:rsidRPr="00C17931" w:rsidRDefault="00C17931" w:rsidP="00C17931">
            <w:pPr>
              <w:spacing w:before="0" w:after="0" w:line="240" w:lineRule="auto"/>
              <w:jc w:val="right"/>
              <w:rPr>
                <w:rFonts w:ascii="Arial" w:hAnsi="Arial" w:cs="Arial"/>
                <w:color w:val="000000"/>
                <w:sz w:val="16"/>
                <w:szCs w:val="16"/>
              </w:rPr>
            </w:pPr>
            <w:r w:rsidRPr="00C17931">
              <w:rPr>
                <w:rFonts w:ascii="Arial" w:hAnsi="Arial" w:cs="Arial"/>
                <w:color w:val="000000"/>
                <w:sz w:val="16"/>
                <w:szCs w:val="16"/>
              </w:rPr>
              <w:t>35,497</w:t>
            </w:r>
          </w:p>
        </w:tc>
        <w:tc>
          <w:tcPr>
            <w:tcW w:w="472" w:type="pct"/>
            <w:tcBorders>
              <w:top w:val="nil"/>
              <w:left w:val="nil"/>
              <w:bottom w:val="nil"/>
              <w:right w:val="nil"/>
            </w:tcBorders>
            <w:shd w:val="clear" w:color="000000" w:fill="FFFFFF"/>
            <w:noWrap/>
            <w:vAlign w:val="center"/>
            <w:hideMark/>
          </w:tcPr>
          <w:p w14:paraId="29B3CB87" w14:textId="77777777" w:rsidR="00C17931" w:rsidRPr="00C17931" w:rsidRDefault="00C17931" w:rsidP="00C17931">
            <w:pPr>
              <w:spacing w:before="0" w:after="0" w:line="240" w:lineRule="auto"/>
              <w:jc w:val="right"/>
              <w:rPr>
                <w:rFonts w:ascii="Arial" w:hAnsi="Arial" w:cs="Arial"/>
                <w:color w:val="000000"/>
                <w:sz w:val="16"/>
                <w:szCs w:val="16"/>
              </w:rPr>
            </w:pPr>
            <w:r w:rsidRPr="00C17931">
              <w:rPr>
                <w:rFonts w:ascii="Arial" w:hAnsi="Arial" w:cs="Arial"/>
                <w:color w:val="000000"/>
                <w:sz w:val="16"/>
                <w:szCs w:val="16"/>
              </w:rPr>
              <w:t>37,344</w:t>
            </w:r>
          </w:p>
        </w:tc>
      </w:tr>
      <w:tr w:rsidR="00C17931" w:rsidRPr="00C17931" w14:paraId="3E5643B4" w14:textId="77777777" w:rsidTr="00C17931">
        <w:trPr>
          <w:trHeight w:hRule="exact" w:val="226"/>
        </w:trPr>
        <w:tc>
          <w:tcPr>
            <w:tcW w:w="1873" w:type="pct"/>
            <w:tcBorders>
              <w:top w:val="nil"/>
              <w:left w:val="nil"/>
              <w:bottom w:val="nil"/>
              <w:right w:val="nil"/>
            </w:tcBorders>
            <w:shd w:val="clear" w:color="000000" w:fill="FFFFFF"/>
            <w:noWrap/>
            <w:vAlign w:val="center"/>
            <w:hideMark/>
          </w:tcPr>
          <w:p w14:paraId="4B886110" w14:textId="77777777" w:rsidR="00C17931" w:rsidRPr="00C17931" w:rsidRDefault="00C17931" w:rsidP="00C17931">
            <w:pPr>
              <w:spacing w:before="0" w:after="0" w:line="240" w:lineRule="auto"/>
              <w:rPr>
                <w:rFonts w:ascii="Arial" w:hAnsi="Arial" w:cs="Arial"/>
                <w:color w:val="000000"/>
                <w:sz w:val="16"/>
                <w:szCs w:val="16"/>
              </w:rPr>
            </w:pPr>
            <w:r w:rsidRPr="00C17931">
              <w:rPr>
                <w:rFonts w:ascii="Arial" w:hAnsi="Arial" w:cs="Arial"/>
                <w:color w:val="000000"/>
                <w:sz w:val="16"/>
                <w:szCs w:val="16"/>
              </w:rPr>
              <w:t>Assistance to the States for</w:t>
            </w:r>
          </w:p>
        </w:tc>
        <w:tc>
          <w:tcPr>
            <w:tcW w:w="711" w:type="pct"/>
            <w:tcBorders>
              <w:top w:val="nil"/>
              <w:left w:val="nil"/>
              <w:bottom w:val="nil"/>
              <w:right w:val="nil"/>
            </w:tcBorders>
            <w:shd w:val="clear" w:color="auto" w:fill="auto"/>
            <w:noWrap/>
            <w:vAlign w:val="center"/>
            <w:hideMark/>
          </w:tcPr>
          <w:p w14:paraId="4A008126" w14:textId="77777777" w:rsidR="00C17931" w:rsidRPr="00C17931" w:rsidRDefault="00C17931" w:rsidP="00C17931">
            <w:pPr>
              <w:spacing w:before="0" w:after="0" w:line="240" w:lineRule="auto"/>
              <w:rPr>
                <w:rFonts w:ascii="Arial" w:hAnsi="Arial" w:cs="Arial"/>
                <w:color w:val="000000"/>
                <w:sz w:val="16"/>
                <w:szCs w:val="16"/>
              </w:rPr>
            </w:pPr>
          </w:p>
        </w:tc>
        <w:tc>
          <w:tcPr>
            <w:tcW w:w="59" w:type="pct"/>
            <w:tcBorders>
              <w:top w:val="nil"/>
              <w:left w:val="nil"/>
              <w:bottom w:val="nil"/>
              <w:right w:val="nil"/>
            </w:tcBorders>
            <w:shd w:val="clear" w:color="000000" w:fill="FFFFFF"/>
            <w:noWrap/>
            <w:vAlign w:val="center"/>
            <w:hideMark/>
          </w:tcPr>
          <w:p w14:paraId="10675C95" w14:textId="77777777" w:rsidR="00C17931" w:rsidRPr="00C17931" w:rsidRDefault="00C17931" w:rsidP="00C17931">
            <w:pPr>
              <w:spacing w:before="0" w:after="0" w:line="240" w:lineRule="auto"/>
              <w:rPr>
                <w:rFonts w:ascii="Arial" w:hAnsi="Arial" w:cs="Arial"/>
                <w:color w:val="000000"/>
                <w:sz w:val="16"/>
                <w:szCs w:val="16"/>
              </w:rPr>
            </w:pPr>
            <w:r w:rsidRPr="00C17931">
              <w:rPr>
                <w:rFonts w:ascii="Arial" w:hAnsi="Arial" w:cs="Arial"/>
                <w:color w:val="000000"/>
                <w:sz w:val="16"/>
                <w:szCs w:val="16"/>
              </w:rPr>
              <w:t> </w:t>
            </w:r>
          </w:p>
        </w:tc>
        <w:tc>
          <w:tcPr>
            <w:tcW w:w="472" w:type="pct"/>
            <w:tcBorders>
              <w:top w:val="nil"/>
              <w:left w:val="nil"/>
              <w:bottom w:val="nil"/>
              <w:right w:val="nil"/>
            </w:tcBorders>
            <w:shd w:val="clear" w:color="000000" w:fill="FFFFFF"/>
            <w:noWrap/>
            <w:vAlign w:val="center"/>
            <w:hideMark/>
          </w:tcPr>
          <w:p w14:paraId="6857886F" w14:textId="77777777" w:rsidR="00C17931" w:rsidRPr="00C17931" w:rsidRDefault="00C17931" w:rsidP="00C17931">
            <w:pPr>
              <w:spacing w:before="0" w:after="0" w:line="240" w:lineRule="auto"/>
              <w:rPr>
                <w:rFonts w:ascii="Arial" w:hAnsi="Arial" w:cs="Arial"/>
                <w:color w:val="000000"/>
                <w:sz w:val="16"/>
                <w:szCs w:val="16"/>
              </w:rPr>
            </w:pPr>
            <w:r w:rsidRPr="00C17931">
              <w:rPr>
                <w:rFonts w:ascii="Arial" w:hAnsi="Arial" w:cs="Arial"/>
                <w:color w:val="000000"/>
                <w:sz w:val="16"/>
                <w:szCs w:val="16"/>
              </w:rPr>
              <w:t> </w:t>
            </w:r>
          </w:p>
        </w:tc>
        <w:tc>
          <w:tcPr>
            <w:tcW w:w="472" w:type="pct"/>
            <w:tcBorders>
              <w:top w:val="nil"/>
              <w:left w:val="nil"/>
              <w:bottom w:val="nil"/>
              <w:right w:val="nil"/>
            </w:tcBorders>
            <w:shd w:val="clear" w:color="000000" w:fill="E6F2FF"/>
            <w:noWrap/>
            <w:vAlign w:val="center"/>
            <w:hideMark/>
          </w:tcPr>
          <w:p w14:paraId="0119EF08" w14:textId="77777777" w:rsidR="00C17931" w:rsidRPr="00C17931" w:rsidRDefault="00C17931" w:rsidP="00C17931">
            <w:pPr>
              <w:spacing w:before="0" w:after="0" w:line="240" w:lineRule="auto"/>
              <w:rPr>
                <w:rFonts w:ascii="Arial" w:hAnsi="Arial" w:cs="Arial"/>
                <w:color w:val="000000"/>
                <w:sz w:val="16"/>
                <w:szCs w:val="16"/>
              </w:rPr>
            </w:pPr>
            <w:r w:rsidRPr="00C17931">
              <w:rPr>
                <w:rFonts w:ascii="Arial" w:hAnsi="Arial" w:cs="Arial"/>
                <w:color w:val="000000"/>
                <w:sz w:val="16"/>
                <w:szCs w:val="16"/>
              </w:rPr>
              <w:t> </w:t>
            </w:r>
          </w:p>
        </w:tc>
        <w:tc>
          <w:tcPr>
            <w:tcW w:w="472" w:type="pct"/>
            <w:tcBorders>
              <w:top w:val="nil"/>
              <w:left w:val="nil"/>
              <w:bottom w:val="nil"/>
              <w:right w:val="nil"/>
            </w:tcBorders>
            <w:shd w:val="clear" w:color="000000" w:fill="FFFFFF"/>
            <w:noWrap/>
            <w:vAlign w:val="center"/>
            <w:hideMark/>
          </w:tcPr>
          <w:p w14:paraId="5AF3BE2D" w14:textId="77777777" w:rsidR="00C17931" w:rsidRPr="00C17931" w:rsidRDefault="00C17931" w:rsidP="00C17931">
            <w:pPr>
              <w:spacing w:before="0" w:after="0" w:line="240" w:lineRule="auto"/>
              <w:rPr>
                <w:rFonts w:ascii="Arial" w:hAnsi="Arial" w:cs="Arial"/>
                <w:color w:val="000000"/>
                <w:sz w:val="16"/>
                <w:szCs w:val="16"/>
              </w:rPr>
            </w:pPr>
            <w:r w:rsidRPr="00C17931">
              <w:rPr>
                <w:rFonts w:ascii="Arial" w:hAnsi="Arial" w:cs="Arial"/>
                <w:color w:val="000000"/>
                <w:sz w:val="16"/>
                <w:szCs w:val="16"/>
              </w:rPr>
              <w:t> </w:t>
            </w:r>
          </w:p>
        </w:tc>
        <w:tc>
          <w:tcPr>
            <w:tcW w:w="472" w:type="pct"/>
            <w:tcBorders>
              <w:top w:val="nil"/>
              <w:left w:val="nil"/>
              <w:bottom w:val="nil"/>
              <w:right w:val="nil"/>
            </w:tcBorders>
            <w:shd w:val="clear" w:color="000000" w:fill="FFFFFF"/>
            <w:noWrap/>
            <w:vAlign w:val="center"/>
            <w:hideMark/>
          </w:tcPr>
          <w:p w14:paraId="53D3ADFF" w14:textId="77777777" w:rsidR="00C17931" w:rsidRPr="00C17931" w:rsidRDefault="00C17931" w:rsidP="00C17931">
            <w:pPr>
              <w:spacing w:before="0" w:after="0" w:line="240" w:lineRule="auto"/>
              <w:rPr>
                <w:rFonts w:ascii="Arial" w:hAnsi="Arial" w:cs="Arial"/>
                <w:color w:val="000000"/>
                <w:sz w:val="16"/>
                <w:szCs w:val="16"/>
              </w:rPr>
            </w:pPr>
            <w:r w:rsidRPr="00C17931">
              <w:rPr>
                <w:rFonts w:ascii="Arial" w:hAnsi="Arial" w:cs="Arial"/>
                <w:color w:val="000000"/>
                <w:sz w:val="16"/>
                <w:szCs w:val="16"/>
              </w:rPr>
              <w:t> </w:t>
            </w:r>
          </w:p>
        </w:tc>
        <w:tc>
          <w:tcPr>
            <w:tcW w:w="472" w:type="pct"/>
            <w:tcBorders>
              <w:top w:val="nil"/>
              <w:left w:val="nil"/>
              <w:bottom w:val="nil"/>
              <w:right w:val="nil"/>
            </w:tcBorders>
            <w:shd w:val="clear" w:color="000000" w:fill="FFFFFF"/>
            <w:noWrap/>
            <w:vAlign w:val="center"/>
            <w:hideMark/>
          </w:tcPr>
          <w:p w14:paraId="7AC6F948" w14:textId="77777777" w:rsidR="00C17931" w:rsidRPr="00C17931" w:rsidRDefault="00C17931" w:rsidP="00C17931">
            <w:pPr>
              <w:spacing w:before="0" w:after="0" w:line="240" w:lineRule="auto"/>
              <w:rPr>
                <w:rFonts w:ascii="Arial" w:hAnsi="Arial" w:cs="Arial"/>
                <w:color w:val="000000"/>
                <w:sz w:val="16"/>
                <w:szCs w:val="16"/>
              </w:rPr>
            </w:pPr>
            <w:r w:rsidRPr="00C17931">
              <w:rPr>
                <w:rFonts w:ascii="Arial" w:hAnsi="Arial" w:cs="Arial"/>
                <w:color w:val="000000"/>
                <w:sz w:val="16"/>
                <w:szCs w:val="16"/>
              </w:rPr>
              <w:t> </w:t>
            </w:r>
          </w:p>
        </w:tc>
      </w:tr>
      <w:tr w:rsidR="00C17931" w:rsidRPr="00C17931" w14:paraId="38D96440" w14:textId="77777777" w:rsidTr="00C17931">
        <w:trPr>
          <w:trHeight w:hRule="exact" w:val="226"/>
        </w:trPr>
        <w:tc>
          <w:tcPr>
            <w:tcW w:w="1873" w:type="pct"/>
            <w:tcBorders>
              <w:top w:val="nil"/>
              <w:left w:val="nil"/>
              <w:bottom w:val="nil"/>
              <w:right w:val="nil"/>
            </w:tcBorders>
            <w:shd w:val="clear" w:color="000000" w:fill="FFFFFF"/>
            <w:noWrap/>
            <w:vAlign w:val="center"/>
            <w:hideMark/>
          </w:tcPr>
          <w:p w14:paraId="0E7036AC" w14:textId="77777777" w:rsidR="00C17931" w:rsidRPr="00C17931" w:rsidRDefault="00C17931" w:rsidP="00C17931">
            <w:pPr>
              <w:spacing w:before="0" w:after="0" w:line="240" w:lineRule="auto"/>
              <w:ind w:left="170"/>
              <w:rPr>
                <w:rFonts w:ascii="Arial" w:hAnsi="Arial" w:cs="Arial"/>
                <w:color w:val="000000"/>
                <w:sz w:val="16"/>
                <w:szCs w:val="16"/>
              </w:rPr>
            </w:pPr>
            <w:r w:rsidRPr="00C17931">
              <w:rPr>
                <w:rFonts w:ascii="Arial" w:hAnsi="Arial" w:cs="Arial"/>
                <w:color w:val="000000"/>
                <w:sz w:val="16"/>
                <w:szCs w:val="16"/>
              </w:rPr>
              <w:t>Healthcare Services</w:t>
            </w:r>
          </w:p>
        </w:tc>
        <w:tc>
          <w:tcPr>
            <w:tcW w:w="711" w:type="pct"/>
            <w:tcBorders>
              <w:top w:val="nil"/>
              <w:left w:val="nil"/>
              <w:bottom w:val="nil"/>
              <w:right w:val="nil"/>
            </w:tcBorders>
            <w:shd w:val="clear" w:color="000000" w:fill="FFFFFF"/>
            <w:noWrap/>
            <w:vAlign w:val="center"/>
            <w:hideMark/>
          </w:tcPr>
          <w:p w14:paraId="01EE15A4" w14:textId="77777777" w:rsidR="00C17931" w:rsidRPr="00C17931" w:rsidRDefault="00C17931" w:rsidP="00C17931">
            <w:pPr>
              <w:spacing w:before="0" w:after="0" w:line="240" w:lineRule="auto"/>
              <w:rPr>
                <w:rFonts w:ascii="Arial" w:hAnsi="Arial" w:cs="Arial"/>
                <w:color w:val="000000"/>
                <w:sz w:val="16"/>
                <w:szCs w:val="16"/>
              </w:rPr>
            </w:pPr>
            <w:r w:rsidRPr="00C17931">
              <w:rPr>
                <w:rFonts w:ascii="Arial" w:hAnsi="Arial" w:cs="Arial"/>
                <w:color w:val="000000"/>
                <w:sz w:val="16"/>
                <w:szCs w:val="16"/>
              </w:rPr>
              <w:t>Health</w:t>
            </w:r>
          </w:p>
        </w:tc>
        <w:tc>
          <w:tcPr>
            <w:tcW w:w="59" w:type="pct"/>
            <w:tcBorders>
              <w:top w:val="nil"/>
              <w:left w:val="nil"/>
              <w:bottom w:val="nil"/>
              <w:right w:val="nil"/>
            </w:tcBorders>
            <w:shd w:val="clear" w:color="000000" w:fill="FFFFFF"/>
            <w:noWrap/>
            <w:vAlign w:val="center"/>
            <w:hideMark/>
          </w:tcPr>
          <w:p w14:paraId="25C0EE0D" w14:textId="77777777" w:rsidR="00C17931" w:rsidRPr="00C17931" w:rsidRDefault="00C17931" w:rsidP="00C17931">
            <w:pPr>
              <w:spacing w:before="0" w:after="0" w:line="240" w:lineRule="auto"/>
              <w:rPr>
                <w:rFonts w:ascii="Arial" w:hAnsi="Arial" w:cs="Arial"/>
                <w:color w:val="000000"/>
                <w:sz w:val="16"/>
                <w:szCs w:val="16"/>
              </w:rPr>
            </w:pPr>
            <w:r w:rsidRPr="00C17931">
              <w:rPr>
                <w:rFonts w:ascii="Arial" w:hAnsi="Arial" w:cs="Arial"/>
                <w:color w:val="000000"/>
                <w:sz w:val="16"/>
                <w:szCs w:val="16"/>
              </w:rPr>
              <w:t> </w:t>
            </w:r>
          </w:p>
        </w:tc>
        <w:tc>
          <w:tcPr>
            <w:tcW w:w="472" w:type="pct"/>
            <w:tcBorders>
              <w:top w:val="nil"/>
              <w:left w:val="nil"/>
              <w:bottom w:val="nil"/>
              <w:right w:val="nil"/>
            </w:tcBorders>
            <w:shd w:val="clear" w:color="000000" w:fill="FFFFFF"/>
            <w:noWrap/>
            <w:vAlign w:val="center"/>
            <w:hideMark/>
          </w:tcPr>
          <w:p w14:paraId="75792869" w14:textId="77777777" w:rsidR="00C17931" w:rsidRPr="00C17931" w:rsidRDefault="00C17931" w:rsidP="00C17931">
            <w:pPr>
              <w:spacing w:before="0" w:after="0" w:line="240" w:lineRule="auto"/>
              <w:jc w:val="right"/>
              <w:rPr>
                <w:rFonts w:ascii="Arial" w:hAnsi="Arial" w:cs="Arial"/>
                <w:color w:val="000000"/>
                <w:sz w:val="16"/>
                <w:szCs w:val="16"/>
              </w:rPr>
            </w:pPr>
            <w:r w:rsidRPr="00C17931">
              <w:rPr>
                <w:rFonts w:ascii="Arial" w:hAnsi="Arial" w:cs="Arial"/>
                <w:color w:val="000000"/>
                <w:sz w:val="16"/>
                <w:szCs w:val="16"/>
              </w:rPr>
              <w:t>27,853</w:t>
            </w:r>
          </w:p>
        </w:tc>
        <w:tc>
          <w:tcPr>
            <w:tcW w:w="472" w:type="pct"/>
            <w:tcBorders>
              <w:top w:val="nil"/>
              <w:left w:val="nil"/>
              <w:bottom w:val="nil"/>
              <w:right w:val="nil"/>
            </w:tcBorders>
            <w:shd w:val="clear" w:color="000000" w:fill="E6F2FF"/>
            <w:noWrap/>
            <w:vAlign w:val="center"/>
            <w:hideMark/>
          </w:tcPr>
          <w:p w14:paraId="4410441F" w14:textId="77777777" w:rsidR="00C17931" w:rsidRPr="00C17931" w:rsidRDefault="00C17931" w:rsidP="00C17931">
            <w:pPr>
              <w:spacing w:before="0" w:after="0" w:line="240" w:lineRule="auto"/>
              <w:jc w:val="right"/>
              <w:rPr>
                <w:rFonts w:ascii="Arial" w:hAnsi="Arial" w:cs="Arial"/>
                <w:color w:val="000000"/>
                <w:sz w:val="16"/>
                <w:szCs w:val="16"/>
              </w:rPr>
            </w:pPr>
            <w:r w:rsidRPr="00C17931">
              <w:rPr>
                <w:rFonts w:ascii="Arial" w:hAnsi="Arial" w:cs="Arial"/>
                <w:color w:val="000000"/>
                <w:sz w:val="16"/>
                <w:szCs w:val="16"/>
              </w:rPr>
              <w:t>30,149</w:t>
            </w:r>
          </w:p>
        </w:tc>
        <w:tc>
          <w:tcPr>
            <w:tcW w:w="472" w:type="pct"/>
            <w:tcBorders>
              <w:top w:val="nil"/>
              <w:left w:val="nil"/>
              <w:bottom w:val="nil"/>
              <w:right w:val="nil"/>
            </w:tcBorders>
            <w:shd w:val="clear" w:color="000000" w:fill="FFFFFF"/>
            <w:noWrap/>
            <w:vAlign w:val="center"/>
            <w:hideMark/>
          </w:tcPr>
          <w:p w14:paraId="3F123C64" w14:textId="77777777" w:rsidR="00C17931" w:rsidRPr="00C17931" w:rsidRDefault="00C17931" w:rsidP="00C17931">
            <w:pPr>
              <w:spacing w:before="0" w:after="0" w:line="240" w:lineRule="auto"/>
              <w:jc w:val="right"/>
              <w:rPr>
                <w:rFonts w:ascii="Arial" w:hAnsi="Arial" w:cs="Arial"/>
                <w:color w:val="000000"/>
                <w:sz w:val="16"/>
                <w:szCs w:val="16"/>
              </w:rPr>
            </w:pPr>
            <w:r w:rsidRPr="00C17931">
              <w:rPr>
                <w:rFonts w:ascii="Arial" w:hAnsi="Arial" w:cs="Arial"/>
                <w:color w:val="000000"/>
                <w:sz w:val="16"/>
                <w:szCs w:val="16"/>
              </w:rPr>
              <w:t>32,187</w:t>
            </w:r>
          </w:p>
        </w:tc>
        <w:tc>
          <w:tcPr>
            <w:tcW w:w="472" w:type="pct"/>
            <w:tcBorders>
              <w:top w:val="nil"/>
              <w:left w:val="nil"/>
              <w:bottom w:val="nil"/>
              <w:right w:val="nil"/>
            </w:tcBorders>
            <w:shd w:val="clear" w:color="000000" w:fill="FFFFFF"/>
            <w:noWrap/>
            <w:vAlign w:val="center"/>
            <w:hideMark/>
          </w:tcPr>
          <w:p w14:paraId="39A3AE15" w14:textId="77777777" w:rsidR="00C17931" w:rsidRPr="00C17931" w:rsidRDefault="00C17931" w:rsidP="00C17931">
            <w:pPr>
              <w:spacing w:before="0" w:after="0" w:line="240" w:lineRule="auto"/>
              <w:jc w:val="right"/>
              <w:rPr>
                <w:rFonts w:ascii="Arial" w:hAnsi="Arial" w:cs="Arial"/>
                <w:color w:val="000000"/>
                <w:sz w:val="16"/>
                <w:szCs w:val="16"/>
              </w:rPr>
            </w:pPr>
            <w:r w:rsidRPr="00C17931">
              <w:rPr>
                <w:rFonts w:ascii="Arial" w:hAnsi="Arial" w:cs="Arial"/>
                <w:color w:val="000000"/>
                <w:sz w:val="16"/>
                <w:szCs w:val="16"/>
              </w:rPr>
              <w:t>34,229</w:t>
            </w:r>
          </w:p>
        </w:tc>
        <w:tc>
          <w:tcPr>
            <w:tcW w:w="472" w:type="pct"/>
            <w:tcBorders>
              <w:top w:val="nil"/>
              <w:left w:val="nil"/>
              <w:bottom w:val="nil"/>
              <w:right w:val="nil"/>
            </w:tcBorders>
            <w:shd w:val="clear" w:color="000000" w:fill="FFFFFF"/>
            <w:noWrap/>
            <w:vAlign w:val="center"/>
            <w:hideMark/>
          </w:tcPr>
          <w:p w14:paraId="575A28BB" w14:textId="77777777" w:rsidR="00C17931" w:rsidRPr="00C17931" w:rsidRDefault="00C17931" w:rsidP="00C17931">
            <w:pPr>
              <w:spacing w:before="0" w:after="0" w:line="240" w:lineRule="auto"/>
              <w:jc w:val="right"/>
              <w:rPr>
                <w:rFonts w:ascii="Arial" w:hAnsi="Arial" w:cs="Arial"/>
                <w:color w:val="000000"/>
                <w:sz w:val="16"/>
                <w:szCs w:val="16"/>
              </w:rPr>
            </w:pPr>
            <w:r w:rsidRPr="00C17931">
              <w:rPr>
                <w:rFonts w:ascii="Arial" w:hAnsi="Arial" w:cs="Arial"/>
                <w:color w:val="000000"/>
                <w:sz w:val="16"/>
                <w:szCs w:val="16"/>
              </w:rPr>
              <w:t>36,454</w:t>
            </w:r>
          </w:p>
        </w:tc>
      </w:tr>
      <w:tr w:rsidR="00C17931" w:rsidRPr="00C17931" w14:paraId="492CB4DA" w14:textId="77777777" w:rsidTr="00C17931">
        <w:trPr>
          <w:trHeight w:hRule="exact" w:val="226"/>
        </w:trPr>
        <w:tc>
          <w:tcPr>
            <w:tcW w:w="1873" w:type="pct"/>
            <w:tcBorders>
              <w:top w:val="nil"/>
              <w:left w:val="nil"/>
              <w:bottom w:val="nil"/>
              <w:right w:val="nil"/>
            </w:tcBorders>
            <w:shd w:val="clear" w:color="000000" w:fill="FFFFFF"/>
            <w:noWrap/>
            <w:vAlign w:val="center"/>
            <w:hideMark/>
          </w:tcPr>
          <w:p w14:paraId="06E7CEAF" w14:textId="77777777" w:rsidR="00C17931" w:rsidRPr="00C17931" w:rsidRDefault="00C17931" w:rsidP="00C17931">
            <w:pPr>
              <w:spacing w:before="0" w:after="0" w:line="240" w:lineRule="auto"/>
              <w:rPr>
                <w:rFonts w:ascii="Arial" w:hAnsi="Arial" w:cs="Arial"/>
                <w:color w:val="000000"/>
                <w:sz w:val="16"/>
                <w:szCs w:val="16"/>
              </w:rPr>
            </w:pPr>
            <w:r w:rsidRPr="00C17931">
              <w:rPr>
                <w:rFonts w:ascii="Arial" w:hAnsi="Arial" w:cs="Arial"/>
                <w:color w:val="000000"/>
                <w:sz w:val="16"/>
                <w:szCs w:val="16"/>
              </w:rPr>
              <w:t>Commonwealth Debt</w:t>
            </w:r>
          </w:p>
        </w:tc>
        <w:tc>
          <w:tcPr>
            <w:tcW w:w="711" w:type="pct"/>
            <w:tcBorders>
              <w:top w:val="nil"/>
              <w:left w:val="nil"/>
              <w:bottom w:val="nil"/>
              <w:right w:val="nil"/>
            </w:tcBorders>
            <w:shd w:val="clear" w:color="auto" w:fill="auto"/>
            <w:noWrap/>
            <w:vAlign w:val="center"/>
            <w:hideMark/>
          </w:tcPr>
          <w:p w14:paraId="05F0C47A" w14:textId="77777777" w:rsidR="00C17931" w:rsidRPr="00C17931" w:rsidRDefault="00C17931" w:rsidP="00C17931">
            <w:pPr>
              <w:spacing w:before="0" w:after="0" w:line="240" w:lineRule="auto"/>
              <w:rPr>
                <w:rFonts w:ascii="Arial" w:hAnsi="Arial" w:cs="Arial"/>
                <w:color w:val="000000"/>
                <w:sz w:val="16"/>
                <w:szCs w:val="16"/>
              </w:rPr>
            </w:pPr>
          </w:p>
        </w:tc>
        <w:tc>
          <w:tcPr>
            <w:tcW w:w="59" w:type="pct"/>
            <w:tcBorders>
              <w:top w:val="nil"/>
              <w:left w:val="nil"/>
              <w:bottom w:val="nil"/>
              <w:right w:val="nil"/>
            </w:tcBorders>
            <w:shd w:val="clear" w:color="000000" w:fill="FFFFFF"/>
            <w:noWrap/>
            <w:vAlign w:val="center"/>
            <w:hideMark/>
          </w:tcPr>
          <w:p w14:paraId="00AE38F1" w14:textId="77777777" w:rsidR="00C17931" w:rsidRPr="00C17931" w:rsidRDefault="00C17931" w:rsidP="00C17931">
            <w:pPr>
              <w:spacing w:before="0" w:after="0" w:line="240" w:lineRule="auto"/>
              <w:rPr>
                <w:rFonts w:ascii="Arial" w:hAnsi="Arial" w:cs="Arial"/>
                <w:color w:val="000000"/>
                <w:sz w:val="16"/>
                <w:szCs w:val="16"/>
              </w:rPr>
            </w:pPr>
            <w:r w:rsidRPr="00C17931">
              <w:rPr>
                <w:rFonts w:ascii="Arial" w:hAnsi="Arial" w:cs="Arial"/>
                <w:color w:val="000000"/>
                <w:sz w:val="16"/>
                <w:szCs w:val="16"/>
              </w:rPr>
              <w:t> </w:t>
            </w:r>
          </w:p>
        </w:tc>
        <w:tc>
          <w:tcPr>
            <w:tcW w:w="472" w:type="pct"/>
            <w:tcBorders>
              <w:top w:val="nil"/>
              <w:left w:val="nil"/>
              <w:bottom w:val="nil"/>
              <w:right w:val="nil"/>
            </w:tcBorders>
            <w:shd w:val="clear" w:color="000000" w:fill="FFFFFF"/>
            <w:noWrap/>
            <w:vAlign w:val="center"/>
            <w:hideMark/>
          </w:tcPr>
          <w:p w14:paraId="36CB2701" w14:textId="77777777" w:rsidR="00C17931" w:rsidRPr="00C17931" w:rsidRDefault="00C17931" w:rsidP="00C17931">
            <w:pPr>
              <w:spacing w:before="0" w:after="0" w:line="240" w:lineRule="auto"/>
              <w:rPr>
                <w:rFonts w:ascii="Arial" w:hAnsi="Arial" w:cs="Arial"/>
                <w:color w:val="000000"/>
                <w:sz w:val="16"/>
                <w:szCs w:val="16"/>
              </w:rPr>
            </w:pPr>
            <w:r w:rsidRPr="00C17931">
              <w:rPr>
                <w:rFonts w:ascii="Arial" w:hAnsi="Arial" w:cs="Arial"/>
                <w:color w:val="000000"/>
                <w:sz w:val="16"/>
                <w:szCs w:val="16"/>
              </w:rPr>
              <w:t> </w:t>
            </w:r>
          </w:p>
        </w:tc>
        <w:tc>
          <w:tcPr>
            <w:tcW w:w="472" w:type="pct"/>
            <w:tcBorders>
              <w:top w:val="nil"/>
              <w:left w:val="nil"/>
              <w:bottom w:val="nil"/>
              <w:right w:val="nil"/>
            </w:tcBorders>
            <w:shd w:val="clear" w:color="000000" w:fill="E6F2FF"/>
            <w:noWrap/>
            <w:vAlign w:val="center"/>
            <w:hideMark/>
          </w:tcPr>
          <w:p w14:paraId="2AA426B6" w14:textId="77777777" w:rsidR="00C17931" w:rsidRPr="00C17931" w:rsidRDefault="00C17931" w:rsidP="00C17931">
            <w:pPr>
              <w:spacing w:before="0" w:after="0" w:line="240" w:lineRule="auto"/>
              <w:rPr>
                <w:rFonts w:ascii="Arial" w:hAnsi="Arial" w:cs="Arial"/>
                <w:color w:val="000000"/>
                <w:sz w:val="16"/>
                <w:szCs w:val="16"/>
              </w:rPr>
            </w:pPr>
            <w:r w:rsidRPr="00C17931">
              <w:rPr>
                <w:rFonts w:ascii="Arial" w:hAnsi="Arial" w:cs="Arial"/>
                <w:color w:val="000000"/>
                <w:sz w:val="16"/>
                <w:szCs w:val="16"/>
              </w:rPr>
              <w:t> </w:t>
            </w:r>
          </w:p>
        </w:tc>
        <w:tc>
          <w:tcPr>
            <w:tcW w:w="472" w:type="pct"/>
            <w:tcBorders>
              <w:top w:val="nil"/>
              <w:left w:val="nil"/>
              <w:bottom w:val="nil"/>
              <w:right w:val="nil"/>
            </w:tcBorders>
            <w:shd w:val="clear" w:color="000000" w:fill="FFFFFF"/>
            <w:noWrap/>
            <w:vAlign w:val="center"/>
            <w:hideMark/>
          </w:tcPr>
          <w:p w14:paraId="766DCEC8" w14:textId="77777777" w:rsidR="00C17931" w:rsidRPr="00C17931" w:rsidRDefault="00C17931" w:rsidP="00C17931">
            <w:pPr>
              <w:spacing w:before="0" w:after="0" w:line="240" w:lineRule="auto"/>
              <w:rPr>
                <w:rFonts w:ascii="Arial" w:hAnsi="Arial" w:cs="Arial"/>
                <w:color w:val="000000"/>
                <w:sz w:val="16"/>
                <w:szCs w:val="16"/>
              </w:rPr>
            </w:pPr>
            <w:r w:rsidRPr="00C17931">
              <w:rPr>
                <w:rFonts w:ascii="Arial" w:hAnsi="Arial" w:cs="Arial"/>
                <w:color w:val="000000"/>
                <w:sz w:val="16"/>
                <w:szCs w:val="16"/>
              </w:rPr>
              <w:t> </w:t>
            </w:r>
          </w:p>
        </w:tc>
        <w:tc>
          <w:tcPr>
            <w:tcW w:w="472" w:type="pct"/>
            <w:tcBorders>
              <w:top w:val="nil"/>
              <w:left w:val="nil"/>
              <w:bottom w:val="nil"/>
              <w:right w:val="nil"/>
            </w:tcBorders>
            <w:shd w:val="clear" w:color="000000" w:fill="FFFFFF"/>
            <w:noWrap/>
            <w:vAlign w:val="center"/>
            <w:hideMark/>
          </w:tcPr>
          <w:p w14:paraId="6DA2D779" w14:textId="77777777" w:rsidR="00C17931" w:rsidRPr="00C17931" w:rsidRDefault="00C17931" w:rsidP="00C17931">
            <w:pPr>
              <w:spacing w:before="0" w:after="0" w:line="240" w:lineRule="auto"/>
              <w:rPr>
                <w:rFonts w:ascii="Arial" w:hAnsi="Arial" w:cs="Arial"/>
                <w:color w:val="000000"/>
                <w:sz w:val="16"/>
                <w:szCs w:val="16"/>
              </w:rPr>
            </w:pPr>
            <w:r w:rsidRPr="00C17931">
              <w:rPr>
                <w:rFonts w:ascii="Arial" w:hAnsi="Arial" w:cs="Arial"/>
                <w:color w:val="000000"/>
                <w:sz w:val="16"/>
                <w:szCs w:val="16"/>
              </w:rPr>
              <w:t> </w:t>
            </w:r>
          </w:p>
        </w:tc>
        <w:tc>
          <w:tcPr>
            <w:tcW w:w="472" w:type="pct"/>
            <w:tcBorders>
              <w:top w:val="nil"/>
              <w:left w:val="nil"/>
              <w:bottom w:val="nil"/>
              <w:right w:val="nil"/>
            </w:tcBorders>
            <w:shd w:val="clear" w:color="000000" w:fill="FFFFFF"/>
            <w:noWrap/>
            <w:vAlign w:val="center"/>
            <w:hideMark/>
          </w:tcPr>
          <w:p w14:paraId="1B3130E0" w14:textId="77777777" w:rsidR="00C17931" w:rsidRPr="00C17931" w:rsidRDefault="00C17931" w:rsidP="00C17931">
            <w:pPr>
              <w:spacing w:before="0" w:after="0" w:line="240" w:lineRule="auto"/>
              <w:rPr>
                <w:rFonts w:ascii="Arial" w:hAnsi="Arial" w:cs="Arial"/>
                <w:color w:val="000000"/>
                <w:sz w:val="16"/>
                <w:szCs w:val="16"/>
              </w:rPr>
            </w:pPr>
            <w:r w:rsidRPr="00C17931">
              <w:rPr>
                <w:rFonts w:ascii="Arial" w:hAnsi="Arial" w:cs="Arial"/>
                <w:color w:val="000000"/>
                <w:sz w:val="16"/>
                <w:szCs w:val="16"/>
              </w:rPr>
              <w:t> </w:t>
            </w:r>
          </w:p>
        </w:tc>
      </w:tr>
      <w:tr w:rsidR="00C17931" w:rsidRPr="00C17931" w14:paraId="6DD2EA7D" w14:textId="77777777" w:rsidTr="00C17931">
        <w:trPr>
          <w:trHeight w:hRule="exact" w:val="226"/>
        </w:trPr>
        <w:tc>
          <w:tcPr>
            <w:tcW w:w="1873" w:type="pct"/>
            <w:tcBorders>
              <w:top w:val="nil"/>
              <w:left w:val="nil"/>
              <w:bottom w:val="nil"/>
              <w:right w:val="nil"/>
            </w:tcBorders>
            <w:shd w:val="clear" w:color="000000" w:fill="FFFFFF"/>
            <w:noWrap/>
            <w:vAlign w:val="center"/>
            <w:hideMark/>
          </w:tcPr>
          <w:p w14:paraId="5322E0DE" w14:textId="77777777" w:rsidR="00C17931" w:rsidRPr="00C17931" w:rsidRDefault="00C17931" w:rsidP="00C17931">
            <w:pPr>
              <w:spacing w:before="0" w:after="0" w:line="240" w:lineRule="auto"/>
              <w:ind w:left="170"/>
              <w:rPr>
                <w:rFonts w:ascii="Arial" w:hAnsi="Arial" w:cs="Arial"/>
                <w:color w:val="000000"/>
                <w:sz w:val="16"/>
                <w:szCs w:val="16"/>
              </w:rPr>
            </w:pPr>
            <w:r w:rsidRPr="00C17931">
              <w:rPr>
                <w:rFonts w:ascii="Arial" w:hAnsi="Arial" w:cs="Arial"/>
                <w:color w:val="000000"/>
                <w:sz w:val="16"/>
                <w:szCs w:val="16"/>
              </w:rPr>
              <w:t>Management</w:t>
            </w:r>
          </w:p>
        </w:tc>
        <w:tc>
          <w:tcPr>
            <w:tcW w:w="711" w:type="pct"/>
            <w:tcBorders>
              <w:top w:val="nil"/>
              <w:left w:val="nil"/>
              <w:bottom w:val="nil"/>
              <w:right w:val="nil"/>
            </w:tcBorders>
            <w:shd w:val="clear" w:color="000000" w:fill="FFFFFF"/>
            <w:noWrap/>
            <w:vAlign w:val="center"/>
            <w:hideMark/>
          </w:tcPr>
          <w:p w14:paraId="7C197E09" w14:textId="77777777" w:rsidR="00C17931" w:rsidRPr="00C17931" w:rsidRDefault="00C17931" w:rsidP="00C17931">
            <w:pPr>
              <w:spacing w:before="0" w:after="0" w:line="240" w:lineRule="auto"/>
              <w:rPr>
                <w:rFonts w:ascii="Arial" w:hAnsi="Arial" w:cs="Arial"/>
                <w:color w:val="000000"/>
                <w:sz w:val="16"/>
                <w:szCs w:val="16"/>
              </w:rPr>
            </w:pPr>
            <w:r w:rsidRPr="00C17931">
              <w:rPr>
                <w:rFonts w:ascii="Arial" w:hAnsi="Arial" w:cs="Arial"/>
                <w:color w:val="000000"/>
                <w:sz w:val="16"/>
                <w:szCs w:val="16"/>
              </w:rPr>
              <w:t>Other purposes</w:t>
            </w:r>
          </w:p>
        </w:tc>
        <w:tc>
          <w:tcPr>
            <w:tcW w:w="59" w:type="pct"/>
            <w:tcBorders>
              <w:top w:val="nil"/>
              <w:left w:val="nil"/>
              <w:bottom w:val="nil"/>
              <w:right w:val="nil"/>
            </w:tcBorders>
            <w:shd w:val="clear" w:color="000000" w:fill="FFFFFF"/>
            <w:noWrap/>
            <w:vAlign w:val="center"/>
            <w:hideMark/>
          </w:tcPr>
          <w:p w14:paraId="790513DB" w14:textId="77777777" w:rsidR="00C17931" w:rsidRPr="00C17931" w:rsidRDefault="00C17931" w:rsidP="00C17931">
            <w:pPr>
              <w:spacing w:before="0" w:after="0" w:line="240" w:lineRule="auto"/>
              <w:rPr>
                <w:rFonts w:ascii="Arial" w:hAnsi="Arial" w:cs="Arial"/>
                <w:color w:val="000000"/>
                <w:sz w:val="16"/>
                <w:szCs w:val="16"/>
              </w:rPr>
            </w:pPr>
            <w:r w:rsidRPr="00C17931">
              <w:rPr>
                <w:rFonts w:ascii="Arial" w:hAnsi="Arial" w:cs="Arial"/>
                <w:color w:val="000000"/>
                <w:sz w:val="16"/>
                <w:szCs w:val="16"/>
              </w:rPr>
              <w:t> </w:t>
            </w:r>
          </w:p>
        </w:tc>
        <w:tc>
          <w:tcPr>
            <w:tcW w:w="472" w:type="pct"/>
            <w:tcBorders>
              <w:top w:val="nil"/>
              <w:left w:val="nil"/>
              <w:bottom w:val="nil"/>
              <w:right w:val="nil"/>
            </w:tcBorders>
            <w:shd w:val="clear" w:color="000000" w:fill="FFFFFF"/>
            <w:noWrap/>
            <w:vAlign w:val="center"/>
            <w:hideMark/>
          </w:tcPr>
          <w:p w14:paraId="52D7AAAC" w14:textId="77777777" w:rsidR="00C17931" w:rsidRPr="00C17931" w:rsidRDefault="00C17931" w:rsidP="00C17931">
            <w:pPr>
              <w:spacing w:before="0" w:after="0" w:line="240" w:lineRule="auto"/>
              <w:jc w:val="right"/>
              <w:rPr>
                <w:rFonts w:ascii="Arial" w:hAnsi="Arial" w:cs="Arial"/>
                <w:color w:val="000000"/>
                <w:sz w:val="16"/>
                <w:szCs w:val="16"/>
              </w:rPr>
            </w:pPr>
            <w:r w:rsidRPr="00C17931">
              <w:rPr>
                <w:rFonts w:ascii="Arial" w:hAnsi="Arial" w:cs="Arial"/>
                <w:color w:val="000000"/>
                <w:sz w:val="16"/>
                <w:szCs w:val="16"/>
              </w:rPr>
              <w:t>22,547</w:t>
            </w:r>
          </w:p>
        </w:tc>
        <w:tc>
          <w:tcPr>
            <w:tcW w:w="472" w:type="pct"/>
            <w:tcBorders>
              <w:top w:val="nil"/>
              <w:left w:val="nil"/>
              <w:bottom w:val="nil"/>
              <w:right w:val="nil"/>
            </w:tcBorders>
            <w:shd w:val="clear" w:color="000000" w:fill="E6F2FF"/>
            <w:noWrap/>
            <w:vAlign w:val="center"/>
            <w:hideMark/>
          </w:tcPr>
          <w:p w14:paraId="36BB7AE7" w14:textId="77777777" w:rsidR="00C17931" w:rsidRPr="00C17931" w:rsidRDefault="00C17931" w:rsidP="00C17931">
            <w:pPr>
              <w:spacing w:before="0" w:after="0" w:line="240" w:lineRule="auto"/>
              <w:jc w:val="right"/>
              <w:rPr>
                <w:rFonts w:ascii="Arial" w:hAnsi="Arial" w:cs="Arial"/>
                <w:color w:val="000000"/>
                <w:sz w:val="16"/>
                <w:szCs w:val="16"/>
              </w:rPr>
            </w:pPr>
            <w:r w:rsidRPr="00C17931">
              <w:rPr>
                <w:rFonts w:ascii="Arial" w:hAnsi="Arial" w:cs="Arial"/>
                <w:color w:val="000000"/>
                <w:sz w:val="16"/>
                <w:szCs w:val="16"/>
              </w:rPr>
              <w:t>24,107</w:t>
            </w:r>
          </w:p>
        </w:tc>
        <w:tc>
          <w:tcPr>
            <w:tcW w:w="472" w:type="pct"/>
            <w:tcBorders>
              <w:top w:val="nil"/>
              <w:left w:val="nil"/>
              <w:bottom w:val="nil"/>
              <w:right w:val="nil"/>
            </w:tcBorders>
            <w:shd w:val="clear" w:color="000000" w:fill="FFFFFF"/>
            <w:noWrap/>
            <w:vAlign w:val="center"/>
            <w:hideMark/>
          </w:tcPr>
          <w:p w14:paraId="5166B168" w14:textId="77777777" w:rsidR="00C17931" w:rsidRPr="00C17931" w:rsidRDefault="00C17931" w:rsidP="00C17931">
            <w:pPr>
              <w:spacing w:before="0" w:after="0" w:line="240" w:lineRule="auto"/>
              <w:jc w:val="right"/>
              <w:rPr>
                <w:rFonts w:ascii="Arial" w:hAnsi="Arial" w:cs="Arial"/>
                <w:color w:val="000000"/>
                <w:sz w:val="16"/>
                <w:szCs w:val="16"/>
              </w:rPr>
            </w:pPr>
            <w:r w:rsidRPr="00C17931">
              <w:rPr>
                <w:rFonts w:ascii="Arial" w:hAnsi="Arial" w:cs="Arial"/>
                <w:color w:val="000000"/>
                <w:sz w:val="16"/>
                <w:szCs w:val="16"/>
              </w:rPr>
              <w:t>28,269</w:t>
            </w:r>
          </w:p>
        </w:tc>
        <w:tc>
          <w:tcPr>
            <w:tcW w:w="472" w:type="pct"/>
            <w:tcBorders>
              <w:top w:val="nil"/>
              <w:left w:val="nil"/>
              <w:bottom w:val="nil"/>
              <w:right w:val="nil"/>
            </w:tcBorders>
            <w:shd w:val="clear" w:color="000000" w:fill="FFFFFF"/>
            <w:noWrap/>
            <w:vAlign w:val="center"/>
            <w:hideMark/>
          </w:tcPr>
          <w:p w14:paraId="6BB0B32D" w14:textId="77777777" w:rsidR="00C17931" w:rsidRPr="00C17931" w:rsidRDefault="00C17931" w:rsidP="00C17931">
            <w:pPr>
              <w:spacing w:before="0" w:after="0" w:line="240" w:lineRule="auto"/>
              <w:jc w:val="right"/>
              <w:rPr>
                <w:rFonts w:ascii="Arial" w:hAnsi="Arial" w:cs="Arial"/>
                <w:color w:val="000000"/>
                <w:sz w:val="16"/>
                <w:szCs w:val="16"/>
              </w:rPr>
            </w:pPr>
            <w:r w:rsidRPr="00C17931">
              <w:rPr>
                <w:rFonts w:ascii="Arial" w:hAnsi="Arial" w:cs="Arial"/>
                <w:color w:val="000000"/>
                <w:sz w:val="16"/>
                <w:szCs w:val="16"/>
              </w:rPr>
              <w:t>32,432</w:t>
            </w:r>
          </w:p>
        </w:tc>
        <w:tc>
          <w:tcPr>
            <w:tcW w:w="472" w:type="pct"/>
            <w:tcBorders>
              <w:top w:val="nil"/>
              <w:left w:val="nil"/>
              <w:bottom w:val="nil"/>
              <w:right w:val="nil"/>
            </w:tcBorders>
            <w:shd w:val="clear" w:color="000000" w:fill="FFFFFF"/>
            <w:noWrap/>
            <w:vAlign w:val="center"/>
            <w:hideMark/>
          </w:tcPr>
          <w:p w14:paraId="74D6C1BA" w14:textId="77777777" w:rsidR="00C17931" w:rsidRPr="00C17931" w:rsidRDefault="00C17931" w:rsidP="00C17931">
            <w:pPr>
              <w:spacing w:before="0" w:after="0" w:line="240" w:lineRule="auto"/>
              <w:jc w:val="right"/>
              <w:rPr>
                <w:rFonts w:ascii="Arial" w:hAnsi="Arial" w:cs="Arial"/>
                <w:color w:val="000000"/>
                <w:sz w:val="16"/>
                <w:szCs w:val="16"/>
              </w:rPr>
            </w:pPr>
            <w:r w:rsidRPr="00C17931">
              <w:rPr>
                <w:rFonts w:ascii="Arial" w:hAnsi="Arial" w:cs="Arial"/>
                <w:color w:val="000000"/>
                <w:sz w:val="16"/>
                <w:szCs w:val="16"/>
              </w:rPr>
              <w:t>35,744</w:t>
            </w:r>
          </w:p>
        </w:tc>
      </w:tr>
      <w:tr w:rsidR="00C17931" w:rsidRPr="00C17931" w14:paraId="512EBFD1" w14:textId="77777777" w:rsidTr="00C17931">
        <w:trPr>
          <w:trHeight w:hRule="exact" w:val="226"/>
        </w:trPr>
        <w:tc>
          <w:tcPr>
            <w:tcW w:w="1873" w:type="pct"/>
            <w:tcBorders>
              <w:top w:val="nil"/>
              <w:left w:val="nil"/>
              <w:bottom w:val="nil"/>
              <w:right w:val="nil"/>
            </w:tcBorders>
            <w:shd w:val="clear" w:color="000000" w:fill="FFFFFF"/>
            <w:noWrap/>
            <w:vAlign w:val="center"/>
            <w:hideMark/>
          </w:tcPr>
          <w:p w14:paraId="4F7AA93B" w14:textId="77777777" w:rsidR="00C17931" w:rsidRPr="00C17931" w:rsidRDefault="00C17931" w:rsidP="00C17931">
            <w:pPr>
              <w:spacing w:before="0" w:after="0" w:line="240" w:lineRule="auto"/>
              <w:rPr>
                <w:rFonts w:ascii="Arial" w:hAnsi="Arial" w:cs="Arial"/>
                <w:color w:val="000000"/>
                <w:sz w:val="16"/>
                <w:szCs w:val="16"/>
              </w:rPr>
            </w:pPr>
            <w:r w:rsidRPr="00C17931">
              <w:rPr>
                <w:rFonts w:ascii="Arial" w:hAnsi="Arial" w:cs="Arial"/>
                <w:color w:val="000000"/>
                <w:sz w:val="16"/>
                <w:szCs w:val="16"/>
              </w:rPr>
              <w:t>Financial Support for People</w:t>
            </w:r>
          </w:p>
        </w:tc>
        <w:tc>
          <w:tcPr>
            <w:tcW w:w="711" w:type="pct"/>
            <w:tcBorders>
              <w:top w:val="nil"/>
              <w:left w:val="nil"/>
              <w:bottom w:val="nil"/>
              <w:right w:val="nil"/>
            </w:tcBorders>
            <w:shd w:val="clear" w:color="auto" w:fill="auto"/>
            <w:noWrap/>
            <w:vAlign w:val="center"/>
            <w:hideMark/>
          </w:tcPr>
          <w:p w14:paraId="2FBB24F6" w14:textId="77777777" w:rsidR="00C17931" w:rsidRPr="00C17931" w:rsidRDefault="00C17931" w:rsidP="00C17931">
            <w:pPr>
              <w:spacing w:before="0" w:after="0" w:line="240" w:lineRule="auto"/>
              <w:rPr>
                <w:rFonts w:ascii="Arial" w:hAnsi="Arial" w:cs="Arial"/>
                <w:color w:val="000000"/>
                <w:sz w:val="16"/>
                <w:szCs w:val="16"/>
              </w:rPr>
            </w:pPr>
          </w:p>
        </w:tc>
        <w:tc>
          <w:tcPr>
            <w:tcW w:w="59" w:type="pct"/>
            <w:tcBorders>
              <w:top w:val="nil"/>
              <w:left w:val="nil"/>
              <w:bottom w:val="nil"/>
              <w:right w:val="nil"/>
            </w:tcBorders>
            <w:shd w:val="clear" w:color="000000" w:fill="FFFFFF"/>
            <w:noWrap/>
            <w:vAlign w:val="center"/>
            <w:hideMark/>
          </w:tcPr>
          <w:p w14:paraId="3985B3C1" w14:textId="77777777" w:rsidR="00C17931" w:rsidRPr="00C17931" w:rsidRDefault="00C17931" w:rsidP="00C17931">
            <w:pPr>
              <w:spacing w:before="0" w:after="0" w:line="240" w:lineRule="auto"/>
              <w:rPr>
                <w:rFonts w:ascii="Arial" w:hAnsi="Arial" w:cs="Arial"/>
                <w:color w:val="000000"/>
                <w:sz w:val="16"/>
                <w:szCs w:val="16"/>
              </w:rPr>
            </w:pPr>
            <w:r w:rsidRPr="00C17931">
              <w:rPr>
                <w:rFonts w:ascii="Arial" w:hAnsi="Arial" w:cs="Arial"/>
                <w:color w:val="000000"/>
                <w:sz w:val="16"/>
                <w:szCs w:val="16"/>
              </w:rPr>
              <w:t> </w:t>
            </w:r>
          </w:p>
        </w:tc>
        <w:tc>
          <w:tcPr>
            <w:tcW w:w="472" w:type="pct"/>
            <w:tcBorders>
              <w:top w:val="nil"/>
              <w:left w:val="nil"/>
              <w:bottom w:val="nil"/>
              <w:right w:val="nil"/>
            </w:tcBorders>
            <w:shd w:val="clear" w:color="000000" w:fill="FFFFFF"/>
            <w:noWrap/>
            <w:vAlign w:val="center"/>
            <w:hideMark/>
          </w:tcPr>
          <w:p w14:paraId="594DCA67" w14:textId="77777777" w:rsidR="00C17931" w:rsidRPr="00C17931" w:rsidRDefault="00C17931" w:rsidP="00C17931">
            <w:pPr>
              <w:spacing w:before="0" w:after="0" w:line="240" w:lineRule="auto"/>
              <w:rPr>
                <w:rFonts w:ascii="Arial" w:hAnsi="Arial" w:cs="Arial"/>
                <w:color w:val="000000"/>
                <w:sz w:val="16"/>
                <w:szCs w:val="16"/>
              </w:rPr>
            </w:pPr>
            <w:r w:rsidRPr="00C17931">
              <w:rPr>
                <w:rFonts w:ascii="Arial" w:hAnsi="Arial" w:cs="Arial"/>
                <w:color w:val="000000"/>
                <w:sz w:val="16"/>
                <w:szCs w:val="16"/>
              </w:rPr>
              <w:t> </w:t>
            </w:r>
          </w:p>
        </w:tc>
        <w:tc>
          <w:tcPr>
            <w:tcW w:w="472" w:type="pct"/>
            <w:tcBorders>
              <w:top w:val="nil"/>
              <w:left w:val="nil"/>
              <w:bottom w:val="nil"/>
              <w:right w:val="nil"/>
            </w:tcBorders>
            <w:shd w:val="clear" w:color="000000" w:fill="E6F2FF"/>
            <w:noWrap/>
            <w:vAlign w:val="center"/>
            <w:hideMark/>
          </w:tcPr>
          <w:p w14:paraId="185AC2B6" w14:textId="77777777" w:rsidR="00C17931" w:rsidRPr="00C17931" w:rsidRDefault="00C17931" w:rsidP="00C17931">
            <w:pPr>
              <w:spacing w:before="0" w:after="0" w:line="240" w:lineRule="auto"/>
              <w:rPr>
                <w:rFonts w:ascii="Arial" w:hAnsi="Arial" w:cs="Arial"/>
                <w:color w:val="000000"/>
                <w:sz w:val="16"/>
                <w:szCs w:val="16"/>
              </w:rPr>
            </w:pPr>
            <w:r w:rsidRPr="00C17931">
              <w:rPr>
                <w:rFonts w:ascii="Arial" w:hAnsi="Arial" w:cs="Arial"/>
                <w:color w:val="000000"/>
                <w:sz w:val="16"/>
                <w:szCs w:val="16"/>
              </w:rPr>
              <w:t> </w:t>
            </w:r>
          </w:p>
        </w:tc>
        <w:tc>
          <w:tcPr>
            <w:tcW w:w="472" w:type="pct"/>
            <w:tcBorders>
              <w:top w:val="nil"/>
              <w:left w:val="nil"/>
              <w:bottom w:val="nil"/>
              <w:right w:val="nil"/>
            </w:tcBorders>
            <w:shd w:val="clear" w:color="000000" w:fill="FFFFFF"/>
            <w:noWrap/>
            <w:vAlign w:val="center"/>
            <w:hideMark/>
          </w:tcPr>
          <w:p w14:paraId="6CEC8C2B" w14:textId="77777777" w:rsidR="00C17931" w:rsidRPr="00C17931" w:rsidRDefault="00C17931" w:rsidP="00C17931">
            <w:pPr>
              <w:spacing w:before="0" w:after="0" w:line="240" w:lineRule="auto"/>
              <w:rPr>
                <w:rFonts w:ascii="Arial" w:hAnsi="Arial" w:cs="Arial"/>
                <w:color w:val="000000"/>
                <w:sz w:val="16"/>
                <w:szCs w:val="16"/>
              </w:rPr>
            </w:pPr>
            <w:r w:rsidRPr="00C17931">
              <w:rPr>
                <w:rFonts w:ascii="Arial" w:hAnsi="Arial" w:cs="Arial"/>
                <w:color w:val="000000"/>
                <w:sz w:val="16"/>
                <w:szCs w:val="16"/>
              </w:rPr>
              <w:t> </w:t>
            </w:r>
          </w:p>
        </w:tc>
        <w:tc>
          <w:tcPr>
            <w:tcW w:w="472" w:type="pct"/>
            <w:tcBorders>
              <w:top w:val="nil"/>
              <w:left w:val="nil"/>
              <w:bottom w:val="nil"/>
              <w:right w:val="nil"/>
            </w:tcBorders>
            <w:shd w:val="clear" w:color="000000" w:fill="FFFFFF"/>
            <w:noWrap/>
            <w:vAlign w:val="center"/>
            <w:hideMark/>
          </w:tcPr>
          <w:p w14:paraId="49CA3579" w14:textId="77777777" w:rsidR="00C17931" w:rsidRPr="00C17931" w:rsidRDefault="00C17931" w:rsidP="00C17931">
            <w:pPr>
              <w:spacing w:before="0" w:after="0" w:line="240" w:lineRule="auto"/>
              <w:rPr>
                <w:rFonts w:ascii="Arial" w:hAnsi="Arial" w:cs="Arial"/>
                <w:color w:val="000000"/>
                <w:sz w:val="16"/>
                <w:szCs w:val="16"/>
              </w:rPr>
            </w:pPr>
            <w:r w:rsidRPr="00C17931">
              <w:rPr>
                <w:rFonts w:ascii="Arial" w:hAnsi="Arial" w:cs="Arial"/>
                <w:color w:val="000000"/>
                <w:sz w:val="16"/>
                <w:szCs w:val="16"/>
              </w:rPr>
              <w:t> </w:t>
            </w:r>
          </w:p>
        </w:tc>
        <w:tc>
          <w:tcPr>
            <w:tcW w:w="472" w:type="pct"/>
            <w:tcBorders>
              <w:top w:val="nil"/>
              <w:left w:val="nil"/>
              <w:bottom w:val="nil"/>
              <w:right w:val="nil"/>
            </w:tcBorders>
            <w:shd w:val="clear" w:color="000000" w:fill="FFFFFF"/>
            <w:noWrap/>
            <w:vAlign w:val="center"/>
            <w:hideMark/>
          </w:tcPr>
          <w:p w14:paraId="6D723381" w14:textId="77777777" w:rsidR="00C17931" w:rsidRPr="00C17931" w:rsidRDefault="00C17931" w:rsidP="00C17931">
            <w:pPr>
              <w:spacing w:before="0" w:after="0" w:line="240" w:lineRule="auto"/>
              <w:rPr>
                <w:rFonts w:ascii="Arial" w:hAnsi="Arial" w:cs="Arial"/>
                <w:color w:val="000000"/>
                <w:sz w:val="16"/>
                <w:szCs w:val="16"/>
              </w:rPr>
            </w:pPr>
            <w:r w:rsidRPr="00C17931">
              <w:rPr>
                <w:rFonts w:ascii="Arial" w:hAnsi="Arial" w:cs="Arial"/>
                <w:color w:val="000000"/>
                <w:sz w:val="16"/>
                <w:szCs w:val="16"/>
              </w:rPr>
              <w:t> </w:t>
            </w:r>
          </w:p>
        </w:tc>
      </w:tr>
      <w:tr w:rsidR="00C17931" w:rsidRPr="00C17931" w14:paraId="512E8D57" w14:textId="77777777" w:rsidTr="00C17931">
        <w:trPr>
          <w:trHeight w:hRule="exact" w:val="226"/>
        </w:trPr>
        <w:tc>
          <w:tcPr>
            <w:tcW w:w="1873" w:type="pct"/>
            <w:tcBorders>
              <w:top w:val="nil"/>
              <w:left w:val="nil"/>
              <w:bottom w:val="nil"/>
              <w:right w:val="nil"/>
            </w:tcBorders>
            <w:shd w:val="clear" w:color="000000" w:fill="FFFFFF"/>
            <w:noWrap/>
            <w:vAlign w:val="center"/>
            <w:hideMark/>
          </w:tcPr>
          <w:p w14:paraId="09819AC2" w14:textId="77777777" w:rsidR="00C17931" w:rsidRPr="00C17931" w:rsidRDefault="00C17931" w:rsidP="00C17931">
            <w:pPr>
              <w:spacing w:before="0" w:after="0" w:line="240" w:lineRule="auto"/>
              <w:ind w:left="170"/>
              <w:rPr>
                <w:rFonts w:ascii="Arial" w:hAnsi="Arial" w:cs="Arial"/>
                <w:color w:val="000000"/>
                <w:sz w:val="16"/>
                <w:szCs w:val="16"/>
              </w:rPr>
            </w:pPr>
            <w:r w:rsidRPr="00C17931">
              <w:rPr>
                <w:rFonts w:ascii="Arial" w:hAnsi="Arial" w:cs="Arial"/>
                <w:color w:val="000000"/>
                <w:sz w:val="16"/>
                <w:szCs w:val="16"/>
              </w:rPr>
              <w:t>with Disability</w:t>
            </w:r>
          </w:p>
        </w:tc>
        <w:tc>
          <w:tcPr>
            <w:tcW w:w="711" w:type="pct"/>
            <w:tcBorders>
              <w:top w:val="nil"/>
              <w:left w:val="nil"/>
              <w:bottom w:val="nil"/>
              <w:right w:val="nil"/>
            </w:tcBorders>
            <w:shd w:val="clear" w:color="000000" w:fill="FFFFFF"/>
            <w:noWrap/>
            <w:vAlign w:val="center"/>
            <w:hideMark/>
          </w:tcPr>
          <w:p w14:paraId="4C1AB22F" w14:textId="77777777" w:rsidR="00C17931" w:rsidRPr="00C17931" w:rsidRDefault="00C17931" w:rsidP="00C17931">
            <w:pPr>
              <w:spacing w:before="0" w:after="0" w:line="240" w:lineRule="auto"/>
              <w:rPr>
                <w:rFonts w:ascii="Arial" w:hAnsi="Arial" w:cs="Arial"/>
                <w:color w:val="000000"/>
                <w:sz w:val="16"/>
                <w:szCs w:val="16"/>
              </w:rPr>
            </w:pPr>
            <w:r w:rsidRPr="00C17931">
              <w:rPr>
                <w:rFonts w:ascii="Arial" w:hAnsi="Arial" w:cs="Arial"/>
                <w:color w:val="000000"/>
                <w:sz w:val="16"/>
                <w:szCs w:val="16"/>
              </w:rPr>
              <w:t>SSW</w:t>
            </w:r>
          </w:p>
        </w:tc>
        <w:tc>
          <w:tcPr>
            <w:tcW w:w="59" w:type="pct"/>
            <w:tcBorders>
              <w:top w:val="nil"/>
              <w:left w:val="nil"/>
              <w:bottom w:val="nil"/>
              <w:right w:val="nil"/>
            </w:tcBorders>
            <w:shd w:val="clear" w:color="000000" w:fill="FFFFFF"/>
            <w:noWrap/>
            <w:vAlign w:val="center"/>
            <w:hideMark/>
          </w:tcPr>
          <w:p w14:paraId="37328745" w14:textId="77777777" w:rsidR="00C17931" w:rsidRPr="00C17931" w:rsidRDefault="00C17931" w:rsidP="00C17931">
            <w:pPr>
              <w:spacing w:before="0" w:after="0" w:line="240" w:lineRule="auto"/>
              <w:rPr>
                <w:rFonts w:ascii="Arial" w:hAnsi="Arial" w:cs="Arial"/>
                <w:color w:val="000000"/>
                <w:sz w:val="16"/>
                <w:szCs w:val="16"/>
              </w:rPr>
            </w:pPr>
            <w:r w:rsidRPr="00C17931">
              <w:rPr>
                <w:rFonts w:ascii="Arial" w:hAnsi="Arial" w:cs="Arial"/>
                <w:color w:val="000000"/>
                <w:sz w:val="16"/>
                <w:szCs w:val="16"/>
              </w:rPr>
              <w:t> </w:t>
            </w:r>
          </w:p>
        </w:tc>
        <w:tc>
          <w:tcPr>
            <w:tcW w:w="472" w:type="pct"/>
            <w:tcBorders>
              <w:top w:val="nil"/>
              <w:left w:val="nil"/>
              <w:bottom w:val="nil"/>
              <w:right w:val="nil"/>
            </w:tcBorders>
            <w:shd w:val="clear" w:color="000000" w:fill="FFFFFF"/>
            <w:noWrap/>
            <w:vAlign w:val="center"/>
            <w:hideMark/>
          </w:tcPr>
          <w:p w14:paraId="287C45DF" w14:textId="77777777" w:rsidR="00C17931" w:rsidRPr="00C17931" w:rsidRDefault="00C17931" w:rsidP="00C17931">
            <w:pPr>
              <w:spacing w:before="0" w:after="0" w:line="240" w:lineRule="auto"/>
              <w:jc w:val="right"/>
              <w:rPr>
                <w:rFonts w:ascii="Arial" w:hAnsi="Arial" w:cs="Arial"/>
                <w:color w:val="000000"/>
                <w:sz w:val="16"/>
                <w:szCs w:val="16"/>
              </w:rPr>
            </w:pPr>
            <w:r w:rsidRPr="00C17931">
              <w:rPr>
                <w:rFonts w:ascii="Arial" w:hAnsi="Arial" w:cs="Arial"/>
                <w:color w:val="000000"/>
                <w:sz w:val="16"/>
                <w:szCs w:val="16"/>
              </w:rPr>
              <w:t>21,165</w:t>
            </w:r>
          </w:p>
        </w:tc>
        <w:tc>
          <w:tcPr>
            <w:tcW w:w="472" w:type="pct"/>
            <w:tcBorders>
              <w:top w:val="nil"/>
              <w:left w:val="nil"/>
              <w:bottom w:val="nil"/>
              <w:right w:val="nil"/>
            </w:tcBorders>
            <w:shd w:val="clear" w:color="000000" w:fill="E6F2FF"/>
            <w:noWrap/>
            <w:vAlign w:val="center"/>
            <w:hideMark/>
          </w:tcPr>
          <w:p w14:paraId="429153C1" w14:textId="77777777" w:rsidR="00C17931" w:rsidRPr="00C17931" w:rsidRDefault="00C17931" w:rsidP="00C17931">
            <w:pPr>
              <w:spacing w:before="0" w:after="0" w:line="240" w:lineRule="auto"/>
              <w:jc w:val="right"/>
              <w:rPr>
                <w:rFonts w:ascii="Arial" w:hAnsi="Arial" w:cs="Arial"/>
                <w:color w:val="000000"/>
                <w:sz w:val="16"/>
                <w:szCs w:val="16"/>
              </w:rPr>
            </w:pPr>
            <w:r w:rsidRPr="00C17931">
              <w:rPr>
                <w:rFonts w:ascii="Arial" w:hAnsi="Arial" w:cs="Arial"/>
                <w:color w:val="000000"/>
                <w:sz w:val="16"/>
                <w:szCs w:val="16"/>
              </w:rPr>
              <w:t>22,003</w:t>
            </w:r>
          </w:p>
        </w:tc>
        <w:tc>
          <w:tcPr>
            <w:tcW w:w="472" w:type="pct"/>
            <w:tcBorders>
              <w:top w:val="nil"/>
              <w:left w:val="nil"/>
              <w:bottom w:val="nil"/>
              <w:right w:val="nil"/>
            </w:tcBorders>
            <w:shd w:val="clear" w:color="000000" w:fill="FFFFFF"/>
            <w:noWrap/>
            <w:vAlign w:val="center"/>
            <w:hideMark/>
          </w:tcPr>
          <w:p w14:paraId="5C46E17D" w14:textId="77777777" w:rsidR="00C17931" w:rsidRPr="00C17931" w:rsidRDefault="00C17931" w:rsidP="00C17931">
            <w:pPr>
              <w:spacing w:before="0" w:after="0" w:line="240" w:lineRule="auto"/>
              <w:jc w:val="right"/>
              <w:rPr>
                <w:rFonts w:ascii="Arial" w:hAnsi="Arial" w:cs="Arial"/>
                <w:color w:val="000000"/>
                <w:sz w:val="16"/>
                <w:szCs w:val="16"/>
              </w:rPr>
            </w:pPr>
            <w:r w:rsidRPr="00C17931">
              <w:rPr>
                <w:rFonts w:ascii="Arial" w:hAnsi="Arial" w:cs="Arial"/>
                <w:color w:val="000000"/>
                <w:sz w:val="16"/>
                <w:szCs w:val="16"/>
              </w:rPr>
              <w:t>22,855</w:t>
            </w:r>
          </w:p>
        </w:tc>
        <w:tc>
          <w:tcPr>
            <w:tcW w:w="472" w:type="pct"/>
            <w:tcBorders>
              <w:top w:val="nil"/>
              <w:left w:val="nil"/>
              <w:bottom w:val="nil"/>
              <w:right w:val="nil"/>
            </w:tcBorders>
            <w:shd w:val="clear" w:color="000000" w:fill="FFFFFF"/>
            <w:noWrap/>
            <w:vAlign w:val="center"/>
            <w:hideMark/>
          </w:tcPr>
          <w:p w14:paraId="2645521A" w14:textId="77777777" w:rsidR="00C17931" w:rsidRPr="00C17931" w:rsidRDefault="00C17931" w:rsidP="00C17931">
            <w:pPr>
              <w:spacing w:before="0" w:after="0" w:line="240" w:lineRule="auto"/>
              <w:jc w:val="right"/>
              <w:rPr>
                <w:rFonts w:ascii="Arial" w:hAnsi="Arial" w:cs="Arial"/>
                <w:color w:val="000000"/>
                <w:sz w:val="16"/>
                <w:szCs w:val="16"/>
              </w:rPr>
            </w:pPr>
            <w:r w:rsidRPr="00C17931">
              <w:rPr>
                <w:rFonts w:ascii="Arial" w:hAnsi="Arial" w:cs="Arial"/>
                <w:color w:val="000000"/>
                <w:sz w:val="16"/>
                <w:szCs w:val="16"/>
              </w:rPr>
              <w:t>23,657</w:t>
            </w:r>
          </w:p>
        </w:tc>
        <w:tc>
          <w:tcPr>
            <w:tcW w:w="472" w:type="pct"/>
            <w:tcBorders>
              <w:top w:val="nil"/>
              <w:left w:val="nil"/>
              <w:bottom w:val="nil"/>
              <w:right w:val="nil"/>
            </w:tcBorders>
            <w:shd w:val="clear" w:color="000000" w:fill="FFFFFF"/>
            <w:noWrap/>
            <w:vAlign w:val="center"/>
            <w:hideMark/>
          </w:tcPr>
          <w:p w14:paraId="4C6B732E" w14:textId="77777777" w:rsidR="00C17931" w:rsidRPr="00C17931" w:rsidRDefault="00C17931" w:rsidP="00C17931">
            <w:pPr>
              <w:spacing w:before="0" w:after="0" w:line="240" w:lineRule="auto"/>
              <w:jc w:val="right"/>
              <w:rPr>
                <w:rFonts w:ascii="Arial" w:hAnsi="Arial" w:cs="Arial"/>
                <w:color w:val="000000"/>
                <w:sz w:val="16"/>
                <w:szCs w:val="16"/>
              </w:rPr>
            </w:pPr>
            <w:r w:rsidRPr="00C17931">
              <w:rPr>
                <w:rFonts w:ascii="Arial" w:hAnsi="Arial" w:cs="Arial"/>
                <w:color w:val="000000"/>
                <w:sz w:val="16"/>
                <w:szCs w:val="16"/>
              </w:rPr>
              <w:t>24,765</w:t>
            </w:r>
          </w:p>
        </w:tc>
      </w:tr>
      <w:tr w:rsidR="00C17931" w:rsidRPr="00C17931" w14:paraId="40177E65" w14:textId="77777777" w:rsidTr="00C17931">
        <w:trPr>
          <w:trHeight w:hRule="exact" w:val="226"/>
        </w:trPr>
        <w:tc>
          <w:tcPr>
            <w:tcW w:w="1873" w:type="pct"/>
            <w:tcBorders>
              <w:top w:val="nil"/>
              <w:left w:val="nil"/>
              <w:bottom w:val="nil"/>
              <w:right w:val="nil"/>
            </w:tcBorders>
            <w:shd w:val="clear" w:color="000000" w:fill="FFFFFF"/>
            <w:noWrap/>
            <w:vAlign w:val="center"/>
            <w:hideMark/>
          </w:tcPr>
          <w:p w14:paraId="01F13673" w14:textId="77777777" w:rsidR="00C17931" w:rsidRPr="00C17931" w:rsidRDefault="00C17931" w:rsidP="00C17931">
            <w:pPr>
              <w:spacing w:before="0" w:after="0" w:line="240" w:lineRule="auto"/>
              <w:rPr>
                <w:rFonts w:ascii="Arial" w:hAnsi="Arial" w:cs="Arial"/>
                <w:color w:val="000000"/>
                <w:sz w:val="16"/>
                <w:szCs w:val="16"/>
              </w:rPr>
            </w:pPr>
            <w:r w:rsidRPr="00C17931">
              <w:rPr>
                <w:rFonts w:ascii="Arial" w:hAnsi="Arial" w:cs="Arial"/>
                <w:color w:val="000000"/>
                <w:sz w:val="16"/>
                <w:szCs w:val="16"/>
              </w:rPr>
              <w:t>Pharmaceutical Benefits</w:t>
            </w:r>
          </w:p>
        </w:tc>
        <w:tc>
          <w:tcPr>
            <w:tcW w:w="711" w:type="pct"/>
            <w:tcBorders>
              <w:top w:val="nil"/>
              <w:left w:val="nil"/>
              <w:bottom w:val="nil"/>
              <w:right w:val="nil"/>
            </w:tcBorders>
            <w:shd w:val="clear" w:color="000000" w:fill="FFFFFF"/>
            <w:noWrap/>
            <w:vAlign w:val="center"/>
            <w:hideMark/>
          </w:tcPr>
          <w:p w14:paraId="1DC28636" w14:textId="77777777" w:rsidR="00C17931" w:rsidRPr="00C17931" w:rsidRDefault="00C17931" w:rsidP="00C17931">
            <w:pPr>
              <w:spacing w:before="0" w:after="0" w:line="240" w:lineRule="auto"/>
              <w:rPr>
                <w:rFonts w:ascii="Arial" w:hAnsi="Arial" w:cs="Arial"/>
                <w:color w:val="000000"/>
                <w:sz w:val="16"/>
                <w:szCs w:val="16"/>
              </w:rPr>
            </w:pPr>
            <w:r w:rsidRPr="00C17931">
              <w:rPr>
                <w:rFonts w:ascii="Arial" w:hAnsi="Arial" w:cs="Arial"/>
                <w:color w:val="000000"/>
                <w:sz w:val="16"/>
                <w:szCs w:val="16"/>
              </w:rPr>
              <w:t>Health</w:t>
            </w:r>
          </w:p>
        </w:tc>
        <w:tc>
          <w:tcPr>
            <w:tcW w:w="59" w:type="pct"/>
            <w:tcBorders>
              <w:top w:val="nil"/>
              <w:left w:val="nil"/>
              <w:bottom w:val="nil"/>
              <w:right w:val="nil"/>
            </w:tcBorders>
            <w:shd w:val="clear" w:color="000000" w:fill="FFFFFF"/>
            <w:noWrap/>
            <w:vAlign w:val="center"/>
            <w:hideMark/>
          </w:tcPr>
          <w:p w14:paraId="4AA39472" w14:textId="77777777" w:rsidR="00C17931" w:rsidRPr="00C17931" w:rsidRDefault="00C17931" w:rsidP="00C17931">
            <w:pPr>
              <w:spacing w:before="0" w:after="0" w:line="240" w:lineRule="auto"/>
              <w:rPr>
                <w:rFonts w:ascii="Arial" w:hAnsi="Arial" w:cs="Arial"/>
                <w:color w:val="000000"/>
                <w:sz w:val="16"/>
                <w:szCs w:val="16"/>
              </w:rPr>
            </w:pPr>
            <w:r w:rsidRPr="00C17931">
              <w:rPr>
                <w:rFonts w:ascii="Arial" w:hAnsi="Arial" w:cs="Arial"/>
                <w:color w:val="000000"/>
                <w:sz w:val="16"/>
                <w:szCs w:val="16"/>
              </w:rPr>
              <w:t> </w:t>
            </w:r>
          </w:p>
        </w:tc>
        <w:tc>
          <w:tcPr>
            <w:tcW w:w="472" w:type="pct"/>
            <w:tcBorders>
              <w:top w:val="nil"/>
              <w:left w:val="nil"/>
              <w:bottom w:val="nil"/>
              <w:right w:val="nil"/>
            </w:tcBorders>
            <w:shd w:val="clear" w:color="000000" w:fill="FFFFFF"/>
            <w:noWrap/>
            <w:vAlign w:val="center"/>
            <w:hideMark/>
          </w:tcPr>
          <w:p w14:paraId="0082A732" w14:textId="77777777" w:rsidR="00C17931" w:rsidRPr="00C17931" w:rsidRDefault="00C17931" w:rsidP="00C17931">
            <w:pPr>
              <w:spacing w:before="0" w:after="0" w:line="240" w:lineRule="auto"/>
              <w:jc w:val="right"/>
              <w:rPr>
                <w:rFonts w:ascii="Arial" w:hAnsi="Arial" w:cs="Arial"/>
                <w:color w:val="000000"/>
                <w:sz w:val="16"/>
                <w:szCs w:val="16"/>
              </w:rPr>
            </w:pPr>
            <w:r w:rsidRPr="00C17931">
              <w:rPr>
                <w:rFonts w:ascii="Arial" w:hAnsi="Arial" w:cs="Arial"/>
                <w:color w:val="000000"/>
                <w:sz w:val="16"/>
                <w:szCs w:val="16"/>
              </w:rPr>
              <w:t>19,009</w:t>
            </w:r>
          </w:p>
        </w:tc>
        <w:tc>
          <w:tcPr>
            <w:tcW w:w="472" w:type="pct"/>
            <w:tcBorders>
              <w:top w:val="nil"/>
              <w:left w:val="nil"/>
              <w:bottom w:val="nil"/>
              <w:right w:val="nil"/>
            </w:tcBorders>
            <w:shd w:val="clear" w:color="000000" w:fill="E6F2FF"/>
            <w:noWrap/>
            <w:vAlign w:val="center"/>
            <w:hideMark/>
          </w:tcPr>
          <w:p w14:paraId="2F54CB1C" w14:textId="77777777" w:rsidR="00C17931" w:rsidRPr="00C17931" w:rsidRDefault="00C17931" w:rsidP="00C17931">
            <w:pPr>
              <w:spacing w:before="0" w:after="0" w:line="240" w:lineRule="auto"/>
              <w:jc w:val="right"/>
              <w:rPr>
                <w:rFonts w:ascii="Arial" w:hAnsi="Arial" w:cs="Arial"/>
                <w:color w:val="000000"/>
                <w:sz w:val="16"/>
                <w:szCs w:val="16"/>
              </w:rPr>
            </w:pPr>
            <w:r w:rsidRPr="00C17931">
              <w:rPr>
                <w:rFonts w:ascii="Arial" w:hAnsi="Arial" w:cs="Arial"/>
                <w:color w:val="000000"/>
                <w:sz w:val="16"/>
                <w:szCs w:val="16"/>
              </w:rPr>
              <w:t>19,543</w:t>
            </w:r>
          </w:p>
        </w:tc>
        <w:tc>
          <w:tcPr>
            <w:tcW w:w="472" w:type="pct"/>
            <w:tcBorders>
              <w:top w:val="nil"/>
              <w:left w:val="nil"/>
              <w:bottom w:val="nil"/>
              <w:right w:val="nil"/>
            </w:tcBorders>
            <w:shd w:val="clear" w:color="000000" w:fill="FFFFFF"/>
            <w:noWrap/>
            <w:vAlign w:val="center"/>
            <w:hideMark/>
          </w:tcPr>
          <w:p w14:paraId="6300AF83" w14:textId="77777777" w:rsidR="00C17931" w:rsidRPr="00C17931" w:rsidRDefault="00C17931" w:rsidP="00C17931">
            <w:pPr>
              <w:spacing w:before="0" w:after="0" w:line="240" w:lineRule="auto"/>
              <w:jc w:val="right"/>
              <w:rPr>
                <w:rFonts w:ascii="Arial" w:hAnsi="Arial" w:cs="Arial"/>
                <w:color w:val="000000"/>
                <w:sz w:val="16"/>
                <w:szCs w:val="16"/>
              </w:rPr>
            </w:pPr>
            <w:r w:rsidRPr="00C17931">
              <w:rPr>
                <w:rFonts w:ascii="Arial" w:hAnsi="Arial" w:cs="Arial"/>
                <w:color w:val="000000"/>
                <w:sz w:val="16"/>
                <w:szCs w:val="16"/>
              </w:rPr>
              <w:t>19,760</w:t>
            </w:r>
          </w:p>
        </w:tc>
        <w:tc>
          <w:tcPr>
            <w:tcW w:w="472" w:type="pct"/>
            <w:tcBorders>
              <w:top w:val="nil"/>
              <w:left w:val="nil"/>
              <w:bottom w:val="nil"/>
              <w:right w:val="nil"/>
            </w:tcBorders>
            <w:shd w:val="clear" w:color="000000" w:fill="FFFFFF"/>
            <w:noWrap/>
            <w:vAlign w:val="center"/>
            <w:hideMark/>
          </w:tcPr>
          <w:p w14:paraId="2C5A1EBA" w14:textId="77777777" w:rsidR="00C17931" w:rsidRPr="00C17931" w:rsidRDefault="00C17931" w:rsidP="00C17931">
            <w:pPr>
              <w:spacing w:before="0" w:after="0" w:line="240" w:lineRule="auto"/>
              <w:jc w:val="right"/>
              <w:rPr>
                <w:rFonts w:ascii="Arial" w:hAnsi="Arial" w:cs="Arial"/>
                <w:color w:val="000000"/>
                <w:sz w:val="16"/>
                <w:szCs w:val="16"/>
              </w:rPr>
            </w:pPr>
            <w:r w:rsidRPr="00C17931">
              <w:rPr>
                <w:rFonts w:ascii="Arial" w:hAnsi="Arial" w:cs="Arial"/>
                <w:color w:val="000000"/>
                <w:sz w:val="16"/>
                <w:szCs w:val="16"/>
              </w:rPr>
              <w:t>19,545</w:t>
            </w:r>
          </w:p>
        </w:tc>
        <w:tc>
          <w:tcPr>
            <w:tcW w:w="472" w:type="pct"/>
            <w:tcBorders>
              <w:top w:val="nil"/>
              <w:left w:val="nil"/>
              <w:bottom w:val="nil"/>
              <w:right w:val="nil"/>
            </w:tcBorders>
            <w:shd w:val="clear" w:color="000000" w:fill="FFFFFF"/>
            <w:noWrap/>
            <w:vAlign w:val="center"/>
            <w:hideMark/>
          </w:tcPr>
          <w:p w14:paraId="1859978B" w14:textId="77777777" w:rsidR="00C17931" w:rsidRPr="00C17931" w:rsidRDefault="00C17931" w:rsidP="00C17931">
            <w:pPr>
              <w:spacing w:before="0" w:after="0" w:line="240" w:lineRule="auto"/>
              <w:jc w:val="right"/>
              <w:rPr>
                <w:rFonts w:ascii="Arial" w:hAnsi="Arial" w:cs="Arial"/>
                <w:color w:val="000000"/>
                <w:sz w:val="16"/>
                <w:szCs w:val="16"/>
              </w:rPr>
            </w:pPr>
            <w:r w:rsidRPr="00C17931">
              <w:rPr>
                <w:rFonts w:ascii="Arial" w:hAnsi="Arial" w:cs="Arial"/>
                <w:color w:val="000000"/>
                <w:sz w:val="16"/>
                <w:szCs w:val="16"/>
              </w:rPr>
              <w:t>19,717</w:t>
            </w:r>
          </w:p>
        </w:tc>
      </w:tr>
      <w:tr w:rsidR="00C17931" w:rsidRPr="00C17931" w14:paraId="0CFED643" w14:textId="77777777" w:rsidTr="00C17931">
        <w:trPr>
          <w:trHeight w:hRule="exact" w:val="226"/>
        </w:trPr>
        <w:tc>
          <w:tcPr>
            <w:tcW w:w="1873" w:type="pct"/>
            <w:tcBorders>
              <w:top w:val="nil"/>
              <w:left w:val="nil"/>
              <w:bottom w:val="nil"/>
              <w:right w:val="nil"/>
            </w:tcBorders>
            <w:shd w:val="clear" w:color="000000" w:fill="FFFFFF"/>
            <w:noWrap/>
            <w:vAlign w:val="center"/>
            <w:hideMark/>
          </w:tcPr>
          <w:p w14:paraId="6058CCCB" w14:textId="12D7AFB3" w:rsidR="00C17931" w:rsidRPr="00C17931" w:rsidRDefault="00C17931" w:rsidP="00C17931">
            <w:pPr>
              <w:spacing w:before="0" w:after="0" w:line="240" w:lineRule="auto"/>
              <w:rPr>
                <w:rFonts w:ascii="Arial" w:hAnsi="Arial" w:cs="Arial"/>
                <w:color w:val="000000"/>
                <w:sz w:val="16"/>
                <w:szCs w:val="16"/>
              </w:rPr>
            </w:pPr>
            <w:r w:rsidRPr="00C17931">
              <w:rPr>
                <w:rFonts w:ascii="Arial" w:hAnsi="Arial" w:cs="Arial"/>
                <w:color w:val="000000"/>
                <w:sz w:val="16"/>
                <w:szCs w:val="16"/>
              </w:rPr>
              <w:t>Non</w:t>
            </w:r>
            <w:r w:rsidR="008D4F6B">
              <w:rPr>
                <w:rFonts w:ascii="Arial" w:hAnsi="Arial" w:cs="Arial"/>
                <w:color w:val="000000"/>
                <w:sz w:val="16"/>
                <w:szCs w:val="16"/>
              </w:rPr>
              <w:noBreakHyphen/>
            </w:r>
            <w:r w:rsidRPr="00C17931">
              <w:rPr>
                <w:rFonts w:ascii="Arial" w:hAnsi="Arial" w:cs="Arial"/>
                <w:color w:val="000000"/>
                <w:sz w:val="16"/>
                <w:szCs w:val="16"/>
              </w:rPr>
              <w:t>Government Schools</w:t>
            </w:r>
          </w:p>
        </w:tc>
        <w:tc>
          <w:tcPr>
            <w:tcW w:w="711" w:type="pct"/>
            <w:tcBorders>
              <w:top w:val="nil"/>
              <w:left w:val="nil"/>
              <w:bottom w:val="nil"/>
              <w:right w:val="nil"/>
            </w:tcBorders>
            <w:shd w:val="clear" w:color="000000" w:fill="FFFFFF"/>
            <w:noWrap/>
            <w:vAlign w:val="center"/>
            <w:hideMark/>
          </w:tcPr>
          <w:p w14:paraId="49B57B5C" w14:textId="77777777" w:rsidR="00C17931" w:rsidRPr="00C17931" w:rsidRDefault="00C17931" w:rsidP="00C17931">
            <w:pPr>
              <w:spacing w:before="0" w:after="0" w:line="240" w:lineRule="auto"/>
              <w:rPr>
                <w:rFonts w:ascii="Arial" w:hAnsi="Arial" w:cs="Arial"/>
                <w:color w:val="000000"/>
                <w:sz w:val="16"/>
                <w:szCs w:val="16"/>
              </w:rPr>
            </w:pPr>
            <w:r w:rsidRPr="00C17931">
              <w:rPr>
                <w:rFonts w:ascii="Arial" w:hAnsi="Arial" w:cs="Arial"/>
                <w:color w:val="000000"/>
                <w:sz w:val="16"/>
                <w:szCs w:val="16"/>
              </w:rPr>
              <w:t> </w:t>
            </w:r>
          </w:p>
        </w:tc>
        <w:tc>
          <w:tcPr>
            <w:tcW w:w="59" w:type="pct"/>
            <w:tcBorders>
              <w:top w:val="nil"/>
              <w:left w:val="nil"/>
              <w:bottom w:val="nil"/>
              <w:right w:val="nil"/>
            </w:tcBorders>
            <w:shd w:val="clear" w:color="000000" w:fill="FFFFFF"/>
            <w:noWrap/>
            <w:vAlign w:val="center"/>
            <w:hideMark/>
          </w:tcPr>
          <w:p w14:paraId="524A5CAD" w14:textId="77777777" w:rsidR="00C17931" w:rsidRPr="00C17931" w:rsidRDefault="00C17931" w:rsidP="00C17931">
            <w:pPr>
              <w:spacing w:before="0" w:after="0" w:line="240" w:lineRule="auto"/>
              <w:rPr>
                <w:rFonts w:ascii="Arial" w:hAnsi="Arial" w:cs="Arial"/>
                <w:color w:val="000000"/>
                <w:sz w:val="16"/>
                <w:szCs w:val="16"/>
              </w:rPr>
            </w:pPr>
            <w:r w:rsidRPr="00C17931">
              <w:rPr>
                <w:rFonts w:ascii="Arial" w:hAnsi="Arial" w:cs="Arial"/>
                <w:color w:val="000000"/>
                <w:sz w:val="16"/>
                <w:szCs w:val="16"/>
              </w:rPr>
              <w:t> </w:t>
            </w:r>
          </w:p>
        </w:tc>
        <w:tc>
          <w:tcPr>
            <w:tcW w:w="472" w:type="pct"/>
            <w:tcBorders>
              <w:top w:val="nil"/>
              <w:left w:val="nil"/>
              <w:bottom w:val="nil"/>
              <w:right w:val="nil"/>
            </w:tcBorders>
            <w:shd w:val="clear" w:color="000000" w:fill="FFFFFF"/>
            <w:noWrap/>
            <w:vAlign w:val="center"/>
            <w:hideMark/>
          </w:tcPr>
          <w:p w14:paraId="09D2340A" w14:textId="77777777" w:rsidR="00C17931" w:rsidRPr="00C17931" w:rsidRDefault="00C17931" w:rsidP="00C17931">
            <w:pPr>
              <w:spacing w:before="0" w:after="0" w:line="240" w:lineRule="auto"/>
              <w:rPr>
                <w:rFonts w:ascii="Arial" w:hAnsi="Arial" w:cs="Arial"/>
                <w:color w:val="000000"/>
                <w:sz w:val="16"/>
                <w:szCs w:val="16"/>
              </w:rPr>
            </w:pPr>
            <w:r w:rsidRPr="00C17931">
              <w:rPr>
                <w:rFonts w:ascii="Arial" w:hAnsi="Arial" w:cs="Arial"/>
                <w:color w:val="000000"/>
                <w:sz w:val="16"/>
                <w:szCs w:val="16"/>
              </w:rPr>
              <w:t> </w:t>
            </w:r>
          </w:p>
        </w:tc>
        <w:tc>
          <w:tcPr>
            <w:tcW w:w="472" w:type="pct"/>
            <w:tcBorders>
              <w:top w:val="nil"/>
              <w:left w:val="nil"/>
              <w:bottom w:val="nil"/>
              <w:right w:val="nil"/>
            </w:tcBorders>
            <w:shd w:val="clear" w:color="000000" w:fill="E6F2FF"/>
            <w:noWrap/>
            <w:vAlign w:val="center"/>
            <w:hideMark/>
          </w:tcPr>
          <w:p w14:paraId="60231948" w14:textId="77777777" w:rsidR="00C17931" w:rsidRPr="00C17931" w:rsidRDefault="00C17931" w:rsidP="00C17931">
            <w:pPr>
              <w:spacing w:before="0" w:after="0" w:line="240" w:lineRule="auto"/>
              <w:rPr>
                <w:rFonts w:ascii="Arial" w:hAnsi="Arial" w:cs="Arial"/>
                <w:color w:val="000000"/>
                <w:sz w:val="16"/>
                <w:szCs w:val="16"/>
              </w:rPr>
            </w:pPr>
            <w:r w:rsidRPr="00C17931">
              <w:rPr>
                <w:rFonts w:ascii="Arial" w:hAnsi="Arial" w:cs="Arial"/>
                <w:color w:val="000000"/>
                <w:sz w:val="16"/>
                <w:szCs w:val="16"/>
              </w:rPr>
              <w:t> </w:t>
            </w:r>
          </w:p>
        </w:tc>
        <w:tc>
          <w:tcPr>
            <w:tcW w:w="472" w:type="pct"/>
            <w:tcBorders>
              <w:top w:val="nil"/>
              <w:left w:val="nil"/>
              <w:bottom w:val="nil"/>
              <w:right w:val="nil"/>
            </w:tcBorders>
            <w:shd w:val="clear" w:color="000000" w:fill="FFFFFF"/>
            <w:noWrap/>
            <w:vAlign w:val="center"/>
            <w:hideMark/>
          </w:tcPr>
          <w:p w14:paraId="3D8DBB18" w14:textId="77777777" w:rsidR="00C17931" w:rsidRPr="00C17931" w:rsidRDefault="00C17931" w:rsidP="00C17931">
            <w:pPr>
              <w:spacing w:before="0" w:after="0" w:line="240" w:lineRule="auto"/>
              <w:rPr>
                <w:rFonts w:ascii="Arial" w:hAnsi="Arial" w:cs="Arial"/>
                <w:color w:val="000000"/>
                <w:sz w:val="16"/>
                <w:szCs w:val="16"/>
              </w:rPr>
            </w:pPr>
            <w:r w:rsidRPr="00C17931">
              <w:rPr>
                <w:rFonts w:ascii="Arial" w:hAnsi="Arial" w:cs="Arial"/>
                <w:color w:val="000000"/>
                <w:sz w:val="16"/>
                <w:szCs w:val="16"/>
              </w:rPr>
              <w:t> </w:t>
            </w:r>
          </w:p>
        </w:tc>
        <w:tc>
          <w:tcPr>
            <w:tcW w:w="472" w:type="pct"/>
            <w:tcBorders>
              <w:top w:val="nil"/>
              <w:left w:val="nil"/>
              <w:bottom w:val="nil"/>
              <w:right w:val="nil"/>
            </w:tcBorders>
            <w:shd w:val="clear" w:color="000000" w:fill="FFFFFF"/>
            <w:noWrap/>
            <w:vAlign w:val="center"/>
            <w:hideMark/>
          </w:tcPr>
          <w:p w14:paraId="014F5CB1" w14:textId="77777777" w:rsidR="00C17931" w:rsidRPr="00C17931" w:rsidRDefault="00C17931" w:rsidP="00C17931">
            <w:pPr>
              <w:spacing w:before="0" w:after="0" w:line="240" w:lineRule="auto"/>
              <w:rPr>
                <w:rFonts w:ascii="Arial" w:hAnsi="Arial" w:cs="Arial"/>
                <w:color w:val="000000"/>
                <w:sz w:val="16"/>
                <w:szCs w:val="16"/>
              </w:rPr>
            </w:pPr>
            <w:r w:rsidRPr="00C17931">
              <w:rPr>
                <w:rFonts w:ascii="Arial" w:hAnsi="Arial" w:cs="Arial"/>
                <w:color w:val="000000"/>
                <w:sz w:val="16"/>
                <w:szCs w:val="16"/>
              </w:rPr>
              <w:t> </w:t>
            </w:r>
          </w:p>
        </w:tc>
        <w:tc>
          <w:tcPr>
            <w:tcW w:w="472" w:type="pct"/>
            <w:tcBorders>
              <w:top w:val="nil"/>
              <w:left w:val="nil"/>
              <w:bottom w:val="nil"/>
              <w:right w:val="nil"/>
            </w:tcBorders>
            <w:shd w:val="clear" w:color="000000" w:fill="FFFFFF"/>
            <w:noWrap/>
            <w:vAlign w:val="center"/>
            <w:hideMark/>
          </w:tcPr>
          <w:p w14:paraId="5CA3A507" w14:textId="77777777" w:rsidR="00C17931" w:rsidRPr="00C17931" w:rsidRDefault="00C17931" w:rsidP="00C17931">
            <w:pPr>
              <w:spacing w:before="0" w:after="0" w:line="240" w:lineRule="auto"/>
              <w:rPr>
                <w:rFonts w:ascii="Arial" w:hAnsi="Arial" w:cs="Arial"/>
                <w:color w:val="000000"/>
                <w:sz w:val="16"/>
                <w:szCs w:val="16"/>
              </w:rPr>
            </w:pPr>
            <w:r w:rsidRPr="00C17931">
              <w:rPr>
                <w:rFonts w:ascii="Arial" w:hAnsi="Arial" w:cs="Arial"/>
                <w:color w:val="000000"/>
                <w:sz w:val="16"/>
                <w:szCs w:val="16"/>
              </w:rPr>
              <w:t> </w:t>
            </w:r>
          </w:p>
        </w:tc>
      </w:tr>
      <w:tr w:rsidR="00C17931" w:rsidRPr="00C17931" w14:paraId="68CA0B76" w14:textId="77777777" w:rsidTr="00C17931">
        <w:trPr>
          <w:trHeight w:hRule="exact" w:val="226"/>
        </w:trPr>
        <w:tc>
          <w:tcPr>
            <w:tcW w:w="1873" w:type="pct"/>
            <w:tcBorders>
              <w:top w:val="nil"/>
              <w:left w:val="nil"/>
              <w:bottom w:val="nil"/>
              <w:right w:val="nil"/>
            </w:tcBorders>
            <w:shd w:val="clear" w:color="000000" w:fill="FFFFFF"/>
            <w:noWrap/>
            <w:vAlign w:val="center"/>
            <w:hideMark/>
          </w:tcPr>
          <w:p w14:paraId="276E89AE" w14:textId="77777777" w:rsidR="00C17931" w:rsidRPr="00C17931" w:rsidRDefault="00C17931" w:rsidP="00C17931">
            <w:pPr>
              <w:spacing w:before="0" w:after="0" w:line="240" w:lineRule="auto"/>
              <w:ind w:left="170"/>
              <w:rPr>
                <w:rFonts w:ascii="Arial" w:hAnsi="Arial" w:cs="Arial"/>
                <w:color w:val="000000"/>
                <w:sz w:val="16"/>
                <w:szCs w:val="16"/>
              </w:rPr>
            </w:pPr>
            <w:r w:rsidRPr="00C17931">
              <w:rPr>
                <w:rFonts w:ascii="Arial" w:hAnsi="Arial" w:cs="Arial"/>
                <w:color w:val="000000"/>
                <w:sz w:val="16"/>
                <w:szCs w:val="16"/>
              </w:rPr>
              <w:t>National Support</w:t>
            </w:r>
          </w:p>
        </w:tc>
        <w:tc>
          <w:tcPr>
            <w:tcW w:w="711" w:type="pct"/>
            <w:tcBorders>
              <w:top w:val="nil"/>
              <w:left w:val="nil"/>
              <w:bottom w:val="nil"/>
              <w:right w:val="nil"/>
            </w:tcBorders>
            <w:shd w:val="clear" w:color="000000" w:fill="FFFFFF"/>
            <w:noWrap/>
            <w:vAlign w:val="center"/>
            <w:hideMark/>
          </w:tcPr>
          <w:p w14:paraId="56A49AAC" w14:textId="77777777" w:rsidR="00C17931" w:rsidRPr="00C17931" w:rsidRDefault="00C17931" w:rsidP="00C17931">
            <w:pPr>
              <w:spacing w:before="0" w:after="0" w:line="240" w:lineRule="auto"/>
              <w:rPr>
                <w:rFonts w:ascii="Arial" w:hAnsi="Arial" w:cs="Arial"/>
                <w:color w:val="000000"/>
                <w:sz w:val="16"/>
                <w:szCs w:val="16"/>
              </w:rPr>
            </w:pPr>
            <w:r w:rsidRPr="00C17931">
              <w:rPr>
                <w:rFonts w:ascii="Arial" w:hAnsi="Arial" w:cs="Arial"/>
                <w:color w:val="000000"/>
                <w:sz w:val="16"/>
                <w:szCs w:val="16"/>
              </w:rPr>
              <w:t>Education</w:t>
            </w:r>
          </w:p>
        </w:tc>
        <w:tc>
          <w:tcPr>
            <w:tcW w:w="59" w:type="pct"/>
            <w:tcBorders>
              <w:top w:val="nil"/>
              <w:left w:val="nil"/>
              <w:bottom w:val="nil"/>
              <w:right w:val="nil"/>
            </w:tcBorders>
            <w:shd w:val="clear" w:color="000000" w:fill="FFFFFF"/>
            <w:noWrap/>
            <w:vAlign w:val="center"/>
            <w:hideMark/>
          </w:tcPr>
          <w:p w14:paraId="03CE96C0" w14:textId="77777777" w:rsidR="00C17931" w:rsidRPr="00C17931" w:rsidRDefault="00C17931" w:rsidP="00C17931">
            <w:pPr>
              <w:spacing w:before="0" w:after="0" w:line="240" w:lineRule="auto"/>
              <w:rPr>
                <w:rFonts w:ascii="Arial" w:hAnsi="Arial" w:cs="Arial"/>
                <w:color w:val="000000"/>
                <w:sz w:val="16"/>
                <w:szCs w:val="16"/>
              </w:rPr>
            </w:pPr>
            <w:r w:rsidRPr="00C17931">
              <w:rPr>
                <w:rFonts w:ascii="Arial" w:hAnsi="Arial" w:cs="Arial"/>
                <w:color w:val="000000"/>
                <w:sz w:val="16"/>
                <w:szCs w:val="16"/>
              </w:rPr>
              <w:t> </w:t>
            </w:r>
          </w:p>
        </w:tc>
        <w:tc>
          <w:tcPr>
            <w:tcW w:w="472" w:type="pct"/>
            <w:tcBorders>
              <w:top w:val="nil"/>
              <w:left w:val="nil"/>
              <w:bottom w:val="nil"/>
              <w:right w:val="nil"/>
            </w:tcBorders>
            <w:shd w:val="clear" w:color="000000" w:fill="FFFFFF"/>
            <w:noWrap/>
            <w:vAlign w:val="center"/>
            <w:hideMark/>
          </w:tcPr>
          <w:p w14:paraId="2779E432" w14:textId="77777777" w:rsidR="00C17931" w:rsidRPr="00C17931" w:rsidRDefault="00C17931" w:rsidP="00C17931">
            <w:pPr>
              <w:spacing w:before="0" w:after="0" w:line="240" w:lineRule="auto"/>
              <w:jc w:val="right"/>
              <w:rPr>
                <w:rFonts w:ascii="Arial" w:hAnsi="Arial" w:cs="Arial"/>
                <w:color w:val="000000"/>
                <w:sz w:val="16"/>
                <w:szCs w:val="16"/>
              </w:rPr>
            </w:pPr>
            <w:r w:rsidRPr="00C17931">
              <w:rPr>
                <w:rFonts w:ascii="Arial" w:hAnsi="Arial" w:cs="Arial"/>
                <w:color w:val="000000"/>
                <w:sz w:val="16"/>
                <w:szCs w:val="16"/>
              </w:rPr>
              <w:t>18,116</w:t>
            </w:r>
          </w:p>
        </w:tc>
        <w:tc>
          <w:tcPr>
            <w:tcW w:w="472" w:type="pct"/>
            <w:tcBorders>
              <w:top w:val="nil"/>
              <w:left w:val="nil"/>
              <w:bottom w:val="nil"/>
              <w:right w:val="nil"/>
            </w:tcBorders>
            <w:shd w:val="clear" w:color="000000" w:fill="E6F2FF"/>
            <w:noWrap/>
            <w:vAlign w:val="center"/>
            <w:hideMark/>
          </w:tcPr>
          <w:p w14:paraId="0A341E98" w14:textId="77777777" w:rsidR="00C17931" w:rsidRPr="00C17931" w:rsidRDefault="00C17931" w:rsidP="00C17931">
            <w:pPr>
              <w:spacing w:before="0" w:after="0" w:line="240" w:lineRule="auto"/>
              <w:jc w:val="right"/>
              <w:rPr>
                <w:rFonts w:ascii="Arial" w:hAnsi="Arial" w:cs="Arial"/>
                <w:color w:val="000000"/>
                <w:sz w:val="16"/>
                <w:szCs w:val="16"/>
              </w:rPr>
            </w:pPr>
            <w:r w:rsidRPr="00C17931">
              <w:rPr>
                <w:rFonts w:ascii="Arial" w:hAnsi="Arial" w:cs="Arial"/>
                <w:color w:val="000000"/>
                <w:sz w:val="16"/>
                <w:szCs w:val="16"/>
              </w:rPr>
              <w:t>18,726</w:t>
            </w:r>
          </w:p>
        </w:tc>
        <w:tc>
          <w:tcPr>
            <w:tcW w:w="472" w:type="pct"/>
            <w:tcBorders>
              <w:top w:val="nil"/>
              <w:left w:val="nil"/>
              <w:bottom w:val="nil"/>
              <w:right w:val="nil"/>
            </w:tcBorders>
            <w:shd w:val="clear" w:color="000000" w:fill="FFFFFF"/>
            <w:noWrap/>
            <w:vAlign w:val="center"/>
            <w:hideMark/>
          </w:tcPr>
          <w:p w14:paraId="0C866B30" w14:textId="77777777" w:rsidR="00C17931" w:rsidRPr="00C17931" w:rsidRDefault="00C17931" w:rsidP="00C17931">
            <w:pPr>
              <w:spacing w:before="0" w:after="0" w:line="240" w:lineRule="auto"/>
              <w:jc w:val="right"/>
              <w:rPr>
                <w:rFonts w:ascii="Arial" w:hAnsi="Arial" w:cs="Arial"/>
                <w:color w:val="000000"/>
                <w:sz w:val="16"/>
                <w:szCs w:val="16"/>
              </w:rPr>
            </w:pPr>
            <w:r w:rsidRPr="00C17931">
              <w:rPr>
                <w:rFonts w:ascii="Arial" w:hAnsi="Arial" w:cs="Arial"/>
                <w:color w:val="000000"/>
                <w:sz w:val="16"/>
                <w:szCs w:val="16"/>
              </w:rPr>
              <w:t>19,497</w:t>
            </w:r>
          </w:p>
        </w:tc>
        <w:tc>
          <w:tcPr>
            <w:tcW w:w="472" w:type="pct"/>
            <w:tcBorders>
              <w:top w:val="nil"/>
              <w:left w:val="nil"/>
              <w:bottom w:val="nil"/>
              <w:right w:val="nil"/>
            </w:tcBorders>
            <w:shd w:val="clear" w:color="000000" w:fill="FFFFFF"/>
            <w:noWrap/>
            <w:vAlign w:val="center"/>
            <w:hideMark/>
          </w:tcPr>
          <w:p w14:paraId="1BCACC3C" w14:textId="77777777" w:rsidR="00C17931" w:rsidRPr="00C17931" w:rsidRDefault="00C17931" w:rsidP="00C17931">
            <w:pPr>
              <w:spacing w:before="0" w:after="0" w:line="240" w:lineRule="auto"/>
              <w:jc w:val="right"/>
              <w:rPr>
                <w:rFonts w:ascii="Arial" w:hAnsi="Arial" w:cs="Arial"/>
                <w:color w:val="000000"/>
                <w:sz w:val="16"/>
                <w:szCs w:val="16"/>
              </w:rPr>
            </w:pPr>
            <w:r w:rsidRPr="00C17931">
              <w:rPr>
                <w:rFonts w:ascii="Arial" w:hAnsi="Arial" w:cs="Arial"/>
                <w:color w:val="000000"/>
                <w:sz w:val="16"/>
                <w:szCs w:val="16"/>
              </w:rPr>
              <w:t>20,275</w:t>
            </w:r>
          </w:p>
        </w:tc>
        <w:tc>
          <w:tcPr>
            <w:tcW w:w="472" w:type="pct"/>
            <w:tcBorders>
              <w:top w:val="nil"/>
              <w:left w:val="nil"/>
              <w:bottom w:val="nil"/>
              <w:right w:val="nil"/>
            </w:tcBorders>
            <w:shd w:val="clear" w:color="000000" w:fill="FFFFFF"/>
            <w:noWrap/>
            <w:vAlign w:val="center"/>
            <w:hideMark/>
          </w:tcPr>
          <w:p w14:paraId="4E09CB53" w14:textId="77777777" w:rsidR="00C17931" w:rsidRPr="00C17931" w:rsidRDefault="00C17931" w:rsidP="00C17931">
            <w:pPr>
              <w:spacing w:before="0" w:after="0" w:line="240" w:lineRule="auto"/>
              <w:jc w:val="right"/>
              <w:rPr>
                <w:rFonts w:ascii="Arial" w:hAnsi="Arial" w:cs="Arial"/>
                <w:color w:val="000000"/>
                <w:sz w:val="16"/>
                <w:szCs w:val="16"/>
              </w:rPr>
            </w:pPr>
            <w:r w:rsidRPr="00C17931">
              <w:rPr>
                <w:rFonts w:ascii="Arial" w:hAnsi="Arial" w:cs="Arial"/>
                <w:color w:val="000000"/>
                <w:sz w:val="16"/>
                <w:szCs w:val="16"/>
              </w:rPr>
              <w:t>21,051</w:t>
            </w:r>
          </w:p>
        </w:tc>
      </w:tr>
      <w:tr w:rsidR="00C17931" w:rsidRPr="00C17931" w14:paraId="1CDAEFE4" w14:textId="77777777" w:rsidTr="00C17931">
        <w:trPr>
          <w:trHeight w:hRule="exact" w:val="226"/>
        </w:trPr>
        <w:tc>
          <w:tcPr>
            <w:tcW w:w="1873" w:type="pct"/>
            <w:tcBorders>
              <w:top w:val="nil"/>
              <w:left w:val="nil"/>
              <w:bottom w:val="nil"/>
              <w:right w:val="nil"/>
            </w:tcBorders>
            <w:shd w:val="clear" w:color="000000" w:fill="FFFFFF"/>
            <w:noWrap/>
            <w:vAlign w:val="center"/>
            <w:hideMark/>
          </w:tcPr>
          <w:p w14:paraId="2A26A5AE" w14:textId="77777777" w:rsidR="00C17931" w:rsidRPr="00C17931" w:rsidRDefault="00C17931" w:rsidP="00C17931">
            <w:pPr>
              <w:spacing w:before="0" w:after="0" w:line="240" w:lineRule="auto"/>
              <w:rPr>
                <w:rFonts w:ascii="Arial" w:hAnsi="Arial" w:cs="Arial"/>
                <w:color w:val="000000"/>
                <w:sz w:val="16"/>
                <w:szCs w:val="16"/>
              </w:rPr>
            </w:pPr>
            <w:r w:rsidRPr="00C17931">
              <w:rPr>
                <w:rFonts w:ascii="Arial" w:hAnsi="Arial" w:cs="Arial"/>
                <w:color w:val="000000"/>
                <w:sz w:val="16"/>
                <w:szCs w:val="16"/>
              </w:rPr>
              <w:t>Support for Families</w:t>
            </w:r>
          </w:p>
        </w:tc>
        <w:tc>
          <w:tcPr>
            <w:tcW w:w="711" w:type="pct"/>
            <w:tcBorders>
              <w:top w:val="nil"/>
              <w:left w:val="nil"/>
              <w:bottom w:val="nil"/>
              <w:right w:val="nil"/>
            </w:tcBorders>
            <w:shd w:val="clear" w:color="000000" w:fill="FFFFFF"/>
            <w:noWrap/>
            <w:vAlign w:val="center"/>
            <w:hideMark/>
          </w:tcPr>
          <w:p w14:paraId="27AEC8B2" w14:textId="77777777" w:rsidR="00C17931" w:rsidRPr="00C17931" w:rsidRDefault="00C17931" w:rsidP="00C17931">
            <w:pPr>
              <w:spacing w:before="0" w:after="0" w:line="240" w:lineRule="auto"/>
              <w:rPr>
                <w:rFonts w:ascii="Arial" w:hAnsi="Arial" w:cs="Arial"/>
                <w:color w:val="000000"/>
                <w:sz w:val="16"/>
                <w:szCs w:val="16"/>
              </w:rPr>
            </w:pPr>
            <w:r w:rsidRPr="00C17931">
              <w:rPr>
                <w:rFonts w:ascii="Arial" w:hAnsi="Arial" w:cs="Arial"/>
                <w:color w:val="000000"/>
                <w:sz w:val="16"/>
                <w:szCs w:val="16"/>
              </w:rPr>
              <w:t>SSW</w:t>
            </w:r>
          </w:p>
        </w:tc>
        <w:tc>
          <w:tcPr>
            <w:tcW w:w="59" w:type="pct"/>
            <w:tcBorders>
              <w:top w:val="nil"/>
              <w:left w:val="nil"/>
              <w:bottom w:val="nil"/>
              <w:right w:val="nil"/>
            </w:tcBorders>
            <w:shd w:val="clear" w:color="000000" w:fill="FFFFFF"/>
            <w:noWrap/>
            <w:vAlign w:val="center"/>
            <w:hideMark/>
          </w:tcPr>
          <w:p w14:paraId="77562F40" w14:textId="77777777" w:rsidR="00C17931" w:rsidRPr="00C17931" w:rsidRDefault="00C17931" w:rsidP="00C17931">
            <w:pPr>
              <w:spacing w:before="0" w:after="0" w:line="240" w:lineRule="auto"/>
              <w:rPr>
                <w:rFonts w:ascii="Arial" w:hAnsi="Arial" w:cs="Arial"/>
                <w:color w:val="000000"/>
                <w:sz w:val="16"/>
                <w:szCs w:val="16"/>
              </w:rPr>
            </w:pPr>
            <w:r w:rsidRPr="00C17931">
              <w:rPr>
                <w:rFonts w:ascii="Arial" w:hAnsi="Arial" w:cs="Arial"/>
                <w:color w:val="000000"/>
                <w:sz w:val="16"/>
                <w:szCs w:val="16"/>
              </w:rPr>
              <w:t> </w:t>
            </w:r>
          </w:p>
        </w:tc>
        <w:tc>
          <w:tcPr>
            <w:tcW w:w="472" w:type="pct"/>
            <w:tcBorders>
              <w:top w:val="nil"/>
              <w:left w:val="nil"/>
              <w:bottom w:val="nil"/>
              <w:right w:val="nil"/>
            </w:tcBorders>
            <w:shd w:val="clear" w:color="000000" w:fill="FFFFFF"/>
            <w:noWrap/>
            <w:vAlign w:val="center"/>
            <w:hideMark/>
          </w:tcPr>
          <w:p w14:paraId="405F9B3E" w14:textId="77777777" w:rsidR="00C17931" w:rsidRPr="00C17931" w:rsidRDefault="00C17931" w:rsidP="00C17931">
            <w:pPr>
              <w:spacing w:before="0" w:after="0" w:line="240" w:lineRule="auto"/>
              <w:jc w:val="right"/>
              <w:rPr>
                <w:rFonts w:ascii="Arial" w:hAnsi="Arial" w:cs="Arial"/>
                <w:color w:val="000000"/>
                <w:sz w:val="16"/>
                <w:szCs w:val="16"/>
              </w:rPr>
            </w:pPr>
            <w:r w:rsidRPr="00C17931">
              <w:rPr>
                <w:rFonts w:ascii="Arial" w:hAnsi="Arial" w:cs="Arial"/>
                <w:color w:val="000000"/>
                <w:sz w:val="16"/>
                <w:szCs w:val="16"/>
              </w:rPr>
              <w:t>16,626</w:t>
            </w:r>
          </w:p>
        </w:tc>
        <w:tc>
          <w:tcPr>
            <w:tcW w:w="472" w:type="pct"/>
            <w:tcBorders>
              <w:top w:val="nil"/>
              <w:left w:val="nil"/>
              <w:bottom w:val="nil"/>
              <w:right w:val="nil"/>
            </w:tcBorders>
            <w:shd w:val="clear" w:color="000000" w:fill="E6F2FF"/>
            <w:noWrap/>
            <w:vAlign w:val="center"/>
            <w:hideMark/>
          </w:tcPr>
          <w:p w14:paraId="2ED37011" w14:textId="77777777" w:rsidR="00C17931" w:rsidRPr="00C17931" w:rsidRDefault="00C17931" w:rsidP="00C17931">
            <w:pPr>
              <w:spacing w:before="0" w:after="0" w:line="240" w:lineRule="auto"/>
              <w:jc w:val="right"/>
              <w:rPr>
                <w:rFonts w:ascii="Arial" w:hAnsi="Arial" w:cs="Arial"/>
                <w:color w:val="000000"/>
                <w:sz w:val="16"/>
                <w:szCs w:val="16"/>
              </w:rPr>
            </w:pPr>
            <w:r w:rsidRPr="00C17931">
              <w:rPr>
                <w:rFonts w:ascii="Arial" w:hAnsi="Arial" w:cs="Arial"/>
                <w:color w:val="000000"/>
                <w:sz w:val="16"/>
                <w:szCs w:val="16"/>
              </w:rPr>
              <w:t>17,261</w:t>
            </w:r>
          </w:p>
        </w:tc>
        <w:tc>
          <w:tcPr>
            <w:tcW w:w="472" w:type="pct"/>
            <w:tcBorders>
              <w:top w:val="nil"/>
              <w:left w:val="nil"/>
              <w:bottom w:val="nil"/>
              <w:right w:val="nil"/>
            </w:tcBorders>
            <w:shd w:val="clear" w:color="000000" w:fill="FFFFFF"/>
            <w:noWrap/>
            <w:vAlign w:val="center"/>
            <w:hideMark/>
          </w:tcPr>
          <w:p w14:paraId="007F0E27" w14:textId="77777777" w:rsidR="00C17931" w:rsidRPr="00C17931" w:rsidRDefault="00C17931" w:rsidP="00C17931">
            <w:pPr>
              <w:spacing w:before="0" w:after="0" w:line="240" w:lineRule="auto"/>
              <w:jc w:val="right"/>
              <w:rPr>
                <w:rFonts w:ascii="Arial" w:hAnsi="Arial" w:cs="Arial"/>
                <w:color w:val="000000"/>
                <w:sz w:val="16"/>
                <w:szCs w:val="16"/>
              </w:rPr>
            </w:pPr>
            <w:r w:rsidRPr="00C17931">
              <w:rPr>
                <w:rFonts w:ascii="Arial" w:hAnsi="Arial" w:cs="Arial"/>
                <w:color w:val="000000"/>
                <w:sz w:val="16"/>
                <w:szCs w:val="16"/>
              </w:rPr>
              <w:t>17,655</w:t>
            </w:r>
          </w:p>
        </w:tc>
        <w:tc>
          <w:tcPr>
            <w:tcW w:w="472" w:type="pct"/>
            <w:tcBorders>
              <w:top w:val="nil"/>
              <w:left w:val="nil"/>
              <w:bottom w:val="nil"/>
              <w:right w:val="nil"/>
            </w:tcBorders>
            <w:shd w:val="clear" w:color="000000" w:fill="FFFFFF"/>
            <w:noWrap/>
            <w:vAlign w:val="center"/>
            <w:hideMark/>
          </w:tcPr>
          <w:p w14:paraId="254E96B5" w14:textId="77777777" w:rsidR="00C17931" w:rsidRPr="00C17931" w:rsidRDefault="00C17931" w:rsidP="00C17931">
            <w:pPr>
              <w:spacing w:before="0" w:after="0" w:line="240" w:lineRule="auto"/>
              <w:jc w:val="right"/>
              <w:rPr>
                <w:rFonts w:ascii="Arial" w:hAnsi="Arial" w:cs="Arial"/>
                <w:color w:val="000000"/>
                <w:sz w:val="16"/>
                <w:szCs w:val="16"/>
              </w:rPr>
            </w:pPr>
            <w:r w:rsidRPr="00C17931">
              <w:rPr>
                <w:rFonts w:ascii="Arial" w:hAnsi="Arial" w:cs="Arial"/>
                <w:color w:val="000000"/>
                <w:sz w:val="16"/>
                <w:szCs w:val="16"/>
              </w:rPr>
              <w:t>18,031</w:t>
            </w:r>
          </w:p>
        </w:tc>
        <w:tc>
          <w:tcPr>
            <w:tcW w:w="472" w:type="pct"/>
            <w:tcBorders>
              <w:top w:val="nil"/>
              <w:left w:val="nil"/>
              <w:bottom w:val="nil"/>
              <w:right w:val="nil"/>
            </w:tcBorders>
            <w:shd w:val="clear" w:color="000000" w:fill="FFFFFF"/>
            <w:noWrap/>
            <w:vAlign w:val="center"/>
            <w:hideMark/>
          </w:tcPr>
          <w:p w14:paraId="52F85B7F" w14:textId="77777777" w:rsidR="00C17931" w:rsidRPr="00C17931" w:rsidRDefault="00C17931" w:rsidP="00C17931">
            <w:pPr>
              <w:spacing w:before="0" w:after="0" w:line="240" w:lineRule="auto"/>
              <w:jc w:val="right"/>
              <w:rPr>
                <w:rFonts w:ascii="Arial" w:hAnsi="Arial" w:cs="Arial"/>
                <w:color w:val="000000"/>
                <w:sz w:val="16"/>
                <w:szCs w:val="16"/>
              </w:rPr>
            </w:pPr>
            <w:r w:rsidRPr="00C17931">
              <w:rPr>
                <w:rFonts w:ascii="Arial" w:hAnsi="Arial" w:cs="Arial"/>
                <w:color w:val="000000"/>
                <w:sz w:val="16"/>
                <w:szCs w:val="16"/>
              </w:rPr>
              <w:t>18,304</w:t>
            </w:r>
          </w:p>
        </w:tc>
      </w:tr>
      <w:tr w:rsidR="00C17931" w:rsidRPr="00C17931" w14:paraId="4893CCC0" w14:textId="77777777" w:rsidTr="00C17931">
        <w:trPr>
          <w:trHeight w:hRule="exact" w:val="226"/>
        </w:trPr>
        <w:tc>
          <w:tcPr>
            <w:tcW w:w="1873" w:type="pct"/>
            <w:tcBorders>
              <w:top w:val="nil"/>
              <w:left w:val="nil"/>
              <w:bottom w:val="nil"/>
              <w:right w:val="nil"/>
            </w:tcBorders>
            <w:shd w:val="clear" w:color="000000" w:fill="FFFFFF"/>
            <w:noWrap/>
            <w:vAlign w:val="center"/>
            <w:hideMark/>
          </w:tcPr>
          <w:p w14:paraId="1631CA68" w14:textId="77777777" w:rsidR="00C17931" w:rsidRPr="00C17931" w:rsidRDefault="00C17931" w:rsidP="00C17931">
            <w:pPr>
              <w:spacing w:before="0" w:after="0" w:line="240" w:lineRule="auto"/>
              <w:rPr>
                <w:rFonts w:ascii="Arial" w:hAnsi="Arial" w:cs="Arial"/>
                <w:color w:val="000000"/>
                <w:sz w:val="16"/>
                <w:szCs w:val="16"/>
              </w:rPr>
            </w:pPr>
            <w:r w:rsidRPr="00C17931">
              <w:rPr>
                <w:rFonts w:ascii="Arial" w:hAnsi="Arial" w:cs="Arial"/>
                <w:color w:val="000000"/>
                <w:sz w:val="16"/>
                <w:szCs w:val="16"/>
              </w:rPr>
              <w:t>Job Seeker Income Support</w:t>
            </w:r>
          </w:p>
        </w:tc>
        <w:tc>
          <w:tcPr>
            <w:tcW w:w="711" w:type="pct"/>
            <w:tcBorders>
              <w:top w:val="nil"/>
              <w:left w:val="nil"/>
              <w:bottom w:val="nil"/>
              <w:right w:val="nil"/>
            </w:tcBorders>
            <w:shd w:val="clear" w:color="000000" w:fill="FFFFFF"/>
            <w:noWrap/>
            <w:vAlign w:val="center"/>
            <w:hideMark/>
          </w:tcPr>
          <w:p w14:paraId="0F2EC3B0" w14:textId="77777777" w:rsidR="00C17931" w:rsidRPr="00C17931" w:rsidRDefault="00C17931" w:rsidP="00C17931">
            <w:pPr>
              <w:spacing w:before="0" w:after="0" w:line="240" w:lineRule="auto"/>
              <w:rPr>
                <w:rFonts w:ascii="Arial" w:hAnsi="Arial" w:cs="Arial"/>
                <w:color w:val="000000"/>
                <w:sz w:val="16"/>
                <w:szCs w:val="16"/>
              </w:rPr>
            </w:pPr>
            <w:r w:rsidRPr="00C17931">
              <w:rPr>
                <w:rFonts w:ascii="Arial" w:hAnsi="Arial" w:cs="Arial"/>
                <w:color w:val="000000"/>
                <w:sz w:val="16"/>
                <w:szCs w:val="16"/>
              </w:rPr>
              <w:t>SSW</w:t>
            </w:r>
          </w:p>
        </w:tc>
        <w:tc>
          <w:tcPr>
            <w:tcW w:w="59" w:type="pct"/>
            <w:tcBorders>
              <w:top w:val="nil"/>
              <w:left w:val="nil"/>
              <w:bottom w:val="nil"/>
              <w:right w:val="nil"/>
            </w:tcBorders>
            <w:shd w:val="clear" w:color="000000" w:fill="FFFFFF"/>
            <w:noWrap/>
            <w:vAlign w:val="center"/>
            <w:hideMark/>
          </w:tcPr>
          <w:p w14:paraId="1015EA7E" w14:textId="77777777" w:rsidR="00C17931" w:rsidRPr="00C17931" w:rsidRDefault="00C17931" w:rsidP="00C17931">
            <w:pPr>
              <w:spacing w:before="0" w:after="0" w:line="240" w:lineRule="auto"/>
              <w:rPr>
                <w:rFonts w:ascii="Arial" w:hAnsi="Arial" w:cs="Arial"/>
                <w:color w:val="000000"/>
                <w:sz w:val="16"/>
                <w:szCs w:val="16"/>
              </w:rPr>
            </w:pPr>
            <w:r w:rsidRPr="00C17931">
              <w:rPr>
                <w:rFonts w:ascii="Arial" w:hAnsi="Arial" w:cs="Arial"/>
                <w:color w:val="000000"/>
                <w:sz w:val="16"/>
                <w:szCs w:val="16"/>
              </w:rPr>
              <w:t> </w:t>
            </w:r>
          </w:p>
        </w:tc>
        <w:tc>
          <w:tcPr>
            <w:tcW w:w="472" w:type="pct"/>
            <w:tcBorders>
              <w:top w:val="nil"/>
              <w:left w:val="nil"/>
              <w:bottom w:val="nil"/>
              <w:right w:val="nil"/>
            </w:tcBorders>
            <w:shd w:val="clear" w:color="000000" w:fill="FFFFFF"/>
            <w:noWrap/>
            <w:vAlign w:val="center"/>
            <w:hideMark/>
          </w:tcPr>
          <w:p w14:paraId="33D1960D" w14:textId="77777777" w:rsidR="00C17931" w:rsidRPr="00C17931" w:rsidRDefault="00C17931" w:rsidP="00C17931">
            <w:pPr>
              <w:spacing w:before="0" w:after="0" w:line="240" w:lineRule="auto"/>
              <w:jc w:val="right"/>
              <w:rPr>
                <w:rFonts w:ascii="Arial" w:hAnsi="Arial" w:cs="Arial"/>
                <w:color w:val="000000"/>
                <w:sz w:val="16"/>
                <w:szCs w:val="16"/>
              </w:rPr>
            </w:pPr>
            <w:r w:rsidRPr="00C17931">
              <w:rPr>
                <w:rFonts w:ascii="Arial" w:hAnsi="Arial" w:cs="Arial"/>
                <w:color w:val="000000"/>
                <w:sz w:val="16"/>
                <w:szCs w:val="16"/>
              </w:rPr>
              <w:t>14,737</w:t>
            </w:r>
          </w:p>
        </w:tc>
        <w:tc>
          <w:tcPr>
            <w:tcW w:w="472" w:type="pct"/>
            <w:tcBorders>
              <w:top w:val="nil"/>
              <w:left w:val="nil"/>
              <w:bottom w:val="nil"/>
              <w:right w:val="nil"/>
            </w:tcBorders>
            <w:shd w:val="clear" w:color="000000" w:fill="E6F2FF"/>
            <w:noWrap/>
            <w:vAlign w:val="center"/>
            <w:hideMark/>
          </w:tcPr>
          <w:p w14:paraId="0A7645FF" w14:textId="77777777" w:rsidR="00C17931" w:rsidRPr="00C17931" w:rsidRDefault="00C17931" w:rsidP="00C17931">
            <w:pPr>
              <w:spacing w:before="0" w:after="0" w:line="240" w:lineRule="auto"/>
              <w:jc w:val="right"/>
              <w:rPr>
                <w:rFonts w:ascii="Arial" w:hAnsi="Arial" w:cs="Arial"/>
                <w:color w:val="000000"/>
                <w:sz w:val="16"/>
                <w:szCs w:val="16"/>
              </w:rPr>
            </w:pPr>
            <w:r w:rsidRPr="00C17931">
              <w:rPr>
                <w:rFonts w:ascii="Arial" w:hAnsi="Arial" w:cs="Arial"/>
                <w:color w:val="000000"/>
                <w:sz w:val="16"/>
                <w:szCs w:val="16"/>
              </w:rPr>
              <w:t>16,100</w:t>
            </w:r>
          </w:p>
        </w:tc>
        <w:tc>
          <w:tcPr>
            <w:tcW w:w="472" w:type="pct"/>
            <w:tcBorders>
              <w:top w:val="nil"/>
              <w:left w:val="nil"/>
              <w:bottom w:val="nil"/>
              <w:right w:val="nil"/>
            </w:tcBorders>
            <w:shd w:val="clear" w:color="000000" w:fill="FFFFFF"/>
            <w:noWrap/>
            <w:vAlign w:val="center"/>
            <w:hideMark/>
          </w:tcPr>
          <w:p w14:paraId="7667EFDF" w14:textId="77777777" w:rsidR="00C17931" w:rsidRPr="00C17931" w:rsidRDefault="00C17931" w:rsidP="00C17931">
            <w:pPr>
              <w:spacing w:before="0" w:after="0" w:line="240" w:lineRule="auto"/>
              <w:jc w:val="right"/>
              <w:rPr>
                <w:rFonts w:ascii="Arial" w:hAnsi="Arial" w:cs="Arial"/>
                <w:color w:val="000000"/>
                <w:sz w:val="16"/>
                <w:szCs w:val="16"/>
              </w:rPr>
            </w:pPr>
            <w:r w:rsidRPr="00C17931">
              <w:rPr>
                <w:rFonts w:ascii="Arial" w:hAnsi="Arial" w:cs="Arial"/>
                <w:color w:val="000000"/>
                <w:sz w:val="16"/>
                <w:szCs w:val="16"/>
              </w:rPr>
              <w:t>16,562</w:t>
            </w:r>
          </w:p>
        </w:tc>
        <w:tc>
          <w:tcPr>
            <w:tcW w:w="472" w:type="pct"/>
            <w:tcBorders>
              <w:top w:val="nil"/>
              <w:left w:val="nil"/>
              <w:bottom w:val="nil"/>
              <w:right w:val="nil"/>
            </w:tcBorders>
            <w:shd w:val="clear" w:color="000000" w:fill="FFFFFF"/>
            <w:noWrap/>
            <w:vAlign w:val="center"/>
            <w:hideMark/>
          </w:tcPr>
          <w:p w14:paraId="0C6A2C9C" w14:textId="77777777" w:rsidR="00C17931" w:rsidRPr="00C17931" w:rsidRDefault="00C17931" w:rsidP="00C17931">
            <w:pPr>
              <w:spacing w:before="0" w:after="0" w:line="240" w:lineRule="auto"/>
              <w:jc w:val="right"/>
              <w:rPr>
                <w:rFonts w:ascii="Arial" w:hAnsi="Arial" w:cs="Arial"/>
                <w:color w:val="000000"/>
                <w:sz w:val="16"/>
                <w:szCs w:val="16"/>
              </w:rPr>
            </w:pPr>
            <w:r w:rsidRPr="00C17931">
              <w:rPr>
                <w:rFonts w:ascii="Arial" w:hAnsi="Arial" w:cs="Arial"/>
                <w:color w:val="000000"/>
                <w:sz w:val="16"/>
                <w:szCs w:val="16"/>
              </w:rPr>
              <w:t>16,760</w:t>
            </w:r>
          </w:p>
        </w:tc>
        <w:tc>
          <w:tcPr>
            <w:tcW w:w="472" w:type="pct"/>
            <w:tcBorders>
              <w:top w:val="nil"/>
              <w:left w:val="nil"/>
              <w:bottom w:val="nil"/>
              <w:right w:val="nil"/>
            </w:tcBorders>
            <w:shd w:val="clear" w:color="000000" w:fill="FFFFFF"/>
            <w:noWrap/>
            <w:vAlign w:val="center"/>
            <w:hideMark/>
          </w:tcPr>
          <w:p w14:paraId="603E140B" w14:textId="77777777" w:rsidR="00C17931" w:rsidRPr="00C17931" w:rsidRDefault="00C17931" w:rsidP="00C17931">
            <w:pPr>
              <w:spacing w:before="0" w:after="0" w:line="240" w:lineRule="auto"/>
              <w:jc w:val="right"/>
              <w:rPr>
                <w:rFonts w:ascii="Arial" w:hAnsi="Arial" w:cs="Arial"/>
                <w:color w:val="000000"/>
                <w:sz w:val="16"/>
                <w:szCs w:val="16"/>
              </w:rPr>
            </w:pPr>
            <w:r w:rsidRPr="00C17931">
              <w:rPr>
                <w:rFonts w:ascii="Arial" w:hAnsi="Arial" w:cs="Arial"/>
                <w:color w:val="000000"/>
                <w:sz w:val="16"/>
                <w:szCs w:val="16"/>
              </w:rPr>
              <w:t>16,298</w:t>
            </w:r>
          </w:p>
        </w:tc>
      </w:tr>
      <w:tr w:rsidR="00C17931" w:rsidRPr="00C17931" w14:paraId="3ED053A6" w14:textId="77777777" w:rsidTr="00C17931">
        <w:trPr>
          <w:trHeight w:hRule="exact" w:val="226"/>
        </w:trPr>
        <w:tc>
          <w:tcPr>
            <w:tcW w:w="1873" w:type="pct"/>
            <w:tcBorders>
              <w:top w:val="nil"/>
              <w:left w:val="nil"/>
              <w:bottom w:val="nil"/>
              <w:right w:val="nil"/>
            </w:tcBorders>
            <w:shd w:val="clear" w:color="000000" w:fill="FFFFFF"/>
            <w:noWrap/>
            <w:vAlign w:val="center"/>
            <w:hideMark/>
          </w:tcPr>
          <w:p w14:paraId="6922CB06" w14:textId="77777777" w:rsidR="00C17931" w:rsidRPr="00C17931" w:rsidRDefault="00C17931" w:rsidP="00C17931">
            <w:pPr>
              <w:spacing w:before="0" w:after="0" w:line="240" w:lineRule="auto"/>
              <w:rPr>
                <w:rFonts w:ascii="Arial" w:hAnsi="Arial" w:cs="Arial"/>
                <w:color w:val="000000"/>
                <w:sz w:val="16"/>
                <w:szCs w:val="16"/>
              </w:rPr>
            </w:pPr>
            <w:r w:rsidRPr="00C17931">
              <w:rPr>
                <w:rFonts w:ascii="Arial" w:hAnsi="Arial" w:cs="Arial"/>
                <w:color w:val="000000"/>
                <w:sz w:val="16"/>
                <w:szCs w:val="16"/>
              </w:rPr>
              <w:t>Child Care Subsidy</w:t>
            </w:r>
          </w:p>
        </w:tc>
        <w:tc>
          <w:tcPr>
            <w:tcW w:w="711" w:type="pct"/>
            <w:tcBorders>
              <w:top w:val="nil"/>
              <w:left w:val="nil"/>
              <w:bottom w:val="nil"/>
              <w:right w:val="nil"/>
            </w:tcBorders>
            <w:shd w:val="clear" w:color="000000" w:fill="FFFFFF"/>
            <w:noWrap/>
            <w:vAlign w:val="center"/>
            <w:hideMark/>
          </w:tcPr>
          <w:p w14:paraId="76D386E2" w14:textId="77777777" w:rsidR="00C17931" w:rsidRPr="00C17931" w:rsidRDefault="00C17931" w:rsidP="00C17931">
            <w:pPr>
              <w:spacing w:before="0" w:after="0" w:line="240" w:lineRule="auto"/>
              <w:rPr>
                <w:rFonts w:ascii="Arial" w:hAnsi="Arial" w:cs="Arial"/>
                <w:color w:val="000000"/>
                <w:sz w:val="16"/>
                <w:szCs w:val="16"/>
              </w:rPr>
            </w:pPr>
            <w:r w:rsidRPr="00C17931">
              <w:rPr>
                <w:rFonts w:ascii="Arial" w:hAnsi="Arial" w:cs="Arial"/>
                <w:color w:val="000000"/>
                <w:sz w:val="16"/>
                <w:szCs w:val="16"/>
              </w:rPr>
              <w:t>SSW</w:t>
            </w:r>
          </w:p>
        </w:tc>
        <w:tc>
          <w:tcPr>
            <w:tcW w:w="59" w:type="pct"/>
            <w:tcBorders>
              <w:top w:val="nil"/>
              <w:left w:val="nil"/>
              <w:bottom w:val="nil"/>
              <w:right w:val="nil"/>
            </w:tcBorders>
            <w:shd w:val="clear" w:color="000000" w:fill="FFFFFF"/>
            <w:noWrap/>
            <w:vAlign w:val="center"/>
            <w:hideMark/>
          </w:tcPr>
          <w:p w14:paraId="2BEA86E9" w14:textId="77777777" w:rsidR="00C17931" w:rsidRPr="00C17931" w:rsidRDefault="00C17931" w:rsidP="00C17931">
            <w:pPr>
              <w:spacing w:before="0" w:after="0" w:line="240" w:lineRule="auto"/>
              <w:rPr>
                <w:rFonts w:ascii="Arial" w:hAnsi="Arial" w:cs="Arial"/>
                <w:color w:val="000000"/>
                <w:sz w:val="16"/>
                <w:szCs w:val="16"/>
              </w:rPr>
            </w:pPr>
            <w:r w:rsidRPr="00C17931">
              <w:rPr>
                <w:rFonts w:ascii="Arial" w:hAnsi="Arial" w:cs="Arial"/>
                <w:color w:val="000000"/>
                <w:sz w:val="16"/>
                <w:szCs w:val="16"/>
              </w:rPr>
              <w:t> </w:t>
            </w:r>
          </w:p>
        </w:tc>
        <w:tc>
          <w:tcPr>
            <w:tcW w:w="472" w:type="pct"/>
            <w:tcBorders>
              <w:top w:val="nil"/>
              <w:left w:val="nil"/>
              <w:bottom w:val="nil"/>
              <w:right w:val="nil"/>
            </w:tcBorders>
            <w:shd w:val="clear" w:color="000000" w:fill="FFFFFF"/>
            <w:noWrap/>
            <w:vAlign w:val="center"/>
            <w:hideMark/>
          </w:tcPr>
          <w:p w14:paraId="5F466765" w14:textId="77777777" w:rsidR="00C17931" w:rsidRPr="00C17931" w:rsidRDefault="00C17931" w:rsidP="00C17931">
            <w:pPr>
              <w:spacing w:before="0" w:after="0" w:line="240" w:lineRule="auto"/>
              <w:jc w:val="right"/>
              <w:rPr>
                <w:rFonts w:ascii="Arial" w:hAnsi="Arial" w:cs="Arial"/>
                <w:color w:val="000000"/>
                <w:sz w:val="16"/>
                <w:szCs w:val="16"/>
              </w:rPr>
            </w:pPr>
            <w:r w:rsidRPr="00C17931">
              <w:rPr>
                <w:rFonts w:ascii="Arial" w:hAnsi="Arial" w:cs="Arial"/>
                <w:color w:val="000000"/>
                <w:sz w:val="16"/>
                <w:szCs w:val="16"/>
              </w:rPr>
              <w:t>13,914</w:t>
            </w:r>
          </w:p>
        </w:tc>
        <w:tc>
          <w:tcPr>
            <w:tcW w:w="472" w:type="pct"/>
            <w:tcBorders>
              <w:top w:val="nil"/>
              <w:left w:val="nil"/>
              <w:bottom w:val="nil"/>
              <w:right w:val="nil"/>
            </w:tcBorders>
            <w:shd w:val="clear" w:color="000000" w:fill="E6F2FF"/>
            <w:noWrap/>
            <w:vAlign w:val="center"/>
            <w:hideMark/>
          </w:tcPr>
          <w:p w14:paraId="2AF963DC" w14:textId="77777777" w:rsidR="00C17931" w:rsidRPr="00C17931" w:rsidRDefault="00C17931" w:rsidP="00C17931">
            <w:pPr>
              <w:spacing w:before="0" w:after="0" w:line="240" w:lineRule="auto"/>
              <w:jc w:val="right"/>
              <w:rPr>
                <w:rFonts w:ascii="Arial" w:hAnsi="Arial" w:cs="Arial"/>
                <w:color w:val="000000"/>
                <w:sz w:val="16"/>
                <w:szCs w:val="16"/>
              </w:rPr>
            </w:pPr>
            <w:r w:rsidRPr="00C17931">
              <w:rPr>
                <w:rFonts w:ascii="Arial" w:hAnsi="Arial" w:cs="Arial"/>
                <w:color w:val="000000"/>
                <w:sz w:val="16"/>
                <w:szCs w:val="16"/>
              </w:rPr>
              <w:t>14,531</w:t>
            </w:r>
          </w:p>
        </w:tc>
        <w:tc>
          <w:tcPr>
            <w:tcW w:w="472" w:type="pct"/>
            <w:tcBorders>
              <w:top w:val="nil"/>
              <w:left w:val="nil"/>
              <w:bottom w:val="nil"/>
              <w:right w:val="nil"/>
            </w:tcBorders>
            <w:shd w:val="clear" w:color="000000" w:fill="FFFFFF"/>
            <w:noWrap/>
            <w:vAlign w:val="center"/>
            <w:hideMark/>
          </w:tcPr>
          <w:p w14:paraId="3C78C46A" w14:textId="77777777" w:rsidR="00C17931" w:rsidRPr="00C17931" w:rsidRDefault="00C17931" w:rsidP="00C17931">
            <w:pPr>
              <w:spacing w:before="0" w:after="0" w:line="240" w:lineRule="auto"/>
              <w:jc w:val="right"/>
              <w:rPr>
                <w:rFonts w:ascii="Arial" w:hAnsi="Arial" w:cs="Arial"/>
                <w:color w:val="000000"/>
                <w:sz w:val="16"/>
                <w:szCs w:val="16"/>
              </w:rPr>
            </w:pPr>
            <w:r w:rsidRPr="00C17931">
              <w:rPr>
                <w:rFonts w:ascii="Arial" w:hAnsi="Arial" w:cs="Arial"/>
                <w:color w:val="000000"/>
                <w:sz w:val="16"/>
                <w:szCs w:val="16"/>
              </w:rPr>
              <w:t>15,113</w:t>
            </w:r>
          </w:p>
        </w:tc>
        <w:tc>
          <w:tcPr>
            <w:tcW w:w="472" w:type="pct"/>
            <w:tcBorders>
              <w:top w:val="nil"/>
              <w:left w:val="nil"/>
              <w:bottom w:val="nil"/>
              <w:right w:val="nil"/>
            </w:tcBorders>
            <w:shd w:val="clear" w:color="000000" w:fill="FFFFFF"/>
            <w:noWrap/>
            <w:vAlign w:val="center"/>
            <w:hideMark/>
          </w:tcPr>
          <w:p w14:paraId="0013FA04" w14:textId="77777777" w:rsidR="00C17931" w:rsidRPr="00C17931" w:rsidRDefault="00C17931" w:rsidP="00C17931">
            <w:pPr>
              <w:spacing w:before="0" w:after="0" w:line="240" w:lineRule="auto"/>
              <w:jc w:val="right"/>
              <w:rPr>
                <w:rFonts w:ascii="Arial" w:hAnsi="Arial" w:cs="Arial"/>
                <w:color w:val="000000"/>
                <w:sz w:val="16"/>
                <w:szCs w:val="16"/>
              </w:rPr>
            </w:pPr>
            <w:r w:rsidRPr="00C17931">
              <w:rPr>
                <w:rFonts w:ascii="Arial" w:hAnsi="Arial" w:cs="Arial"/>
                <w:color w:val="000000"/>
                <w:sz w:val="16"/>
                <w:szCs w:val="16"/>
              </w:rPr>
              <w:t>15,996</w:t>
            </w:r>
          </w:p>
        </w:tc>
        <w:tc>
          <w:tcPr>
            <w:tcW w:w="472" w:type="pct"/>
            <w:tcBorders>
              <w:top w:val="nil"/>
              <w:left w:val="nil"/>
              <w:bottom w:val="nil"/>
              <w:right w:val="nil"/>
            </w:tcBorders>
            <w:shd w:val="clear" w:color="000000" w:fill="FFFFFF"/>
            <w:noWrap/>
            <w:vAlign w:val="center"/>
            <w:hideMark/>
          </w:tcPr>
          <w:p w14:paraId="196B2753" w14:textId="77777777" w:rsidR="00C17931" w:rsidRPr="00C17931" w:rsidRDefault="00C17931" w:rsidP="00C17931">
            <w:pPr>
              <w:spacing w:before="0" w:after="0" w:line="240" w:lineRule="auto"/>
              <w:jc w:val="right"/>
              <w:rPr>
                <w:rFonts w:ascii="Arial" w:hAnsi="Arial" w:cs="Arial"/>
                <w:color w:val="000000"/>
                <w:sz w:val="16"/>
                <w:szCs w:val="16"/>
              </w:rPr>
            </w:pPr>
            <w:r w:rsidRPr="00C17931">
              <w:rPr>
                <w:rFonts w:ascii="Arial" w:hAnsi="Arial" w:cs="Arial"/>
                <w:color w:val="000000"/>
                <w:sz w:val="16"/>
                <w:szCs w:val="16"/>
              </w:rPr>
              <w:t>16,899</w:t>
            </w:r>
          </w:p>
        </w:tc>
      </w:tr>
      <w:tr w:rsidR="00C17931" w:rsidRPr="00C17931" w14:paraId="43148291" w14:textId="77777777" w:rsidTr="00C17931">
        <w:trPr>
          <w:trHeight w:hRule="exact" w:val="226"/>
        </w:trPr>
        <w:tc>
          <w:tcPr>
            <w:tcW w:w="1873" w:type="pct"/>
            <w:tcBorders>
              <w:top w:val="nil"/>
              <w:left w:val="nil"/>
              <w:bottom w:val="nil"/>
              <w:right w:val="nil"/>
            </w:tcBorders>
            <w:shd w:val="clear" w:color="000000" w:fill="FFFFFF"/>
            <w:noWrap/>
            <w:vAlign w:val="center"/>
            <w:hideMark/>
          </w:tcPr>
          <w:p w14:paraId="5925ED26" w14:textId="77777777" w:rsidR="00C17931" w:rsidRPr="00C17931" w:rsidRDefault="00C17931" w:rsidP="00C17931">
            <w:pPr>
              <w:spacing w:before="0" w:after="0" w:line="240" w:lineRule="auto"/>
              <w:rPr>
                <w:rFonts w:ascii="Arial" w:hAnsi="Arial" w:cs="Arial"/>
                <w:color w:val="000000"/>
                <w:sz w:val="16"/>
                <w:szCs w:val="16"/>
              </w:rPr>
            </w:pPr>
            <w:r w:rsidRPr="00C17931">
              <w:rPr>
                <w:rFonts w:ascii="Arial" w:hAnsi="Arial" w:cs="Arial"/>
                <w:color w:val="000000"/>
                <w:sz w:val="16"/>
                <w:szCs w:val="16"/>
              </w:rPr>
              <w:t>Financial Support for Carers</w:t>
            </w:r>
          </w:p>
        </w:tc>
        <w:tc>
          <w:tcPr>
            <w:tcW w:w="711" w:type="pct"/>
            <w:tcBorders>
              <w:top w:val="nil"/>
              <w:left w:val="nil"/>
              <w:bottom w:val="nil"/>
              <w:right w:val="nil"/>
            </w:tcBorders>
            <w:shd w:val="clear" w:color="000000" w:fill="FFFFFF"/>
            <w:noWrap/>
            <w:vAlign w:val="center"/>
            <w:hideMark/>
          </w:tcPr>
          <w:p w14:paraId="1F07BD5F" w14:textId="77777777" w:rsidR="00C17931" w:rsidRPr="00C17931" w:rsidRDefault="00C17931" w:rsidP="00C17931">
            <w:pPr>
              <w:spacing w:before="0" w:after="0" w:line="240" w:lineRule="auto"/>
              <w:rPr>
                <w:rFonts w:ascii="Arial" w:hAnsi="Arial" w:cs="Arial"/>
                <w:color w:val="000000"/>
                <w:sz w:val="16"/>
                <w:szCs w:val="16"/>
              </w:rPr>
            </w:pPr>
            <w:r w:rsidRPr="00C17931">
              <w:rPr>
                <w:rFonts w:ascii="Arial" w:hAnsi="Arial" w:cs="Arial"/>
                <w:color w:val="000000"/>
                <w:sz w:val="16"/>
                <w:szCs w:val="16"/>
              </w:rPr>
              <w:t>SSW</w:t>
            </w:r>
          </w:p>
        </w:tc>
        <w:tc>
          <w:tcPr>
            <w:tcW w:w="59" w:type="pct"/>
            <w:tcBorders>
              <w:top w:val="nil"/>
              <w:left w:val="nil"/>
              <w:bottom w:val="nil"/>
              <w:right w:val="nil"/>
            </w:tcBorders>
            <w:shd w:val="clear" w:color="000000" w:fill="FFFFFF"/>
            <w:noWrap/>
            <w:vAlign w:val="center"/>
            <w:hideMark/>
          </w:tcPr>
          <w:p w14:paraId="06F8B4F1" w14:textId="77777777" w:rsidR="00C17931" w:rsidRPr="00C17931" w:rsidRDefault="00C17931" w:rsidP="00C17931">
            <w:pPr>
              <w:spacing w:before="0" w:after="0" w:line="240" w:lineRule="auto"/>
              <w:rPr>
                <w:rFonts w:ascii="Arial" w:hAnsi="Arial" w:cs="Arial"/>
                <w:color w:val="000000"/>
                <w:sz w:val="16"/>
                <w:szCs w:val="16"/>
              </w:rPr>
            </w:pPr>
            <w:r w:rsidRPr="00C17931">
              <w:rPr>
                <w:rFonts w:ascii="Arial" w:hAnsi="Arial" w:cs="Arial"/>
                <w:color w:val="000000"/>
                <w:sz w:val="16"/>
                <w:szCs w:val="16"/>
              </w:rPr>
              <w:t> </w:t>
            </w:r>
          </w:p>
        </w:tc>
        <w:tc>
          <w:tcPr>
            <w:tcW w:w="472" w:type="pct"/>
            <w:tcBorders>
              <w:top w:val="nil"/>
              <w:left w:val="nil"/>
              <w:bottom w:val="nil"/>
              <w:right w:val="nil"/>
            </w:tcBorders>
            <w:shd w:val="clear" w:color="000000" w:fill="FFFFFF"/>
            <w:noWrap/>
            <w:vAlign w:val="center"/>
            <w:hideMark/>
          </w:tcPr>
          <w:p w14:paraId="0E422359" w14:textId="77777777" w:rsidR="00C17931" w:rsidRPr="00C17931" w:rsidRDefault="00C17931" w:rsidP="00C17931">
            <w:pPr>
              <w:spacing w:before="0" w:after="0" w:line="240" w:lineRule="auto"/>
              <w:jc w:val="right"/>
              <w:rPr>
                <w:rFonts w:ascii="Arial" w:hAnsi="Arial" w:cs="Arial"/>
                <w:color w:val="000000"/>
                <w:sz w:val="16"/>
                <w:szCs w:val="16"/>
              </w:rPr>
            </w:pPr>
            <w:r w:rsidRPr="00C17931">
              <w:rPr>
                <w:rFonts w:ascii="Arial" w:hAnsi="Arial" w:cs="Arial"/>
                <w:color w:val="000000"/>
                <w:sz w:val="16"/>
                <w:szCs w:val="16"/>
              </w:rPr>
              <w:t>11,141</w:t>
            </w:r>
          </w:p>
        </w:tc>
        <w:tc>
          <w:tcPr>
            <w:tcW w:w="472" w:type="pct"/>
            <w:tcBorders>
              <w:top w:val="nil"/>
              <w:left w:val="nil"/>
              <w:bottom w:val="nil"/>
              <w:right w:val="nil"/>
            </w:tcBorders>
            <w:shd w:val="clear" w:color="000000" w:fill="E6F2FF"/>
            <w:noWrap/>
            <w:vAlign w:val="center"/>
            <w:hideMark/>
          </w:tcPr>
          <w:p w14:paraId="1A52BDBD" w14:textId="77777777" w:rsidR="00C17931" w:rsidRPr="00C17931" w:rsidRDefault="00C17931" w:rsidP="00C17931">
            <w:pPr>
              <w:spacing w:before="0" w:after="0" w:line="240" w:lineRule="auto"/>
              <w:jc w:val="right"/>
              <w:rPr>
                <w:rFonts w:ascii="Arial" w:hAnsi="Arial" w:cs="Arial"/>
                <w:color w:val="000000"/>
                <w:sz w:val="16"/>
                <w:szCs w:val="16"/>
              </w:rPr>
            </w:pPr>
            <w:r w:rsidRPr="00C17931">
              <w:rPr>
                <w:rFonts w:ascii="Arial" w:hAnsi="Arial" w:cs="Arial"/>
                <w:color w:val="000000"/>
                <w:sz w:val="16"/>
                <w:szCs w:val="16"/>
              </w:rPr>
              <w:t>11,670</w:t>
            </w:r>
          </w:p>
        </w:tc>
        <w:tc>
          <w:tcPr>
            <w:tcW w:w="472" w:type="pct"/>
            <w:tcBorders>
              <w:top w:val="nil"/>
              <w:left w:val="nil"/>
              <w:bottom w:val="nil"/>
              <w:right w:val="nil"/>
            </w:tcBorders>
            <w:shd w:val="clear" w:color="000000" w:fill="FFFFFF"/>
            <w:noWrap/>
            <w:vAlign w:val="center"/>
            <w:hideMark/>
          </w:tcPr>
          <w:p w14:paraId="7345BC2C" w14:textId="77777777" w:rsidR="00C17931" w:rsidRPr="00C17931" w:rsidRDefault="00C17931" w:rsidP="00C17931">
            <w:pPr>
              <w:spacing w:before="0" w:after="0" w:line="240" w:lineRule="auto"/>
              <w:jc w:val="right"/>
              <w:rPr>
                <w:rFonts w:ascii="Arial" w:hAnsi="Arial" w:cs="Arial"/>
                <w:color w:val="000000"/>
                <w:sz w:val="16"/>
                <w:szCs w:val="16"/>
              </w:rPr>
            </w:pPr>
            <w:r w:rsidRPr="00C17931">
              <w:rPr>
                <w:rFonts w:ascii="Arial" w:hAnsi="Arial" w:cs="Arial"/>
                <w:color w:val="000000"/>
                <w:sz w:val="16"/>
                <w:szCs w:val="16"/>
              </w:rPr>
              <w:t>12,177</w:t>
            </w:r>
          </w:p>
        </w:tc>
        <w:tc>
          <w:tcPr>
            <w:tcW w:w="472" w:type="pct"/>
            <w:tcBorders>
              <w:top w:val="nil"/>
              <w:left w:val="nil"/>
              <w:bottom w:val="nil"/>
              <w:right w:val="nil"/>
            </w:tcBorders>
            <w:shd w:val="clear" w:color="000000" w:fill="FFFFFF"/>
            <w:noWrap/>
            <w:vAlign w:val="center"/>
            <w:hideMark/>
          </w:tcPr>
          <w:p w14:paraId="5550CCE2" w14:textId="77777777" w:rsidR="00C17931" w:rsidRPr="00C17931" w:rsidRDefault="00C17931" w:rsidP="00C17931">
            <w:pPr>
              <w:spacing w:before="0" w:after="0" w:line="240" w:lineRule="auto"/>
              <w:jc w:val="right"/>
              <w:rPr>
                <w:rFonts w:ascii="Arial" w:hAnsi="Arial" w:cs="Arial"/>
                <w:color w:val="000000"/>
                <w:sz w:val="16"/>
                <w:szCs w:val="16"/>
              </w:rPr>
            </w:pPr>
            <w:r w:rsidRPr="00C17931">
              <w:rPr>
                <w:rFonts w:ascii="Arial" w:hAnsi="Arial" w:cs="Arial"/>
                <w:color w:val="000000"/>
                <w:sz w:val="16"/>
                <w:szCs w:val="16"/>
              </w:rPr>
              <w:t>12,639</w:t>
            </w:r>
          </w:p>
        </w:tc>
        <w:tc>
          <w:tcPr>
            <w:tcW w:w="472" w:type="pct"/>
            <w:tcBorders>
              <w:top w:val="nil"/>
              <w:left w:val="nil"/>
              <w:bottom w:val="nil"/>
              <w:right w:val="nil"/>
            </w:tcBorders>
            <w:shd w:val="clear" w:color="000000" w:fill="FFFFFF"/>
            <w:noWrap/>
            <w:vAlign w:val="center"/>
            <w:hideMark/>
          </w:tcPr>
          <w:p w14:paraId="17D0DF55" w14:textId="77777777" w:rsidR="00C17931" w:rsidRPr="00C17931" w:rsidRDefault="00C17931" w:rsidP="00C17931">
            <w:pPr>
              <w:spacing w:before="0" w:after="0" w:line="240" w:lineRule="auto"/>
              <w:jc w:val="right"/>
              <w:rPr>
                <w:rFonts w:ascii="Arial" w:hAnsi="Arial" w:cs="Arial"/>
                <w:color w:val="000000"/>
                <w:sz w:val="16"/>
                <w:szCs w:val="16"/>
              </w:rPr>
            </w:pPr>
            <w:r w:rsidRPr="00C17931">
              <w:rPr>
                <w:rFonts w:ascii="Arial" w:hAnsi="Arial" w:cs="Arial"/>
                <w:color w:val="000000"/>
                <w:sz w:val="16"/>
                <w:szCs w:val="16"/>
              </w:rPr>
              <w:t>13,251</w:t>
            </w:r>
          </w:p>
        </w:tc>
      </w:tr>
      <w:tr w:rsidR="00C17931" w:rsidRPr="00C17931" w14:paraId="27221DF7" w14:textId="77777777" w:rsidTr="00C17931">
        <w:trPr>
          <w:trHeight w:hRule="exact" w:val="226"/>
        </w:trPr>
        <w:tc>
          <w:tcPr>
            <w:tcW w:w="1873" w:type="pct"/>
            <w:tcBorders>
              <w:top w:val="nil"/>
              <w:left w:val="nil"/>
              <w:bottom w:val="nil"/>
              <w:right w:val="nil"/>
            </w:tcBorders>
            <w:shd w:val="clear" w:color="000000" w:fill="FFFFFF"/>
            <w:noWrap/>
            <w:vAlign w:val="center"/>
            <w:hideMark/>
          </w:tcPr>
          <w:p w14:paraId="04E1C17B" w14:textId="77777777" w:rsidR="00C17931" w:rsidRPr="00C17931" w:rsidRDefault="00C17931" w:rsidP="00C17931">
            <w:pPr>
              <w:spacing w:before="0" w:after="0" w:line="240" w:lineRule="auto"/>
              <w:rPr>
                <w:rFonts w:ascii="Arial" w:hAnsi="Arial" w:cs="Arial"/>
                <w:color w:val="000000"/>
                <w:sz w:val="16"/>
                <w:szCs w:val="16"/>
              </w:rPr>
            </w:pPr>
            <w:r w:rsidRPr="00C17931">
              <w:rPr>
                <w:rFonts w:ascii="Arial" w:hAnsi="Arial" w:cs="Arial"/>
                <w:color w:val="000000"/>
                <w:sz w:val="16"/>
                <w:szCs w:val="16"/>
              </w:rPr>
              <w:t>Government Schools National</w:t>
            </w:r>
          </w:p>
        </w:tc>
        <w:tc>
          <w:tcPr>
            <w:tcW w:w="711" w:type="pct"/>
            <w:tcBorders>
              <w:top w:val="nil"/>
              <w:left w:val="nil"/>
              <w:bottom w:val="nil"/>
              <w:right w:val="nil"/>
            </w:tcBorders>
            <w:shd w:val="clear" w:color="auto" w:fill="auto"/>
            <w:noWrap/>
            <w:vAlign w:val="center"/>
            <w:hideMark/>
          </w:tcPr>
          <w:p w14:paraId="63C84620" w14:textId="77777777" w:rsidR="00C17931" w:rsidRPr="00C17931" w:rsidRDefault="00C17931" w:rsidP="00C17931">
            <w:pPr>
              <w:spacing w:before="0" w:after="0" w:line="240" w:lineRule="auto"/>
              <w:rPr>
                <w:rFonts w:ascii="Arial" w:hAnsi="Arial" w:cs="Arial"/>
                <w:color w:val="000000"/>
                <w:sz w:val="16"/>
                <w:szCs w:val="16"/>
              </w:rPr>
            </w:pPr>
          </w:p>
        </w:tc>
        <w:tc>
          <w:tcPr>
            <w:tcW w:w="59" w:type="pct"/>
            <w:tcBorders>
              <w:top w:val="nil"/>
              <w:left w:val="nil"/>
              <w:bottom w:val="nil"/>
              <w:right w:val="nil"/>
            </w:tcBorders>
            <w:shd w:val="clear" w:color="000000" w:fill="FFFFFF"/>
            <w:noWrap/>
            <w:vAlign w:val="center"/>
            <w:hideMark/>
          </w:tcPr>
          <w:p w14:paraId="15372D8B" w14:textId="77777777" w:rsidR="00C17931" w:rsidRPr="00C17931" w:rsidRDefault="00C17931" w:rsidP="00C17931">
            <w:pPr>
              <w:spacing w:before="0" w:after="0" w:line="240" w:lineRule="auto"/>
              <w:rPr>
                <w:rFonts w:ascii="Arial" w:hAnsi="Arial" w:cs="Arial"/>
                <w:color w:val="000000"/>
                <w:sz w:val="16"/>
                <w:szCs w:val="16"/>
              </w:rPr>
            </w:pPr>
            <w:r w:rsidRPr="00C17931">
              <w:rPr>
                <w:rFonts w:ascii="Arial" w:hAnsi="Arial" w:cs="Arial"/>
                <w:color w:val="000000"/>
                <w:sz w:val="16"/>
                <w:szCs w:val="16"/>
              </w:rPr>
              <w:t> </w:t>
            </w:r>
          </w:p>
        </w:tc>
        <w:tc>
          <w:tcPr>
            <w:tcW w:w="472" w:type="pct"/>
            <w:tcBorders>
              <w:top w:val="nil"/>
              <w:left w:val="nil"/>
              <w:bottom w:val="nil"/>
              <w:right w:val="nil"/>
            </w:tcBorders>
            <w:shd w:val="clear" w:color="000000" w:fill="FFFFFF"/>
            <w:noWrap/>
            <w:vAlign w:val="center"/>
            <w:hideMark/>
          </w:tcPr>
          <w:p w14:paraId="00DAE0E7" w14:textId="77777777" w:rsidR="00C17931" w:rsidRPr="00C17931" w:rsidRDefault="00C17931" w:rsidP="00C17931">
            <w:pPr>
              <w:spacing w:before="0" w:after="0" w:line="240" w:lineRule="auto"/>
              <w:rPr>
                <w:rFonts w:ascii="Arial" w:hAnsi="Arial" w:cs="Arial"/>
                <w:color w:val="000000"/>
                <w:sz w:val="16"/>
                <w:szCs w:val="16"/>
              </w:rPr>
            </w:pPr>
            <w:r w:rsidRPr="00C17931">
              <w:rPr>
                <w:rFonts w:ascii="Arial" w:hAnsi="Arial" w:cs="Arial"/>
                <w:color w:val="000000"/>
                <w:sz w:val="16"/>
                <w:szCs w:val="16"/>
              </w:rPr>
              <w:t> </w:t>
            </w:r>
          </w:p>
        </w:tc>
        <w:tc>
          <w:tcPr>
            <w:tcW w:w="472" w:type="pct"/>
            <w:tcBorders>
              <w:top w:val="nil"/>
              <w:left w:val="nil"/>
              <w:bottom w:val="nil"/>
              <w:right w:val="nil"/>
            </w:tcBorders>
            <w:shd w:val="clear" w:color="000000" w:fill="E6F2FF"/>
            <w:noWrap/>
            <w:vAlign w:val="center"/>
            <w:hideMark/>
          </w:tcPr>
          <w:p w14:paraId="67F2A242" w14:textId="77777777" w:rsidR="00C17931" w:rsidRPr="00C17931" w:rsidRDefault="00C17931" w:rsidP="00C17931">
            <w:pPr>
              <w:spacing w:before="0" w:after="0" w:line="240" w:lineRule="auto"/>
              <w:rPr>
                <w:rFonts w:ascii="Arial" w:hAnsi="Arial" w:cs="Arial"/>
                <w:color w:val="000000"/>
                <w:sz w:val="16"/>
                <w:szCs w:val="16"/>
              </w:rPr>
            </w:pPr>
            <w:r w:rsidRPr="00C17931">
              <w:rPr>
                <w:rFonts w:ascii="Arial" w:hAnsi="Arial" w:cs="Arial"/>
                <w:color w:val="000000"/>
                <w:sz w:val="16"/>
                <w:szCs w:val="16"/>
              </w:rPr>
              <w:t> </w:t>
            </w:r>
          </w:p>
        </w:tc>
        <w:tc>
          <w:tcPr>
            <w:tcW w:w="472" w:type="pct"/>
            <w:tcBorders>
              <w:top w:val="nil"/>
              <w:left w:val="nil"/>
              <w:bottom w:val="nil"/>
              <w:right w:val="nil"/>
            </w:tcBorders>
            <w:shd w:val="clear" w:color="000000" w:fill="FFFFFF"/>
            <w:noWrap/>
            <w:vAlign w:val="center"/>
            <w:hideMark/>
          </w:tcPr>
          <w:p w14:paraId="62479B7D" w14:textId="77777777" w:rsidR="00C17931" w:rsidRPr="00C17931" w:rsidRDefault="00C17931" w:rsidP="00C17931">
            <w:pPr>
              <w:spacing w:before="0" w:after="0" w:line="240" w:lineRule="auto"/>
              <w:rPr>
                <w:rFonts w:ascii="Arial" w:hAnsi="Arial" w:cs="Arial"/>
                <w:color w:val="000000"/>
                <w:sz w:val="16"/>
                <w:szCs w:val="16"/>
              </w:rPr>
            </w:pPr>
            <w:r w:rsidRPr="00C17931">
              <w:rPr>
                <w:rFonts w:ascii="Arial" w:hAnsi="Arial" w:cs="Arial"/>
                <w:color w:val="000000"/>
                <w:sz w:val="16"/>
                <w:szCs w:val="16"/>
              </w:rPr>
              <w:t> </w:t>
            </w:r>
          </w:p>
        </w:tc>
        <w:tc>
          <w:tcPr>
            <w:tcW w:w="472" w:type="pct"/>
            <w:tcBorders>
              <w:top w:val="nil"/>
              <w:left w:val="nil"/>
              <w:bottom w:val="nil"/>
              <w:right w:val="nil"/>
            </w:tcBorders>
            <w:shd w:val="clear" w:color="000000" w:fill="FFFFFF"/>
            <w:noWrap/>
            <w:vAlign w:val="center"/>
            <w:hideMark/>
          </w:tcPr>
          <w:p w14:paraId="7024E3B9" w14:textId="77777777" w:rsidR="00C17931" w:rsidRPr="00C17931" w:rsidRDefault="00C17931" w:rsidP="00C17931">
            <w:pPr>
              <w:spacing w:before="0" w:after="0" w:line="240" w:lineRule="auto"/>
              <w:rPr>
                <w:rFonts w:ascii="Arial" w:hAnsi="Arial" w:cs="Arial"/>
                <w:color w:val="000000"/>
                <w:sz w:val="16"/>
                <w:szCs w:val="16"/>
              </w:rPr>
            </w:pPr>
            <w:r w:rsidRPr="00C17931">
              <w:rPr>
                <w:rFonts w:ascii="Arial" w:hAnsi="Arial" w:cs="Arial"/>
                <w:color w:val="000000"/>
                <w:sz w:val="16"/>
                <w:szCs w:val="16"/>
              </w:rPr>
              <w:t> </w:t>
            </w:r>
          </w:p>
        </w:tc>
        <w:tc>
          <w:tcPr>
            <w:tcW w:w="472" w:type="pct"/>
            <w:tcBorders>
              <w:top w:val="nil"/>
              <w:left w:val="nil"/>
              <w:bottom w:val="nil"/>
              <w:right w:val="nil"/>
            </w:tcBorders>
            <w:shd w:val="clear" w:color="000000" w:fill="FFFFFF"/>
            <w:noWrap/>
            <w:vAlign w:val="center"/>
            <w:hideMark/>
          </w:tcPr>
          <w:p w14:paraId="52411DD4" w14:textId="77777777" w:rsidR="00C17931" w:rsidRPr="00C17931" w:rsidRDefault="00C17931" w:rsidP="00C17931">
            <w:pPr>
              <w:spacing w:before="0" w:after="0" w:line="240" w:lineRule="auto"/>
              <w:rPr>
                <w:rFonts w:ascii="Arial" w:hAnsi="Arial" w:cs="Arial"/>
                <w:color w:val="000000"/>
                <w:sz w:val="16"/>
                <w:szCs w:val="16"/>
              </w:rPr>
            </w:pPr>
            <w:r w:rsidRPr="00C17931">
              <w:rPr>
                <w:rFonts w:ascii="Arial" w:hAnsi="Arial" w:cs="Arial"/>
                <w:color w:val="000000"/>
                <w:sz w:val="16"/>
                <w:szCs w:val="16"/>
              </w:rPr>
              <w:t> </w:t>
            </w:r>
          </w:p>
        </w:tc>
      </w:tr>
      <w:tr w:rsidR="00C17931" w:rsidRPr="00C17931" w14:paraId="71C96F51" w14:textId="77777777" w:rsidTr="00C17931">
        <w:trPr>
          <w:trHeight w:hRule="exact" w:val="226"/>
        </w:trPr>
        <w:tc>
          <w:tcPr>
            <w:tcW w:w="1873" w:type="pct"/>
            <w:tcBorders>
              <w:top w:val="nil"/>
              <w:left w:val="nil"/>
              <w:bottom w:val="nil"/>
              <w:right w:val="nil"/>
            </w:tcBorders>
            <w:shd w:val="clear" w:color="000000" w:fill="FFFFFF"/>
            <w:noWrap/>
            <w:vAlign w:val="center"/>
            <w:hideMark/>
          </w:tcPr>
          <w:p w14:paraId="62E45F4D" w14:textId="77777777" w:rsidR="00C17931" w:rsidRPr="00C17931" w:rsidRDefault="00C17931" w:rsidP="00C17931">
            <w:pPr>
              <w:spacing w:before="0" w:after="0" w:line="240" w:lineRule="auto"/>
              <w:ind w:left="170"/>
              <w:rPr>
                <w:rFonts w:ascii="Arial" w:hAnsi="Arial" w:cs="Arial"/>
                <w:color w:val="000000"/>
                <w:sz w:val="16"/>
                <w:szCs w:val="16"/>
              </w:rPr>
            </w:pPr>
            <w:r w:rsidRPr="00C17931">
              <w:rPr>
                <w:rFonts w:ascii="Arial" w:hAnsi="Arial" w:cs="Arial"/>
                <w:color w:val="000000"/>
                <w:sz w:val="16"/>
                <w:szCs w:val="16"/>
              </w:rPr>
              <w:t>Support</w:t>
            </w:r>
          </w:p>
        </w:tc>
        <w:tc>
          <w:tcPr>
            <w:tcW w:w="711" w:type="pct"/>
            <w:tcBorders>
              <w:top w:val="nil"/>
              <w:left w:val="nil"/>
              <w:bottom w:val="nil"/>
              <w:right w:val="nil"/>
            </w:tcBorders>
            <w:shd w:val="clear" w:color="000000" w:fill="FFFFFF"/>
            <w:noWrap/>
            <w:vAlign w:val="center"/>
            <w:hideMark/>
          </w:tcPr>
          <w:p w14:paraId="6E28ED41" w14:textId="77777777" w:rsidR="00C17931" w:rsidRPr="00C17931" w:rsidRDefault="00C17931" w:rsidP="00C17931">
            <w:pPr>
              <w:spacing w:before="0" w:after="0" w:line="240" w:lineRule="auto"/>
              <w:rPr>
                <w:rFonts w:ascii="Arial" w:hAnsi="Arial" w:cs="Arial"/>
                <w:color w:val="000000"/>
                <w:sz w:val="16"/>
                <w:szCs w:val="16"/>
              </w:rPr>
            </w:pPr>
            <w:r w:rsidRPr="00C17931">
              <w:rPr>
                <w:rFonts w:ascii="Arial" w:hAnsi="Arial" w:cs="Arial"/>
                <w:color w:val="000000"/>
                <w:sz w:val="16"/>
                <w:szCs w:val="16"/>
              </w:rPr>
              <w:t>Education</w:t>
            </w:r>
          </w:p>
        </w:tc>
        <w:tc>
          <w:tcPr>
            <w:tcW w:w="59" w:type="pct"/>
            <w:tcBorders>
              <w:top w:val="nil"/>
              <w:left w:val="nil"/>
              <w:bottom w:val="nil"/>
              <w:right w:val="nil"/>
            </w:tcBorders>
            <w:shd w:val="clear" w:color="000000" w:fill="FFFFFF"/>
            <w:noWrap/>
            <w:vAlign w:val="center"/>
            <w:hideMark/>
          </w:tcPr>
          <w:p w14:paraId="3322C01D" w14:textId="77777777" w:rsidR="00C17931" w:rsidRPr="00C17931" w:rsidRDefault="00C17931" w:rsidP="00C17931">
            <w:pPr>
              <w:spacing w:before="0" w:after="0" w:line="240" w:lineRule="auto"/>
              <w:rPr>
                <w:rFonts w:ascii="Arial" w:hAnsi="Arial" w:cs="Arial"/>
                <w:color w:val="000000"/>
                <w:sz w:val="16"/>
                <w:szCs w:val="16"/>
              </w:rPr>
            </w:pPr>
            <w:r w:rsidRPr="00C17931">
              <w:rPr>
                <w:rFonts w:ascii="Arial" w:hAnsi="Arial" w:cs="Arial"/>
                <w:color w:val="000000"/>
                <w:sz w:val="16"/>
                <w:szCs w:val="16"/>
              </w:rPr>
              <w:t> </w:t>
            </w:r>
          </w:p>
        </w:tc>
        <w:tc>
          <w:tcPr>
            <w:tcW w:w="472" w:type="pct"/>
            <w:tcBorders>
              <w:top w:val="nil"/>
              <w:left w:val="nil"/>
              <w:bottom w:val="nil"/>
              <w:right w:val="nil"/>
            </w:tcBorders>
            <w:shd w:val="clear" w:color="000000" w:fill="FFFFFF"/>
            <w:noWrap/>
            <w:vAlign w:val="center"/>
            <w:hideMark/>
          </w:tcPr>
          <w:p w14:paraId="5730E8C8" w14:textId="77777777" w:rsidR="00C17931" w:rsidRPr="00C17931" w:rsidRDefault="00C17931" w:rsidP="00C17931">
            <w:pPr>
              <w:spacing w:before="0" w:after="0" w:line="240" w:lineRule="auto"/>
              <w:jc w:val="right"/>
              <w:rPr>
                <w:rFonts w:ascii="Arial" w:hAnsi="Arial" w:cs="Arial"/>
                <w:color w:val="000000"/>
                <w:sz w:val="16"/>
                <w:szCs w:val="16"/>
              </w:rPr>
            </w:pPr>
            <w:r w:rsidRPr="00C17931">
              <w:rPr>
                <w:rFonts w:ascii="Arial" w:hAnsi="Arial" w:cs="Arial"/>
                <w:color w:val="000000"/>
                <w:sz w:val="16"/>
                <w:szCs w:val="16"/>
              </w:rPr>
              <w:t>11,099</w:t>
            </w:r>
          </w:p>
        </w:tc>
        <w:tc>
          <w:tcPr>
            <w:tcW w:w="472" w:type="pct"/>
            <w:tcBorders>
              <w:top w:val="nil"/>
              <w:left w:val="nil"/>
              <w:bottom w:val="nil"/>
              <w:right w:val="nil"/>
            </w:tcBorders>
            <w:shd w:val="clear" w:color="000000" w:fill="E6F2FF"/>
            <w:noWrap/>
            <w:vAlign w:val="center"/>
            <w:hideMark/>
          </w:tcPr>
          <w:p w14:paraId="0A5F2F1B" w14:textId="77777777" w:rsidR="00C17931" w:rsidRPr="00C17931" w:rsidRDefault="00C17931" w:rsidP="00C17931">
            <w:pPr>
              <w:spacing w:before="0" w:after="0" w:line="240" w:lineRule="auto"/>
              <w:jc w:val="right"/>
              <w:rPr>
                <w:rFonts w:ascii="Arial" w:hAnsi="Arial" w:cs="Arial"/>
                <w:color w:val="000000"/>
                <w:sz w:val="16"/>
                <w:szCs w:val="16"/>
              </w:rPr>
            </w:pPr>
            <w:r w:rsidRPr="00C17931">
              <w:rPr>
                <w:rFonts w:ascii="Arial" w:hAnsi="Arial" w:cs="Arial"/>
                <w:color w:val="000000"/>
                <w:sz w:val="16"/>
                <w:szCs w:val="16"/>
              </w:rPr>
              <w:t>11,474</w:t>
            </w:r>
          </w:p>
        </w:tc>
        <w:tc>
          <w:tcPr>
            <w:tcW w:w="472" w:type="pct"/>
            <w:tcBorders>
              <w:top w:val="nil"/>
              <w:left w:val="nil"/>
              <w:bottom w:val="nil"/>
              <w:right w:val="nil"/>
            </w:tcBorders>
            <w:shd w:val="clear" w:color="000000" w:fill="FFFFFF"/>
            <w:noWrap/>
            <w:vAlign w:val="center"/>
            <w:hideMark/>
          </w:tcPr>
          <w:p w14:paraId="009EC840" w14:textId="77777777" w:rsidR="00C17931" w:rsidRPr="00C17931" w:rsidRDefault="00C17931" w:rsidP="00C17931">
            <w:pPr>
              <w:spacing w:before="0" w:after="0" w:line="240" w:lineRule="auto"/>
              <w:jc w:val="right"/>
              <w:rPr>
                <w:rFonts w:ascii="Arial" w:hAnsi="Arial" w:cs="Arial"/>
                <w:color w:val="000000"/>
                <w:sz w:val="16"/>
                <w:szCs w:val="16"/>
              </w:rPr>
            </w:pPr>
            <w:r w:rsidRPr="00C17931">
              <w:rPr>
                <w:rFonts w:ascii="Arial" w:hAnsi="Arial" w:cs="Arial"/>
                <w:color w:val="000000"/>
                <w:sz w:val="16"/>
                <w:szCs w:val="16"/>
              </w:rPr>
              <w:t>11,889</w:t>
            </w:r>
          </w:p>
        </w:tc>
        <w:tc>
          <w:tcPr>
            <w:tcW w:w="472" w:type="pct"/>
            <w:tcBorders>
              <w:top w:val="nil"/>
              <w:left w:val="nil"/>
              <w:bottom w:val="nil"/>
              <w:right w:val="nil"/>
            </w:tcBorders>
            <w:shd w:val="clear" w:color="000000" w:fill="FFFFFF"/>
            <w:noWrap/>
            <w:vAlign w:val="center"/>
            <w:hideMark/>
          </w:tcPr>
          <w:p w14:paraId="6674DD85" w14:textId="77777777" w:rsidR="00C17931" w:rsidRPr="00C17931" w:rsidRDefault="00C17931" w:rsidP="00C17931">
            <w:pPr>
              <w:spacing w:before="0" w:after="0" w:line="240" w:lineRule="auto"/>
              <w:jc w:val="right"/>
              <w:rPr>
                <w:rFonts w:ascii="Arial" w:hAnsi="Arial" w:cs="Arial"/>
                <w:color w:val="000000"/>
                <w:sz w:val="16"/>
                <w:szCs w:val="16"/>
              </w:rPr>
            </w:pPr>
            <w:r w:rsidRPr="00C17931">
              <w:rPr>
                <w:rFonts w:ascii="Arial" w:hAnsi="Arial" w:cs="Arial"/>
                <w:color w:val="000000"/>
                <w:sz w:val="16"/>
                <w:szCs w:val="16"/>
              </w:rPr>
              <w:t>12,322</w:t>
            </w:r>
          </w:p>
        </w:tc>
        <w:tc>
          <w:tcPr>
            <w:tcW w:w="472" w:type="pct"/>
            <w:tcBorders>
              <w:top w:val="nil"/>
              <w:left w:val="nil"/>
              <w:bottom w:val="nil"/>
              <w:right w:val="nil"/>
            </w:tcBorders>
            <w:shd w:val="clear" w:color="000000" w:fill="FFFFFF"/>
            <w:noWrap/>
            <w:vAlign w:val="center"/>
            <w:hideMark/>
          </w:tcPr>
          <w:p w14:paraId="2C631FD8" w14:textId="77777777" w:rsidR="00C17931" w:rsidRPr="00C17931" w:rsidRDefault="00C17931" w:rsidP="00C17931">
            <w:pPr>
              <w:spacing w:before="0" w:after="0" w:line="240" w:lineRule="auto"/>
              <w:jc w:val="right"/>
              <w:rPr>
                <w:rFonts w:ascii="Arial" w:hAnsi="Arial" w:cs="Arial"/>
                <w:color w:val="000000"/>
                <w:sz w:val="16"/>
                <w:szCs w:val="16"/>
              </w:rPr>
            </w:pPr>
            <w:r w:rsidRPr="00C17931">
              <w:rPr>
                <w:rFonts w:ascii="Arial" w:hAnsi="Arial" w:cs="Arial"/>
                <w:color w:val="000000"/>
                <w:sz w:val="16"/>
                <w:szCs w:val="16"/>
              </w:rPr>
              <w:t>12,782</w:t>
            </w:r>
          </w:p>
        </w:tc>
      </w:tr>
      <w:tr w:rsidR="00C17931" w:rsidRPr="00C17931" w14:paraId="6A1B0007" w14:textId="77777777" w:rsidTr="00C17931">
        <w:trPr>
          <w:trHeight w:hRule="exact" w:val="226"/>
        </w:trPr>
        <w:tc>
          <w:tcPr>
            <w:tcW w:w="1873" w:type="pct"/>
            <w:tcBorders>
              <w:top w:val="nil"/>
              <w:left w:val="nil"/>
              <w:bottom w:val="nil"/>
              <w:right w:val="nil"/>
            </w:tcBorders>
            <w:shd w:val="clear" w:color="000000" w:fill="FFFFFF"/>
            <w:noWrap/>
            <w:vAlign w:val="center"/>
            <w:hideMark/>
          </w:tcPr>
          <w:p w14:paraId="57C06C10" w14:textId="77777777" w:rsidR="00C17931" w:rsidRPr="00C17931" w:rsidRDefault="00C17931" w:rsidP="00C17931">
            <w:pPr>
              <w:spacing w:before="0" w:after="0" w:line="240" w:lineRule="auto"/>
              <w:rPr>
                <w:rFonts w:ascii="Arial" w:hAnsi="Arial" w:cs="Arial"/>
                <w:color w:val="000000"/>
                <w:sz w:val="16"/>
                <w:szCs w:val="16"/>
              </w:rPr>
            </w:pPr>
            <w:r w:rsidRPr="00C17931">
              <w:rPr>
                <w:rFonts w:ascii="Arial" w:hAnsi="Arial" w:cs="Arial"/>
                <w:color w:val="000000"/>
                <w:sz w:val="16"/>
                <w:szCs w:val="16"/>
              </w:rPr>
              <w:t>Fuel Tax Credits Scheme</w:t>
            </w:r>
          </w:p>
        </w:tc>
        <w:tc>
          <w:tcPr>
            <w:tcW w:w="711" w:type="pct"/>
            <w:tcBorders>
              <w:top w:val="nil"/>
              <w:left w:val="nil"/>
              <w:bottom w:val="nil"/>
              <w:right w:val="nil"/>
            </w:tcBorders>
            <w:shd w:val="clear" w:color="000000" w:fill="FFFFFF"/>
            <w:noWrap/>
            <w:vAlign w:val="center"/>
            <w:hideMark/>
          </w:tcPr>
          <w:p w14:paraId="0BFE828C" w14:textId="77777777" w:rsidR="00C17931" w:rsidRPr="00C17931" w:rsidRDefault="00C17931" w:rsidP="00C17931">
            <w:pPr>
              <w:spacing w:before="0" w:after="0" w:line="240" w:lineRule="auto"/>
              <w:rPr>
                <w:rFonts w:ascii="Arial" w:hAnsi="Arial" w:cs="Arial"/>
                <w:color w:val="000000"/>
                <w:sz w:val="16"/>
                <w:szCs w:val="16"/>
              </w:rPr>
            </w:pPr>
            <w:r w:rsidRPr="00C17931">
              <w:rPr>
                <w:rFonts w:ascii="Arial" w:hAnsi="Arial" w:cs="Arial"/>
                <w:color w:val="000000"/>
                <w:sz w:val="16"/>
                <w:szCs w:val="16"/>
              </w:rPr>
              <w:t>Fuel and energy</w:t>
            </w:r>
          </w:p>
        </w:tc>
        <w:tc>
          <w:tcPr>
            <w:tcW w:w="59" w:type="pct"/>
            <w:tcBorders>
              <w:top w:val="nil"/>
              <w:left w:val="nil"/>
              <w:bottom w:val="nil"/>
              <w:right w:val="nil"/>
            </w:tcBorders>
            <w:shd w:val="clear" w:color="000000" w:fill="FFFFFF"/>
            <w:noWrap/>
            <w:vAlign w:val="center"/>
            <w:hideMark/>
          </w:tcPr>
          <w:p w14:paraId="3DE2FB71" w14:textId="77777777" w:rsidR="00C17931" w:rsidRPr="00C17931" w:rsidRDefault="00C17931" w:rsidP="00C17931">
            <w:pPr>
              <w:spacing w:before="0" w:after="0" w:line="240" w:lineRule="auto"/>
              <w:rPr>
                <w:rFonts w:ascii="Arial" w:hAnsi="Arial" w:cs="Arial"/>
                <w:color w:val="000000"/>
                <w:sz w:val="16"/>
                <w:szCs w:val="16"/>
              </w:rPr>
            </w:pPr>
            <w:r w:rsidRPr="00C17931">
              <w:rPr>
                <w:rFonts w:ascii="Arial" w:hAnsi="Arial" w:cs="Arial"/>
                <w:color w:val="000000"/>
                <w:sz w:val="16"/>
                <w:szCs w:val="16"/>
              </w:rPr>
              <w:t> </w:t>
            </w:r>
          </w:p>
        </w:tc>
        <w:tc>
          <w:tcPr>
            <w:tcW w:w="472" w:type="pct"/>
            <w:tcBorders>
              <w:top w:val="nil"/>
              <w:left w:val="nil"/>
              <w:bottom w:val="nil"/>
              <w:right w:val="nil"/>
            </w:tcBorders>
            <w:shd w:val="clear" w:color="000000" w:fill="FFFFFF"/>
            <w:noWrap/>
            <w:vAlign w:val="center"/>
            <w:hideMark/>
          </w:tcPr>
          <w:p w14:paraId="47D4FBF0" w14:textId="77777777" w:rsidR="00C17931" w:rsidRPr="00C17931" w:rsidRDefault="00C17931" w:rsidP="00C17931">
            <w:pPr>
              <w:spacing w:before="0" w:after="0" w:line="240" w:lineRule="auto"/>
              <w:jc w:val="right"/>
              <w:rPr>
                <w:rFonts w:ascii="Arial" w:hAnsi="Arial" w:cs="Arial"/>
                <w:color w:val="000000"/>
                <w:sz w:val="16"/>
                <w:szCs w:val="16"/>
              </w:rPr>
            </w:pPr>
            <w:r w:rsidRPr="00C17931">
              <w:rPr>
                <w:rFonts w:ascii="Arial" w:hAnsi="Arial" w:cs="Arial"/>
                <w:color w:val="000000"/>
                <w:sz w:val="16"/>
                <w:szCs w:val="16"/>
              </w:rPr>
              <w:t>9,857</w:t>
            </w:r>
          </w:p>
        </w:tc>
        <w:tc>
          <w:tcPr>
            <w:tcW w:w="472" w:type="pct"/>
            <w:tcBorders>
              <w:top w:val="nil"/>
              <w:left w:val="nil"/>
              <w:bottom w:val="nil"/>
              <w:right w:val="nil"/>
            </w:tcBorders>
            <w:shd w:val="clear" w:color="000000" w:fill="E6F2FF"/>
            <w:noWrap/>
            <w:vAlign w:val="center"/>
            <w:hideMark/>
          </w:tcPr>
          <w:p w14:paraId="50D1F084" w14:textId="77777777" w:rsidR="00C17931" w:rsidRPr="00C17931" w:rsidRDefault="00C17931" w:rsidP="00C17931">
            <w:pPr>
              <w:spacing w:before="0" w:after="0" w:line="240" w:lineRule="auto"/>
              <w:jc w:val="right"/>
              <w:rPr>
                <w:rFonts w:ascii="Arial" w:hAnsi="Arial" w:cs="Arial"/>
                <w:color w:val="000000"/>
                <w:sz w:val="16"/>
                <w:szCs w:val="16"/>
              </w:rPr>
            </w:pPr>
            <w:r w:rsidRPr="00C17931">
              <w:rPr>
                <w:rFonts w:ascii="Arial" w:hAnsi="Arial" w:cs="Arial"/>
                <w:color w:val="000000"/>
                <w:sz w:val="16"/>
                <w:szCs w:val="16"/>
              </w:rPr>
              <w:t>10,184</w:t>
            </w:r>
          </w:p>
        </w:tc>
        <w:tc>
          <w:tcPr>
            <w:tcW w:w="472" w:type="pct"/>
            <w:tcBorders>
              <w:top w:val="nil"/>
              <w:left w:val="nil"/>
              <w:bottom w:val="nil"/>
              <w:right w:val="nil"/>
            </w:tcBorders>
            <w:shd w:val="clear" w:color="000000" w:fill="FFFFFF"/>
            <w:noWrap/>
            <w:vAlign w:val="center"/>
            <w:hideMark/>
          </w:tcPr>
          <w:p w14:paraId="2104D8FD" w14:textId="77777777" w:rsidR="00C17931" w:rsidRPr="00C17931" w:rsidRDefault="00C17931" w:rsidP="00C17931">
            <w:pPr>
              <w:spacing w:before="0" w:after="0" w:line="240" w:lineRule="auto"/>
              <w:jc w:val="right"/>
              <w:rPr>
                <w:rFonts w:ascii="Arial" w:hAnsi="Arial" w:cs="Arial"/>
                <w:color w:val="000000"/>
                <w:sz w:val="16"/>
                <w:szCs w:val="16"/>
              </w:rPr>
            </w:pPr>
            <w:r w:rsidRPr="00C17931">
              <w:rPr>
                <w:rFonts w:ascii="Arial" w:hAnsi="Arial" w:cs="Arial"/>
                <w:color w:val="000000"/>
                <w:sz w:val="16"/>
                <w:szCs w:val="16"/>
              </w:rPr>
              <w:t>10,561</w:t>
            </w:r>
          </w:p>
        </w:tc>
        <w:tc>
          <w:tcPr>
            <w:tcW w:w="472" w:type="pct"/>
            <w:tcBorders>
              <w:top w:val="nil"/>
              <w:left w:val="nil"/>
              <w:bottom w:val="nil"/>
              <w:right w:val="nil"/>
            </w:tcBorders>
            <w:shd w:val="clear" w:color="000000" w:fill="FFFFFF"/>
            <w:noWrap/>
            <w:vAlign w:val="center"/>
            <w:hideMark/>
          </w:tcPr>
          <w:p w14:paraId="52051E00" w14:textId="77777777" w:rsidR="00C17931" w:rsidRPr="00C17931" w:rsidRDefault="00C17931" w:rsidP="00C17931">
            <w:pPr>
              <w:spacing w:before="0" w:after="0" w:line="240" w:lineRule="auto"/>
              <w:jc w:val="right"/>
              <w:rPr>
                <w:rFonts w:ascii="Arial" w:hAnsi="Arial" w:cs="Arial"/>
                <w:color w:val="000000"/>
                <w:sz w:val="16"/>
                <w:szCs w:val="16"/>
              </w:rPr>
            </w:pPr>
            <w:r w:rsidRPr="00C17931">
              <w:rPr>
                <w:rFonts w:ascii="Arial" w:hAnsi="Arial" w:cs="Arial"/>
                <w:color w:val="000000"/>
                <w:sz w:val="16"/>
                <w:szCs w:val="16"/>
              </w:rPr>
              <w:t>11,309</w:t>
            </w:r>
          </w:p>
        </w:tc>
        <w:tc>
          <w:tcPr>
            <w:tcW w:w="472" w:type="pct"/>
            <w:tcBorders>
              <w:top w:val="nil"/>
              <w:left w:val="nil"/>
              <w:bottom w:val="nil"/>
              <w:right w:val="nil"/>
            </w:tcBorders>
            <w:shd w:val="clear" w:color="000000" w:fill="FFFFFF"/>
            <w:noWrap/>
            <w:vAlign w:val="center"/>
            <w:hideMark/>
          </w:tcPr>
          <w:p w14:paraId="295CD9C4" w14:textId="77777777" w:rsidR="00C17931" w:rsidRPr="00C17931" w:rsidRDefault="00C17931" w:rsidP="00C17931">
            <w:pPr>
              <w:spacing w:before="0" w:after="0" w:line="240" w:lineRule="auto"/>
              <w:jc w:val="right"/>
              <w:rPr>
                <w:rFonts w:ascii="Arial" w:hAnsi="Arial" w:cs="Arial"/>
                <w:color w:val="000000"/>
                <w:sz w:val="16"/>
                <w:szCs w:val="16"/>
              </w:rPr>
            </w:pPr>
            <w:r w:rsidRPr="00C17931">
              <w:rPr>
                <w:rFonts w:ascii="Arial" w:hAnsi="Arial" w:cs="Arial"/>
                <w:color w:val="000000"/>
                <w:sz w:val="16"/>
                <w:szCs w:val="16"/>
              </w:rPr>
              <w:t>12,115</w:t>
            </w:r>
          </w:p>
        </w:tc>
      </w:tr>
      <w:tr w:rsidR="00C17931" w:rsidRPr="00C17931" w14:paraId="71D55B24" w14:textId="77777777" w:rsidTr="00C17931">
        <w:trPr>
          <w:trHeight w:hRule="exact" w:val="226"/>
        </w:trPr>
        <w:tc>
          <w:tcPr>
            <w:tcW w:w="1873" w:type="pct"/>
            <w:tcBorders>
              <w:top w:val="nil"/>
              <w:left w:val="nil"/>
              <w:bottom w:val="nil"/>
              <w:right w:val="nil"/>
            </w:tcBorders>
            <w:shd w:val="clear" w:color="000000" w:fill="FFFFFF"/>
            <w:noWrap/>
            <w:vAlign w:val="center"/>
            <w:hideMark/>
          </w:tcPr>
          <w:p w14:paraId="28DD05DB" w14:textId="7297313E" w:rsidR="00C17931" w:rsidRPr="00C17931" w:rsidRDefault="00C17931" w:rsidP="00C17931">
            <w:pPr>
              <w:spacing w:before="0" w:after="0" w:line="240" w:lineRule="auto"/>
              <w:rPr>
                <w:rFonts w:ascii="Arial" w:hAnsi="Arial" w:cs="Arial"/>
                <w:color w:val="000000"/>
                <w:sz w:val="16"/>
                <w:szCs w:val="16"/>
              </w:rPr>
            </w:pPr>
            <w:r w:rsidRPr="00C17931">
              <w:rPr>
                <w:rFonts w:ascii="Arial" w:hAnsi="Arial" w:cs="Arial"/>
                <w:color w:val="000000"/>
                <w:sz w:val="16"/>
                <w:szCs w:val="16"/>
              </w:rPr>
              <w:t xml:space="preserve">Public Sector Superannuation </w:t>
            </w:r>
            <w:r w:rsidR="008D4F6B">
              <w:rPr>
                <w:rFonts w:ascii="Arial" w:hAnsi="Arial" w:cs="Arial"/>
                <w:color w:val="000000"/>
                <w:sz w:val="16"/>
                <w:szCs w:val="16"/>
              </w:rPr>
              <w:noBreakHyphen/>
            </w:r>
          </w:p>
        </w:tc>
        <w:tc>
          <w:tcPr>
            <w:tcW w:w="711" w:type="pct"/>
            <w:tcBorders>
              <w:top w:val="nil"/>
              <w:left w:val="nil"/>
              <w:bottom w:val="nil"/>
              <w:right w:val="nil"/>
            </w:tcBorders>
            <w:shd w:val="clear" w:color="000000" w:fill="FFFFFF"/>
            <w:noWrap/>
            <w:vAlign w:val="center"/>
            <w:hideMark/>
          </w:tcPr>
          <w:p w14:paraId="423658F5" w14:textId="77777777" w:rsidR="00C17931" w:rsidRPr="00C17931" w:rsidRDefault="00C17931" w:rsidP="00C17931">
            <w:pPr>
              <w:spacing w:before="0" w:after="0" w:line="240" w:lineRule="auto"/>
              <w:rPr>
                <w:rFonts w:ascii="Arial" w:hAnsi="Arial" w:cs="Arial"/>
                <w:color w:val="000000"/>
                <w:sz w:val="16"/>
                <w:szCs w:val="16"/>
              </w:rPr>
            </w:pPr>
            <w:r w:rsidRPr="00C17931">
              <w:rPr>
                <w:rFonts w:ascii="Arial" w:hAnsi="Arial" w:cs="Arial"/>
                <w:color w:val="000000"/>
                <w:sz w:val="16"/>
                <w:szCs w:val="16"/>
              </w:rPr>
              <w:t>Other purposes;</w:t>
            </w:r>
          </w:p>
        </w:tc>
        <w:tc>
          <w:tcPr>
            <w:tcW w:w="59" w:type="pct"/>
            <w:tcBorders>
              <w:top w:val="nil"/>
              <w:left w:val="nil"/>
              <w:bottom w:val="nil"/>
              <w:right w:val="nil"/>
            </w:tcBorders>
            <w:shd w:val="clear" w:color="000000" w:fill="FFFFFF"/>
            <w:noWrap/>
            <w:vAlign w:val="center"/>
            <w:hideMark/>
          </w:tcPr>
          <w:p w14:paraId="39FF83E6" w14:textId="77777777" w:rsidR="00C17931" w:rsidRPr="00C17931" w:rsidRDefault="00C17931" w:rsidP="00C17931">
            <w:pPr>
              <w:spacing w:before="0" w:after="0" w:line="240" w:lineRule="auto"/>
              <w:rPr>
                <w:rFonts w:ascii="Arial" w:hAnsi="Arial" w:cs="Arial"/>
                <w:color w:val="000000"/>
                <w:sz w:val="16"/>
                <w:szCs w:val="16"/>
              </w:rPr>
            </w:pPr>
            <w:r w:rsidRPr="00C17931">
              <w:rPr>
                <w:rFonts w:ascii="Arial" w:hAnsi="Arial" w:cs="Arial"/>
                <w:color w:val="000000"/>
                <w:sz w:val="16"/>
                <w:szCs w:val="16"/>
              </w:rPr>
              <w:t> </w:t>
            </w:r>
          </w:p>
        </w:tc>
        <w:tc>
          <w:tcPr>
            <w:tcW w:w="472" w:type="pct"/>
            <w:tcBorders>
              <w:top w:val="nil"/>
              <w:left w:val="nil"/>
              <w:bottom w:val="nil"/>
              <w:right w:val="nil"/>
            </w:tcBorders>
            <w:shd w:val="clear" w:color="000000" w:fill="FFFFFF"/>
            <w:noWrap/>
            <w:vAlign w:val="center"/>
            <w:hideMark/>
          </w:tcPr>
          <w:p w14:paraId="1A73E0AE" w14:textId="77777777" w:rsidR="00C17931" w:rsidRPr="00C17931" w:rsidRDefault="00C17931" w:rsidP="00C17931">
            <w:pPr>
              <w:spacing w:before="0" w:after="0" w:line="240" w:lineRule="auto"/>
              <w:rPr>
                <w:rFonts w:ascii="Arial" w:hAnsi="Arial" w:cs="Arial"/>
                <w:color w:val="000000"/>
                <w:sz w:val="16"/>
                <w:szCs w:val="16"/>
              </w:rPr>
            </w:pPr>
            <w:r w:rsidRPr="00C17931">
              <w:rPr>
                <w:rFonts w:ascii="Arial" w:hAnsi="Arial" w:cs="Arial"/>
                <w:color w:val="000000"/>
                <w:sz w:val="16"/>
                <w:szCs w:val="16"/>
              </w:rPr>
              <w:t> </w:t>
            </w:r>
          </w:p>
        </w:tc>
        <w:tc>
          <w:tcPr>
            <w:tcW w:w="472" w:type="pct"/>
            <w:tcBorders>
              <w:top w:val="nil"/>
              <w:left w:val="nil"/>
              <w:bottom w:val="nil"/>
              <w:right w:val="nil"/>
            </w:tcBorders>
            <w:shd w:val="clear" w:color="000000" w:fill="E6F2FF"/>
            <w:noWrap/>
            <w:vAlign w:val="center"/>
            <w:hideMark/>
          </w:tcPr>
          <w:p w14:paraId="6A7F29AE" w14:textId="77777777" w:rsidR="00C17931" w:rsidRPr="00C17931" w:rsidRDefault="00C17931" w:rsidP="00C17931">
            <w:pPr>
              <w:spacing w:before="0" w:after="0" w:line="240" w:lineRule="auto"/>
              <w:rPr>
                <w:rFonts w:ascii="Arial" w:hAnsi="Arial" w:cs="Arial"/>
                <w:color w:val="000000"/>
                <w:sz w:val="16"/>
                <w:szCs w:val="16"/>
              </w:rPr>
            </w:pPr>
            <w:r w:rsidRPr="00C17931">
              <w:rPr>
                <w:rFonts w:ascii="Arial" w:hAnsi="Arial" w:cs="Arial"/>
                <w:color w:val="000000"/>
                <w:sz w:val="16"/>
                <w:szCs w:val="16"/>
              </w:rPr>
              <w:t> </w:t>
            </w:r>
          </w:p>
        </w:tc>
        <w:tc>
          <w:tcPr>
            <w:tcW w:w="472" w:type="pct"/>
            <w:tcBorders>
              <w:top w:val="nil"/>
              <w:left w:val="nil"/>
              <w:bottom w:val="nil"/>
              <w:right w:val="nil"/>
            </w:tcBorders>
            <w:shd w:val="clear" w:color="000000" w:fill="FFFFFF"/>
            <w:noWrap/>
            <w:vAlign w:val="center"/>
            <w:hideMark/>
          </w:tcPr>
          <w:p w14:paraId="2B6EFA70" w14:textId="77777777" w:rsidR="00C17931" w:rsidRPr="00C17931" w:rsidRDefault="00C17931" w:rsidP="00C17931">
            <w:pPr>
              <w:spacing w:before="0" w:after="0" w:line="240" w:lineRule="auto"/>
              <w:rPr>
                <w:rFonts w:ascii="Arial" w:hAnsi="Arial" w:cs="Arial"/>
                <w:color w:val="000000"/>
                <w:sz w:val="16"/>
                <w:szCs w:val="16"/>
              </w:rPr>
            </w:pPr>
            <w:r w:rsidRPr="00C17931">
              <w:rPr>
                <w:rFonts w:ascii="Arial" w:hAnsi="Arial" w:cs="Arial"/>
                <w:color w:val="000000"/>
                <w:sz w:val="16"/>
                <w:szCs w:val="16"/>
              </w:rPr>
              <w:t> </w:t>
            </w:r>
          </w:p>
        </w:tc>
        <w:tc>
          <w:tcPr>
            <w:tcW w:w="472" w:type="pct"/>
            <w:tcBorders>
              <w:top w:val="nil"/>
              <w:left w:val="nil"/>
              <w:bottom w:val="nil"/>
              <w:right w:val="nil"/>
            </w:tcBorders>
            <w:shd w:val="clear" w:color="000000" w:fill="FFFFFF"/>
            <w:noWrap/>
            <w:vAlign w:val="center"/>
            <w:hideMark/>
          </w:tcPr>
          <w:p w14:paraId="5B8A68B0" w14:textId="77777777" w:rsidR="00C17931" w:rsidRPr="00C17931" w:rsidRDefault="00C17931" w:rsidP="00C17931">
            <w:pPr>
              <w:spacing w:before="0" w:after="0" w:line="240" w:lineRule="auto"/>
              <w:rPr>
                <w:rFonts w:ascii="Arial" w:hAnsi="Arial" w:cs="Arial"/>
                <w:color w:val="000000"/>
                <w:sz w:val="16"/>
                <w:szCs w:val="16"/>
              </w:rPr>
            </w:pPr>
            <w:r w:rsidRPr="00C17931">
              <w:rPr>
                <w:rFonts w:ascii="Arial" w:hAnsi="Arial" w:cs="Arial"/>
                <w:color w:val="000000"/>
                <w:sz w:val="16"/>
                <w:szCs w:val="16"/>
              </w:rPr>
              <w:t> </w:t>
            </w:r>
          </w:p>
        </w:tc>
        <w:tc>
          <w:tcPr>
            <w:tcW w:w="472" w:type="pct"/>
            <w:tcBorders>
              <w:top w:val="nil"/>
              <w:left w:val="nil"/>
              <w:bottom w:val="nil"/>
              <w:right w:val="nil"/>
            </w:tcBorders>
            <w:shd w:val="clear" w:color="000000" w:fill="FFFFFF"/>
            <w:noWrap/>
            <w:vAlign w:val="center"/>
            <w:hideMark/>
          </w:tcPr>
          <w:p w14:paraId="67DF0525" w14:textId="77777777" w:rsidR="00C17931" w:rsidRPr="00C17931" w:rsidRDefault="00C17931" w:rsidP="00C17931">
            <w:pPr>
              <w:spacing w:before="0" w:after="0" w:line="240" w:lineRule="auto"/>
              <w:rPr>
                <w:rFonts w:ascii="Arial" w:hAnsi="Arial" w:cs="Arial"/>
                <w:color w:val="000000"/>
                <w:sz w:val="16"/>
                <w:szCs w:val="16"/>
              </w:rPr>
            </w:pPr>
            <w:r w:rsidRPr="00C17931">
              <w:rPr>
                <w:rFonts w:ascii="Arial" w:hAnsi="Arial" w:cs="Arial"/>
                <w:color w:val="000000"/>
                <w:sz w:val="16"/>
                <w:szCs w:val="16"/>
              </w:rPr>
              <w:t> </w:t>
            </w:r>
          </w:p>
        </w:tc>
      </w:tr>
      <w:tr w:rsidR="00C17931" w:rsidRPr="00C17931" w14:paraId="7FE56F64" w14:textId="77777777" w:rsidTr="00C17931">
        <w:trPr>
          <w:trHeight w:hRule="exact" w:val="226"/>
        </w:trPr>
        <w:tc>
          <w:tcPr>
            <w:tcW w:w="1873" w:type="pct"/>
            <w:tcBorders>
              <w:top w:val="nil"/>
              <w:left w:val="nil"/>
              <w:bottom w:val="nil"/>
              <w:right w:val="nil"/>
            </w:tcBorders>
            <w:shd w:val="clear" w:color="000000" w:fill="FFFFFF"/>
            <w:noWrap/>
            <w:vAlign w:val="center"/>
            <w:hideMark/>
          </w:tcPr>
          <w:p w14:paraId="21167A34" w14:textId="77777777" w:rsidR="00C17931" w:rsidRPr="00C17931" w:rsidRDefault="00C17931" w:rsidP="00C17931">
            <w:pPr>
              <w:spacing w:before="0" w:after="0" w:line="240" w:lineRule="auto"/>
              <w:ind w:left="170"/>
              <w:rPr>
                <w:rFonts w:ascii="Arial" w:hAnsi="Arial" w:cs="Arial"/>
                <w:color w:val="000000"/>
                <w:sz w:val="16"/>
                <w:szCs w:val="16"/>
              </w:rPr>
            </w:pPr>
            <w:r w:rsidRPr="00C17931">
              <w:rPr>
                <w:rFonts w:ascii="Arial" w:hAnsi="Arial" w:cs="Arial"/>
                <w:color w:val="000000"/>
                <w:sz w:val="16"/>
                <w:szCs w:val="16"/>
              </w:rPr>
              <w:t>Benefits(c)</w:t>
            </w:r>
          </w:p>
        </w:tc>
        <w:tc>
          <w:tcPr>
            <w:tcW w:w="711" w:type="pct"/>
            <w:tcBorders>
              <w:top w:val="nil"/>
              <w:left w:val="nil"/>
              <w:bottom w:val="nil"/>
              <w:right w:val="nil"/>
            </w:tcBorders>
            <w:shd w:val="clear" w:color="000000" w:fill="FFFFFF"/>
            <w:noWrap/>
            <w:vAlign w:val="center"/>
            <w:hideMark/>
          </w:tcPr>
          <w:p w14:paraId="765AD5C2" w14:textId="77777777" w:rsidR="00C17931" w:rsidRPr="00C17931" w:rsidRDefault="00C17931" w:rsidP="00C17931">
            <w:pPr>
              <w:spacing w:before="0" w:after="0" w:line="240" w:lineRule="auto"/>
              <w:rPr>
                <w:rFonts w:ascii="Arial" w:hAnsi="Arial" w:cs="Arial"/>
                <w:color w:val="000000"/>
                <w:sz w:val="16"/>
                <w:szCs w:val="16"/>
              </w:rPr>
            </w:pPr>
            <w:r w:rsidRPr="00C17931">
              <w:rPr>
                <w:rFonts w:ascii="Arial" w:hAnsi="Arial" w:cs="Arial"/>
                <w:color w:val="000000"/>
                <w:sz w:val="16"/>
                <w:szCs w:val="16"/>
              </w:rPr>
              <w:t>General public</w:t>
            </w:r>
          </w:p>
        </w:tc>
        <w:tc>
          <w:tcPr>
            <w:tcW w:w="59" w:type="pct"/>
            <w:tcBorders>
              <w:top w:val="nil"/>
              <w:left w:val="nil"/>
              <w:bottom w:val="nil"/>
              <w:right w:val="nil"/>
            </w:tcBorders>
            <w:shd w:val="clear" w:color="000000" w:fill="FFFFFF"/>
            <w:noWrap/>
            <w:vAlign w:val="center"/>
            <w:hideMark/>
          </w:tcPr>
          <w:p w14:paraId="15C76E83" w14:textId="77777777" w:rsidR="00C17931" w:rsidRPr="00C17931" w:rsidRDefault="00C17931" w:rsidP="00C17931">
            <w:pPr>
              <w:spacing w:before="0" w:after="0" w:line="240" w:lineRule="auto"/>
              <w:rPr>
                <w:rFonts w:ascii="Arial" w:hAnsi="Arial" w:cs="Arial"/>
                <w:color w:val="000000"/>
                <w:sz w:val="16"/>
                <w:szCs w:val="16"/>
              </w:rPr>
            </w:pPr>
            <w:r w:rsidRPr="00C17931">
              <w:rPr>
                <w:rFonts w:ascii="Arial" w:hAnsi="Arial" w:cs="Arial"/>
                <w:color w:val="000000"/>
                <w:sz w:val="16"/>
                <w:szCs w:val="16"/>
              </w:rPr>
              <w:t> </w:t>
            </w:r>
          </w:p>
        </w:tc>
        <w:tc>
          <w:tcPr>
            <w:tcW w:w="472" w:type="pct"/>
            <w:tcBorders>
              <w:top w:val="nil"/>
              <w:left w:val="nil"/>
              <w:bottom w:val="nil"/>
              <w:right w:val="nil"/>
            </w:tcBorders>
            <w:shd w:val="clear" w:color="000000" w:fill="FFFFFF"/>
            <w:noWrap/>
            <w:vAlign w:val="center"/>
            <w:hideMark/>
          </w:tcPr>
          <w:p w14:paraId="1EE754F5" w14:textId="77777777" w:rsidR="00C17931" w:rsidRPr="00C17931" w:rsidRDefault="00C17931" w:rsidP="00C17931">
            <w:pPr>
              <w:spacing w:before="0" w:after="0" w:line="240" w:lineRule="auto"/>
              <w:rPr>
                <w:rFonts w:ascii="Arial" w:hAnsi="Arial" w:cs="Arial"/>
                <w:color w:val="000000"/>
                <w:sz w:val="16"/>
                <w:szCs w:val="16"/>
              </w:rPr>
            </w:pPr>
            <w:r w:rsidRPr="00C17931">
              <w:rPr>
                <w:rFonts w:ascii="Arial" w:hAnsi="Arial" w:cs="Arial"/>
                <w:color w:val="000000"/>
                <w:sz w:val="16"/>
                <w:szCs w:val="16"/>
              </w:rPr>
              <w:t> </w:t>
            </w:r>
          </w:p>
        </w:tc>
        <w:tc>
          <w:tcPr>
            <w:tcW w:w="472" w:type="pct"/>
            <w:tcBorders>
              <w:top w:val="nil"/>
              <w:left w:val="nil"/>
              <w:bottom w:val="nil"/>
              <w:right w:val="nil"/>
            </w:tcBorders>
            <w:shd w:val="clear" w:color="000000" w:fill="E6F2FF"/>
            <w:noWrap/>
            <w:vAlign w:val="center"/>
            <w:hideMark/>
          </w:tcPr>
          <w:p w14:paraId="2BB30BC7" w14:textId="77777777" w:rsidR="00C17931" w:rsidRPr="00C17931" w:rsidRDefault="00C17931" w:rsidP="00C17931">
            <w:pPr>
              <w:spacing w:before="0" w:after="0" w:line="240" w:lineRule="auto"/>
              <w:rPr>
                <w:rFonts w:ascii="Arial" w:hAnsi="Arial" w:cs="Arial"/>
                <w:color w:val="000000"/>
                <w:sz w:val="16"/>
                <w:szCs w:val="16"/>
              </w:rPr>
            </w:pPr>
            <w:r w:rsidRPr="00C17931">
              <w:rPr>
                <w:rFonts w:ascii="Arial" w:hAnsi="Arial" w:cs="Arial"/>
                <w:color w:val="000000"/>
                <w:sz w:val="16"/>
                <w:szCs w:val="16"/>
              </w:rPr>
              <w:t> </w:t>
            </w:r>
          </w:p>
        </w:tc>
        <w:tc>
          <w:tcPr>
            <w:tcW w:w="472" w:type="pct"/>
            <w:tcBorders>
              <w:top w:val="nil"/>
              <w:left w:val="nil"/>
              <w:bottom w:val="nil"/>
              <w:right w:val="nil"/>
            </w:tcBorders>
            <w:shd w:val="clear" w:color="000000" w:fill="FFFFFF"/>
            <w:noWrap/>
            <w:vAlign w:val="center"/>
            <w:hideMark/>
          </w:tcPr>
          <w:p w14:paraId="0ED7A3CB" w14:textId="77777777" w:rsidR="00C17931" w:rsidRPr="00C17931" w:rsidRDefault="00C17931" w:rsidP="00C17931">
            <w:pPr>
              <w:spacing w:before="0" w:after="0" w:line="240" w:lineRule="auto"/>
              <w:rPr>
                <w:rFonts w:ascii="Arial" w:hAnsi="Arial" w:cs="Arial"/>
                <w:color w:val="000000"/>
                <w:sz w:val="16"/>
                <w:szCs w:val="16"/>
              </w:rPr>
            </w:pPr>
            <w:r w:rsidRPr="00C17931">
              <w:rPr>
                <w:rFonts w:ascii="Arial" w:hAnsi="Arial" w:cs="Arial"/>
                <w:color w:val="000000"/>
                <w:sz w:val="16"/>
                <w:szCs w:val="16"/>
              </w:rPr>
              <w:t> </w:t>
            </w:r>
          </w:p>
        </w:tc>
        <w:tc>
          <w:tcPr>
            <w:tcW w:w="472" w:type="pct"/>
            <w:tcBorders>
              <w:top w:val="nil"/>
              <w:left w:val="nil"/>
              <w:bottom w:val="nil"/>
              <w:right w:val="nil"/>
            </w:tcBorders>
            <w:shd w:val="clear" w:color="000000" w:fill="FFFFFF"/>
            <w:noWrap/>
            <w:vAlign w:val="center"/>
            <w:hideMark/>
          </w:tcPr>
          <w:p w14:paraId="01B355B4" w14:textId="77777777" w:rsidR="00C17931" w:rsidRPr="00C17931" w:rsidRDefault="00C17931" w:rsidP="00C17931">
            <w:pPr>
              <w:spacing w:before="0" w:after="0" w:line="240" w:lineRule="auto"/>
              <w:rPr>
                <w:rFonts w:ascii="Arial" w:hAnsi="Arial" w:cs="Arial"/>
                <w:color w:val="000000"/>
                <w:sz w:val="16"/>
                <w:szCs w:val="16"/>
              </w:rPr>
            </w:pPr>
            <w:r w:rsidRPr="00C17931">
              <w:rPr>
                <w:rFonts w:ascii="Arial" w:hAnsi="Arial" w:cs="Arial"/>
                <w:color w:val="000000"/>
                <w:sz w:val="16"/>
                <w:szCs w:val="16"/>
              </w:rPr>
              <w:t> </w:t>
            </w:r>
          </w:p>
        </w:tc>
        <w:tc>
          <w:tcPr>
            <w:tcW w:w="472" w:type="pct"/>
            <w:tcBorders>
              <w:top w:val="nil"/>
              <w:left w:val="nil"/>
              <w:bottom w:val="nil"/>
              <w:right w:val="nil"/>
            </w:tcBorders>
            <w:shd w:val="clear" w:color="000000" w:fill="FFFFFF"/>
            <w:noWrap/>
            <w:vAlign w:val="center"/>
            <w:hideMark/>
          </w:tcPr>
          <w:p w14:paraId="57EB7B48" w14:textId="77777777" w:rsidR="00C17931" w:rsidRPr="00C17931" w:rsidRDefault="00C17931" w:rsidP="00C17931">
            <w:pPr>
              <w:spacing w:before="0" w:after="0" w:line="240" w:lineRule="auto"/>
              <w:rPr>
                <w:rFonts w:ascii="Arial" w:hAnsi="Arial" w:cs="Arial"/>
                <w:color w:val="000000"/>
                <w:sz w:val="16"/>
                <w:szCs w:val="16"/>
              </w:rPr>
            </w:pPr>
            <w:r w:rsidRPr="00C17931">
              <w:rPr>
                <w:rFonts w:ascii="Arial" w:hAnsi="Arial" w:cs="Arial"/>
                <w:color w:val="000000"/>
                <w:sz w:val="16"/>
                <w:szCs w:val="16"/>
              </w:rPr>
              <w:t> </w:t>
            </w:r>
          </w:p>
        </w:tc>
      </w:tr>
      <w:tr w:rsidR="00C17931" w:rsidRPr="00C17931" w14:paraId="360466AC" w14:textId="77777777" w:rsidTr="00C17931">
        <w:trPr>
          <w:trHeight w:hRule="exact" w:val="226"/>
        </w:trPr>
        <w:tc>
          <w:tcPr>
            <w:tcW w:w="1873" w:type="pct"/>
            <w:tcBorders>
              <w:top w:val="nil"/>
              <w:left w:val="nil"/>
              <w:bottom w:val="nil"/>
              <w:right w:val="nil"/>
            </w:tcBorders>
            <w:shd w:val="clear" w:color="000000" w:fill="FFFFFF"/>
            <w:noWrap/>
            <w:vAlign w:val="center"/>
            <w:hideMark/>
          </w:tcPr>
          <w:p w14:paraId="1FEF584D" w14:textId="77777777" w:rsidR="00C17931" w:rsidRPr="00C17931" w:rsidRDefault="00C17931" w:rsidP="00C17931">
            <w:pPr>
              <w:spacing w:before="0" w:after="0" w:line="240" w:lineRule="auto"/>
              <w:ind w:left="170"/>
              <w:rPr>
                <w:rFonts w:ascii="Arial" w:hAnsi="Arial" w:cs="Arial"/>
                <w:color w:val="000000"/>
                <w:sz w:val="16"/>
                <w:szCs w:val="16"/>
              </w:rPr>
            </w:pPr>
            <w:r w:rsidRPr="00C17931">
              <w:rPr>
                <w:rFonts w:ascii="Arial" w:hAnsi="Arial" w:cs="Arial"/>
                <w:color w:val="000000"/>
                <w:sz w:val="16"/>
                <w:szCs w:val="16"/>
              </w:rPr>
              <w:t> </w:t>
            </w:r>
          </w:p>
        </w:tc>
        <w:tc>
          <w:tcPr>
            <w:tcW w:w="711" w:type="pct"/>
            <w:tcBorders>
              <w:top w:val="nil"/>
              <w:left w:val="nil"/>
              <w:bottom w:val="nil"/>
              <w:right w:val="nil"/>
            </w:tcBorders>
            <w:shd w:val="clear" w:color="000000" w:fill="FFFFFF"/>
            <w:noWrap/>
            <w:vAlign w:val="center"/>
            <w:hideMark/>
          </w:tcPr>
          <w:p w14:paraId="3C1B36F3" w14:textId="77777777" w:rsidR="00C17931" w:rsidRPr="00C17931" w:rsidRDefault="00C17931" w:rsidP="00C17931">
            <w:pPr>
              <w:spacing w:before="0" w:after="0" w:line="240" w:lineRule="auto"/>
              <w:rPr>
                <w:rFonts w:ascii="Arial" w:hAnsi="Arial" w:cs="Arial"/>
                <w:color w:val="000000"/>
                <w:sz w:val="16"/>
                <w:szCs w:val="16"/>
              </w:rPr>
            </w:pPr>
            <w:r w:rsidRPr="00C17931">
              <w:rPr>
                <w:rFonts w:ascii="Arial" w:hAnsi="Arial" w:cs="Arial"/>
                <w:color w:val="000000"/>
                <w:sz w:val="16"/>
                <w:szCs w:val="16"/>
              </w:rPr>
              <w:t>services</w:t>
            </w:r>
          </w:p>
        </w:tc>
        <w:tc>
          <w:tcPr>
            <w:tcW w:w="59" w:type="pct"/>
            <w:tcBorders>
              <w:top w:val="nil"/>
              <w:left w:val="nil"/>
              <w:bottom w:val="nil"/>
              <w:right w:val="nil"/>
            </w:tcBorders>
            <w:shd w:val="clear" w:color="000000" w:fill="FFFFFF"/>
            <w:noWrap/>
            <w:vAlign w:val="center"/>
            <w:hideMark/>
          </w:tcPr>
          <w:p w14:paraId="7B17CBDC" w14:textId="77777777" w:rsidR="00C17931" w:rsidRPr="00C17931" w:rsidRDefault="00C17931" w:rsidP="00C17931">
            <w:pPr>
              <w:spacing w:before="0" w:after="0" w:line="240" w:lineRule="auto"/>
              <w:rPr>
                <w:rFonts w:ascii="Arial" w:hAnsi="Arial" w:cs="Arial"/>
                <w:color w:val="000000"/>
                <w:sz w:val="16"/>
                <w:szCs w:val="16"/>
              </w:rPr>
            </w:pPr>
            <w:r w:rsidRPr="00C17931">
              <w:rPr>
                <w:rFonts w:ascii="Arial" w:hAnsi="Arial" w:cs="Arial"/>
                <w:color w:val="000000"/>
                <w:sz w:val="16"/>
                <w:szCs w:val="16"/>
              </w:rPr>
              <w:t> </w:t>
            </w:r>
          </w:p>
        </w:tc>
        <w:tc>
          <w:tcPr>
            <w:tcW w:w="472" w:type="pct"/>
            <w:tcBorders>
              <w:top w:val="nil"/>
              <w:left w:val="nil"/>
              <w:bottom w:val="nil"/>
              <w:right w:val="nil"/>
            </w:tcBorders>
            <w:shd w:val="clear" w:color="000000" w:fill="FFFFFF"/>
            <w:noWrap/>
            <w:vAlign w:val="center"/>
            <w:hideMark/>
          </w:tcPr>
          <w:p w14:paraId="5AF4B0FB" w14:textId="77777777" w:rsidR="00C17931" w:rsidRPr="00C17931" w:rsidRDefault="00C17931" w:rsidP="00C17931">
            <w:pPr>
              <w:spacing w:before="0" w:after="0" w:line="240" w:lineRule="auto"/>
              <w:jc w:val="right"/>
              <w:rPr>
                <w:rFonts w:ascii="Arial" w:hAnsi="Arial" w:cs="Arial"/>
                <w:color w:val="000000"/>
                <w:sz w:val="16"/>
                <w:szCs w:val="16"/>
              </w:rPr>
            </w:pPr>
            <w:r w:rsidRPr="00C17931">
              <w:rPr>
                <w:rFonts w:ascii="Arial" w:hAnsi="Arial" w:cs="Arial"/>
                <w:color w:val="000000"/>
                <w:sz w:val="16"/>
                <w:szCs w:val="16"/>
              </w:rPr>
              <w:t>9,809</w:t>
            </w:r>
          </w:p>
        </w:tc>
        <w:tc>
          <w:tcPr>
            <w:tcW w:w="472" w:type="pct"/>
            <w:tcBorders>
              <w:top w:val="nil"/>
              <w:left w:val="nil"/>
              <w:bottom w:val="nil"/>
              <w:right w:val="nil"/>
            </w:tcBorders>
            <w:shd w:val="clear" w:color="000000" w:fill="E6F2FF"/>
            <w:noWrap/>
            <w:vAlign w:val="center"/>
            <w:hideMark/>
          </w:tcPr>
          <w:p w14:paraId="783662F9" w14:textId="77777777" w:rsidR="00C17931" w:rsidRPr="00C17931" w:rsidRDefault="00C17931" w:rsidP="00C17931">
            <w:pPr>
              <w:spacing w:before="0" w:after="0" w:line="240" w:lineRule="auto"/>
              <w:jc w:val="right"/>
              <w:rPr>
                <w:rFonts w:ascii="Arial" w:hAnsi="Arial" w:cs="Arial"/>
                <w:color w:val="000000"/>
                <w:sz w:val="16"/>
                <w:szCs w:val="16"/>
              </w:rPr>
            </w:pPr>
            <w:r w:rsidRPr="00C17931">
              <w:rPr>
                <w:rFonts w:ascii="Arial" w:hAnsi="Arial" w:cs="Arial"/>
                <w:color w:val="000000"/>
                <w:sz w:val="16"/>
                <w:szCs w:val="16"/>
              </w:rPr>
              <w:t>10,095</w:t>
            </w:r>
          </w:p>
        </w:tc>
        <w:tc>
          <w:tcPr>
            <w:tcW w:w="472" w:type="pct"/>
            <w:tcBorders>
              <w:top w:val="nil"/>
              <w:left w:val="nil"/>
              <w:bottom w:val="nil"/>
              <w:right w:val="nil"/>
            </w:tcBorders>
            <w:shd w:val="clear" w:color="000000" w:fill="FFFFFF"/>
            <w:noWrap/>
            <w:vAlign w:val="center"/>
            <w:hideMark/>
          </w:tcPr>
          <w:p w14:paraId="597FE9D5" w14:textId="77777777" w:rsidR="00C17931" w:rsidRPr="00C17931" w:rsidRDefault="00C17931" w:rsidP="00C17931">
            <w:pPr>
              <w:spacing w:before="0" w:after="0" w:line="240" w:lineRule="auto"/>
              <w:jc w:val="right"/>
              <w:rPr>
                <w:rFonts w:ascii="Arial" w:hAnsi="Arial" w:cs="Arial"/>
                <w:color w:val="000000"/>
                <w:sz w:val="16"/>
                <w:szCs w:val="16"/>
              </w:rPr>
            </w:pPr>
            <w:r w:rsidRPr="00C17931">
              <w:rPr>
                <w:rFonts w:ascii="Arial" w:hAnsi="Arial" w:cs="Arial"/>
                <w:color w:val="000000"/>
                <w:sz w:val="16"/>
                <w:szCs w:val="16"/>
              </w:rPr>
              <w:t>10,264</w:t>
            </w:r>
          </w:p>
        </w:tc>
        <w:tc>
          <w:tcPr>
            <w:tcW w:w="472" w:type="pct"/>
            <w:tcBorders>
              <w:top w:val="nil"/>
              <w:left w:val="nil"/>
              <w:bottom w:val="nil"/>
              <w:right w:val="nil"/>
            </w:tcBorders>
            <w:shd w:val="clear" w:color="000000" w:fill="FFFFFF"/>
            <w:noWrap/>
            <w:vAlign w:val="center"/>
            <w:hideMark/>
          </w:tcPr>
          <w:p w14:paraId="1B3A887E" w14:textId="77777777" w:rsidR="00C17931" w:rsidRPr="00C17931" w:rsidRDefault="00C17931" w:rsidP="00C17931">
            <w:pPr>
              <w:spacing w:before="0" w:after="0" w:line="240" w:lineRule="auto"/>
              <w:jc w:val="right"/>
              <w:rPr>
                <w:rFonts w:ascii="Arial" w:hAnsi="Arial" w:cs="Arial"/>
                <w:color w:val="000000"/>
                <w:sz w:val="16"/>
                <w:szCs w:val="16"/>
              </w:rPr>
            </w:pPr>
            <w:r w:rsidRPr="00C17931">
              <w:rPr>
                <w:rFonts w:ascii="Arial" w:hAnsi="Arial" w:cs="Arial"/>
                <w:color w:val="000000"/>
                <w:sz w:val="16"/>
                <w:szCs w:val="16"/>
              </w:rPr>
              <w:t>10,440</w:t>
            </w:r>
          </w:p>
        </w:tc>
        <w:tc>
          <w:tcPr>
            <w:tcW w:w="472" w:type="pct"/>
            <w:tcBorders>
              <w:top w:val="nil"/>
              <w:left w:val="nil"/>
              <w:bottom w:val="nil"/>
              <w:right w:val="nil"/>
            </w:tcBorders>
            <w:shd w:val="clear" w:color="000000" w:fill="FFFFFF"/>
            <w:noWrap/>
            <w:vAlign w:val="center"/>
            <w:hideMark/>
          </w:tcPr>
          <w:p w14:paraId="2F9303C5" w14:textId="77777777" w:rsidR="00C17931" w:rsidRPr="00C17931" w:rsidRDefault="00C17931" w:rsidP="00C17931">
            <w:pPr>
              <w:spacing w:before="0" w:after="0" w:line="240" w:lineRule="auto"/>
              <w:jc w:val="right"/>
              <w:rPr>
                <w:rFonts w:ascii="Arial" w:hAnsi="Arial" w:cs="Arial"/>
                <w:color w:val="000000"/>
                <w:sz w:val="16"/>
                <w:szCs w:val="16"/>
              </w:rPr>
            </w:pPr>
            <w:r w:rsidRPr="00C17931">
              <w:rPr>
                <w:rFonts w:ascii="Arial" w:hAnsi="Arial" w:cs="Arial"/>
                <w:color w:val="000000"/>
                <w:sz w:val="16"/>
                <w:szCs w:val="16"/>
              </w:rPr>
              <w:t>10,582</w:t>
            </w:r>
          </w:p>
        </w:tc>
      </w:tr>
      <w:tr w:rsidR="00C17931" w:rsidRPr="00C17931" w14:paraId="6790AF82" w14:textId="77777777" w:rsidTr="00C17931">
        <w:trPr>
          <w:trHeight w:hRule="exact" w:val="226"/>
        </w:trPr>
        <w:tc>
          <w:tcPr>
            <w:tcW w:w="1873" w:type="pct"/>
            <w:tcBorders>
              <w:top w:val="nil"/>
              <w:left w:val="nil"/>
              <w:bottom w:val="nil"/>
              <w:right w:val="nil"/>
            </w:tcBorders>
            <w:shd w:val="clear" w:color="000000" w:fill="FFFFFF"/>
            <w:noWrap/>
            <w:vAlign w:val="center"/>
            <w:hideMark/>
          </w:tcPr>
          <w:p w14:paraId="61E3A09C" w14:textId="6756D55E" w:rsidR="00C17931" w:rsidRPr="00C17931" w:rsidRDefault="00C17931" w:rsidP="00C17931">
            <w:pPr>
              <w:spacing w:before="0" w:after="0" w:line="240" w:lineRule="auto"/>
              <w:rPr>
                <w:rFonts w:ascii="Arial" w:hAnsi="Arial" w:cs="Arial"/>
                <w:color w:val="000000"/>
                <w:sz w:val="16"/>
                <w:szCs w:val="16"/>
              </w:rPr>
            </w:pPr>
            <w:r w:rsidRPr="00C17931">
              <w:rPr>
                <w:rFonts w:ascii="Arial" w:hAnsi="Arial" w:cs="Arial"/>
                <w:color w:val="000000"/>
                <w:sz w:val="16"/>
                <w:szCs w:val="16"/>
              </w:rPr>
              <w:t xml:space="preserve">Defence Force Superannuation </w:t>
            </w:r>
            <w:r w:rsidR="008D4F6B">
              <w:rPr>
                <w:rFonts w:ascii="Arial" w:hAnsi="Arial" w:cs="Arial"/>
                <w:color w:val="000000"/>
                <w:sz w:val="16"/>
                <w:szCs w:val="16"/>
              </w:rPr>
              <w:noBreakHyphen/>
            </w:r>
          </w:p>
        </w:tc>
        <w:tc>
          <w:tcPr>
            <w:tcW w:w="711" w:type="pct"/>
            <w:tcBorders>
              <w:top w:val="nil"/>
              <w:left w:val="nil"/>
              <w:bottom w:val="nil"/>
              <w:right w:val="nil"/>
            </w:tcBorders>
            <w:shd w:val="clear" w:color="000000" w:fill="FFFFFF"/>
            <w:noWrap/>
            <w:vAlign w:val="center"/>
            <w:hideMark/>
          </w:tcPr>
          <w:p w14:paraId="74956F7D" w14:textId="77777777" w:rsidR="00C17931" w:rsidRPr="00C17931" w:rsidRDefault="00C17931" w:rsidP="00C17931">
            <w:pPr>
              <w:spacing w:before="0" w:after="0" w:line="240" w:lineRule="auto"/>
              <w:rPr>
                <w:rFonts w:ascii="Arial" w:hAnsi="Arial" w:cs="Arial"/>
                <w:color w:val="000000"/>
                <w:sz w:val="16"/>
                <w:szCs w:val="16"/>
              </w:rPr>
            </w:pPr>
            <w:r w:rsidRPr="00C17931">
              <w:rPr>
                <w:rFonts w:ascii="Arial" w:hAnsi="Arial" w:cs="Arial"/>
                <w:color w:val="000000"/>
                <w:sz w:val="16"/>
                <w:szCs w:val="16"/>
              </w:rPr>
              <w:t>Other purposes;</w:t>
            </w:r>
          </w:p>
        </w:tc>
        <w:tc>
          <w:tcPr>
            <w:tcW w:w="59" w:type="pct"/>
            <w:tcBorders>
              <w:top w:val="nil"/>
              <w:left w:val="nil"/>
              <w:bottom w:val="nil"/>
              <w:right w:val="nil"/>
            </w:tcBorders>
            <w:shd w:val="clear" w:color="000000" w:fill="FFFFFF"/>
            <w:noWrap/>
            <w:vAlign w:val="center"/>
            <w:hideMark/>
          </w:tcPr>
          <w:p w14:paraId="23E3010D" w14:textId="77777777" w:rsidR="00C17931" w:rsidRPr="00C17931" w:rsidRDefault="00C17931" w:rsidP="00C17931">
            <w:pPr>
              <w:spacing w:before="0" w:after="0" w:line="240" w:lineRule="auto"/>
              <w:rPr>
                <w:rFonts w:ascii="Arial" w:hAnsi="Arial" w:cs="Arial"/>
                <w:color w:val="000000"/>
                <w:sz w:val="16"/>
                <w:szCs w:val="16"/>
              </w:rPr>
            </w:pPr>
            <w:r w:rsidRPr="00C17931">
              <w:rPr>
                <w:rFonts w:ascii="Arial" w:hAnsi="Arial" w:cs="Arial"/>
                <w:color w:val="000000"/>
                <w:sz w:val="16"/>
                <w:szCs w:val="16"/>
              </w:rPr>
              <w:t> </w:t>
            </w:r>
          </w:p>
        </w:tc>
        <w:tc>
          <w:tcPr>
            <w:tcW w:w="472" w:type="pct"/>
            <w:tcBorders>
              <w:top w:val="nil"/>
              <w:left w:val="nil"/>
              <w:bottom w:val="nil"/>
              <w:right w:val="nil"/>
            </w:tcBorders>
            <w:shd w:val="clear" w:color="000000" w:fill="FFFFFF"/>
            <w:noWrap/>
            <w:vAlign w:val="center"/>
            <w:hideMark/>
          </w:tcPr>
          <w:p w14:paraId="56AC2644" w14:textId="77777777" w:rsidR="00C17931" w:rsidRPr="00C17931" w:rsidRDefault="00C17931" w:rsidP="00C17931">
            <w:pPr>
              <w:spacing w:before="0" w:after="0" w:line="240" w:lineRule="auto"/>
              <w:rPr>
                <w:rFonts w:ascii="Arial" w:hAnsi="Arial" w:cs="Arial"/>
                <w:color w:val="000000"/>
                <w:sz w:val="16"/>
                <w:szCs w:val="16"/>
              </w:rPr>
            </w:pPr>
            <w:r w:rsidRPr="00C17931">
              <w:rPr>
                <w:rFonts w:ascii="Arial" w:hAnsi="Arial" w:cs="Arial"/>
                <w:color w:val="000000"/>
                <w:sz w:val="16"/>
                <w:szCs w:val="16"/>
              </w:rPr>
              <w:t> </w:t>
            </w:r>
          </w:p>
        </w:tc>
        <w:tc>
          <w:tcPr>
            <w:tcW w:w="472" w:type="pct"/>
            <w:tcBorders>
              <w:top w:val="nil"/>
              <w:left w:val="nil"/>
              <w:bottom w:val="nil"/>
              <w:right w:val="nil"/>
            </w:tcBorders>
            <w:shd w:val="clear" w:color="000000" w:fill="E6F2FF"/>
            <w:noWrap/>
            <w:vAlign w:val="center"/>
            <w:hideMark/>
          </w:tcPr>
          <w:p w14:paraId="2544D0AD" w14:textId="77777777" w:rsidR="00C17931" w:rsidRPr="00C17931" w:rsidRDefault="00C17931" w:rsidP="00C17931">
            <w:pPr>
              <w:spacing w:before="0" w:after="0" w:line="240" w:lineRule="auto"/>
              <w:rPr>
                <w:rFonts w:ascii="Arial" w:hAnsi="Arial" w:cs="Arial"/>
                <w:color w:val="000000"/>
                <w:sz w:val="16"/>
                <w:szCs w:val="16"/>
              </w:rPr>
            </w:pPr>
            <w:r w:rsidRPr="00C17931">
              <w:rPr>
                <w:rFonts w:ascii="Arial" w:hAnsi="Arial" w:cs="Arial"/>
                <w:color w:val="000000"/>
                <w:sz w:val="16"/>
                <w:szCs w:val="16"/>
              </w:rPr>
              <w:t> </w:t>
            </w:r>
          </w:p>
        </w:tc>
        <w:tc>
          <w:tcPr>
            <w:tcW w:w="472" w:type="pct"/>
            <w:tcBorders>
              <w:top w:val="nil"/>
              <w:left w:val="nil"/>
              <w:bottom w:val="nil"/>
              <w:right w:val="nil"/>
            </w:tcBorders>
            <w:shd w:val="clear" w:color="000000" w:fill="FFFFFF"/>
            <w:noWrap/>
            <w:vAlign w:val="center"/>
            <w:hideMark/>
          </w:tcPr>
          <w:p w14:paraId="5C064BBF" w14:textId="77777777" w:rsidR="00C17931" w:rsidRPr="00C17931" w:rsidRDefault="00C17931" w:rsidP="00C17931">
            <w:pPr>
              <w:spacing w:before="0" w:after="0" w:line="240" w:lineRule="auto"/>
              <w:rPr>
                <w:rFonts w:ascii="Arial" w:hAnsi="Arial" w:cs="Arial"/>
                <w:color w:val="000000"/>
                <w:sz w:val="16"/>
                <w:szCs w:val="16"/>
              </w:rPr>
            </w:pPr>
            <w:r w:rsidRPr="00C17931">
              <w:rPr>
                <w:rFonts w:ascii="Arial" w:hAnsi="Arial" w:cs="Arial"/>
                <w:color w:val="000000"/>
                <w:sz w:val="16"/>
                <w:szCs w:val="16"/>
              </w:rPr>
              <w:t> </w:t>
            </w:r>
          </w:p>
        </w:tc>
        <w:tc>
          <w:tcPr>
            <w:tcW w:w="472" w:type="pct"/>
            <w:tcBorders>
              <w:top w:val="nil"/>
              <w:left w:val="nil"/>
              <w:bottom w:val="nil"/>
              <w:right w:val="nil"/>
            </w:tcBorders>
            <w:shd w:val="clear" w:color="000000" w:fill="FFFFFF"/>
            <w:noWrap/>
            <w:vAlign w:val="center"/>
            <w:hideMark/>
          </w:tcPr>
          <w:p w14:paraId="7894C27D" w14:textId="77777777" w:rsidR="00C17931" w:rsidRPr="00C17931" w:rsidRDefault="00C17931" w:rsidP="00C17931">
            <w:pPr>
              <w:spacing w:before="0" w:after="0" w:line="240" w:lineRule="auto"/>
              <w:rPr>
                <w:rFonts w:ascii="Arial" w:hAnsi="Arial" w:cs="Arial"/>
                <w:color w:val="000000"/>
                <w:sz w:val="16"/>
                <w:szCs w:val="16"/>
              </w:rPr>
            </w:pPr>
            <w:r w:rsidRPr="00C17931">
              <w:rPr>
                <w:rFonts w:ascii="Arial" w:hAnsi="Arial" w:cs="Arial"/>
                <w:color w:val="000000"/>
                <w:sz w:val="16"/>
                <w:szCs w:val="16"/>
              </w:rPr>
              <w:t> </w:t>
            </w:r>
          </w:p>
        </w:tc>
        <w:tc>
          <w:tcPr>
            <w:tcW w:w="472" w:type="pct"/>
            <w:tcBorders>
              <w:top w:val="nil"/>
              <w:left w:val="nil"/>
              <w:bottom w:val="nil"/>
              <w:right w:val="nil"/>
            </w:tcBorders>
            <w:shd w:val="clear" w:color="000000" w:fill="FFFFFF"/>
            <w:noWrap/>
            <w:vAlign w:val="center"/>
            <w:hideMark/>
          </w:tcPr>
          <w:p w14:paraId="7DF62905" w14:textId="77777777" w:rsidR="00C17931" w:rsidRPr="00C17931" w:rsidRDefault="00C17931" w:rsidP="00C17931">
            <w:pPr>
              <w:spacing w:before="0" w:after="0" w:line="240" w:lineRule="auto"/>
              <w:rPr>
                <w:rFonts w:ascii="Arial" w:hAnsi="Arial" w:cs="Arial"/>
                <w:color w:val="000000"/>
                <w:sz w:val="16"/>
                <w:szCs w:val="16"/>
              </w:rPr>
            </w:pPr>
            <w:r w:rsidRPr="00C17931">
              <w:rPr>
                <w:rFonts w:ascii="Arial" w:hAnsi="Arial" w:cs="Arial"/>
                <w:color w:val="000000"/>
                <w:sz w:val="16"/>
                <w:szCs w:val="16"/>
              </w:rPr>
              <w:t> </w:t>
            </w:r>
          </w:p>
        </w:tc>
      </w:tr>
      <w:tr w:rsidR="00C17931" w:rsidRPr="00C17931" w14:paraId="16A7DB62" w14:textId="77777777" w:rsidTr="00C17931">
        <w:trPr>
          <w:trHeight w:hRule="exact" w:val="226"/>
        </w:trPr>
        <w:tc>
          <w:tcPr>
            <w:tcW w:w="1873" w:type="pct"/>
            <w:tcBorders>
              <w:top w:val="nil"/>
              <w:left w:val="nil"/>
              <w:bottom w:val="nil"/>
              <w:right w:val="nil"/>
            </w:tcBorders>
            <w:shd w:val="clear" w:color="000000" w:fill="FFFFFF"/>
            <w:noWrap/>
            <w:vAlign w:val="center"/>
            <w:hideMark/>
          </w:tcPr>
          <w:p w14:paraId="34A9F075" w14:textId="77777777" w:rsidR="00C17931" w:rsidRPr="00C17931" w:rsidRDefault="00C17931" w:rsidP="00C17931">
            <w:pPr>
              <w:spacing w:before="0" w:after="0" w:line="240" w:lineRule="auto"/>
              <w:ind w:left="170"/>
              <w:rPr>
                <w:rFonts w:ascii="Arial" w:hAnsi="Arial" w:cs="Arial"/>
                <w:color w:val="000000"/>
                <w:sz w:val="16"/>
                <w:szCs w:val="16"/>
              </w:rPr>
            </w:pPr>
            <w:r w:rsidRPr="00C17931">
              <w:rPr>
                <w:rFonts w:ascii="Arial" w:hAnsi="Arial" w:cs="Arial"/>
                <w:color w:val="000000"/>
                <w:sz w:val="16"/>
                <w:szCs w:val="16"/>
              </w:rPr>
              <w:t>Benefits(c)</w:t>
            </w:r>
          </w:p>
        </w:tc>
        <w:tc>
          <w:tcPr>
            <w:tcW w:w="711" w:type="pct"/>
            <w:tcBorders>
              <w:top w:val="nil"/>
              <w:left w:val="nil"/>
              <w:bottom w:val="nil"/>
              <w:right w:val="nil"/>
            </w:tcBorders>
            <w:shd w:val="clear" w:color="000000" w:fill="FFFFFF"/>
            <w:noWrap/>
            <w:vAlign w:val="center"/>
            <w:hideMark/>
          </w:tcPr>
          <w:p w14:paraId="767A975C" w14:textId="77777777" w:rsidR="00C17931" w:rsidRPr="00C17931" w:rsidRDefault="00C17931" w:rsidP="00C17931">
            <w:pPr>
              <w:spacing w:before="0" w:after="0" w:line="240" w:lineRule="auto"/>
              <w:rPr>
                <w:rFonts w:ascii="Arial" w:hAnsi="Arial" w:cs="Arial"/>
                <w:color w:val="000000"/>
                <w:sz w:val="16"/>
                <w:szCs w:val="16"/>
              </w:rPr>
            </w:pPr>
            <w:r w:rsidRPr="00C17931">
              <w:rPr>
                <w:rFonts w:ascii="Arial" w:hAnsi="Arial" w:cs="Arial"/>
                <w:color w:val="000000"/>
                <w:sz w:val="16"/>
                <w:szCs w:val="16"/>
              </w:rPr>
              <w:t>General public</w:t>
            </w:r>
          </w:p>
        </w:tc>
        <w:tc>
          <w:tcPr>
            <w:tcW w:w="59" w:type="pct"/>
            <w:tcBorders>
              <w:top w:val="nil"/>
              <w:left w:val="nil"/>
              <w:bottom w:val="nil"/>
              <w:right w:val="nil"/>
            </w:tcBorders>
            <w:shd w:val="clear" w:color="000000" w:fill="FFFFFF"/>
            <w:noWrap/>
            <w:vAlign w:val="center"/>
            <w:hideMark/>
          </w:tcPr>
          <w:p w14:paraId="580DA2FA" w14:textId="77777777" w:rsidR="00C17931" w:rsidRPr="00C17931" w:rsidRDefault="00C17931" w:rsidP="00C17931">
            <w:pPr>
              <w:spacing w:before="0" w:after="0" w:line="240" w:lineRule="auto"/>
              <w:rPr>
                <w:rFonts w:ascii="Arial" w:hAnsi="Arial" w:cs="Arial"/>
                <w:color w:val="000000"/>
                <w:sz w:val="16"/>
                <w:szCs w:val="16"/>
              </w:rPr>
            </w:pPr>
            <w:r w:rsidRPr="00C17931">
              <w:rPr>
                <w:rFonts w:ascii="Arial" w:hAnsi="Arial" w:cs="Arial"/>
                <w:color w:val="000000"/>
                <w:sz w:val="16"/>
                <w:szCs w:val="16"/>
              </w:rPr>
              <w:t> </w:t>
            </w:r>
          </w:p>
        </w:tc>
        <w:tc>
          <w:tcPr>
            <w:tcW w:w="472" w:type="pct"/>
            <w:tcBorders>
              <w:top w:val="nil"/>
              <w:left w:val="nil"/>
              <w:bottom w:val="nil"/>
              <w:right w:val="nil"/>
            </w:tcBorders>
            <w:shd w:val="clear" w:color="000000" w:fill="FFFFFF"/>
            <w:noWrap/>
            <w:vAlign w:val="center"/>
            <w:hideMark/>
          </w:tcPr>
          <w:p w14:paraId="1E3222B8" w14:textId="77777777" w:rsidR="00C17931" w:rsidRPr="00C17931" w:rsidRDefault="00C17931" w:rsidP="00C17931">
            <w:pPr>
              <w:spacing w:before="0" w:after="0" w:line="240" w:lineRule="auto"/>
              <w:jc w:val="right"/>
              <w:rPr>
                <w:rFonts w:ascii="Arial" w:hAnsi="Arial" w:cs="Arial"/>
                <w:color w:val="000000"/>
                <w:sz w:val="16"/>
                <w:szCs w:val="16"/>
              </w:rPr>
            </w:pPr>
            <w:r w:rsidRPr="00C17931">
              <w:rPr>
                <w:rFonts w:ascii="Arial" w:hAnsi="Arial" w:cs="Arial"/>
                <w:color w:val="000000"/>
                <w:sz w:val="16"/>
                <w:szCs w:val="16"/>
              </w:rPr>
              <w:t>9,807</w:t>
            </w:r>
          </w:p>
        </w:tc>
        <w:tc>
          <w:tcPr>
            <w:tcW w:w="472" w:type="pct"/>
            <w:tcBorders>
              <w:top w:val="nil"/>
              <w:left w:val="nil"/>
              <w:bottom w:val="nil"/>
              <w:right w:val="nil"/>
            </w:tcBorders>
            <w:shd w:val="clear" w:color="000000" w:fill="E6F2FF"/>
            <w:noWrap/>
            <w:vAlign w:val="center"/>
            <w:hideMark/>
          </w:tcPr>
          <w:p w14:paraId="046AB4C7" w14:textId="77777777" w:rsidR="00C17931" w:rsidRPr="00C17931" w:rsidRDefault="00C17931" w:rsidP="00C17931">
            <w:pPr>
              <w:spacing w:before="0" w:after="0" w:line="240" w:lineRule="auto"/>
              <w:jc w:val="right"/>
              <w:rPr>
                <w:rFonts w:ascii="Arial" w:hAnsi="Arial" w:cs="Arial"/>
                <w:color w:val="000000"/>
                <w:sz w:val="16"/>
                <w:szCs w:val="16"/>
              </w:rPr>
            </w:pPr>
            <w:r w:rsidRPr="00C17931">
              <w:rPr>
                <w:rFonts w:ascii="Arial" w:hAnsi="Arial" w:cs="Arial"/>
                <w:color w:val="000000"/>
                <w:sz w:val="16"/>
                <w:szCs w:val="16"/>
              </w:rPr>
              <w:t>9,830</w:t>
            </w:r>
          </w:p>
        </w:tc>
        <w:tc>
          <w:tcPr>
            <w:tcW w:w="472" w:type="pct"/>
            <w:tcBorders>
              <w:top w:val="nil"/>
              <w:left w:val="nil"/>
              <w:bottom w:val="nil"/>
              <w:right w:val="nil"/>
            </w:tcBorders>
            <w:shd w:val="clear" w:color="000000" w:fill="FFFFFF"/>
            <w:noWrap/>
            <w:vAlign w:val="center"/>
            <w:hideMark/>
          </w:tcPr>
          <w:p w14:paraId="0CA5F829" w14:textId="77777777" w:rsidR="00C17931" w:rsidRPr="00C17931" w:rsidRDefault="00C17931" w:rsidP="00C17931">
            <w:pPr>
              <w:spacing w:before="0" w:after="0" w:line="240" w:lineRule="auto"/>
              <w:jc w:val="right"/>
              <w:rPr>
                <w:rFonts w:ascii="Arial" w:hAnsi="Arial" w:cs="Arial"/>
                <w:color w:val="000000"/>
                <w:sz w:val="16"/>
                <w:szCs w:val="16"/>
              </w:rPr>
            </w:pPr>
            <w:r w:rsidRPr="00C17931">
              <w:rPr>
                <w:rFonts w:ascii="Arial" w:hAnsi="Arial" w:cs="Arial"/>
                <w:color w:val="000000"/>
                <w:sz w:val="16"/>
                <w:szCs w:val="16"/>
              </w:rPr>
              <w:t>10,274</w:t>
            </w:r>
          </w:p>
        </w:tc>
        <w:tc>
          <w:tcPr>
            <w:tcW w:w="472" w:type="pct"/>
            <w:tcBorders>
              <w:top w:val="nil"/>
              <w:left w:val="nil"/>
              <w:bottom w:val="nil"/>
              <w:right w:val="nil"/>
            </w:tcBorders>
            <w:shd w:val="clear" w:color="000000" w:fill="FFFFFF"/>
            <w:noWrap/>
            <w:vAlign w:val="center"/>
            <w:hideMark/>
          </w:tcPr>
          <w:p w14:paraId="562DE368" w14:textId="77777777" w:rsidR="00C17931" w:rsidRPr="00C17931" w:rsidRDefault="00C17931" w:rsidP="00C17931">
            <w:pPr>
              <w:spacing w:before="0" w:after="0" w:line="240" w:lineRule="auto"/>
              <w:jc w:val="right"/>
              <w:rPr>
                <w:rFonts w:ascii="Arial" w:hAnsi="Arial" w:cs="Arial"/>
                <w:color w:val="000000"/>
                <w:sz w:val="16"/>
                <w:szCs w:val="16"/>
              </w:rPr>
            </w:pPr>
            <w:r w:rsidRPr="00C17931">
              <w:rPr>
                <w:rFonts w:ascii="Arial" w:hAnsi="Arial" w:cs="Arial"/>
                <w:color w:val="000000"/>
                <w:sz w:val="16"/>
                <w:szCs w:val="16"/>
              </w:rPr>
              <w:t>10,782</w:t>
            </w:r>
          </w:p>
        </w:tc>
        <w:tc>
          <w:tcPr>
            <w:tcW w:w="472" w:type="pct"/>
            <w:tcBorders>
              <w:top w:val="nil"/>
              <w:left w:val="nil"/>
              <w:bottom w:val="nil"/>
              <w:right w:val="nil"/>
            </w:tcBorders>
            <w:shd w:val="clear" w:color="000000" w:fill="FFFFFF"/>
            <w:noWrap/>
            <w:vAlign w:val="center"/>
            <w:hideMark/>
          </w:tcPr>
          <w:p w14:paraId="3979F48F" w14:textId="77777777" w:rsidR="00C17931" w:rsidRPr="00C17931" w:rsidRDefault="00C17931" w:rsidP="00C17931">
            <w:pPr>
              <w:spacing w:before="0" w:after="0" w:line="240" w:lineRule="auto"/>
              <w:jc w:val="right"/>
              <w:rPr>
                <w:rFonts w:ascii="Arial" w:hAnsi="Arial" w:cs="Arial"/>
                <w:color w:val="000000"/>
                <w:sz w:val="16"/>
                <w:szCs w:val="16"/>
              </w:rPr>
            </w:pPr>
            <w:r w:rsidRPr="00C17931">
              <w:rPr>
                <w:rFonts w:ascii="Arial" w:hAnsi="Arial" w:cs="Arial"/>
                <w:color w:val="000000"/>
                <w:sz w:val="16"/>
                <w:szCs w:val="16"/>
              </w:rPr>
              <w:t>11,309</w:t>
            </w:r>
          </w:p>
        </w:tc>
      </w:tr>
      <w:tr w:rsidR="00C17931" w:rsidRPr="00C17931" w14:paraId="38455A11" w14:textId="77777777" w:rsidTr="00C17931">
        <w:trPr>
          <w:trHeight w:hRule="exact" w:val="226"/>
        </w:trPr>
        <w:tc>
          <w:tcPr>
            <w:tcW w:w="1873" w:type="pct"/>
            <w:tcBorders>
              <w:top w:val="nil"/>
              <w:left w:val="nil"/>
              <w:bottom w:val="nil"/>
              <w:right w:val="nil"/>
            </w:tcBorders>
            <w:shd w:val="clear" w:color="000000" w:fill="FFFFFF"/>
            <w:noWrap/>
            <w:vAlign w:val="center"/>
            <w:hideMark/>
          </w:tcPr>
          <w:p w14:paraId="4097F261" w14:textId="77777777" w:rsidR="00C17931" w:rsidRPr="00C17931" w:rsidRDefault="00C17931" w:rsidP="00C17931">
            <w:pPr>
              <w:spacing w:before="0" w:after="0" w:line="240" w:lineRule="auto"/>
              <w:ind w:left="170"/>
              <w:rPr>
                <w:rFonts w:ascii="Arial" w:hAnsi="Arial" w:cs="Arial"/>
                <w:color w:val="000000"/>
                <w:sz w:val="16"/>
                <w:szCs w:val="16"/>
              </w:rPr>
            </w:pPr>
            <w:r w:rsidRPr="00C17931">
              <w:rPr>
                <w:rFonts w:ascii="Arial" w:hAnsi="Arial" w:cs="Arial"/>
                <w:color w:val="000000"/>
                <w:sz w:val="16"/>
                <w:szCs w:val="16"/>
              </w:rPr>
              <w:t> </w:t>
            </w:r>
          </w:p>
        </w:tc>
        <w:tc>
          <w:tcPr>
            <w:tcW w:w="711" w:type="pct"/>
            <w:tcBorders>
              <w:top w:val="nil"/>
              <w:left w:val="nil"/>
              <w:bottom w:val="nil"/>
              <w:right w:val="nil"/>
            </w:tcBorders>
            <w:shd w:val="clear" w:color="000000" w:fill="FFFFFF"/>
            <w:noWrap/>
            <w:vAlign w:val="center"/>
            <w:hideMark/>
          </w:tcPr>
          <w:p w14:paraId="203A3A6C" w14:textId="77777777" w:rsidR="00C17931" w:rsidRPr="00C17931" w:rsidRDefault="00C17931" w:rsidP="00C17931">
            <w:pPr>
              <w:spacing w:before="0" w:after="0" w:line="240" w:lineRule="auto"/>
              <w:rPr>
                <w:rFonts w:ascii="Arial" w:hAnsi="Arial" w:cs="Arial"/>
                <w:color w:val="000000"/>
                <w:sz w:val="16"/>
                <w:szCs w:val="16"/>
              </w:rPr>
            </w:pPr>
            <w:r w:rsidRPr="00C17931">
              <w:rPr>
                <w:rFonts w:ascii="Arial" w:hAnsi="Arial" w:cs="Arial"/>
                <w:color w:val="000000"/>
                <w:sz w:val="16"/>
                <w:szCs w:val="16"/>
              </w:rPr>
              <w:t>services</w:t>
            </w:r>
          </w:p>
        </w:tc>
        <w:tc>
          <w:tcPr>
            <w:tcW w:w="59" w:type="pct"/>
            <w:tcBorders>
              <w:top w:val="nil"/>
              <w:left w:val="nil"/>
              <w:bottom w:val="nil"/>
              <w:right w:val="nil"/>
            </w:tcBorders>
            <w:shd w:val="clear" w:color="000000" w:fill="FFFFFF"/>
            <w:noWrap/>
            <w:vAlign w:val="center"/>
            <w:hideMark/>
          </w:tcPr>
          <w:p w14:paraId="74E00A23" w14:textId="77777777" w:rsidR="00C17931" w:rsidRPr="00C17931" w:rsidRDefault="00C17931" w:rsidP="00C17931">
            <w:pPr>
              <w:spacing w:before="0" w:after="0" w:line="240" w:lineRule="auto"/>
              <w:rPr>
                <w:rFonts w:ascii="Arial" w:hAnsi="Arial" w:cs="Arial"/>
                <w:color w:val="000000"/>
                <w:sz w:val="16"/>
                <w:szCs w:val="16"/>
              </w:rPr>
            </w:pPr>
            <w:r w:rsidRPr="00C17931">
              <w:rPr>
                <w:rFonts w:ascii="Arial" w:hAnsi="Arial" w:cs="Arial"/>
                <w:color w:val="000000"/>
                <w:sz w:val="16"/>
                <w:szCs w:val="16"/>
              </w:rPr>
              <w:t> </w:t>
            </w:r>
          </w:p>
        </w:tc>
        <w:tc>
          <w:tcPr>
            <w:tcW w:w="472" w:type="pct"/>
            <w:tcBorders>
              <w:top w:val="nil"/>
              <w:left w:val="nil"/>
              <w:bottom w:val="nil"/>
              <w:right w:val="nil"/>
            </w:tcBorders>
            <w:shd w:val="clear" w:color="000000" w:fill="FFFFFF"/>
            <w:noWrap/>
            <w:vAlign w:val="center"/>
            <w:hideMark/>
          </w:tcPr>
          <w:p w14:paraId="51F1D6CD" w14:textId="77777777" w:rsidR="00C17931" w:rsidRPr="00C17931" w:rsidRDefault="00C17931" w:rsidP="00C17931">
            <w:pPr>
              <w:spacing w:before="0" w:after="0" w:line="240" w:lineRule="auto"/>
              <w:rPr>
                <w:rFonts w:ascii="Arial" w:hAnsi="Arial" w:cs="Arial"/>
                <w:color w:val="000000"/>
                <w:sz w:val="16"/>
                <w:szCs w:val="16"/>
              </w:rPr>
            </w:pPr>
            <w:r w:rsidRPr="00C17931">
              <w:rPr>
                <w:rFonts w:ascii="Arial" w:hAnsi="Arial" w:cs="Arial"/>
                <w:color w:val="000000"/>
                <w:sz w:val="16"/>
                <w:szCs w:val="16"/>
              </w:rPr>
              <w:t> </w:t>
            </w:r>
          </w:p>
        </w:tc>
        <w:tc>
          <w:tcPr>
            <w:tcW w:w="472" w:type="pct"/>
            <w:tcBorders>
              <w:top w:val="nil"/>
              <w:left w:val="nil"/>
              <w:bottom w:val="nil"/>
              <w:right w:val="nil"/>
            </w:tcBorders>
            <w:shd w:val="clear" w:color="000000" w:fill="E6F2FF"/>
            <w:noWrap/>
            <w:vAlign w:val="center"/>
            <w:hideMark/>
          </w:tcPr>
          <w:p w14:paraId="45CA5A80" w14:textId="77777777" w:rsidR="00C17931" w:rsidRPr="00C17931" w:rsidRDefault="00C17931" w:rsidP="00C17931">
            <w:pPr>
              <w:spacing w:before="0" w:after="0" w:line="240" w:lineRule="auto"/>
              <w:rPr>
                <w:rFonts w:ascii="Arial" w:hAnsi="Arial" w:cs="Arial"/>
                <w:color w:val="000000"/>
                <w:sz w:val="16"/>
                <w:szCs w:val="16"/>
              </w:rPr>
            </w:pPr>
            <w:r w:rsidRPr="00C17931">
              <w:rPr>
                <w:rFonts w:ascii="Arial" w:hAnsi="Arial" w:cs="Arial"/>
                <w:color w:val="000000"/>
                <w:sz w:val="16"/>
                <w:szCs w:val="16"/>
              </w:rPr>
              <w:t> </w:t>
            </w:r>
          </w:p>
        </w:tc>
        <w:tc>
          <w:tcPr>
            <w:tcW w:w="472" w:type="pct"/>
            <w:tcBorders>
              <w:top w:val="nil"/>
              <w:left w:val="nil"/>
              <w:bottom w:val="nil"/>
              <w:right w:val="nil"/>
            </w:tcBorders>
            <w:shd w:val="clear" w:color="000000" w:fill="FFFFFF"/>
            <w:noWrap/>
            <w:vAlign w:val="center"/>
            <w:hideMark/>
          </w:tcPr>
          <w:p w14:paraId="7EFECD24" w14:textId="77777777" w:rsidR="00C17931" w:rsidRPr="00C17931" w:rsidRDefault="00C17931" w:rsidP="00C17931">
            <w:pPr>
              <w:spacing w:before="0" w:after="0" w:line="240" w:lineRule="auto"/>
              <w:rPr>
                <w:rFonts w:ascii="Arial" w:hAnsi="Arial" w:cs="Arial"/>
                <w:color w:val="000000"/>
                <w:sz w:val="16"/>
                <w:szCs w:val="16"/>
              </w:rPr>
            </w:pPr>
            <w:r w:rsidRPr="00C17931">
              <w:rPr>
                <w:rFonts w:ascii="Arial" w:hAnsi="Arial" w:cs="Arial"/>
                <w:color w:val="000000"/>
                <w:sz w:val="16"/>
                <w:szCs w:val="16"/>
              </w:rPr>
              <w:t> </w:t>
            </w:r>
          </w:p>
        </w:tc>
        <w:tc>
          <w:tcPr>
            <w:tcW w:w="472" w:type="pct"/>
            <w:tcBorders>
              <w:top w:val="nil"/>
              <w:left w:val="nil"/>
              <w:bottom w:val="nil"/>
              <w:right w:val="nil"/>
            </w:tcBorders>
            <w:shd w:val="clear" w:color="000000" w:fill="FFFFFF"/>
            <w:noWrap/>
            <w:vAlign w:val="center"/>
            <w:hideMark/>
          </w:tcPr>
          <w:p w14:paraId="1010ECD2" w14:textId="77777777" w:rsidR="00C17931" w:rsidRPr="00C17931" w:rsidRDefault="00C17931" w:rsidP="00C17931">
            <w:pPr>
              <w:spacing w:before="0" w:after="0" w:line="240" w:lineRule="auto"/>
              <w:rPr>
                <w:rFonts w:ascii="Arial" w:hAnsi="Arial" w:cs="Arial"/>
                <w:color w:val="000000"/>
                <w:sz w:val="16"/>
                <w:szCs w:val="16"/>
              </w:rPr>
            </w:pPr>
            <w:r w:rsidRPr="00C17931">
              <w:rPr>
                <w:rFonts w:ascii="Arial" w:hAnsi="Arial" w:cs="Arial"/>
                <w:color w:val="000000"/>
                <w:sz w:val="16"/>
                <w:szCs w:val="16"/>
              </w:rPr>
              <w:t> </w:t>
            </w:r>
          </w:p>
        </w:tc>
        <w:tc>
          <w:tcPr>
            <w:tcW w:w="472" w:type="pct"/>
            <w:tcBorders>
              <w:top w:val="nil"/>
              <w:left w:val="nil"/>
              <w:bottom w:val="nil"/>
              <w:right w:val="nil"/>
            </w:tcBorders>
            <w:shd w:val="clear" w:color="000000" w:fill="FFFFFF"/>
            <w:noWrap/>
            <w:vAlign w:val="center"/>
            <w:hideMark/>
          </w:tcPr>
          <w:p w14:paraId="7459E8D0" w14:textId="77777777" w:rsidR="00C17931" w:rsidRPr="00C17931" w:rsidRDefault="00C17931" w:rsidP="00C17931">
            <w:pPr>
              <w:spacing w:before="0" w:after="0" w:line="240" w:lineRule="auto"/>
              <w:rPr>
                <w:rFonts w:ascii="Arial" w:hAnsi="Arial" w:cs="Arial"/>
                <w:color w:val="000000"/>
                <w:sz w:val="16"/>
                <w:szCs w:val="16"/>
              </w:rPr>
            </w:pPr>
            <w:r w:rsidRPr="00C17931">
              <w:rPr>
                <w:rFonts w:ascii="Arial" w:hAnsi="Arial" w:cs="Arial"/>
                <w:color w:val="000000"/>
                <w:sz w:val="16"/>
                <w:szCs w:val="16"/>
              </w:rPr>
              <w:t> </w:t>
            </w:r>
          </w:p>
        </w:tc>
      </w:tr>
      <w:tr w:rsidR="00C17931" w:rsidRPr="00C17931" w14:paraId="49B14450" w14:textId="77777777" w:rsidTr="00C17931">
        <w:trPr>
          <w:trHeight w:hRule="exact" w:val="226"/>
        </w:trPr>
        <w:tc>
          <w:tcPr>
            <w:tcW w:w="1873" w:type="pct"/>
            <w:tcBorders>
              <w:top w:val="nil"/>
              <w:left w:val="nil"/>
              <w:bottom w:val="nil"/>
              <w:right w:val="nil"/>
            </w:tcBorders>
            <w:shd w:val="clear" w:color="000000" w:fill="FFFFFF"/>
            <w:noWrap/>
            <w:vAlign w:val="center"/>
            <w:hideMark/>
          </w:tcPr>
          <w:p w14:paraId="579D043C" w14:textId="77777777" w:rsidR="00C17931" w:rsidRPr="00C17931" w:rsidRDefault="00C17931" w:rsidP="00C17931">
            <w:pPr>
              <w:spacing w:before="0" w:after="0" w:line="240" w:lineRule="auto"/>
              <w:rPr>
                <w:rFonts w:ascii="Arial" w:hAnsi="Arial" w:cs="Arial"/>
                <w:color w:val="000000"/>
                <w:sz w:val="16"/>
                <w:szCs w:val="16"/>
              </w:rPr>
            </w:pPr>
            <w:r w:rsidRPr="00C17931">
              <w:rPr>
                <w:rFonts w:ascii="Arial" w:hAnsi="Arial" w:cs="Arial"/>
                <w:color w:val="000000"/>
                <w:sz w:val="16"/>
                <w:szCs w:val="16"/>
              </w:rPr>
              <w:t>Army Capabilities</w:t>
            </w:r>
          </w:p>
        </w:tc>
        <w:tc>
          <w:tcPr>
            <w:tcW w:w="711" w:type="pct"/>
            <w:tcBorders>
              <w:top w:val="nil"/>
              <w:left w:val="nil"/>
              <w:bottom w:val="nil"/>
              <w:right w:val="nil"/>
            </w:tcBorders>
            <w:shd w:val="clear" w:color="000000" w:fill="FFFFFF"/>
            <w:noWrap/>
            <w:vAlign w:val="center"/>
            <w:hideMark/>
          </w:tcPr>
          <w:p w14:paraId="3DB84544" w14:textId="77777777" w:rsidR="00C17931" w:rsidRPr="00C17931" w:rsidRDefault="00C17931" w:rsidP="00C17931">
            <w:pPr>
              <w:spacing w:before="0" w:after="0" w:line="240" w:lineRule="auto"/>
              <w:rPr>
                <w:rFonts w:ascii="Arial" w:hAnsi="Arial" w:cs="Arial"/>
                <w:color w:val="000000"/>
                <w:sz w:val="16"/>
                <w:szCs w:val="16"/>
              </w:rPr>
            </w:pPr>
            <w:r w:rsidRPr="00C17931">
              <w:rPr>
                <w:rFonts w:ascii="Arial" w:hAnsi="Arial" w:cs="Arial"/>
                <w:color w:val="000000"/>
                <w:sz w:val="16"/>
                <w:szCs w:val="16"/>
              </w:rPr>
              <w:t>Defence</w:t>
            </w:r>
          </w:p>
        </w:tc>
        <w:tc>
          <w:tcPr>
            <w:tcW w:w="59" w:type="pct"/>
            <w:tcBorders>
              <w:top w:val="nil"/>
              <w:left w:val="nil"/>
              <w:bottom w:val="nil"/>
              <w:right w:val="nil"/>
            </w:tcBorders>
            <w:shd w:val="clear" w:color="000000" w:fill="FFFFFF"/>
            <w:noWrap/>
            <w:vAlign w:val="center"/>
            <w:hideMark/>
          </w:tcPr>
          <w:p w14:paraId="614628E1" w14:textId="77777777" w:rsidR="00C17931" w:rsidRPr="00C17931" w:rsidRDefault="00C17931" w:rsidP="00C17931">
            <w:pPr>
              <w:spacing w:before="0" w:after="0" w:line="240" w:lineRule="auto"/>
              <w:rPr>
                <w:rFonts w:ascii="Arial" w:hAnsi="Arial" w:cs="Arial"/>
                <w:color w:val="000000"/>
                <w:sz w:val="16"/>
                <w:szCs w:val="16"/>
              </w:rPr>
            </w:pPr>
            <w:r w:rsidRPr="00C17931">
              <w:rPr>
                <w:rFonts w:ascii="Arial" w:hAnsi="Arial" w:cs="Arial"/>
                <w:color w:val="000000"/>
                <w:sz w:val="16"/>
                <w:szCs w:val="16"/>
              </w:rPr>
              <w:t> </w:t>
            </w:r>
          </w:p>
        </w:tc>
        <w:tc>
          <w:tcPr>
            <w:tcW w:w="472" w:type="pct"/>
            <w:tcBorders>
              <w:top w:val="nil"/>
              <w:left w:val="nil"/>
              <w:bottom w:val="nil"/>
              <w:right w:val="nil"/>
            </w:tcBorders>
            <w:shd w:val="clear" w:color="000000" w:fill="FFFFFF"/>
            <w:noWrap/>
            <w:vAlign w:val="center"/>
            <w:hideMark/>
          </w:tcPr>
          <w:p w14:paraId="5B9B1E26" w14:textId="77777777" w:rsidR="00C17931" w:rsidRPr="00C17931" w:rsidRDefault="00C17931" w:rsidP="00C17931">
            <w:pPr>
              <w:spacing w:before="0" w:after="0" w:line="240" w:lineRule="auto"/>
              <w:jc w:val="right"/>
              <w:rPr>
                <w:rFonts w:ascii="Arial" w:hAnsi="Arial" w:cs="Arial"/>
                <w:color w:val="000000"/>
                <w:sz w:val="16"/>
                <w:szCs w:val="16"/>
              </w:rPr>
            </w:pPr>
            <w:r w:rsidRPr="00C17931">
              <w:rPr>
                <w:rFonts w:ascii="Arial" w:hAnsi="Arial" w:cs="Arial"/>
                <w:color w:val="000000"/>
                <w:sz w:val="16"/>
                <w:szCs w:val="16"/>
              </w:rPr>
              <w:t>9,014</w:t>
            </w:r>
          </w:p>
        </w:tc>
        <w:tc>
          <w:tcPr>
            <w:tcW w:w="472" w:type="pct"/>
            <w:tcBorders>
              <w:top w:val="nil"/>
              <w:left w:val="nil"/>
              <w:bottom w:val="nil"/>
              <w:right w:val="nil"/>
            </w:tcBorders>
            <w:shd w:val="clear" w:color="000000" w:fill="E6F2FF"/>
            <w:noWrap/>
            <w:vAlign w:val="center"/>
            <w:hideMark/>
          </w:tcPr>
          <w:p w14:paraId="68E06C8C" w14:textId="77777777" w:rsidR="00C17931" w:rsidRPr="00C17931" w:rsidRDefault="00C17931" w:rsidP="00C17931">
            <w:pPr>
              <w:spacing w:before="0" w:after="0" w:line="240" w:lineRule="auto"/>
              <w:jc w:val="right"/>
              <w:rPr>
                <w:rFonts w:ascii="Arial" w:hAnsi="Arial" w:cs="Arial"/>
                <w:color w:val="000000"/>
                <w:sz w:val="16"/>
                <w:szCs w:val="16"/>
              </w:rPr>
            </w:pPr>
            <w:r w:rsidRPr="00C17931">
              <w:rPr>
                <w:rFonts w:ascii="Arial" w:hAnsi="Arial" w:cs="Arial"/>
                <w:color w:val="000000"/>
                <w:sz w:val="16"/>
                <w:szCs w:val="16"/>
              </w:rPr>
              <w:t>9,207</w:t>
            </w:r>
          </w:p>
        </w:tc>
        <w:tc>
          <w:tcPr>
            <w:tcW w:w="472" w:type="pct"/>
            <w:tcBorders>
              <w:top w:val="nil"/>
              <w:left w:val="nil"/>
              <w:bottom w:val="nil"/>
              <w:right w:val="nil"/>
            </w:tcBorders>
            <w:shd w:val="clear" w:color="000000" w:fill="FFFFFF"/>
            <w:noWrap/>
            <w:vAlign w:val="center"/>
            <w:hideMark/>
          </w:tcPr>
          <w:p w14:paraId="04B12169" w14:textId="77777777" w:rsidR="00C17931" w:rsidRPr="00C17931" w:rsidRDefault="00C17931" w:rsidP="00C17931">
            <w:pPr>
              <w:spacing w:before="0" w:after="0" w:line="240" w:lineRule="auto"/>
              <w:jc w:val="right"/>
              <w:rPr>
                <w:rFonts w:ascii="Arial" w:hAnsi="Arial" w:cs="Arial"/>
                <w:color w:val="000000"/>
                <w:sz w:val="16"/>
                <w:szCs w:val="16"/>
              </w:rPr>
            </w:pPr>
            <w:r w:rsidRPr="00C17931">
              <w:rPr>
                <w:rFonts w:ascii="Arial" w:hAnsi="Arial" w:cs="Arial"/>
                <w:color w:val="000000"/>
                <w:sz w:val="16"/>
                <w:szCs w:val="16"/>
              </w:rPr>
              <w:t>9,863</w:t>
            </w:r>
          </w:p>
        </w:tc>
        <w:tc>
          <w:tcPr>
            <w:tcW w:w="472" w:type="pct"/>
            <w:tcBorders>
              <w:top w:val="nil"/>
              <w:left w:val="nil"/>
              <w:bottom w:val="nil"/>
              <w:right w:val="nil"/>
            </w:tcBorders>
            <w:shd w:val="clear" w:color="000000" w:fill="FFFFFF"/>
            <w:noWrap/>
            <w:vAlign w:val="center"/>
            <w:hideMark/>
          </w:tcPr>
          <w:p w14:paraId="1A5B77DD" w14:textId="77777777" w:rsidR="00C17931" w:rsidRPr="00C17931" w:rsidRDefault="00C17931" w:rsidP="00C17931">
            <w:pPr>
              <w:spacing w:before="0" w:after="0" w:line="240" w:lineRule="auto"/>
              <w:jc w:val="right"/>
              <w:rPr>
                <w:rFonts w:ascii="Arial" w:hAnsi="Arial" w:cs="Arial"/>
                <w:color w:val="000000"/>
                <w:sz w:val="16"/>
                <w:szCs w:val="16"/>
              </w:rPr>
            </w:pPr>
            <w:r w:rsidRPr="00C17931">
              <w:rPr>
                <w:rFonts w:ascii="Arial" w:hAnsi="Arial" w:cs="Arial"/>
                <w:color w:val="000000"/>
                <w:sz w:val="16"/>
                <w:szCs w:val="16"/>
              </w:rPr>
              <w:t>10,382</w:t>
            </w:r>
          </w:p>
        </w:tc>
        <w:tc>
          <w:tcPr>
            <w:tcW w:w="472" w:type="pct"/>
            <w:tcBorders>
              <w:top w:val="nil"/>
              <w:left w:val="nil"/>
              <w:bottom w:val="nil"/>
              <w:right w:val="nil"/>
            </w:tcBorders>
            <w:shd w:val="clear" w:color="000000" w:fill="FFFFFF"/>
            <w:noWrap/>
            <w:vAlign w:val="center"/>
            <w:hideMark/>
          </w:tcPr>
          <w:p w14:paraId="42120E09" w14:textId="77777777" w:rsidR="00C17931" w:rsidRPr="00C17931" w:rsidRDefault="00C17931" w:rsidP="00C17931">
            <w:pPr>
              <w:spacing w:before="0" w:after="0" w:line="240" w:lineRule="auto"/>
              <w:jc w:val="right"/>
              <w:rPr>
                <w:rFonts w:ascii="Arial" w:hAnsi="Arial" w:cs="Arial"/>
                <w:color w:val="000000"/>
                <w:sz w:val="16"/>
                <w:szCs w:val="16"/>
              </w:rPr>
            </w:pPr>
            <w:r w:rsidRPr="00C17931">
              <w:rPr>
                <w:rFonts w:ascii="Arial" w:hAnsi="Arial" w:cs="Arial"/>
                <w:color w:val="000000"/>
                <w:sz w:val="16"/>
                <w:szCs w:val="16"/>
              </w:rPr>
              <w:t>10,688</w:t>
            </w:r>
          </w:p>
        </w:tc>
      </w:tr>
      <w:tr w:rsidR="00C17931" w:rsidRPr="00C17931" w14:paraId="19A1D2AF" w14:textId="77777777" w:rsidTr="00C17931">
        <w:trPr>
          <w:trHeight w:hRule="exact" w:val="226"/>
        </w:trPr>
        <w:tc>
          <w:tcPr>
            <w:tcW w:w="1873" w:type="pct"/>
            <w:tcBorders>
              <w:top w:val="nil"/>
              <w:left w:val="nil"/>
              <w:bottom w:val="nil"/>
              <w:right w:val="nil"/>
            </w:tcBorders>
            <w:shd w:val="clear" w:color="000000" w:fill="FFFFFF"/>
            <w:noWrap/>
            <w:vAlign w:val="center"/>
            <w:hideMark/>
          </w:tcPr>
          <w:p w14:paraId="3096911F" w14:textId="20DA7DEF" w:rsidR="00C17931" w:rsidRPr="00C17931" w:rsidRDefault="00C17931" w:rsidP="00C17931">
            <w:pPr>
              <w:spacing w:before="0" w:after="0" w:line="240" w:lineRule="auto"/>
              <w:rPr>
                <w:rFonts w:ascii="Arial" w:hAnsi="Arial" w:cs="Arial"/>
                <w:color w:val="000000"/>
                <w:sz w:val="16"/>
                <w:szCs w:val="16"/>
              </w:rPr>
            </w:pPr>
            <w:r w:rsidRPr="00C17931">
              <w:rPr>
                <w:rFonts w:ascii="Arial" w:hAnsi="Arial" w:cs="Arial"/>
                <w:color w:val="000000"/>
                <w:sz w:val="16"/>
                <w:szCs w:val="16"/>
              </w:rPr>
              <w:t xml:space="preserve">National Partnership Payments </w:t>
            </w:r>
            <w:r w:rsidR="008D4F6B">
              <w:rPr>
                <w:rFonts w:ascii="Arial" w:hAnsi="Arial" w:cs="Arial"/>
                <w:color w:val="000000"/>
                <w:sz w:val="16"/>
                <w:szCs w:val="16"/>
              </w:rPr>
              <w:noBreakHyphen/>
            </w:r>
          </w:p>
        </w:tc>
        <w:tc>
          <w:tcPr>
            <w:tcW w:w="711" w:type="pct"/>
            <w:tcBorders>
              <w:top w:val="nil"/>
              <w:left w:val="nil"/>
              <w:bottom w:val="nil"/>
              <w:right w:val="nil"/>
            </w:tcBorders>
            <w:shd w:val="clear" w:color="000000" w:fill="FFFFFF"/>
            <w:noWrap/>
            <w:vAlign w:val="center"/>
            <w:hideMark/>
          </w:tcPr>
          <w:p w14:paraId="1B4A26DC" w14:textId="77777777" w:rsidR="00C17931" w:rsidRPr="00C17931" w:rsidRDefault="00C17931" w:rsidP="00C17931">
            <w:pPr>
              <w:spacing w:before="0" w:after="0" w:line="240" w:lineRule="auto"/>
              <w:rPr>
                <w:rFonts w:ascii="Arial" w:hAnsi="Arial" w:cs="Arial"/>
                <w:color w:val="000000"/>
                <w:sz w:val="16"/>
                <w:szCs w:val="16"/>
              </w:rPr>
            </w:pPr>
            <w:r w:rsidRPr="00C17931">
              <w:rPr>
                <w:rFonts w:ascii="Arial" w:hAnsi="Arial" w:cs="Arial"/>
                <w:color w:val="000000"/>
                <w:sz w:val="16"/>
                <w:szCs w:val="16"/>
              </w:rPr>
              <w:t>Transport and</w:t>
            </w:r>
          </w:p>
        </w:tc>
        <w:tc>
          <w:tcPr>
            <w:tcW w:w="59" w:type="pct"/>
            <w:tcBorders>
              <w:top w:val="nil"/>
              <w:left w:val="nil"/>
              <w:bottom w:val="nil"/>
              <w:right w:val="nil"/>
            </w:tcBorders>
            <w:shd w:val="clear" w:color="000000" w:fill="FFFFFF"/>
            <w:noWrap/>
            <w:vAlign w:val="center"/>
            <w:hideMark/>
          </w:tcPr>
          <w:p w14:paraId="06C17C2C" w14:textId="77777777" w:rsidR="00C17931" w:rsidRPr="00C17931" w:rsidRDefault="00C17931" w:rsidP="00C17931">
            <w:pPr>
              <w:spacing w:before="0" w:after="0" w:line="240" w:lineRule="auto"/>
              <w:rPr>
                <w:rFonts w:ascii="Arial" w:hAnsi="Arial" w:cs="Arial"/>
                <w:color w:val="000000"/>
                <w:sz w:val="16"/>
                <w:szCs w:val="16"/>
              </w:rPr>
            </w:pPr>
            <w:r w:rsidRPr="00C17931">
              <w:rPr>
                <w:rFonts w:ascii="Arial" w:hAnsi="Arial" w:cs="Arial"/>
                <w:color w:val="000000"/>
                <w:sz w:val="16"/>
                <w:szCs w:val="16"/>
              </w:rPr>
              <w:t> </w:t>
            </w:r>
          </w:p>
        </w:tc>
        <w:tc>
          <w:tcPr>
            <w:tcW w:w="472" w:type="pct"/>
            <w:tcBorders>
              <w:top w:val="nil"/>
              <w:left w:val="nil"/>
              <w:bottom w:val="nil"/>
              <w:right w:val="nil"/>
            </w:tcBorders>
            <w:shd w:val="clear" w:color="000000" w:fill="FFFFFF"/>
            <w:noWrap/>
            <w:vAlign w:val="center"/>
            <w:hideMark/>
          </w:tcPr>
          <w:p w14:paraId="47C56AF1" w14:textId="77777777" w:rsidR="00C17931" w:rsidRPr="00C17931" w:rsidRDefault="00C17931" w:rsidP="00C17931">
            <w:pPr>
              <w:spacing w:before="0" w:after="0" w:line="240" w:lineRule="auto"/>
              <w:rPr>
                <w:rFonts w:ascii="Arial" w:hAnsi="Arial" w:cs="Arial"/>
                <w:color w:val="000000"/>
                <w:sz w:val="16"/>
                <w:szCs w:val="16"/>
              </w:rPr>
            </w:pPr>
            <w:r w:rsidRPr="00C17931">
              <w:rPr>
                <w:rFonts w:ascii="Arial" w:hAnsi="Arial" w:cs="Arial"/>
                <w:color w:val="000000"/>
                <w:sz w:val="16"/>
                <w:szCs w:val="16"/>
              </w:rPr>
              <w:t> </w:t>
            </w:r>
          </w:p>
        </w:tc>
        <w:tc>
          <w:tcPr>
            <w:tcW w:w="472" w:type="pct"/>
            <w:tcBorders>
              <w:top w:val="nil"/>
              <w:left w:val="nil"/>
              <w:bottom w:val="nil"/>
              <w:right w:val="nil"/>
            </w:tcBorders>
            <w:shd w:val="clear" w:color="000000" w:fill="E6F2FF"/>
            <w:noWrap/>
            <w:vAlign w:val="center"/>
            <w:hideMark/>
          </w:tcPr>
          <w:p w14:paraId="7BA479E9" w14:textId="77777777" w:rsidR="00C17931" w:rsidRPr="00C17931" w:rsidRDefault="00C17931" w:rsidP="00C17931">
            <w:pPr>
              <w:spacing w:before="0" w:after="0" w:line="240" w:lineRule="auto"/>
              <w:rPr>
                <w:rFonts w:ascii="Arial" w:hAnsi="Arial" w:cs="Arial"/>
                <w:color w:val="000000"/>
                <w:sz w:val="16"/>
                <w:szCs w:val="16"/>
              </w:rPr>
            </w:pPr>
            <w:r w:rsidRPr="00C17931">
              <w:rPr>
                <w:rFonts w:ascii="Arial" w:hAnsi="Arial" w:cs="Arial"/>
                <w:color w:val="000000"/>
                <w:sz w:val="16"/>
                <w:szCs w:val="16"/>
              </w:rPr>
              <w:t> </w:t>
            </w:r>
          </w:p>
        </w:tc>
        <w:tc>
          <w:tcPr>
            <w:tcW w:w="472" w:type="pct"/>
            <w:tcBorders>
              <w:top w:val="nil"/>
              <w:left w:val="nil"/>
              <w:bottom w:val="nil"/>
              <w:right w:val="nil"/>
            </w:tcBorders>
            <w:shd w:val="clear" w:color="000000" w:fill="FFFFFF"/>
            <w:noWrap/>
            <w:vAlign w:val="center"/>
            <w:hideMark/>
          </w:tcPr>
          <w:p w14:paraId="6FE5E218" w14:textId="77777777" w:rsidR="00C17931" w:rsidRPr="00C17931" w:rsidRDefault="00C17931" w:rsidP="00C17931">
            <w:pPr>
              <w:spacing w:before="0" w:after="0" w:line="240" w:lineRule="auto"/>
              <w:rPr>
                <w:rFonts w:ascii="Arial" w:hAnsi="Arial" w:cs="Arial"/>
                <w:color w:val="000000"/>
                <w:sz w:val="16"/>
                <w:szCs w:val="16"/>
              </w:rPr>
            </w:pPr>
            <w:r w:rsidRPr="00C17931">
              <w:rPr>
                <w:rFonts w:ascii="Arial" w:hAnsi="Arial" w:cs="Arial"/>
                <w:color w:val="000000"/>
                <w:sz w:val="16"/>
                <w:szCs w:val="16"/>
              </w:rPr>
              <w:t> </w:t>
            </w:r>
          </w:p>
        </w:tc>
        <w:tc>
          <w:tcPr>
            <w:tcW w:w="472" w:type="pct"/>
            <w:tcBorders>
              <w:top w:val="nil"/>
              <w:left w:val="nil"/>
              <w:bottom w:val="nil"/>
              <w:right w:val="nil"/>
            </w:tcBorders>
            <w:shd w:val="clear" w:color="000000" w:fill="FFFFFF"/>
            <w:noWrap/>
            <w:vAlign w:val="center"/>
            <w:hideMark/>
          </w:tcPr>
          <w:p w14:paraId="611F95B3" w14:textId="77777777" w:rsidR="00C17931" w:rsidRPr="00C17931" w:rsidRDefault="00C17931" w:rsidP="00C17931">
            <w:pPr>
              <w:spacing w:before="0" w:after="0" w:line="240" w:lineRule="auto"/>
              <w:rPr>
                <w:rFonts w:ascii="Arial" w:hAnsi="Arial" w:cs="Arial"/>
                <w:color w:val="000000"/>
                <w:sz w:val="16"/>
                <w:szCs w:val="16"/>
              </w:rPr>
            </w:pPr>
            <w:r w:rsidRPr="00C17931">
              <w:rPr>
                <w:rFonts w:ascii="Arial" w:hAnsi="Arial" w:cs="Arial"/>
                <w:color w:val="000000"/>
                <w:sz w:val="16"/>
                <w:szCs w:val="16"/>
              </w:rPr>
              <w:t> </w:t>
            </w:r>
          </w:p>
        </w:tc>
        <w:tc>
          <w:tcPr>
            <w:tcW w:w="472" w:type="pct"/>
            <w:tcBorders>
              <w:top w:val="nil"/>
              <w:left w:val="nil"/>
              <w:bottom w:val="nil"/>
              <w:right w:val="nil"/>
            </w:tcBorders>
            <w:shd w:val="clear" w:color="000000" w:fill="FFFFFF"/>
            <w:noWrap/>
            <w:vAlign w:val="center"/>
            <w:hideMark/>
          </w:tcPr>
          <w:p w14:paraId="13BECBEC" w14:textId="77777777" w:rsidR="00C17931" w:rsidRPr="00C17931" w:rsidRDefault="00C17931" w:rsidP="00C17931">
            <w:pPr>
              <w:spacing w:before="0" w:after="0" w:line="240" w:lineRule="auto"/>
              <w:rPr>
                <w:rFonts w:ascii="Arial" w:hAnsi="Arial" w:cs="Arial"/>
                <w:color w:val="000000"/>
                <w:sz w:val="16"/>
                <w:szCs w:val="16"/>
              </w:rPr>
            </w:pPr>
            <w:r w:rsidRPr="00C17931">
              <w:rPr>
                <w:rFonts w:ascii="Arial" w:hAnsi="Arial" w:cs="Arial"/>
                <w:color w:val="000000"/>
                <w:sz w:val="16"/>
                <w:szCs w:val="16"/>
              </w:rPr>
              <w:t> </w:t>
            </w:r>
          </w:p>
        </w:tc>
      </w:tr>
      <w:tr w:rsidR="00C17931" w:rsidRPr="00C17931" w14:paraId="7C11EB0A" w14:textId="77777777" w:rsidTr="00C17931">
        <w:trPr>
          <w:trHeight w:hRule="exact" w:val="226"/>
        </w:trPr>
        <w:tc>
          <w:tcPr>
            <w:tcW w:w="1873" w:type="pct"/>
            <w:tcBorders>
              <w:top w:val="nil"/>
              <w:left w:val="nil"/>
              <w:bottom w:val="nil"/>
              <w:right w:val="nil"/>
            </w:tcBorders>
            <w:shd w:val="clear" w:color="000000" w:fill="FFFFFF"/>
            <w:noWrap/>
            <w:vAlign w:val="center"/>
            <w:hideMark/>
          </w:tcPr>
          <w:p w14:paraId="701C5505" w14:textId="77777777" w:rsidR="00C17931" w:rsidRPr="00C17931" w:rsidRDefault="00C17931" w:rsidP="00C17931">
            <w:pPr>
              <w:spacing w:before="0" w:after="0" w:line="240" w:lineRule="auto"/>
              <w:ind w:left="170"/>
              <w:rPr>
                <w:rFonts w:ascii="Arial" w:hAnsi="Arial" w:cs="Arial"/>
                <w:color w:val="000000"/>
                <w:sz w:val="16"/>
                <w:szCs w:val="16"/>
              </w:rPr>
            </w:pPr>
            <w:r w:rsidRPr="00C17931">
              <w:rPr>
                <w:rFonts w:ascii="Arial" w:hAnsi="Arial" w:cs="Arial"/>
                <w:color w:val="000000"/>
                <w:sz w:val="16"/>
                <w:szCs w:val="16"/>
              </w:rPr>
              <w:t>Road Transport</w:t>
            </w:r>
          </w:p>
        </w:tc>
        <w:tc>
          <w:tcPr>
            <w:tcW w:w="711" w:type="pct"/>
            <w:tcBorders>
              <w:top w:val="nil"/>
              <w:left w:val="nil"/>
              <w:bottom w:val="nil"/>
              <w:right w:val="nil"/>
            </w:tcBorders>
            <w:shd w:val="clear" w:color="000000" w:fill="FFFFFF"/>
            <w:noWrap/>
            <w:vAlign w:val="center"/>
            <w:hideMark/>
          </w:tcPr>
          <w:p w14:paraId="09F68BAB" w14:textId="77777777" w:rsidR="00C17931" w:rsidRPr="00C17931" w:rsidRDefault="00C17931" w:rsidP="00C17931">
            <w:pPr>
              <w:spacing w:before="0" w:after="0" w:line="240" w:lineRule="auto"/>
              <w:rPr>
                <w:rFonts w:ascii="Arial" w:hAnsi="Arial" w:cs="Arial"/>
                <w:color w:val="000000"/>
                <w:sz w:val="16"/>
                <w:szCs w:val="16"/>
              </w:rPr>
            </w:pPr>
            <w:r w:rsidRPr="00C17931">
              <w:rPr>
                <w:rFonts w:ascii="Arial" w:hAnsi="Arial" w:cs="Arial"/>
                <w:color w:val="000000"/>
                <w:sz w:val="16"/>
                <w:szCs w:val="16"/>
              </w:rPr>
              <w:t>communication</w:t>
            </w:r>
          </w:p>
        </w:tc>
        <w:tc>
          <w:tcPr>
            <w:tcW w:w="59" w:type="pct"/>
            <w:tcBorders>
              <w:top w:val="nil"/>
              <w:left w:val="nil"/>
              <w:bottom w:val="nil"/>
              <w:right w:val="nil"/>
            </w:tcBorders>
            <w:shd w:val="clear" w:color="000000" w:fill="FFFFFF"/>
            <w:noWrap/>
            <w:vAlign w:val="center"/>
            <w:hideMark/>
          </w:tcPr>
          <w:p w14:paraId="5258D37F" w14:textId="77777777" w:rsidR="00C17931" w:rsidRPr="00C17931" w:rsidRDefault="00C17931" w:rsidP="00C17931">
            <w:pPr>
              <w:spacing w:before="0" w:after="0" w:line="240" w:lineRule="auto"/>
              <w:rPr>
                <w:rFonts w:ascii="Arial" w:hAnsi="Arial" w:cs="Arial"/>
                <w:color w:val="000000"/>
                <w:sz w:val="16"/>
                <w:szCs w:val="16"/>
              </w:rPr>
            </w:pPr>
            <w:r w:rsidRPr="00C17931">
              <w:rPr>
                <w:rFonts w:ascii="Arial" w:hAnsi="Arial" w:cs="Arial"/>
                <w:color w:val="000000"/>
                <w:sz w:val="16"/>
                <w:szCs w:val="16"/>
              </w:rPr>
              <w:t> </w:t>
            </w:r>
          </w:p>
        </w:tc>
        <w:tc>
          <w:tcPr>
            <w:tcW w:w="472" w:type="pct"/>
            <w:tcBorders>
              <w:top w:val="nil"/>
              <w:left w:val="nil"/>
              <w:bottom w:val="single" w:sz="4" w:space="0" w:color="293F5B"/>
              <w:right w:val="nil"/>
            </w:tcBorders>
            <w:shd w:val="clear" w:color="000000" w:fill="FFFFFF"/>
            <w:noWrap/>
            <w:vAlign w:val="center"/>
            <w:hideMark/>
          </w:tcPr>
          <w:p w14:paraId="34B687B4" w14:textId="77777777" w:rsidR="00C17931" w:rsidRPr="00C17931" w:rsidRDefault="00C17931" w:rsidP="00C17931">
            <w:pPr>
              <w:spacing w:before="0" w:after="0" w:line="240" w:lineRule="auto"/>
              <w:jc w:val="right"/>
              <w:rPr>
                <w:rFonts w:ascii="Arial" w:hAnsi="Arial" w:cs="Arial"/>
                <w:color w:val="000000"/>
                <w:sz w:val="16"/>
                <w:szCs w:val="16"/>
              </w:rPr>
            </w:pPr>
            <w:r w:rsidRPr="00C17931">
              <w:rPr>
                <w:rFonts w:ascii="Arial" w:hAnsi="Arial" w:cs="Arial"/>
                <w:color w:val="000000"/>
                <w:sz w:val="16"/>
                <w:szCs w:val="16"/>
              </w:rPr>
              <w:t>8,175</w:t>
            </w:r>
          </w:p>
        </w:tc>
        <w:tc>
          <w:tcPr>
            <w:tcW w:w="472" w:type="pct"/>
            <w:tcBorders>
              <w:top w:val="nil"/>
              <w:left w:val="nil"/>
              <w:bottom w:val="single" w:sz="4" w:space="0" w:color="293F5B"/>
              <w:right w:val="nil"/>
            </w:tcBorders>
            <w:shd w:val="clear" w:color="000000" w:fill="E6F2FF"/>
            <w:noWrap/>
            <w:vAlign w:val="center"/>
            <w:hideMark/>
          </w:tcPr>
          <w:p w14:paraId="5980D2B1" w14:textId="77777777" w:rsidR="00C17931" w:rsidRPr="00C17931" w:rsidRDefault="00C17931" w:rsidP="00C17931">
            <w:pPr>
              <w:spacing w:before="0" w:after="0" w:line="240" w:lineRule="auto"/>
              <w:jc w:val="right"/>
              <w:rPr>
                <w:rFonts w:ascii="Arial" w:hAnsi="Arial" w:cs="Arial"/>
                <w:color w:val="000000"/>
                <w:sz w:val="16"/>
                <w:szCs w:val="16"/>
              </w:rPr>
            </w:pPr>
            <w:r w:rsidRPr="00C17931">
              <w:rPr>
                <w:rFonts w:ascii="Arial" w:hAnsi="Arial" w:cs="Arial"/>
                <w:color w:val="000000"/>
                <w:sz w:val="16"/>
                <w:szCs w:val="16"/>
              </w:rPr>
              <w:t>8,984</w:t>
            </w:r>
          </w:p>
        </w:tc>
        <w:tc>
          <w:tcPr>
            <w:tcW w:w="472" w:type="pct"/>
            <w:tcBorders>
              <w:top w:val="nil"/>
              <w:left w:val="nil"/>
              <w:bottom w:val="single" w:sz="4" w:space="0" w:color="293F5B"/>
              <w:right w:val="nil"/>
            </w:tcBorders>
            <w:shd w:val="clear" w:color="000000" w:fill="FFFFFF"/>
            <w:noWrap/>
            <w:vAlign w:val="center"/>
            <w:hideMark/>
          </w:tcPr>
          <w:p w14:paraId="3E1FA306" w14:textId="77777777" w:rsidR="00C17931" w:rsidRPr="00C17931" w:rsidRDefault="00C17931" w:rsidP="00C17931">
            <w:pPr>
              <w:spacing w:before="0" w:after="0" w:line="240" w:lineRule="auto"/>
              <w:jc w:val="right"/>
              <w:rPr>
                <w:rFonts w:ascii="Arial" w:hAnsi="Arial" w:cs="Arial"/>
                <w:color w:val="000000"/>
                <w:sz w:val="16"/>
                <w:szCs w:val="16"/>
              </w:rPr>
            </w:pPr>
            <w:r w:rsidRPr="00C17931">
              <w:rPr>
                <w:rFonts w:ascii="Arial" w:hAnsi="Arial" w:cs="Arial"/>
                <w:color w:val="000000"/>
                <w:sz w:val="16"/>
                <w:szCs w:val="16"/>
              </w:rPr>
              <w:t>9,551</w:t>
            </w:r>
          </w:p>
        </w:tc>
        <w:tc>
          <w:tcPr>
            <w:tcW w:w="472" w:type="pct"/>
            <w:tcBorders>
              <w:top w:val="nil"/>
              <w:left w:val="nil"/>
              <w:bottom w:val="single" w:sz="4" w:space="0" w:color="293F5B"/>
              <w:right w:val="nil"/>
            </w:tcBorders>
            <w:shd w:val="clear" w:color="000000" w:fill="FFFFFF"/>
            <w:noWrap/>
            <w:vAlign w:val="center"/>
            <w:hideMark/>
          </w:tcPr>
          <w:p w14:paraId="5EBDE509" w14:textId="77777777" w:rsidR="00C17931" w:rsidRPr="00C17931" w:rsidRDefault="00C17931" w:rsidP="00C17931">
            <w:pPr>
              <w:spacing w:before="0" w:after="0" w:line="240" w:lineRule="auto"/>
              <w:jc w:val="right"/>
              <w:rPr>
                <w:rFonts w:ascii="Arial" w:hAnsi="Arial" w:cs="Arial"/>
                <w:color w:val="000000"/>
                <w:sz w:val="16"/>
                <w:szCs w:val="16"/>
              </w:rPr>
            </w:pPr>
            <w:r w:rsidRPr="00C17931">
              <w:rPr>
                <w:rFonts w:ascii="Arial" w:hAnsi="Arial" w:cs="Arial"/>
                <w:color w:val="000000"/>
                <w:sz w:val="16"/>
                <w:szCs w:val="16"/>
              </w:rPr>
              <w:t>8,815</w:t>
            </w:r>
          </w:p>
        </w:tc>
        <w:tc>
          <w:tcPr>
            <w:tcW w:w="472" w:type="pct"/>
            <w:tcBorders>
              <w:top w:val="nil"/>
              <w:left w:val="nil"/>
              <w:bottom w:val="single" w:sz="4" w:space="0" w:color="293F5B"/>
              <w:right w:val="nil"/>
            </w:tcBorders>
            <w:shd w:val="clear" w:color="000000" w:fill="FFFFFF"/>
            <w:noWrap/>
            <w:vAlign w:val="center"/>
            <w:hideMark/>
          </w:tcPr>
          <w:p w14:paraId="36086B87" w14:textId="77777777" w:rsidR="00C17931" w:rsidRPr="00C17931" w:rsidRDefault="00C17931" w:rsidP="00C17931">
            <w:pPr>
              <w:spacing w:before="0" w:after="0" w:line="240" w:lineRule="auto"/>
              <w:jc w:val="right"/>
              <w:rPr>
                <w:rFonts w:ascii="Arial" w:hAnsi="Arial" w:cs="Arial"/>
                <w:color w:val="000000"/>
                <w:sz w:val="16"/>
                <w:szCs w:val="16"/>
              </w:rPr>
            </w:pPr>
            <w:r w:rsidRPr="00C17931">
              <w:rPr>
                <w:rFonts w:ascii="Arial" w:hAnsi="Arial" w:cs="Arial"/>
                <w:color w:val="000000"/>
                <w:sz w:val="16"/>
                <w:szCs w:val="16"/>
              </w:rPr>
              <w:t>8,082</w:t>
            </w:r>
          </w:p>
        </w:tc>
      </w:tr>
      <w:tr w:rsidR="00C17931" w:rsidRPr="00C17931" w14:paraId="1A9C19AC" w14:textId="77777777" w:rsidTr="00C17931">
        <w:trPr>
          <w:trHeight w:hRule="exact" w:val="226"/>
        </w:trPr>
        <w:tc>
          <w:tcPr>
            <w:tcW w:w="1873" w:type="pct"/>
            <w:tcBorders>
              <w:top w:val="nil"/>
              <w:left w:val="nil"/>
              <w:bottom w:val="nil"/>
              <w:right w:val="nil"/>
            </w:tcBorders>
            <w:shd w:val="clear" w:color="000000" w:fill="FFFFFF"/>
            <w:noWrap/>
            <w:vAlign w:val="center"/>
            <w:hideMark/>
          </w:tcPr>
          <w:p w14:paraId="5672C608" w14:textId="0C8A101F" w:rsidR="00C17931" w:rsidRPr="00C17931" w:rsidRDefault="00C17931" w:rsidP="00C17931">
            <w:pPr>
              <w:spacing w:before="0" w:after="0" w:line="240" w:lineRule="auto"/>
              <w:rPr>
                <w:rFonts w:ascii="Arial" w:hAnsi="Arial" w:cs="Arial"/>
                <w:b/>
                <w:bCs/>
                <w:color w:val="000000"/>
                <w:sz w:val="16"/>
                <w:szCs w:val="16"/>
              </w:rPr>
            </w:pPr>
            <w:r w:rsidRPr="00C17931">
              <w:rPr>
                <w:rFonts w:ascii="Arial" w:hAnsi="Arial" w:cs="Arial"/>
                <w:b/>
                <w:bCs/>
                <w:color w:val="000000"/>
                <w:sz w:val="16"/>
                <w:szCs w:val="16"/>
              </w:rPr>
              <w:t>Sub</w:t>
            </w:r>
            <w:r w:rsidR="008D4F6B">
              <w:rPr>
                <w:rFonts w:ascii="Arial" w:hAnsi="Arial" w:cs="Arial"/>
                <w:b/>
                <w:bCs/>
                <w:color w:val="000000"/>
                <w:sz w:val="16"/>
                <w:szCs w:val="16"/>
              </w:rPr>
              <w:noBreakHyphen/>
            </w:r>
            <w:r w:rsidRPr="00C17931">
              <w:rPr>
                <w:rFonts w:ascii="Arial" w:hAnsi="Arial" w:cs="Arial"/>
                <w:b/>
                <w:bCs/>
                <w:color w:val="000000"/>
                <w:sz w:val="16"/>
                <w:szCs w:val="16"/>
              </w:rPr>
              <w:t>total</w:t>
            </w:r>
          </w:p>
        </w:tc>
        <w:tc>
          <w:tcPr>
            <w:tcW w:w="711" w:type="pct"/>
            <w:tcBorders>
              <w:top w:val="nil"/>
              <w:left w:val="nil"/>
              <w:bottom w:val="nil"/>
              <w:right w:val="nil"/>
            </w:tcBorders>
            <w:shd w:val="clear" w:color="000000" w:fill="FFFFFF"/>
            <w:noWrap/>
            <w:vAlign w:val="center"/>
            <w:hideMark/>
          </w:tcPr>
          <w:p w14:paraId="0C241439" w14:textId="77777777" w:rsidR="00C17931" w:rsidRPr="00C17931" w:rsidRDefault="00C17931" w:rsidP="00C17931">
            <w:pPr>
              <w:spacing w:before="0" w:after="0" w:line="240" w:lineRule="auto"/>
              <w:rPr>
                <w:rFonts w:ascii="Arial" w:hAnsi="Arial" w:cs="Arial"/>
                <w:b/>
                <w:bCs/>
                <w:color w:val="000000"/>
                <w:sz w:val="16"/>
                <w:szCs w:val="16"/>
              </w:rPr>
            </w:pPr>
            <w:r w:rsidRPr="00C17931">
              <w:rPr>
                <w:rFonts w:ascii="Arial" w:hAnsi="Arial" w:cs="Arial"/>
                <w:b/>
                <w:bCs/>
                <w:color w:val="000000"/>
                <w:sz w:val="16"/>
                <w:szCs w:val="16"/>
              </w:rPr>
              <w:t> </w:t>
            </w:r>
          </w:p>
        </w:tc>
        <w:tc>
          <w:tcPr>
            <w:tcW w:w="59" w:type="pct"/>
            <w:tcBorders>
              <w:top w:val="nil"/>
              <w:left w:val="nil"/>
              <w:bottom w:val="nil"/>
              <w:right w:val="nil"/>
            </w:tcBorders>
            <w:shd w:val="clear" w:color="000000" w:fill="FFFFFF"/>
            <w:noWrap/>
            <w:vAlign w:val="center"/>
            <w:hideMark/>
          </w:tcPr>
          <w:p w14:paraId="5F289716" w14:textId="77777777" w:rsidR="00C17931" w:rsidRPr="00C17931" w:rsidRDefault="00C17931" w:rsidP="00C17931">
            <w:pPr>
              <w:spacing w:before="0" w:after="0" w:line="240" w:lineRule="auto"/>
              <w:rPr>
                <w:rFonts w:ascii="Arial" w:hAnsi="Arial" w:cs="Arial"/>
                <w:b/>
                <w:bCs/>
                <w:color w:val="000000"/>
                <w:sz w:val="16"/>
                <w:szCs w:val="16"/>
              </w:rPr>
            </w:pPr>
            <w:r w:rsidRPr="00C17931">
              <w:rPr>
                <w:rFonts w:ascii="Arial" w:hAnsi="Arial" w:cs="Arial"/>
                <w:b/>
                <w:bCs/>
                <w:color w:val="000000"/>
                <w:sz w:val="16"/>
                <w:szCs w:val="16"/>
              </w:rPr>
              <w:t> </w:t>
            </w:r>
          </w:p>
        </w:tc>
        <w:tc>
          <w:tcPr>
            <w:tcW w:w="472" w:type="pct"/>
            <w:tcBorders>
              <w:top w:val="nil"/>
              <w:left w:val="nil"/>
              <w:bottom w:val="single" w:sz="4" w:space="0" w:color="293F5B"/>
              <w:right w:val="nil"/>
            </w:tcBorders>
            <w:shd w:val="clear" w:color="000000" w:fill="FFFFFF"/>
            <w:noWrap/>
            <w:vAlign w:val="center"/>
            <w:hideMark/>
          </w:tcPr>
          <w:p w14:paraId="333912AA" w14:textId="77777777" w:rsidR="00C17931" w:rsidRPr="00C17931" w:rsidRDefault="00C17931" w:rsidP="00C17931">
            <w:pPr>
              <w:spacing w:before="0" w:after="0" w:line="240" w:lineRule="auto"/>
              <w:jc w:val="right"/>
              <w:rPr>
                <w:rFonts w:ascii="Arial" w:hAnsi="Arial" w:cs="Arial"/>
                <w:b/>
                <w:bCs/>
                <w:color w:val="000000"/>
                <w:sz w:val="16"/>
                <w:szCs w:val="16"/>
              </w:rPr>
            </w:pPr>
            <w:r w:rsidRPr="00C17931">
              <w:rPr>
                <w:rFonts w:ascii="Arial" w:hAnsi="Arial" w:cs="Arial"/>
                <w:b/>
                <w:bCs/>
                <w:color w:val="000000"/>
                <w:sz w:val="16"/>
                <w:szCs w:val="16"/>
              </w:rPr>
              <w:t>480,541</w:t>
            </w:r>
          </w:p>
        </w:tc>
        <w:tc>
          <w:tcPr>
            <w:tcW w:w="472" w:type="pct"/>
            <w:tcBorders>
              <w:top w:val="nil"/>
              <w:left w:val="nil"/>
              <w:bottom w:val="single" w:sz="4" w:space="0" w:color="293F5B"/>
              <w:right w:val="nil"/>
            </w:tcBorders>
            <w:shd w:val="clear" w:color="000000" w:fill="E6F2FF"/>
            <w:noWrap/>
            <w:vAlign w:val="center"/>
            <w:hideMark/>
          </w:tcPr>
          <w:p w14:paraId="2F8DDE46" w14:textId="77777777" w:rsidR="00C17931" w:rsidRPr="00C17931" w:rsidRDefault="00C17931" w:rsidP="00C17931">
            <w:pPr>
              <w:spacing w:before="0" w:after="0" w:line="240" w:lineRule="auto"/>
              <w:jc w:val="right"/>
              <w:rPr>
                <w:rFonts w:ascii="Arial" w:hAnsi="Arial" w:cs="Arial"/>
                <w:b/>
                <w:bCs/>
                <w:color w:val="000000"/>
                <w:sz w:val="16"/>
                <w:szCs w:val="16"/>
              </w:rPr>
            </w:pPr>
            <w:r w:rsidRPr="00C17931">
              <w:rPr>
                <w:rFonts w:ascii="Arial" w:hAnsi="Arial" w:cs="Arial"/>
                <w:b/>
                <w:bCs/>
                <w:color w:val="000000"/>
                <w:sz w:val="16"/>
                <w:szCs w:val="16"/>
              </w:rPr>
              <w:t>506,833</w:t>
            </w:r>
          </w:p>
        </w:tc>
        <w:tc>
          <w:tcPr>
            <w:tcW w:w="472" w:type="pct"/>
            <w:tcBorders>
              <w:top w:val="nil"/>
              <w:left w:val="nil"/>
              <w:bottom w:val="single" w:sz="4" w:space="0" w:color="293F5B"/>
              <w:right w:val="nil"/>
            </w:tcBorders>
            <w:shd w:val="clear" w:color="000000" w:fill="FFFFFF"/>
            <w:noWrap/>
            <w:vAlign w:val="center"/>
            <w:hideMark/>
          </w:tcPr>
          <w:p w14:paraId="7094E716" w14:textId="77777777" w:rsidR="00C17931" w:rsidRPr="00C17931" w:rsidRDefault="00C17931" w:rsidP="00C17931">
            <w:pPr>
              <w:spacing w:before="0" w:after="0" w:line="240" w:lineRule="auto"/>
              <w:jc w:val="right"/>
              <w:rPr>
                <w:rFonts w:ascii="Arial" w:hAnsi="Arial" w:cs="Arial"/>
                <w:b/>
                <w:bCs/>
                <w:color w:val="000000"/>
                <w:sz w:val="16"/>
                <w:szCs w:val="16"/>
              </w:rPr>
            </w:pPr>
            <w:r w:rsidRPr="00C17931">
              <w:rPr>
                <w:rFonts w:ascii="Arial" w:hAnsi="Arial" w:cs="Arial"/>
                <w:b/>
                <w:bCs/>
                <w:color w:val="000000"/>
                <w:sz w:val="16"/>
                <w:szCs w:val="16"/>
              </w:rPr>
              <w:t>534,273</w:t>
            </w:r>
          </w:p>
        </w:tc>
        <w:tc>
          <w:tcPr>
            <w:tcW w:w="472" w:type="pct"/>
            <w:tcBorders>
              <w:top w:val="nil"/>
              <w:left w:val="nil"/>
              <w:bottom w:val="single" w:sz="4" w:space="0" w:color="293F5B"/>
              <w:right w:val="nil"/>
            </w:tcBorders>
            <w:shd w:val="clear" w:color="000000" w:fill="FFFFFF"/>
            <w:noWrap/>
            <w:vAlign w:val="center"/>
            <w:hideMark/>
          </w:tcPr>
          <w:p w14:paraId="1B723805" w14:textId="77777777" w:rsidR="00C17931" w:rsidRPr="00C17931" w:rsidRDefault="00C17931" w:rsidP="00C17931">
            <w:pPr>
              <w:spacing w:before="0" w:after="0" w:line="240" w:lineRule="auto"/>
              <w:jc w:val="right"/>
              <w:rPr>
                <w:rFonts w:ascii="Arial" w:hAnsi="Arial" w:cs="Arial"/>
                <w:b/>
                <w:bCs/>
                <w:color w:val="000000"/>
                <w:sz w:val="16"/>
                <w:szCs w:val="16"/>
              </w:rPr>
            </w:pPr>
            <w:r w:rsidRPr="00C17931">
              <w:rPr>
                <w:rFonts w:ascii="Arial" w:hAnsi="Arial" w:cs="Arial"/>
                <w:b/>
                <w:bCs/>
                <w:color w:val="000000"/>
                <w:sz w:val="16"/>
                <w:szCs w:val="16"/>
              </w:rPr>
              <w:t>561,563</w:t>
            </w:r>
          </w:p>
        </w:tc>
        <w:tc>
          <w:tcPr>
            <w:tcW w:w="472" w:type="pct"/>
            <w:tcBorders>
              <w:top w:val="nil"/>
              <w:left w:val="nil"/>
              <w:bottom w:val="single" w:sz="4" w:space="0" w:color="293F5B"/>
              <w:right w:val="nil"/>
            </w:tcBorders>
            <w:shd w:val="clear" w:color="000000" w:fill="FFFFFF"/>
            <w:noWrap/>
            <w:vAlign w:val="center"/>
            <w:hideMark/>
          </w:tcPr>
          <w:p w14:paraId="07DBE991" w14:textId="77777777" w:rsidR="00C17931" w:rsidRPr="00C17931" w:rsidRDefault="00C17931" w:rsidP="00C17931">
            <w:pPr>
              <w:spacing w:before="0" w:after="0" w:line="240" w:lineRule="auto"/>
              <w:jc w:val="right"/>
              <w:rPr>
                <w:rFonts w:ascii="Arial" w:hAnsi="Arial" w:cs="Arial"/>
                <w:b/>
                <w:bCs/>
                <w:color w:val="000000"/>
                <w:sz w:val="16"/>
                <w:szCs w:val="16"/>
              </w:rPr>
            </w:pPr>
            <w:r w:rsidRPr="00C17931">
              <w:rPr>
                <w:rFonts w:ascii="Arial" w:hAnsi="Arial" w:cs="Arial"/>
                <w:b/>
                <w:bCs/>
                <w:color w:val="000000"/>
                <w:sz w:val="16"/>
                <w:szCs w:val="16"/>
              </w:rPr>
              <w:t>588,955</w:t>
            </w:r>
          </w:p>
        </w:tc>
      </w:tr>
      <w:tr w:rsidR="00C17931" w:rsidRPr="00C17931" w14:paraId="2EB896FD" w14:textId="77777777" w:rsidTr="00C17931">
        <w:trPr>
          <w:trHeight w:hRule="exact" w:val="226"/>
        </w:trPr>
        <w:tc>
          <w:tcPr>
            <w:tcW w:w="1873" w:type="pct"/>
            <w:tcBorders>
              <w:top w:val="nil"/>
              <w:left w:val="nil"/>
              <w:bottom w:val="nil"/>
              <w:right w:val="nil"/>
            </w:tcBorders>
            <w:shd w:val="clear" w:color="000000" w:fill="FFFFFF"/>
            <w:noWrap/>
            <w:vAlign w:val="center"/>
            <w:hideMark/>
          </w:tcPr>
          <w:p w14:paraId="7191A596" w14:textId="77777777" w:rsidR="00C17931" w:rsidRPr="00C17931" w:rsidRDefault="00C17931" w:rsidP="00C17931">
            <w:pPr>
              <w:spacing w:before="0" w:after="0" w:line="240" w:lineRule="auto"/>
              <w:rPr>
                <w:rFonts w:ascii="Arial" w:hAnsi="Arial" w:cs="Arial"/>
                <w:color w:val="000000"/>
                <w:sz w:val="16"/>
                <w:szCs w:val="16"/>
              </w:rPr>
            </w:pPr>
            <w:r w:rsidRPr="00C17931">
              <w:rPr>
                <w:rFonts w:ascii="Arial" w:hAnsi="Arial" w:cs="Arial"/>
                <w:color w:val="000000"/>
                <w:sz w:val="16"/>
                <w:szCs w:val="16"/>
              </w:rPr>
              <w:t>Other programs</w:t>
            </w:r>
          </w:p>
        </w:tc>
        <w:tc>
          <w:tcPr>
            <w:tcW w:w="711" w:type="pct"/>
            <w:tcBorders>
              <w:top w:val="nil"/>
              <w:left w:val="nil"/>
              <w:bottom w:val="nil"/>
              <w:right w:val="nil"/>
            </w:tcBorders>
            <w:shd w:val="clear" w:color="000000" w:fill="FFFFFF"/>
            <w:noWrap/>
            <w:vAlign w:val="center"/>
            <w:hideMark/>
          </w:tcPr>
          <w:p w14:paraId="7B8A5DFB" w14:textId="77777777" w:rsidR="00C17931" w:rsidRPr="00C17931" w:rsidRDefault="00C17931" w:rsidP="00C17931">
            <w:pPr>
              <w:spacing w:before="0" w:after="0" w:line="240" w:lineRule="auto"/>
              <w:rPr>
                <w:rFonts w:ascii="Arial" w:hAnsi="Arial" w:cs="Arial"/>
                <w:color w:val="000000"/>
                <w:sz w:val="16"/>
                <w:szCs w:val="16"/>
              </w:rPr>
            </w:pPr>
            <w:r w:rsidRPr="00C17931">
              <w:rPr>
                <w:rFonts w:ascii="Arial" w:hAnsi="Arial" w:cs="Arial"/>
                <w:color w:val="000000"/>
                <w:sz w:val="16"/>
                <w:szCs w:val="16"/>
              </w:rPr>
              <w:t> </w:t>
            </w:r>
          </w:p>
        </w:tc>
        <w:tc>
          <w:tcPr>
            <w:tcW w:w="59" w:type="pct"/>
            <w:tcBorders>
              <w:top w:val="nil"/>
              <w:left w:val="nil"/>
              <w:bottom w:val="nil"/>
              <w:right w:val="nil"/>
            </w:tcBorders>
            <w:shd w:val="clear" w:color="000000" w:fill="FFFFFF"/>
            <w:noWrap/>
            <w:vAlign w:val="center"/>
            <w:hideMark/>
          </w:tcPr>
          <w:p w14:paraId="06445502" w14:textId="77777777" w:rsidR="00C17931" w:rsidRPr="00C17931" w:rsidRDefault="00C17931" w:rsidP="00C17931">
            <w:pPr>
              <w:spacing w:before="0" w:after="0" w:line="240" w:lineRule="auto"/>
              <w:rPr>
                <w:rFonts w:ascii="Arial" w:hAnsi="Arial" w:cs="Arial"/>
                <w:color w:val="000000"/>
                <w:sz w:val="16"/>
                <w:szCs w:val="16"/>
              </w:rPr>
            </w:pPr>
            <w:r w:rsidRPr="00C17931">
              <w:rPr>
                <w:rFonts w:ascii="Arial" w:hAnsi="Arial" w:cs="Arial"/>
                <w:color w:val="000000"/>
                <w:sz w:val="16"/>
                <w:szCs w:val="16"/>
              </w:rPr>
              <w:t> </w:t>
            </w:r>
          </w:p>
        </w:tc>
        <w:tc>
          <w:tcPr>
            <w:tcW w:w="472" w:type="pct"/>
            <w:tcBorders>
              <w:top w:val="nil"/>
              <w:left w:val="nil"/>
              <w:bottom w:val="single" w:sz="4" w:space="0" w:color="293F5B"/>
              <w:right w:val="nil"/>
            </w:tcBorders>
            <w:shd w:val="clear" w:color="000000" w:fill="FFFFFF"/>
            <w:noWrap/>
            <w:vAlign w:val="center"/>
            <w:hideMark/>
          </w:tcPr>
          <w:p w14:paraId="067DD3B8" w14:textId="5F64B163" w:rsidR="00C17931" w:rsidRPr="00C17931" w:rsidRDefault="00C17931" w:rsidP="00C17931">
            <w:pPr>
              <w:spacing w:before="0" w:after="0" w:line="240" w:lineRule="auto"/>
              <w:jc w:val="right"/>
              <w:rPr>
                <w:rFonts w:ascii="Arial" w:hAnsi="Arial" w:cs="Arial"/>
                <w:color w:val="000000"/>
                <w:sz w:val="16"/>
                <w:szCs w:val="16"/>
              </w:rPr>
            </w:pPr>
            <w:r w:rsidRPr="00C17931">
              <w:rPr>
                <w:rFonts w:ascii="Arial" w:hAnsi="Arial" w:cs="Arial"/>
                <w:color w:val="000000"/>
                <w:sz w:val="16"/>
                <w:szCs w:val="16"/>
              </w:rPr>
              <w:t>210,</w:t>
            </w:r>
            <w:r w:rsidR="000C2BAC">
              <w:rPr>
                <w:rFonts w:ascii="Arial" w:hAnsi="Arial" w:cs="Arial"/>
                <w:color w:val="000000"/>
                <w:sz w:val="16"/>
                <w:szCs w:val="16"/>
              </w:rPr>
              <w:t>530</w:t>
            </w:r>
          </w:p>
        </w:tc>
        <w:tc>
          <w:tcPr>
            <w:tcW w:w="472" w:type="pct"/>
            <w:tcBorders>
              <w:top w:val="nil"/>
              <w:left w:val="nil"/>
              <w:bottom w:val="single" w:sz="4" w:space="0" w:color="293F5B"/>
              <w:right w:val="nil"/>
            </w:tcBorders>
            <w:shd w:val="clear" w:color="000000" w:fill="E6F2FF"/>
            <w:noWrap/>
            <w:vAlign w:val="center"/>
            <w:hideMark/>
          </w:tcPr>
          <w:p w14:paraId="242FF0D8" w14:textId="784752C6" w:rsidR="00C17931" w:rsidRPr="00C17931" w:rsidRDefault="00C17931" w:rsidP="00C17931">
            <w:pPr>
              <w:spacing w:before="0" w:after="0" w:line="240" w:lineRule="auto"/>
              <w:jc w:val="right"/>
              <w:rPr>
                <w:rFonts w:ascii="Arial" w:hAnsi="Arial" w:cs="Arial"/>
                <w:color w:val="000000"/>
                <w:sz w:val="16"/>
                <w:szCs w:val="16"/>
              </w:rPr>
            </w:pPr>
            <w:r w:rsidRPr="00C17931">
              <w:rPr>
                <w:rFonts w:ascii="Arial" w:hAnsi="Arial" w:cs="Arial"/>
                <w:color w:val="000000"/>
                <w:sz w:val="16"/>
                <w:szCs w:val="16"/>
              </w:rPr>
              <w:t>227,</w:t>
            </w:r>
            <w:r w:rsidR="000C2BAC">
              <w:rPr>
                <w:rFonts w:ascii="Arial" w:hAnsi="Arial" w:cs="Arial"/>
                <w:color w:val="000000"/>
                <w:sz w:val="16"/>
                <w:szCs w:val="16"/>
              </w:rPr>
              <w:t>685</w:t>
            </w:r>
          </w:p>
        </w:tc>
        <w:tc>
          <w:tcPr>
            <w:tcW w:w="472" w:type="pct"/>
            <w:tcBorders>
              <w:top w:val="nil"/>
              <w:left w:val="nil"/>
              <w:bottom w:val="single" w:sz="4" w:space="0" w:color="293F5B"/>
              <w:right w:val="nil"/>
            </w:tcBorders>
            <w:shd w:val="clear" w:color="000000" w:fill="FFFFFF"/>
            <w:noWrap/>
            <w:vAlign w:val="center"/>
            <w:hideMark/>
          </w:tcPr>
          <w:p w14:paraId="5E374E62" w14:textId="1505C151" w:rsidR="00C17931" w:rsidRPr="00C17931" w:rsidRDefault="00C17931" w:rsidP="00C17931">
            <w:pPr>
              <w:spacing w:before="0" w:after="0" w:line="240" w:lineRule="auto"/>
              <w:jc w:val="right"/>
              <w:rPr>
                <w:rFonts w:ascii="Arial" w:hAnsi="Arial" w:cs="Arial"/>
                <w:color w:val="000000"/>
                <w:sz w:val="16"/>
                <w:szCs w:val="16"/>
              </w:rPr>
            </w:pPr>
            <w:r w:rsidRPr="00C17931">
              <w:rPr>
                <w:rFonts w:ascii="Arial" w:hAnsi="Arial" w:cs="Arial"/>
                <w:color w:val="000000"/>
                <w:sz w:val="16"/>
                <w:szCs w:val="16"/>
              </w:rPr>
              <w:t>23</w:t>
            </w:r>
            <w:r w:rsidR="00FF3285">
              <w:rPr>
                <w:rFonts w:ascii="Arial" w:hAnsi="Arial" w:cs="Arial"/>
                <w:color w:val="000000"/>
                <w:sz w:val="16"/>
                <w:szCs w:val="16"/>
              </w:rPr>
              <w:t>3</w:t>
            </w:r>
            <w:r w:rsidRPr="00C17931">
              <w:rPr>
                <w:rFonts w:ascii="Arial" w:hAnsi="Arial" w:cs="Arial"/>
                <w:color w:val="000000"/>
                <w:sz w:val="16"/>
                <w:szCs w:val="16"/>
              </w:rPr>
              <w:t>,</w:t>
            </w:r>
            <w:r w:rsidR="00FF3285">
              <w:rPr>
                <w:rFonts w:ascii="Arial" w:hAnsi="Arial" w:cs="Arial"/>
                <w:color w:val="000000"/>
                <w:sz w:val="16"/>
                <w:szCs w:val="16"/>
              </w:rPr>
              <w:t>017</w:t>
            </w:r>
          </w:p>
        </w:tc>
        <w:tc>
          <w:tcPr>
            <w:tcW w:w="472" w:type="pct"/>
            <w:tcBorders>
              <w:top w:val="nil"/>
              <w:left w:val="nil"/>
              <w:bottom w:val="single" w:sz="4" w:space="0" w:color="293F5B"/>
              <w:right w:val="nil"/>
            </w:tcBorders>
            <w:shd w:val="clear" w:color="000000" w:fill="FFFFFF"/>
            <w:noWrap/>
            <w:vAlign w:val="center"/>
            <w:hideMark/>
          </w:tcPr>
          <w:p w14:paraId="0AC6DD1F" w14:textId="1DDBCEFF" w:rsidR="00C17931" w:rsidRPr="00C17931" w:rsidRDefault="00C17931" w:rsidP="00C17931">
            <w:pPr>
              <w:spacing w:before="0" w:after="0" w:line="240" w:lineRule="auto"/>
              <w:jc w:val="right"/>
              <w:rPr>
                <w:rFonts w:ascii="Arial" w:hAnsi="Arial" w:cs="Arial"/>
                <w:color w:val="000000"/>
                <w:sz w:val="16"/>
                <w:szCs w:val="16"/>
              </w:rPr>
            </w:pPr>
            <w:r w:rsidRPr="00C17931">
              <w:rPr>
                <w:rFonts w:ascii="Arial" w:hAnsi="Arial" w:cs="Arial"/>
                <w:color w:val="000000"/>
                <w:sz w:val="16"/>
                <w:szCs w:val="16"/>
              </w:rPr>
              <w:t>23</w:t>
            </w:r>
            <w:r w:rsidR="00FF3285">
              <w:rPr>
                <w:rFonts w:ascii="Arial" w:hAnsi="Arial" w:cs="Arial"/>
                <w:color w:val="000000"/>
                <w:sz w:val="16"/>
                <w:szCs w:val="16"/>
              </w:rPr>
              <w:t>2</w:t>
            </w:r>
            <w:r w:rsidRPr="00C17931">
              <w:rPr>
                <w:rFonts w:ascii="Arial" w:hAnsi="Arial" w:cs="Arial"/>
                <w:color w:val="000000"/>
                <w:sz w:val="16"/>
                <w:szCs w:val="16"/>
              </w:rPr>
              <w:t>,</w:t>
            </w:r>
            <w:r w:rsidR="00FF3285">
              <w:rPr>
                <w:rFonts w:ascii="Arial" w:hAnsi="Arial" w:cs="Arial"/>
                <w:color w:val="000000"/>
                <w:sz w:val="16"/>
                <w:szCs w:val="16"/>
              </w:rPr>
              <w:t>202</w:t>
            </w:r>
          </w:p>
        </w:tc>
        <w:tc>
          <w:tcPr>
            <w:tcW w:w="472" w:type="pct"/>
            <w:tcBorders>
              <w:top w:val="nil"/>
              <w:left w:val="nil"/>
              <w:bottom w:val="single" w:sz="4" w:space="0" w:color="293F5B"/>
              <w:right w:val="nil"/>
            </w:tcBorders>
            <w:shd w:val="clear" w:color="000000" w:fill="FFFFFF"/>
            <w:noWrap/>
            <w:vAlign w:val="center"/>
            <w:hideMark/>
          </w:tcPr>
          <w:p w14:paraId="0A1DA7BC" w14:textId="22E5395D" w:rsidR="00C17931" w:rsidRPr="00C17931" w:rsidRDefault="00C17931" w:rsidP="00C17931">
            <w:pPr>
              <w:spacing w:before="0" w:after="0" w:line="240" w:lineRule="auto"/>
              <w:jc w:val="right"/>
              <w:rPr>
                <w:rFonts w:ascii="Arial" w:hAnsi="Arial" w:cs="Arial"/>
                <w:color w:val="000000"/>
                <w:sz w:val="16"/>
                <w:szCs w:val="16"/>
              </w:rPr>
            </w:pPr>
            <w:r w:rsidRPr="00C17931">
              <w:rPr>
                <w:rFonts w:ascii="Arial" w:hAnsi="Arial" w:cs="Arial"/>
                <w:color w:val="000000"/>
                <w:sz w:val="16"/>
                <w:szCs w:val="16"/>
              </w:rPr>
              <w:t>240,</w:t>
            </w:r>
            <w:r w:rsidR="00FF3285">
              <w:rPr>
                <w:rFonts w:ascii="Arial" w:hAnsi="Arial" w:cs="Arial"/>
                <w:color w:val="000000"/>
                <w:sz w:val="16"/>
                <w:szCs w:val="16"/>
              </w:rPr>
              <w:t>800</w:t>
            </w:r>
          </w:p>
        </w:tc>
      </w:tr>
      <w:tr w:rsidR="00C17931" w:rsidRPr="00C17931" w14:paraId="0697B8B9" w14:textId="77777777" w:rsidTr="00C17931">
        <w:trPr>
          <w:trHeight w:hRule="exact" w:val="226"/>
        </w:trPr>
        <w:tc>
          <w:tcPr>
            <w:tcW w:w="1873" w:type="pct"/>
            <w:tcBorders>
              <w:top w:val="nil"/>
              <w:left w:val="nil"/>
              <w:bottom w:val="single" w:sz="4" w:space="0" w:color="293F5B"/>
              <w:right w:val="nil"/>
            </w:tcBorders>
            <w:shd w:val="clear" w:color="000000" w:fill="FFFFFF"/>
            <w:noWrap/>
            <w:vAlign w:val="center"/>
            <w:hideMark/>
          </w:tcPr>
          <w:p w14:paraId="7A852A85" w14:textId="77777777" w:rsidR="00C17931" w:rsidRPr="00C17931" w:rsidRDefault="00C17931" w:rsidP="00C17931">
            <w:pPr>
              <w:spacing w:before="0" w:after="0" w:line="240" w:lineRule="auto"/>
              <w:rPr>
                <w:rFonts w:ascii="Arial" w:hAnsi="Arial" w:cs="Arial"/>
                <w:b/>
                <w:bCs/>
                <w:color w:val="000000"/>
                <w:sz w:val="16"/>
                <w:szCs w:val="16"/>
              </w:rPr>
            </w:pPr>
            <w:r w:rsidRPr="00C17931">
              <w:rPr>
                <w:rFonts w:ascii="Arial" w:hAnsi="Arial" w:cs="Arial"/>
                <w:b/>
                <w:bCs/>
                <w:color w:val="000000"/>
                <w:sz w:val="16"/>
                <w:szCs w:val="16"/>
              </w:rPr>
              <w:t>Total expenses</w:t>
            </w:r>
          </w:p>
        </w:tc>
        <w:tc>
          <w:tcPr>
            <w:tcW w:w="711" w:type="pct"/>
            <w:tcBorders>
              <w:top w:val="nil"/>
              <w:left w:val="nil"/>
              <w:bottom w:val="single" w:sz="4" w:space="0" w:color="293F5B"/>
              <w:right w:val="nil"/>
            </w:tcBorders>
            <w:shd w:val="clear" w:color="000000" w:fill="FFFFFF"/>
            <w:noWrap/>
            <w:vAlign w:val="center"/>
            <w:hideMark/>
          </w:tcPr>
          <w:p w14:paraId="61BD1C83" w14:textId="77777777" w:rsidR="00C17931" w:rsidRPr="00C17931" w:rsidRDefault="00C17931" w:rsidP="00C17931">
            <w:pPr>
              <w:spacing w:before="0" w:after="0" w:line="240" w:lineRule="auto"/>
              <w:rPr>
                <w:rFonts w:ascii="Arial" w:hAnsi="Arial" w:cs="Arial"/>
                <w:b/>
                <w:bCs/>
                <w:color w:val="000000"/>
                <w:sz w:val="16"/>
                <w:szCs w:val="16"/>
              </w:rPr>
            </w:pPr>
            <w:r w:rsidRPr="00C17931">
              <w:rPr>
                <w:rFonts w:ascii="Arial" w:hAnsi="Arial" w:cs="Arial"/>
                <w:b/>
                <w:bCs/>
                <w:color w:val="000000"/>
                <w:sz w:val="16"/>
                <w:szCs w:val="16"/>
              </w:rPr>
              <w:t> </w:t>
            </w:r>
          </w:p>
        </w:tc>
        <w:tc>
          <w:tcPr>
            <w:tcW w:w="59" w:type="pct"/>
            <w:tcBorders>
              <w:top w:val="nil"/>
              <w:left w:val="nil"/>
              <w:bottom w:val="single" w:sz="4" w:space="0" w:color="293F5B"/>
              <w:right w:val="nil"/>
            </w:tcBorders>
            <w:shd w:val="clear" w:color="000000" w:fill="FFFFFF"/>
            <w:noWrap/>
            <w:vAlign w:val="center"/>
            <w:hideMark/>
          </w:tcPr>
          <w:p w14:paraId="2EFBB285" w14:textId="77777777" w:rsidR="00C17931" w:rsidRPr="00C17931" w:rsidRDefault="00C17931" w:rsidP="00C17931">
            <w:pPr>
              <w:spacing w:before="0" w:after="0" w:line="240" w:lineRule="auto"/>
              <w:rPr>
                <w:rFonts w:ascii="Arial" w:hAnsi="Arial" w:cs="Arial"/>
                <w:b/>
                <w:bCs/>
                <w:color w:val="000000"/>
                <w:sz w:val="16"/>
                <w:szCs w:val="16"/>
              </w:rPr>
            </w:pPr>
            <w:r w:rsidRPr="00C17931">
              <w:rPr>
                <w:rFonts w:ascii="Arial" w:hAnsi="Arial" w:cs="Arial"/>
                <w:b/>
                <w:bCs/>
                <w:color w:val="000000"/>
                <w:sz w:val="16"/>
                <w:szCs w:val="16"/>
              </w:rPr>
              <w:t> </w:t>
            </w:r>
          </w:p>
        </w:tc>
        <w:tc>
          <w:tcPr>
            <w:tcW w:w="472" w:type="pct"/>
            <w:tcBorders>
              <w:top w:val="nil"/>
              <w:left w:val="nil"/>
              <w:bottom w:val="single" w:sz="4" w:space="0" w:color="293F5B"/>
              <w:right w:val="nil"/>
            </w:tcBorders>
            <w:shd w:val="clear" w:color="000000" w:fill="FFFFFF"/>
            <w:noWrap/>
            <w:vAlign w:val="center"/>
            <w:hideMark/>
          </w:tcPr>
          <w:p w14:paraId="08FC657F" w14:textId="794FF144" w:rsidR="00C17931" w:rsidRPr="00C17931" w:rsidRDefault="00C17931" w:rsidP="00C17931">
            <w:pPr>
              <w:spacing w:before="0" w:after="0" w:line="240" w:lineRule="auto"/>
              <w:jc w:val="right"/>
              <w:rPr>
                <w:rFonts w:ascii="Arial" w:hAnsi="Arial" w:cs="Arial"/>
                <w:b/>
                <w:bCs/>
                <w:color w:val="000000"/>
                <w:sz w:val="16"/>
                <w:szCs w:val="16"/>
              </w:rPr>
            </w:pPr>
            <w:r w:rsidRPr="00C17931">
              <w:rPr>
                <w:rFonts w:ascii="Arial" w:hAnsi="Arial" w:cs="Arial"/>
                <w:b/>
                <w:bCs/>
                <w:color w:val="000000"/>
                <w:sz w:val="16"/>
                <w:szCs w:val="16"/>
              </w:rPr>
              <w:t>69</w:t>
            </w:r>
            <w:r w:rsidR="008E3650">
              <w:rPr>
                <w:rFonts w:ascii="Arial" w:hAnsi="Arial" w:cs="Arial"/>
                <w:b/>
                <w:bCs/>
                <w:color w:val="000000"/>
                <w:sz w:val="16"/>
                <w:szCs w:val="16"/>
              </w:rPr>
              <w:t>1</w:t>
            </w:r>
            <w:r w:rsidRPr="00C17931">
              <w:rPr>
                <w:rFonts w:ascii="Arial" w:hAnsi="Arial" w:cs="Arial"/>
                <w:b/>
                <w:bCs/>
                <w:color w:val="000000"/>
                <w:sz w:val="16"/>
                <w:szCs w:val="16"/>
              </w:rPr>
              <w:t>,</w:t>
            </w:r>
            <w:r w:rsidR="008E3650">
              <w:rPr>
                <w:rFonts w:ascii="Arial" w:hAnsi="Arial" w:cs="Arial"/>
                <w:b/>
                <w:bCs/>
                <w:color w:val="000000"/>
                <w:sz w:val="16"/>
                <w:szCs w:val="16"/>
              </w:rPr>
              <w:t>070</w:t>
            </w:r>
          </w:p>
        </w:tc>
        <w:tc>
          <w:tcPr>
            <w:tcW w:w="472" w:type="pct"/>
            <w:tcBorders>
              <w:top w:val="nil"/>
              <w:left w:val="nil"/>
              <w:bottom w:val="single" w:sz="4" w:space="0" w:color="293F5B"/>
              <w:right w:val="nil"/>
            </w:tcBorders>
            <w:shd w:val="clear" w:color="000000" w:fill="E6F2FF"/>
            <w:noWrap/>
            <w:vAlign w:val="center"/>
            <w:hideMark/>
          </w:tcPr>
          <w:p w14:paraId="55CE700F" w14:textId="2DF20139" w:rsidR="00C17931" w:rsidRPr="00C17931" w:rsidRDefault="00C17931" w:rsidP="00C17931">
            <w:pPr>
              <w:spacing w:before="0" w:after="0" w:line="240" w:lineRule="auto"/>
              <w:jc w:val="right"/>
              <w:rPr>
                <w:rFonts w:ascii="Arial" w:hAnsi="Arial" w:cs="Arial"/>
                <w:b/>
                <w:bCs/>
                <w:color w:val="000000"/>
                <w:sz w:val="16"/>
                <w:szCs w:val="16"/>
              </w:rPr>
            </w:pPr>
            <w:r w:rsidRPr="00C17931">
              <w:rPr>
                <w:rFonts w:ascii="Arial" w:hAnsi="Arial" w:cs="Arial"/>
                <w:b/>
                <w:bCs/>
                <w:color w:val="000000"/>
                <w:sz w:val="16"/>
                <w:szCs w:val="16"/>
              </w:rPr>
              <w:t>734,</w:t>
            </w:r>
            <w:r w:rsidR="008E3650">
              <w:rPr>
                <w:rFonts w:ascii="Arial" w:hAnsi="Arial" w:cs="Arial"/>
                <w:b/>
                <w:bCs/>
                <w:color w:val="000000"/>
                <w:sz w:val="16"/>
                <w:szCs w:val="16"/>
              </w:rPr>
              <w:t>518</w:t>
            </w:r>
          </w:p>
        </w:tc>
        <w:tc>
          <w:tcPr>
            <w:tcW w:w="472" w:type="pct"/>
            <w:tcBorders>
              <w:top w:val="nil"/>
              <w:left w:val="nil"/>
              <w:bottom w:val="single" w:sz="4" w:space="0" w:color="293F5B"/>
              <w:right w:val="nil"/>
            </w:tcBorders>
            <w:shd w:val="clear" w:color="000000" w:fill="FFFFFF"/>
            <w:noWrap/>
            <w:vAlign w:val="center"/>
            <w:hideMark/>
          </w:tcPr>
          <w:p w14:paraId="6BADCEC1" w14:textId="386C9D2C" w:rsidR="00C17931" w:rsidRPr="00C17931" w:rsidRDefault="00C17931" w:rsidP="00C17931">
            <w:pPr>
              <w:spacing w:before="0" w:after="0" w:line="240" w:lineRule="auto"/>
              <w:jc w:val="right"/>
              <w:rPr>
                <w:rFonts w:ascii="Arial" w:hAnsi="Arial" w:cs="Arial"/>
                <w:b/>
                <w:bCs/>
                <w:color w:val="000000"/>
                <w:sz w:val="16"/>
                <w:szCs w:val="16"/>
              </w:rPr>
            </w:pPr>
            <w:r w:rsidRPr="00C17931">
              <w:rPr>
                <w:rFonts w:ascii="Arial" w:hAnsi="Arial" w:cs="Arial"/>
                <w:b/>
                <w:bCs/>
                <w:color w:val="000000"/>
                <w:sz w:val="16"/>
                <w:szCs w:val="16"/>
              </w:rPr>
              <w:t>76</w:t>
            </w:r>
            <w:r w:rsidR="008E3650">
              <w:rPr>
                <w:rFonts w:ascii="Arial" w:hAnsi="Arial" w:cs="Arial"/>
                <w:b/>
                <w:bCs/>
                <w:color w:val="000000"/>
                <w:sz w:val="16"/>
                <w:szCs w:val="16"/>
              </w:rPr>
              <w:t>7</w:t>
            </w:r>
            <w:r w:rsidRPr="00C17931">
              <w:rPr>
                <w:rFonts w:ascii="Arial" w:hAnsi="Arial" w:cs="Arial"/>
                <w:b/>
                <w:bCs/>
                <w:color w:val="000000"/>
                <w:sz w:val="16"/>
                <w:szCs w:val="16"/>
              </w:rPr>
              <w:t>,</w:t>
            </w:r>
            <w:r w:rsidR="008E3650">
              <w:rPr>
                <w:rFonts w:ascii="Arial" w:hAnsi="Arial" w:cs="Arial"/>
                <w:b/>
                <w:bCs/>
                <w:color w:val="000000"/>
                <w:sz w:val="16"/>
                <w:szCs w:val="16"/>
              </w:rPr>
              <w:t>290</w:t>
            </w:r>
          </w:p>
        </w:tc>
        <w:tc>
          <w:tcPr>
            <w:tcW w:w="472" w:type="pct"/>
            <w:tcBorders>
              <w:top w:val="nil"/>
              <w:left w:val="nil"/>
              <w:bottom w:val="single" w:sz="4" w:space="0" w:color="293F5B"/>
              <w:right w:val="nil"/>
            </w:tcBorders>
            <w:shd w:val="clear" w:color="000000" w:fill="FFFFFF"/>
            <w:noWrap/>
            <w:vAlign w:val="center"/>
            <w:hideMark/>
          </w:tcPr>
          <w:p w14:paraId="05E1C41E" w14:textId="763D37DB" w:rsidR="00C17931" w:rsidRPr="00C17931" w:rsidRDefault="00C17931" w:rsidP="00C17931">
            <w:pPr>
              <w:spacing w:before="0" w:after="0" w:line="240" w:lineRule="auto"/>
              <w:jc w:val="right"/>
              <w:rPr>
                <w:rFonts w:ascii="Arial" w:hAnsi="Arial" w:cs="Arial"/>
                <w:b/>
                <w:bCs/>
                <w:color w:val="000000"/>
                <w:sz w:val="16"/>
                <w:szCs w:val="16"/>
              </w:rPr>
            </w:pPr>
            <w:r w:rsidRPr="00C17931">
              <w:rPr>
                <w:rFonts w:ascii="Arial" w:hAnsi="Arial" w:cs="Arial"/>
                <w:b/>
                <w:bCs/>
                <w:color w:val="000000"/>
                <w:sz w:val="16"/>
                <w:szCs w:val="16"/>
              </w:rPr>
              <w:t>793,</w:t>
            </w:r>
            <w:r w:rsidR="008E3650">
              <w:rPr>
                <w:rFonts w:ascii="Arial" w:hAnsi="Arial" w:cs="Arial"/>
                <w:b/>
                <w:bCs/>
                <w:color w:val="000000"/>
                <w:sz w:val="16"/>
                <w:szCs w:val="16"/>
              </w:rPr>
              <w:t>765</w:t>
            </w:r>
          </w:p>
        </w:tc>
        <w:tc>
          <w:tcPr>
            <w:tcW w:w="472" w:type="pct"/>
            <w:tcBorders>
              <w:top w:val="nil"/>
              <w:left w:val="nil"/>
              <w:bottom w:val="single" w:sz="4" w:space="0" w:color="293F5B"/>
              <w:right w:val="nil"/>
            </w:tcBorders>
            <w:shd w:val="clear" w:color="000000" w:fill="FFFFFF"/>
            <w:noWrap/>
            <w:vAlign w:val="center"/>
            <w:hideMark/>
          </w:tcPr>
          <w:p w14:paraId="412D6C12" w14:textId="6392C7C1" w:rsidR="00C17931" w:rsidRPr="00C17931" w:rsidRDefault="00C17931" w:rsidP="00C17931">
            <w:pPr>
              <w:spacing w:before="0" w:after="0" w:line="240" w:lineRule="auto"/>
              <w:jc w:val="right"/>
              <w:rPr>
                <w:rFonts w:ascii="Arial" w:hAnsi="Arial" w:cs="Arial"/>
                <w:b/>
                <w:bCs/>
                <w:color w:val="000000"/>
                <w:sz w:val="16"/>
                <w:szCs w:val="16"/>
              </w:rPr>
            </w:pPr>
            <w:r w:rsidRPr="00C17931">
              <w:rPr>
                <w:rFonts w:ascii="Arial" w:hAnsi="Arial" w:cs="Arial"/>
                <w:b/>
                <w:bCs/>
                <w:color w:val="000000"/>
                <w:sz w:val="16"/>
                <w:szCs w:val="16"/>
              </w:rPr>
              <w:t>829,</w:t>
            </w:r>
            <w:r w:rsidR="00FF3285">
              <w:rPr>
                <w:rFonts w:ascii="Arial" w:hAnsi="Arial" w:cs="Arial"/>
                <w:b/>
                <w:bCs/>
                <w:color w:val="000000"/>
                <w:sz w:val="16"/>
                <w:szCs w:val="16"/>
              </w:rPr>
              <w:t>755</w:t>
            </w:r>
          </w:p>
        </w:tc>
      </w:tr>
    </w:tbl>
    <w:p w14:paraId="57CA3C2D" w14:textId="144281D2" w:rsidR="00ED485A" w:rsidRDefault="00ED485A" w:rsidP="00E87DDC">
      <w:pPr>
        <w:pStyle w:val="ChartandTableFootnoteAlpha"/>
        <w:numPr>
          <w:ilvl w:val="0"/>
          <w:numId w:val="23"/>
        </w:numPr>
      </w:pPr>
      <w:r w:rsidRPr="000177D7">
        <w:t xml:space="preserve">The </w:t>
      </w:r>
      <w:r w:rsidRPr="00C17931">
        <w:rPr>
          <w:color w:val="auto"/>
        </w:rPr>
        <w:t>entry</w:t>
      </w:r>
      <w:r w:rsidRPr="000177D7">
        <w:t xml:space="preserve"> for each program includes eliminations for inter</w:t>
      </w:r>
      <w:r w:rsidR="008D4F6B">
        <w:noBreakHyphen/>
      </w:r>
      <w:r w:rsidRPr="000177D7">
        <w:t>agency transactions within that program.</w:t>
      </w:r>
    </w:p>
    <w:p w14:paraId="04736397" w14:textId="77777777" w:rsidR="00ED485A" w:rsidRDefault="00ED485A" w:rsidP="00ED485A">
      <w:pPr>
        <w:pStyle w:val="ChartandTableFootnoteAlpha"/>
      </w:pPr>
      <w:r w:rsidRPr="000177D7">
        <w:rPr>
          <w:color w:val="auto"/>
        </w:rPr>
        <w:t>This program is a combination of agency costs, support for participants and administered expenses.</w:t>
      </w:r>
    </w:p>
    <w:p w14:paraId="43025770" w14:textId="77777777" w:rsidR="00ED485A" w:rsidRPr="00A74A89" w:rsidRDefault="00ED485A" w:rsidP="00ED485A">
      <w:pPr>
        <w:pStyle w:val="ChartandTableFootnoteAlpha"/>
      </w:pPr>
      <w:r w:rsidRPr="000177D7">
        <w:rPr>
          <w:color w:val="auto"/>
        </w:rPr>
        <w:t>This program is a combination of superannuation nominal interest and accrual expenses.</w:t>
      </w:r>
      <w:bookmarkStart w:id="39" w:name="_Toc99203678"/>
    </w:p>
    <w:p w14:paraId="4BE12EEA" w14:textId="77777777" w:rsidR="00ED485A" w:rsidRPr="000177D7" w:rsidRDefault="00ED485A" w:rsidP="00D91079">
      <w:pPr>
        <w:pStyle w:val="TableLine"/>
      </w:pPr>
    </w:p>
    <w:p w14:paraId="18D1AEF0" w14:textId="77777777" w:rsidR="00ED485A" w:rsidRPr="000177D7" w:rsidRDefault="00ED485A" w:rsidP="00ED485A">
      <w:pPr>
        <w:pStyle w:val="Heading3"/>
      </w:pPr>
      <w:bookmarkStart w:id="40" w:name="_Toc166369416"/>
      <w:bookmarkStart w:id="41" w:name="_Toc117358171"/>
      <w:r w:rsidRPr="000177D7">
        <w:lastRenderedPageBreak/>
        <w:t xml:space="preserve">Program </w:t>
      </w:r>
      <w:r>
        <w:t>payments</w:t>
      </w:r>
      <w:bookmarkEnd w:id="40"/>
    </w:p>
    <w:p w14:paraId="21AE9FDC" w14:textId="49F2FFE1" w:rsidR="00E32E1B" w:rsidRDefault="00E32E1B" w:rsidP="00E32E1B">
      <w:r>
        <w:t>T</w:t>
      </w:r>
      <w:r w:rsidRPr="000177D7">
        <w:t xml:space="preserve">he top 20 </w:t>
      </w:r>
      <w:r>
        <w:t>payment</w:t>
      </w:r>
      <w:r w:rsidRPr="000177D7">
        <w:t xml:space="preserve"> programs in </w:t>
      </w:r>
      <w:r w:rsidR="00E006CE">
        <w:t xml:space="preserve">the </w:t>
      </w:r>
      <w:r w:rsidRPr="000177D7">
        <w:t>202</w:t>
      </w:r>
      <w:r>
        <w:t>4–</w:t>
      </w:r>
      <w:r w:rsidRPr="000177D7">
        <w:t>2</w:t>
      </w:r>
      <w:r>
        <w:t>5</w:t>
      </w:r>
      <w:r w:rsidR="00E006CE">
        <w:t xml:space="preserve"> financial year</w:t>
      </w:r>
      <w:r w:rsidRPr="000177D7">
        <w:t> </w:t>
      </w:r>
      <w:r>
        <w:t>are presented in Table </w:t>
      </w:r>
      <w:r w:rsidRPr="000177D7">
        <w:t>6.</w:t>
      </w:r>
      <w:r>
        <w:t>3</w:t>
      </w:r>
      <w:r w:rsidRPr="000177D7">
        <w:t>.</w:t>
      </w:r>
      <w:r>
        <w:t>2</w:t>
      </w:r>
      <w:r w:rsidRPr="000177D7">
        <w:t xml:space="preserve">. </w:t>
      </w:r>
      <w:r w:rsidRPr="00F60C80">
        <w:t>Although broadly similar to the top 20 expense programs</w:t>
      </w:r>
      <w:r>
        <w:t>,</w:t>
      </w:r>
      <w:r w:rsidRPr="00F60C80">
        <w:t xml:space="preserve"> there are some differences in the timing of reporting between </w:t>
      </w:r>
      <w:r>
        <w:t>payments and expenses, and t</w:t>
      </w:r>
      <w:r w:rsidRPr="00F60C80">
        <w:t xml:space="preserve">he reported payment figures include expenditure </w:t>
      </w:r>
      <w:r>
        <w:t>capital investment</w:t>
      </w:r>
      <w:r w:rsidRPr="00F60C80">
        <w:t xml:space="preserve"> but exclude depreciation.</w:t>
      </w:r>
    </w:p>
    <w:p w14:paraId="573E74FE" w14:textId="3586ED18" w:rsidR="005F7B49" w:rsidRDefault="00E32E1B" w:rsidP="005F7B49">
      <w:pPr>
        <w:pStyle w:val="TableHeading"/>
        <w:rPr>
          <w:rFonts w:asciiTheme="minorHAnsi" w:eastAsiaTheme="minorHAnsi" w:hAnsiTheme="minorHAnsi" w:cstheme="minorBidi"/>
          <w:sz w:val="22"/>
          <w:szCs w:val="22"/>
          <w:lang w:eastAsia="en-US"/>
        </w:rPr>
      </w:pPr>
      <w:r>
        <w:t>Table </w:t>
      </w:r>
      <w:r w:rsidRPr="000177D7">
        <w:t>6.3.</w:t>
      </w:r>
      <w:r>
        <w:t>2</w:t>
      </w:r>
      <w:r w:rsidRPr="000177D7">
        <w:t xml:space="preserve">: Top 20 programs by </w:t>
      </w:r>
      <w:r w:rsidRPr="006E6D19">
        <w:t>payment</w:t>
      </w:r>
    </w:p>
    <w:tbl>
      <w:tblPr>
        <w:tblW w:w="5000" w:type="pct"/>
        <w:tblCellMar>
          <w:left w:w="0" w:type="dxa"/>
          <w:right w:w="28" w:type="dxa"/>
        </w:tblCellMar>
        <w:tblLook w:val="04A0" w:firstRow="1" w:lastRow="0" w:firstColumn="1" w:lastColumn="0" w:noHBand="0" w:noVBand="1"/>
      </w:tblPr>
      <w:tblGrid>
        <w:gridCol w:w="2875"/>
        <w:gridCol w:w="1185"/>
        <w:gridCol w:w="78"/>
        <w:gridCol w:w="715"/>
        <w:gridCol w:w="715"/>
        <w:gridCol w:w="715"/>
        <w:gridCol w:w="716"/>
        <w:gridCol w:w="711"/>
      </w:tblGrid>
      <w:tr w:rsidR="005F7B49" w:rsidRPr="005F7B49" w14:paraId="2E761FF2" w14:textId="77777777" w:rsidTr="005F7B49">
        <w:trPr>
          <w:trHeight w:hRule="exact" w:val="20"/>
        </w:trPr>
        <w:tc>
          <w:tcPr>
            <w:tcW w:w="1873" w:type="pct"/>
            <w:tcBorders>
              <w:top w:val="nil"/>
              <w:left w:val="nil"/>
              <w:bottom w:val="single" w:sz="4" w:space="0" w:color="293F5B"/>
              <w:right w:val="nil"/>
            </w:tcBorders>
            <w:shd w:val="clear" w:color="000000" w:fill="FFFFFF"/>
            <w:noWrap/>
            <w:vAlign w:val="center"/>
            <w:hideMark/>
          </w:tcPr>
          <w:p w14:paraId="2E687B54" w14:textId="057AE8B7" w:rsidR="005F7B49" w:rsidRPr="005F7B49" w:rsidRDefault="005F7B49" w:rsidP="005F7B49">
            <w:pPr>
              <w:spacing w:before="0" w:after="0" w:line="240" w:lineRule="auto"/>
              <w:rPr>
                <w:rFonts w:ascii="Arial" w:hAnsi="Arial" w:cs="Arial"/>
                <w:b/>
                <w:bCs/>
                <w:color w:val="000000"/>
                <w:sz w:val="16"/>
                <w:szCs w:val="16"/>
              </w:rPr>
            </w:pPr>
            <w:r w:rsidRPr="005F7B49">
              <w:rPr>
                <w:rFonts w:ascii="Arial" w:hAnsi="Arial" w:cs="Arial"/>
                <w:b/>
                <w:bCs/>
                <w:color w:val="000000"/>
                <w:sz w:val="16"/>
                <w:szCs w:val="16"/>
              </w:rPr>
              <w:t> </w:t>
            </w:r>
          </w:p>
        </w:tc>
        <w:tc>
          <w:tcPr>
            <w:tcW w:w="711" w:type="pct"/>
            <w:tcBorders>
              <w:top w:val="nil"/>
              <w:left w:val="nil"/>
              <w:bottom w:val="single" w:sz="4" w:space="0" w:color="293F5B"/>
              <w:right w:val="nil"/>
            </w:tcBorders>
            <w:shd w:val="clear" w:color="000000" w:fill="FFFFFF"/>
            <w:noWrap/>
            <w:vAlign w:val="center"/>
            <w:hideMark/>
          </w:tcPr>
          <w:p w14:paraId="79501683" w14:textId="77777777" w:rsidR="005F7B49" w:rsidRPr="005F7B49" w:rsidRDefault="005F7B49" w:rsidP="005F7B49">
            <w:pPr>
              <w:spacing w:before="0" w:after="0" w:line="240" w:lineRule="auto"/>
              <w:rPr>
                <w:rFonts w:ascii="Arial" w:hAnsi="Arial" w:cs="Arial"/>
                <w:b/>
                <w:bCs/>
                <w:color w:val="000000"/>
                <w:sz w:val="16"/>
                <w:szCs w:val="16"/>
              </w:rPr>
            </w:pPr>
            <w:r w:rsidRPr="005F7B49">
              <w:rPr>
                <w:rFonts w:ascii="Arial" w:hAnsi="Arial" w:cs="Arial"/>
                <w:b/>
                <w:bCs/>
                <w:color w:val="000000"/>
                <w:sz w:val="16"/>
                <w:szCs w:val="16"/>
              </w:rPr>
              <w:t> </w:t>
            </w:r>
          </w:p>
        </w:tc>
        <w:tc>
          <w:tcPr>
            <w:tcW w:w="59" w:type="pct"/>
            <w:tcBorders>
              <w:top w:val="nil"/>
              <w:left w:val="nil"/>
              <w:bottom w:val="single" w:sz="4" w:space="0" w:color="293F5B"/>
              <w:right w:val="nil"/>
            </w:tcBorders>
            <w:shd w:val="clear" w:color="000000" w:fill="FFFFFF"/>
            <w:noWrap/>
            <w:vAlign w:val="center"/>
            <w:hideMark/>
          </w:tcPr>
          <w:p w14:paraId="107C86FE" w14:textId="77777777" w:rsidR="005F7B49" w:rsidRPr="005F7B49" w:rsidRDefault="005F7B49" w:rsidP="005F7B49">
            <w:pPr>
              <w:spacing w:before="0" w:after="0" w:line="240" w:lineRule="auto"/>
              <w:rPr>
                <w:rFonts w:ascii="Arial" w:hAnsi="Arial" w:cs="Arial"/>
                <w:b/>
                <w:bCs/>
                <w:color w:val="000000"/>
                <w:sz w:val="16"/>
                <w:szCs w:val="16"/>
              </w:rPr>
            </w:pPr>
            <w:r w:rsidRPr="005F7B49">
              <w:rPr>
                <w:rFonts w:ascii="Arial" w:hAnsi="Arial" w:cs="Arial"/>
                <w:b/>
                <w:bCs/>
                <w:color w:val="000000"/>
                <w:sz w:val="16"/>
                <w:szCs w:val="16"/>
              </w:rPr>
              <w:t> </w:t>
            </w:r>
          </w:p>
        </w:tc>
        <w:tc>
          <w:tcPr>
            <w:tcW w:w="472" w:type="pct"/>
            <w:tcBorders>
              <w:top w:val="nil"/>
              <w:left w:val="nil"/>
              <w:bottom w:val="single" w:sz="4" w:space="0" w:color="293F5B"/>
              <w:right w:val="nil"/>
            </w:tcBorders>
            <w:shd w:val="clear" w:color="000000" w:fill="FFFFFF"/>
            <w:noWrap/>
            <w:vAlign w:val="center"/>
            <w:hideMark/>
          </w:tcPr>
          <w:p w14:paraId="14538B3A" w14:textId="77777777" w:rsidR="005F7B49" w:rsidRPr="005F7B49" w:rsidRDefault="005F7B49" w:rsidP="005F7B49">
            <w:pPr>
              <w:spacing w:before="0" w:after="0" w:line="240" w:lineRule="auto"/>
              <w:rPr>
                <w:rFonts w:ascii="Arial" w:hAnsi="Arial" w:cs="Arial"/>
                <w:color w:val="000000"/>
                <w:sz w:val="16"/>
                <w:szCs w:val="16"/>
              </w:rPr>
            </w:pPr>
            <w:r w:rsidRPr="005F7B49">
              <w:rPr>
                <w:rFonts w:ascii="Arial" w:hAnsi="Arial" w:cs="Arial"/>
                <w:color w:val="000000"/>
                <w:sz w:val="16"/>
                <w:szCs w:val="16"/>
              </w:rPr>
              <w:t> </w:t>
            </w:r>
          </w:p>
        </w:tc>
        <w:tc>
          <w:tcPr>
            <w:tcW w:w="472" w:type="pct"/>
            <w:tcBorders>
              <w:top w:val="nil"/>
              <w:left w:val="nil"/>
              <w:bottom w:val="single" w:sz="4" w:space="0" w:color="293F5B"/>
              <w:right w:val="nil"/>
            </w:tcBorders>
            <w:shd w:val="clear" w:color="000000" w:fill="FFFFFF"/>
            <w:noWrap/>
            <w:vAlign w:val="center"/>
            <w:hideMark/>
          </w:tcPr>
          <w:p w14:paraId="6410F873" w14:textId="77777777" w:rsidR="005F7B49" w:rsidRPr="005F7B49" w:rsidRDefault="005F7B49" w:rsidP="005F7B49">
            <w:pPr>
              <w:spacing w:before="0" w:after="0" w:line="240" w:lineRule="auto"/>
              <w:rPr>
                <w:rFonts w:ascii="Arial" w:hAnsi="Arial" w:cs="Arial"/>
                <w:color w:val="000000"/>
                <w:sz w:val="16"/>
                <w:szCs w:val="16"/>
              </w:rPr>
            </w:pPr>
            <w:r w:rsidRPr="005F7B49">
              <w:rPr>
                <w:rFonts w:ascii="Arial" w:hAnsi="Arial" w:cs="Arial"/>
                <w:color w:val="000000"/>
                <w:sz w:val="16"/>
                <w:szCs w:val="16"/>
              </w:rPr>
              <w:t> </w:t>
            </w:r>
          </w:p>
        </w:tc>
        <w:tc>
          <w:tcPr>
            <w:tcW w:w="472" w:type="pct"/>
            <w:tcBorders>
              <w:top w:val="nil"/>
              <w:left w:val="nil"/>
              <w:bottom w:val="single" w:sz="4" w:space="0" w:color="293F5B"/>
              <w:right w:val="nil"/>
            </w:tcBorders>
            <w:shd w:val="clear" w:color="000000" w:fill="FFFFFF"/>
            <w:noWrap/>
            <w:vAlign w:val="center"/>
            <w:hideMark/>
          </w:tcPr>
          <w:p w14:paraId="7A183F72" w14:textId="77777777" w:rsidR="005F7B49" w:rsidRPr="005F7B49" w:rsidRDefault="005F7B49" w:rsidP="005F7B49">
            <w:pPr>
              <w:spacing w:before="0" w:after="0" w:line="240" w:lineRule="auto"/>
              <w:rPr>
                <w:rFonts w:ascii="Arial" w:hAnsi="Arial" w:cs="Arial"/>
                <w:color w:val="000000"/>
                <w:sz w:val="16"/>
                <w:szCs w:val="16"/>
              </w:rPr>
            </w:pPr>
            <w:r w:rsidRPr="005F7B49">
              <w:rPr>
                <w:rFonts w:ascii="Arial" w:hAnsi="Arial" w:cs="Arial"/>
                <w:color w:val="000000"/>
                <w:sz w:val="16"/>
                <w:szCs w:val="16"/>
              </w:rPr>
              <w:t> </w:t>
            </w:r>
          </w:p>
        </w:tc>
        <w:tc>
          <w:tcPr>
            <w:tcW w:w="472" w:type="pct"/>
            <w:tcBorders>
              <w:top w:val="nil"/>
              <w:left w:val="nil"/>
              <w:bottom w:val="single" w:sz="4" w:space="0" w:color="293F5B"/>
              <w:right w:val="nil"/>
            </w:tcBorders>
            <w:shd w:val="clear" w:color="000000" w:fill="FFFFFF"/>
            <w:noWrap/>
            <w:vAlign w:val="center"/>
            <w:hideMark/>
          </w:tcPr>
          <w:p w14:paraId="0F46F94B" w14:textId="77777777" w:rsidR="005F7B49" w:rsidRPr="005F7B49" w:rsidRDefault="005F7B49" w:rsidP="005F7B49">
            <w:pPr>
              <w:spacing w:before="0" w:after="0" w:line="240" w:lineRule="auto"/>
              <w:rPr>
                <w:rFonts w:ascii="Arial" w:hAnsi="Arial" w:cs="Arial"/>
                <w:color w:val="000000"/>
                <w:sz w:val="16"/>
                <w:szCs w:val="16"/>
              </w:rPr>
            </w:pPr>
            <w:r w:rsidRPr="005F7B49">
              <w:rPr>
                <w:rFonts w:ascii="Arial" w:hAnsi="Arial" w:cs="Arial"/>
                <w:color w:val="000000"/>
                <w:sz w:val="16"/>
                <w:szCs w:val="16"/>
              </w:rPr>
              <w:t> </w:t>
            </w:r>
          </w:p>
        </w:tc>
        <w:tc>
          <w:tcPr>
            <w:tcW w:w="472" w:type="pct"/>
            <w:tcBorders>
              <w:top w:val="nil"/>
              <w:left w:val="nil"/>
              <w:bottom w:val="single" w:sz="4" w:space="0" w:color="293F5B"/>
              <w:right w:val="nil"/>
            </w:tcBorders>
            <w:shd w:val="clear" w:color="000000" w:fill="FFFFFF"/>
            <w:noWrap/>
            <w:vAlign w:val="center"/>
            <w:hideMark/>
          </w:tcPr>
          <w:p w14:paraId="30D675E8" w14:textId="77777777" w:rsidR="005F7B49" w:rsidRPr="005F7B49" w:rsidRDefault="005F7B49" w:rsidP="005F7B49">
            <w:pPr>
              <w:spacing w:before="0" w:after="0" w:line="240" w:lineRule="auto"/>
              <w:rPr>
                <w:rFonts w:ascii="Arial" w:hAnsi="Arial" w:cs="Arial"/>
                <w:color w:val="000000"/>
                <w:sz w:val="16"/>
                <w:szCs w:val="16"/>
              </w:rPr>
            </w:pPr>
            <w:r w:rsidRPr="005F7B49">
              <w:rPr>
                <w:rFonts w:ascii="Arial" w:hAnsi="Arial" w:cs="Arial"/>
                <w:color w:val="000000"/>
                <w:sz w:val="16"/>
                <w:szCs w:val="16"/>
              </w:rPr>
              <w:t> </w:t>
            </w:r>
          </w:p>
        </w:tc>
      </w:tr>
      <w:tr w:rsidR="005F7B49" w:rsidRPr="005F7B49" w14:paraId="420868AD" w14:textId="77777777" w:rsidTr="006E6D19">
        <w:trPr>
          <w:trHeight w:hRule="exact" w:val="224"/>
        </w:trPr>
        <w:tc>
          <w:tcPr>
            <w:tcW w:w="1873" w:type="pct"/>
            <w:tcBorders>
              <w:top w:val="nil"/>
              <w:left w:val="nil"/>
              <w:bottom w:val="nil"/>
              <w:right w:val="nil"/>
            </w:tcBorders>
            <w:shd w:val="clear" w:color="000000" w:fill="FFFFFF"/>
            <w:noWrap/>
            <w:vAlign w:val="center"/>
            <w:hideMark/>
          </w:tcPr>
          <w:p w14:paraId="04B45884" w14:textId="77777777" w:rsidR="005F7B49" w:rsidRPr="005F7B49" w:rsidRDefault="005F7B49" w:rsidP="005F7B49">
            <w:pPr>
              <w:spacing w:before="0" w:after="0" w:line="240" w:lineRule="auto"/>
              <w:rPr>
                <w:rFonts w:ascii="Arial" w:hAnsi="Arial" w:cs="Arial"/>
                <w:b/>
                <w:bCs/>
                <w:color w:val="000000"/>
                <w:sz w:val="16"/>
                <w:szCs w:val="16"/>
              </w:rPr>
            </w:pPr>
            <w:r w:rsidRPr="005F7B49">
              <w:rPr>
                <w:rFonts w:ascii="Arial" w:hAnsi="Arial" w:cs="Arial"/>
                <w:b/>
                <w:bCs/>
                <w:color w:val="000000"/>
                <w:sz w:val="16"/>
                <w:szCs w:val="16"/>
              </w:rPr>
              <w:t> </w:t>
            </w:r>
          </w:p>
        </w:tc>
        <w:tc>
          <w:tcPr>
            <w:tcW w:w="711" w:type="pct"/>
            <w:tcBorders>
              <w:top w:val="nil"/>
              <w:left w:val="nil"/>
              <w:bottom w:val="nil"/>
              <w:right w:val="nil"/>
            </w:tcBorders>
            <w:shd w:val="clear" w:color="000000" w:fill="FFFFFF"/>
            <w:noWrap/>
            <w:vAlign w:val="center"/>
            <w:hideMark/>
          </w:tcPr>
          <w:p w14:paraId="15B46C04" w14:textId="77777777" w:rsidR="005F7B49" w:rsidRPr="005F7B49" w:rsidRDefault="005F7B49" w:rsidP="005F7B49">
            <w:pPr>
              <w:spacing w:before="0" w:after="0" w:line="240" w:lineRule="auto"/>
              <w:rPr>
                <w:rFonts w:ascii="Arial" w:hAnsi="Arial" w:cs="Arial"/>
                <w:color w:val="000000"/>
                <w:sz w:val="16"/>
                <w:szCs w:val="16"/>
              </w:rPr>
            </w:pPr>
            <w:r w:rsidRPr="005F7B49">
              <w:rPr>
                <w:rFonts w:ascii="Arial" w:hAnsi="Arial" w:cs="Arial"/>
                <w:color w:val="000000"/>
                <w:sz w:val="16"/>
                <w:szCs w:val="16"/>
              </w:rPr>
              <w:t> </w:t>
            </w:r>
          </w:p>
        </w:tc>
        <w:tc>
          <w:tcPr>
            <w:tcW w:w="59" w:type="pct"/>
            <w:tcBorders>
              <w:top w:val="nil"/>
              <w:left w:val="nil"/>
              <w:bottom w:val="nil"/>
              <w:right w:val="nil"/>
            </w:tcBorders>
            <w:shd w:val="clear" w:color="000000" w:fill="FFFFFF"/>
            <w:noWrap/>
            <w:vAlign w:val="center"/>
            <w:hideMark/>
          </w:tcPr>
          <w:p w14:paraId="45A08170" w14:textId="77777777" w:rsidR="005F7B49" w:rsidRPr="005F7B49" w:rsidRDefault="005F7B49" w:rsidP="005F7B49">
            <w:pPr>
              <w:spacing w:before="0" w:after="0" w:line="240" w:lineRule="auto"/>
              <w:rPr>
                <w:rFonts w:ascii="Arial" w:hAnsi="Arial" w:cs="Arial"/>
                <w:color w:val="000000"/>
                <w:sz w:val="16"/>
                <w:szCs w:val="16"/>
              </w:rPr>
            </w:pPr>
            <w:r w:rsidRPr="005F7B49">
              <w:rPr>
                <w:rFonts w:ascii="Arial" w:hAnsi="Arial" w:cs="Arial"/>
                <w:color w:val="000000"/>
                <w:sz w:val="16"/>
                <w:szCs w:val="16"/>
              </w:rPr>
              <w:t> </w:t>
            </w:r>
          </w:p>
        </w:tc>
        <w:tc>
          <w:tcPr>
            <w:tcW w:w="2358" w:type="pct"/>
            <w:gridSpan w:val="5"/>
            <w:tcBorders>
              <w:top w:val="single" w:sz="4" w:space="0" w:color="293F5B"/>
              <w:left w:val="nil"/>
              <w:bottom w:val="single" w:sz="4" w:space="0" w:color="293F5B"/>
              <w:right w:val="nil"/>
            </w:tcBorders>
            <w:shd w:val="clear" w:color="000000" w:fill="FFFFFF"/>
            <w:noWrap/>
            <w:vAlign w:val="center"/>
            <w:hideMark/>
          </w:tcPr>
          <w:p w14:paraId="39927111" w14:textId="77777777" w:rsidR="005F7B49" w:rsidRPr="005F7B49" w:rsidRDefault="005F7B49" w:rsidP="005F7B49">
            <w:pPr>
              <w:spacing w:before="0" w:after="0" w:line="240" w:lineRule="auto"/>
              <w:jc w:val="center"/>
              <w:rPr>
                <w:rFonts w:ascii="Arial" w:hAnsi="Arial" w:cs="Arial"/>
                <w:color w:val="000000"/>
                <w:sz w:val="16"/>
                <w:szCs w:val="16"/>
              </w:rPr>
            </w:pPr>
            <w:r w:rsidRPr="005F7B49">
              <w:rPr>
                <w:rFonts w:ascii="Arial" w:hAnsi="Arial" w:cs="Arial"/>
                <w:color w:val="000000"/>
                <w:sz w:val="16"/>
                <w:szCs w:val="16"/>
              </w:rPr>
              <w:t>Estimates</w:t>
            </w:r>
          </w:p>
        </w:tc>
      </w:tr>
      <w:tr w:rsidR="005F7B49" w:rsidRPr="005F7B49" w14:paraId="3AD97B8B" w14:textId="77777777" w:rsidTr="005F7B49">
        <w:trPr>
          <w:trHeight w:hRule="exact" w:val="226"/>
        </w:trPr>
        <w:tc>
          <w:tcPr>
            <w:tcW w:w="1873" w:type="pct"/>
            <w:tcBorders>
              <w:top w:val="nil"/>
              <w:left w:val="nil"/>
              <w:bottom w:val="nil"/>
              <w:right w:val="nil"/>
            </w:tcBorders>
            <w:shd w:val="clear" w:color="000000" w:fill="FFFFFF"/>
            <w:noWrap/>
            <w:vAlign w:val="bottom"/>
            <w:hideMark/>
          </w:tcPr>
          <w:p w14:paraId="57A483F9" w14:textId="77777777" w:rsidR="005F7B49" w:rsidRPr="005F7B49" w:rsidRDefault="005F7B49" w:rsidP="005F7B49">
            <w:pPr>
              <w:spacing w:before="0" w:after="0" w:line="240" w:lineRule="auto"/>
              <w:rPr>
                <w:rFonts w:ascii="Arial" w:hAnsi="Arial" w:cs="Arial"/>
                <w:color w:val="000000"/>
                <w:sz w:val="16"/>
                <w:szCs w:val="16"/>
              </w:rPr>
            </w:pPr>
            <w:r w:rsidRPr="005F7B49">
              <w:rPr>
                <w:rFonts w:ascii="Arial" w:hAnsi="Arial" w:cs="Arial"/>
                <w:color w:val="000000"/>
                <w:sz w:val="16"/>
                <w:szCs w:val="16"/>
              </w:rPr>
              <w:t> </w:t>
            </w:r>
          </w:p>
        </w:tc>
        <w:tc>
          <w:tcPr>
            <w:tcW w:w="711" w:type="pct"/>
            <w:tcBorders>
              <w:top w:val="nil"/>
              <w:left w:val="nil"/>
              <w:bottom w:val="nil"/>
              <w:right w:val="nil"/>
            </w:tcBorders>
            <w:shd w:val="clear" w:color="000000" w:fill="FFFFFF"/>
            <w:noWrap/>
            <w:vAlign w:val="center"/>
            <w:hideMark/>
          </w:tcPr>
          <w:p w14:paraId="5D67BA1A" w14:textId="77777777" w:rsidR="005F7B49" w:rsidRPr="005F7B49" w:rsidRDefault="005F7B49" w:rsidP="005F7B49">
            <w:pPr>
              <w:spacing w:before="0" w:after="0" w:line="240" w:lineRule="auto"/>
              <w:jc w:val="right"/>
              <w:rPr>
                <w:rFonts w:ascii="Arial" w:hAnsi="Arial" w:cs="Arial"/>
                <w:sz w:val="16"/>
                <w:szCs w:val="16"/>
              </w:rPr>
            </w:pPr>
            <w:r w:rsidRPr="005F7B49">
              <w:rPr>
                <w:rFonts w:ascii="Arial" w:hAnsi="Arial" w:cs="Arial"/>
                <w:sz w:val="16"/>
                <w:szCs w:val="16"/>
              </w:rPr>
              <w:t> </w:t>
            </w:r>
          </w:p>
        </w:tc>
        <w:tc>
          <w:tcPr>
            <w:tcW w:w="59" w:type="pct"/>
            <w:tcBorders>
              <w:top w:val="nil"/>
              <w:left w:val="nil"/>
              <w:bottom w:val="nil"/>
              <w:right w:val="nil"/>
            </w:tcBorders>
            <w:shd w:val="clear" w:color="000000" w:fill="FFFFFF"/>
            <w:noWrap/>
            <w:vAlign w:val="center"/>
            <w:hideMark/>
          </w:tcPr>
          <w:p w14:paraId="6F5B5EB2" w14:textId="77777777" w:rsidR="005F7B49" w:rsidRPr="005F7B49" w:rsidRDefault="005F7B49" w:rsidP="005F7B49">
            <w:pPr>
              <w:spacing w:before="0" w:after="0" w:line="240" w:lineRule="auto"/>
              <w:jc w:val="right"/>
              <w:rPr>
                <w:rFonts w:ascii="Arial" w:hAnsi="Arial" w:cs="Arial"/>
                <w:sz w:val="16"/>
                <w:szCs w:val="16"/>
              </w:rPr>
            </w:pPr>
            <w:r w:rsidRPr="005F7B49">
              <w:rPr>
                <w:rFonts w:ascii="Arial" w:hAnsi="Arial" w:cs="Arial"/>
                <w:sz w:val="16"/>
                <w:szCs w:val="16"/>
              </w:rPr>
              <w:t> </w:t>
            </w:r>
          </w:p>
        </w:tc>
        <w:tc>
          <w:tcPr>
            <w:tcW w:w="472" w:type="pct"/>
            <w:tcBorders>
              <w:top w:val="single" w:sz="4" w:space="0" w:color="293F5B"/>
              <w:left w:val="nil"/>
              <w:bottom w:val="nil"/>
              <w:right w:val="nil"/>
            </w:tcBorders>
            <w:shd w:val="clear" w:color="000000" w:fill="FFFFFF"/>
            <w:noWrap/>
            <w:vAlign w:val="center"/>
            <w:hideMark/>
          </w:tcPr>
          <w:p w14:paraId="1F4CB80B" w14:textId="38F2A738" w:rsidR="005F7B49" w:rsidRPr="005F7B49" w:rsidRDefault="005F7B49" w:rsidP="005F7B49">
            <w:pPr>
              <w:spacing w:before="0" w:after="0" w:line="240" w:lineRule="auto"/>
              <w:jc w:val="right"/>
              <w:rPr>
                <w:rFonts w:ascii="Arial" w:hAnsi="Arial" w:cs="Arial"/>
                <w:sz w:val="16"/>
                <w:szCs w:val="16"/>
              </w:rPr>
            </w:pPr>
            <w:r w:rsidRPr="005F7B49">
              <w:rPr>
                <w:rFonts w:ascii="Arial" w:hAnsi="Arial" w:cs="Arial"/>
                <w:sz w:val="16"/>
                <w:szCs w:val="16"/>
              </w:rPr>
              <w:t>2023</w:t>
            </w:r>
            <w:r w:rsidR="008D4F6B">
              <w:rPr>
                <w:rFonts w:ascii="Arial" w:hAnsi="Arial" w:cs="Arial"/>
                <w:sz w:val="16"/>
                <w:szCs w:val="16"/>
              </w:rPr>
              <w:noBreakHyphen/>
            </w:r>
            <w:r w:rsidRPr="005F7B49">
              <w:rPr>
                <w:rFonts w:ascii="Arial" w:hAnsi="Arial" w:cs="Arial"/>
                <w:sz w:val="16"/>
                <w:szCs w:val="16"/>
              </w:rPr>
              <w:t>24</w:t>
            </w:r>
          </w:p>
        </w:tc>
        <w:tc>
          <w:tcPr>
            <w:tcW w:w="472" w:type="pct"/>
            <w:tcBorders>
              <w:top w:val="single" w:sz="4" w:space="0" w:color="293F5B"/>
              <w:left w:val="nil"/>
              <w:bottom w:val="nil"/>
              <w:right w:val="nil"/>
            </w:tcBorders>
            <w:shd w:val="clear" w:color="000000" w:fill="E6F2FF"/>
            <w:noWrap/>
            <w:vAlign w:val="center"/>
            <w:hideMark/>
          </w:tcPr>
          <w:p w14:paraId="5D3D4EB1" w14:textId="0CAA4EF1" w:rsidR="005F7B49" w:rsidRPr="005F7B49" w:rsidRDefault="005F7B49" w:rsidP="005F7B49">
            <w:pPr>
              <w:spacing w:before="0" w:after="0" w:line="240" w:lineRule="auto"/>
              <w:jc w:val="right"/>
              <w:rPr>
                <w:rFonts w:ascii="Arial" w:hAnsi="Arial" w:cs="Arial"/>
                <w:sz w:val="16"/>
                <w:szCs w:val="16"/>
              </w:rPr>
            </w:pPr>
            <w:r w:rsidRPr="005F7B49">
              <w:rPr>
                <w:rFonts w:ascii="Arial" w:hAnsi="Arial" w:cs="Arial"/>
                <w:sz w:val="16"/>
                <w:szCs w:val="16"/>
              </w:rPr>
              <w:t>2024</w:t>
            </w:r>
            <w:r w:rsidR="008D4F6B">
              <w:rPr>
                <w:rFonts w:ascii="Arial" w:hAnsi="Arial" w:cs="Arial"/>
                <w:sz w:val="16"/>
                <w:szCs w:val="16"/>
              </w:rPr>
              <w:noBreakHyphen/>
            </w:r>
            <w:r w:rsidRPr="005F7B49">
              <w:rPr>
                <w:rFonts w:ascii="Arial" w:hAnsi="Arial" w:cs="Arial"/>
                <w:sz w:val="16"/>
                <w:szCs w:val="16"/>
              </w:rPr>
              <w:t>25</w:t>
            </w:r>
          </w:p>
        </w:tc>
        <w:tc>
          <w:tcPr>
            <w:tcW w:w="472" w:type="pct"/>
            <w:tcBorders>
              <w:top w:val="single" w:sz="4" w:space="0" w:color="293F5B"/>
              <w:left w:val="nil"/>
              <w:bottom w:val="nil"/>
              <w:right w:val="nil"/>
            </w:tcBorders>
            <w:shd w:val="clear" w:color="000000" w:fill="FFFFFF"/>
            <w:noWrap/>
            <w:vAlign w:val="center"/>
            <w:hideMark/>
          </w:tcPr>
          <w:p w14:paraId="1400CE32" w14:textId="19CC8CD7" w:rsidR="005F7B49" w:rsidRPr="005F7B49" w:rsidRDefault="005F7B49" w:rsidP="005F7B49">
            <w:pPr>
              <w:spacing w:before="0" w:after="0" w:line="240" w:lineRule="auto"/>
              <w:jc w:val="right"/>
              <w:rPr>
                <w:rFonts w:ascii="Arial" w:hAnsi="Arial" w:cs="Arial"/>
                <w:sz w:val="16"/>
                <w:szCs w:val="16"/>
              </w:rPr>
            </w:pPr>
            <w:r w:rsidRPr="005F7B49">
              <w:rPr>
                <w:rFonts w:ascii="Arial" w:hAnsi="Arial" w:cs="Arial"/>
                <w:sz w:val="16"/>
                <w:szCs w:val="16"/>
              </w:rPr>
              <w:t>2025</w:t>
            </w:r>
            <w:r w:rsidR="008D4F6B">
              <w:rPr>
                <w:rFonts w:ascii="Arial" w:hAnsi="Arial" w:cs="Arial"/>
                <w:sz w:val="16"/>
                <w:szCs w:val="16"/>
              </w:rPr>
              <w:noBreakHyphen/>
            </w:r>
            <w:r w:rsidRPr="005F7B49">
              <w:rPr>
                <w:rFonts w:ascii="Arial" w:hAnsi="Arial" w:cs="Arial"/>
                <w:sz w:val="16"/>
                <w:szCs w:val="16"/>
              </w:rPr>
              <w:t>26</w:t>
            </w:r>
          </w:p>
        </w:tc>
        <w:tc>
          <w:tcPr>
            <w:tcW w:w="472" w:type="pct"/>
            <w:tcBorders>
              <w:top w:val="single" w:sz="4" w:space="0" w:color="293F5B"/>
              <w:left w:val="nil"/>
              <w:bottom w:val="nil"/>
              <w:right w:val="nil"/>
            </w:tcBorders>
            <w:shd w:val="clear" w:color="000000" w:fill="FFFFFF"/>
            <w:noWrap/>
            <w:vAlign w:val="center"/>
            <w:hideMark/>
          </w:tcPr>
          <w:p w14:paraId="7DF30B3C" w14:textId="5E4C70CD" w:rsidR="005F7B49" w:rsidRPr="005F7B49" w:rsidRDefault="005F7B49" w:rsidP="005F7B49">
            <w:pPr>
              <w:spacing w:before="0" w:after="0" w:line="240" w:lineRule="auto"/>
              <w:jc w:val="right"/>
              <w:rPr>
                <w:rFonts w:ascii="Arial" w:hAnsi="Arial" w:cs="Arial"/>
                <w:sz w:val="16"/>
                <w:szCs w:val="16"/>
              </w:rPr>
            </w:pPr>
            <w:r w:rsidRPr="005F7B49">
              <w:rPr>
                <w:rFonts w:ascii="Arial" w:hAnsi="Arial" w:cs="Arial"/>
                <w:sz w:val="16"/>
                <w:szCs w:val="16"/>
              </w:rPr>
              <w:t>2026</w:t>
            </w:r>
            <w:r w:rsidR="008D4F6B">
              <w:rPr>
                <w:rFonts w:ascii="Arial" w:hAnsi="Arial" w:cs="Arial"/>
                <w:sz w:val="16"/>
                <w:szCs w:val="16"/>
              </w:rPr>
              <w:noBreakHyphen/>
            </w:r>
            <w:r w:rsidRPr="005F7B49">
              <w:rPr>
                <w:rFonts w:ascii="Arial" w:hAnsi="Arial" w:cs="Arial"/>
                <w:sz w:val="16"/>
                <w:szCs w:val="16"/>
              </w:rPr>
              <w:t>27</w:t>
            </w:r>
          </w:p>
        </w:tc>
        <w:tc>
          <w:tcPr>
            <w:tcW w:w="472" w:type="pct"/>
            <w:tcBorders>
              <w:top w:val="single" w:sz="4" w:space="0" w:color="293F5B"/>
              <w:left w:val="nil"/>
              <w:bottom w:val="nil"/>
              <w:right w:val="nil"/>
            </w:tcBorders>
            <w:shd w:val="clear" w:color="000000" w:fill="FFFFFF"/>
            <w:noWrap/>
            <w:vAlign w:val="center"/>
            <w:hideMark/>
          </w:tcPr>
          <w:p w14:paraId="7002EA0A" w14:textId="7A3B8982" w:rsidR="005F7B49" w:rsidRPr="005F7B49" w:rsidRDefault="005F7B49" w:rsidP="005F7B49">
            <w:pPr>
              <w:spacing w:before="0" w:after="0" w:line="240" w:lineRule="auto"/>
              <w:jc w:val="right"/>
              <w:rPr>
                <w:rFonts w:ascii="Arial" w:hAnsi="Arial" w:cs="Arial"/>
                <w:color w:val="000000"/>
                <w:sz w:val="16"/>
                <w:szCs w:val="16"/>
              </w:rPr>
            </w:pPr>
            <w:r w:rsidRPr="005F7B49">
              <w:rPr>
                <w:rFonts w:ascii="Arial" w:hAnsi="Arial" w:cs="Arial"/>
                <w:color w:val="000000"/>
                <w:sz w:val="16"/>
                <w:szCs w:val="16"/>
              </w:rPr>
              <w:t>2027</w:t>
            </w:r>
            <w:r w:rsidR="008D4F6B">
              <w:rPr>
                <w:rFonts w:ascii="Arial" w:hAnsi="Arial" w:cs="Arial"/>
                <w:color w:val="000000"/>
                <w:sz w:val="16"/>
                <w:szCs w:val="16"/>
              </w:rPr>
              <w:noBreakHyphen/>
            </w:r>
            <w:r w:rsidRPr="005F7B49">
              <w:rPr>
                <w:rFonts w:ascii="Arial" w:hAnsi="Arial" w:cs="Arial"/>
                <w:color w:val="000000"/>
                <w:sz w:val="16"/>
                <w:szCs w:val="16"/>
              </w:rPr>
              <w:t>28</w:t>
            </w:r>
          </w:p>
        </w:tc>
      </w:tr>
      <w:tr w:rsidR="005F7B49" w:rsidRPr="005F7B49" w14:paraId="350924B3" w14:textId="77777777" w:rsidTr="005F7B49">
        <w:trPr>
          <w:trHeight w:hRule="exact" w:val="226"/>
        </w:trPr>
        <w:tc>
          <w:tcPr>
            <w:tcW w:w="1873" w:type="pct"/>
            <w:tcBorders>
              <w:top w:val="nil"/>
              <w:left w:val="nil"/>
              <w:bottom w:val="nil"/>
              <w:right w:val="nil"/>
            </w:tcBorders>
            <w:shd w:val="clear" w:color="000000" w:fill="FFFFFF"/>
            <w:noWrap/>
            <w:vAlign w:val="center"/>
            <w:hideMark/>
          </w:tcPr>
          <w:p w14:paraId="44654B5A" w14:textId="77777777" w:rsidR="005F7B49" w:rsidRPr="005F7B49" w:rsidRDefault="005F7B49" w:rsidP="005F7B49">
            <w:pPr>
              <w:spacing w:before="0" w:after="0" w:line="240" w:lineRule="auto"/>
              <w:rPr>
                <w:rFonts w:ascii="Arial" w:hAnsi="Arial" w:cs="Arial"/>
                <w:b/>
                <w:bCs/>
                <w:color w:val="000000"/>
                <w:sz w:val="16"/>
                <w:szCs w:val="16"/>
              </w:rPr>
            </w:pPr>
            <w:r w:rsidRPr="005F7B49">
              <w:rPr>
                <w:rFonts w:ascii="Arial" w:hAnsi="Arial" w:cs="Arial"/>
                <w:b/>
                <w:bCs/>
                <w:color w:val="000000"/>
                <w:sz w:val="16"/>
                <w:szCs w:val="16"/>
              </w:rPr>
              <w:t>Program(a)</w:t>
            </w:r>
          </w:p>
        </w:tc>
        <w:tc>
          <w:tcPr>
            <w:tcW w:w="711" w:type="pct"/>
            <w:tcBorders>
              <w:top w:val="nil"/>
              <w:left w:val="nil"/>
              <w:bottom w:val="nil"/>
              <w:right w:val="nil"/>
            </w:tcBorders>
            <w:shd w:val="clear" w:color="000000" w:fill="FFFFFF"/>
            <w:noWrap/>
            <w:vAlign w:val="center"/>
            <w:hideMark/>
          </w:tcPr>
          <w:p w14:paraId="7D089CF3" w14:textId="77777777" w:rsidR="005F7B49" w:rsidRPr="005F7B49" w:rsidRDefault="005F7B49" w:rsidP="005F7B49">
            <w:pPr>
              <w:spacing w:before="0" w:after="0" w:line="240" w:lineRule="auto"/>
              <w:rPr>
                <w:rFonts w:ascii="Arial" w:hAnsi="Arial" w:cs="Arial"/>
                <w:b/>
                <w:bCs/>
                <w:color w:val="000000"/>
                <w:sz w:val="16"/>
                <w:szCs w:val="16"/>
              </w:rPr>
            </w:pPr>
            <w:r w:rsidRPr="005F7B49">
              <w:rPr>
                <w:rFonts w:ascii="Arial" w:hAnsi="Arial" w:cs="Arial"/>
                <w:b/>
                <w:bCs/>
                <w:color w:val="000000"/>
                <w:sz w:val="16"/>
                <w:szCs w:val="16"/>
              </w:rPr>
              <w:t>Function</w:t>
            </w:r>
          </w:p>
        </w:tc>
        <w:tc>
          <w:tcPr>
            <w:tcW w:w="59" w:type="pct"/>
            <w:tcBorders>
              <w:top w:val="nil"/>
              <w:left w:val="nil"/>
              <w:bottom w:val="nil"/>
              <w:right w:val="nil"/>
            </w:tcBorders>
            <w:shd w:val="clear" w:color="000000" w:fill="FFFFFF"/>
            <w:noWrap/>
            <w:vAlign w:val="center"/>
            <w:hideMark/>
          </w:tcPr>
          <w:p w14:paraId="4E7A0DA3" w14:textId="77777777" w:rsidR="005F7B49" w:rsidRPr="005F7B49" w:rsidRDefault="005F7B49" w:rsidP="005F7B49">
            <w:pPr>
              <w:spacing w:before="0" w:after="0" w:line="240" w:lineRule="auto"/>
              <w:jc w:val="right"/>
              <w:rPr>
                <w:rFonts w:ascii="Arial" w:hAnsi="Arial" w:cs="Arial"/>
                <w:color w:val="000000"/>
                <w:sz w:val="16"/>
                <w:szCs w:val="16"/>
              </w:rPr>
            </w:pPr>
            <w:r w:rsidRPr="005F7B49">
              <w:rPr>
                <w:rFonts w:ascii="Arial" w:hAnsi="Arial" w:cs="Arial"/>
                <w:color w:val="000000"/>
                <w:sz w:val="16"/>
                <w:szCs w:val="16"/>
              </w:rPr>
              <w:t> </w:t>
            </w:r>
          </w:p>
        </w:tc>
        <w:tc>
          <w:tcPr>
            <w:tcW w:w="472" w:type="pct"/>
            <w:tcBorders>
              <w:top w:val="nil"/>
              <w:left w:val="nil"/>
              <w:bottom w:val="single" w:sz="4" w:space="0" w:color="293F5B"/>
              <w:right w:val="nil"/>
            </w:tcBorders>
            <w:shd w:val="clear" w:color="000000" w:fill="FFFFFF"/>
            <w:noWrap/>
            <w:vAlign w:val="center"/>
            <w:hideMark/>
          </w:tcPr>
          <w:p w14:paraId="3B6A0DB1" w14:textId="77777777" w:rsidR="005F7B49" w:rsidRPr="005F7B49" w:rsidRDefault="005F7B49" w:rsidP="005F7B49">
            <w:pPr>
              <w:spacing w:before="0" w:after="0" w:line="240" w:lineRule="auto"/>
              <w:jc w:val="right"/>
              <w:rPr>
                <w:rFonts w:ascii="Arial" w:hAnsi="Arial" w:cs="Arial"/>
                <w:color w:val="000000"/>
                <w:sz w:val="16"/>
                <w:szCs w:val="16"/>
              </w:rPr>
            </w:pPr>
            <w:r w:rsidRPr="005F7B49">
              <w:rPr>
                <w:rFonts w:ascii="Arial" w:hAnsi="Arial" w:cs="Arial"/>
                <w:color w:val="000000"/>
                <w:sz w:val="16"/>
                <w:szCs w:val="16"/>
              </w:rPr>
              <w:t>$m</w:t>
            </w:r>
          </w:p>
        </w:tc>
        <w:tc>
          <w:tcPr>
            <w:tcW w:w="472" w:type="pct"/>
            <w:tcBorders>
              <w:top w:val="nil"/>
              <w:left w:val="nil"/>
              <w:bottom w:val="single" w:sz="4" w:space="0" w:color="293F5B"/>
              <w:right w:val="nil"/>
            </w:tcBorders>
            <w:shd w:val="clear" w:color="000000" w:fill="E6F2FF"/>
            <w:noWrap/>
            <w:vAlign w:val="center"/>
            <w:hideMark/>
          </w:tcPr>
          <w:p w14:paraId="6E9C1338" w14:textId="77777777" w:rsidR="005F7B49" w:rsidRPr="005F7B49" w:rsidRDefault="005F7B49" w:rsidP="005F7B49">
            <w:pPr>
              <w:spacing w:before="0" w:after="0" w:line="240" w:lineRule="auto"/>
              <w:jc w:val="right"/>
              <w:rPr>
                <w:rFonts w:ascii="Arial" w:hAnsi="Arial" w:cs="Arial"/>
                <w:color w:val="000000"/>
                <w:sz w:val="16"/>
                <w:szCs w:val="16"/>
              </w:rPr>
            </w:pPr>
            <w:r w:rsidRPr="005F7B49">
              <w:rPr>
                <w:rFonts w:ascii="Arial" w:hAnsi="Arial" w:cs="Arial"/>
                <w:color w:val="000000"/>
                <w:sz w:val="16"/>
                <w:szCs w:val="16"/>
              </w:rPr>
              <w:t>$m</w:t>
            </w:r>
          </w:p>
        </w:tc>
        <w:tc>
          <w:tcPr>
            <w:tcW w:w="472" w:type="pct"/>
            <w:tcBorders>
              <w:top w:val="nil"/>
              <w:left w:val="nil"/>
              <w:bottom w:val="single" w:sz="4" w:space="0" w:color="293F5B"/>
              <w:right w:val="nil"/>
            </w:tcBorders>
            <w:shd w:val="clear" w:color="000000" w:fill="FFFFFF"/>
            <w:noWrap/>
            <w:vAlign w:val="center"/>
            <w:hideMark/>
          </w:tcPr>
          <w:p w14:paraId="749A35F7" w14:textId="77777777" w:rsidR="005F7B49" w:rsidRPr="005F7B49" w:rsidRDefault="005F7B49" w:rsidP="005F7B49">
            <w:pPr>
              <w:spacing w:before="0" w:after="0" w:line="240" w:lineRule="auto"/>
              <w:jc w:val="right"/>
              <w:rPr>
                <w:rFonts w:ascii="Arial" w:hAnsi="Arial" w:cs="Arial"/>
                <w:color w:val="000000"/>
                <w:sz w:val="16"/>
                <w:szCs w:val="16"/>
              </w:rPr>
            </w:pPr>
            <w:r w:rsidRPr="005F7B49">
              <w:rPr>
                <w:rFonts w:ascii="Arial" w:hAnsi="Arial" w:cs="Arial"/>
                <w:color w:val="000000"/>
                <w:sz w:val="16"/>
                <w:szCs w:val="16"/>
              </w:rPr>
              <w:t>$m</w:t>
            </w:r>
          </w:p>
        </w:tc>
        <w:tc>
          <w:tcPr>
            <w:tcW w:w="472" w:type="pct"/>
            <w:tcBorders>
              <w:top w:val="nil"/>
              <w:left w:val="nil"/>
              <w:bottom w:val="single" w:sz="4" w:space="0" w:color="293F5B"/>
              <w:right w:val="nil"/>
            </w:tcBorders>
            <w:shd w:val="clear" w:color="000000" w:fill="FFFFFF"/>
            <w:noWrap/>
            <w:vAlign w:val="center"/>
            <w:hideMark/>
          </w:tcPr>
          <w:p w14:paraId="5B1530DA" w14:textId="77777777" w:rsidR="005F7B49" w:rsidRPr="005F7B49" w:rsidRDefault="005F7B49" w:rsidP="005F7B49">
            <w:pPr>
              <w:spacing w:before="0" w:after="0" w:line="240" w:lineRule="auto"/>
              <w:jc w:val="right"/>
              <w:rPr>
                <w:rFonts w:ascii="Arial" w:hAnsi="Arial" w:cs="Arial"/>
                <w:color w:val="000000"/>
                <w:sz w:val="16"/>
                <w:szCs w:val="16"/>
              </w:rPr>
            </w:pPr>
            <w:r w:rsidRPr="005F7B49">
              <w:rPr>
                <w:rFonts w:ascii="Arial" w:hAnsi="Arial" w:cs="Arial"/>
                <w:color w:val="000000"/>
                <w:sz w:val="16"/>
                <w:szCs w:val="16"/>
              </w:rPr>
              <w:t>$m</w:t>
            </w:r>
          </w:p>
        </w:tc>
        <w:tc>
          <w:tcPr>
            <w:tcW w:w="472" w:type="pct"/>
            <w:tcBorders>
              <w:top w:val="nil"/>
              <w:left w:val="nil"/>
              <w:bottom w:val="single" w:sz="4" w:space="0" w:color="293F5B"/>
              <w:right w:val="nil"/>
            </w:tcBorders>
            <w:shd w:val="clear" w:color="000000" w:fill="FFFFFF"/>
            <w:noWrap/>
            <w:vAlign w:val="center"/>
            <w:hideMark/>
          </w:tcPr>
          <w:p w14:paraId="56FFF93B" w14:textId="77777777" w:rsidR="005F7B49" w:rsidRPr="005F7B49" w:rsidRDefault="005F7B49" w:rsidP="005F7B49">
            <w:pPr>
              <w:spacing w:before="0" w:after="0" w:line="240" w:lineRule="auto"/>
              <w:jc w:val="right"/>
              <w:rPr>
                <w:rFonts w:ascii="Arial" w:hAnsi="Arial" w:cs="Arial"/>
                <w:color w:val="000000"/>
                <w:sz w:val="16"/>
                <w:szCs w:val="16"/>
              </w:rPr>
            </w:pPr>
            <w:r w:rsidRPr="005F7B49">
              <w:rPr>
                <w:rFonts w:ascii="Arial" w:hAnsi="Arial" w:cs="Arial"/>
                <w:color w:val="000000"/>
                <w:sz w:val="16"/>
                <w:szCs w:val="16"/>
              </w:rPr>
              <w:t>$m</w:t>
            </w:r>
          </w:p>
        </w:tc>
      </w:tr>
      <w:tr w:rsidR="005F7B49" w:rsidRPr="005F7B49" w14:paraId="00C9CEE0" w14:textId="77777777" w:rsidTr="006E6D19">
        <w:trPr>
          <w:trHeight w:hRule="exact" w:val="226"/>
        </w:trPr>
        <w:tc>
          <w:tcPr>
            <w:tcW w:w="1873" w:type="pct"/>
            <w:tcBorders>
              <w:top w:val="nil"/>
              <w:left w:val="nil"/>
              <w:bottom w:val="nil"/>
              <w:right w:val="nil"/>
            </w:tcBorders>
            <w:shd w:val="clear" w:color="000000" w:fill="FFFFFF"/>
            <w:noWrap/>
            <w:vAlign w:val="center"/>
            <w:hideMark/>
          </w:tcPr>
          <w:p w14:paraId="3AD1BFD1" w14:textId="77777777" w:rsidR="005F7B49" w:rsidRPr="005F7B49" w:rsidRDefault="005F7B49" w:rsidP="005F7B49">
            <w:pPr>
              <w:spacing w:before="0" w:after="0" w:line="240" w:lineRule="auto"/>
              <w:rPr>
                <w:rFonts w:ascii="Arial" w:hAnsi="Arial" w:cs="Arial"/>
                <w:color w:val="000000"/>
                <w:sz w:val="16"/>
                <w:szCs w:val="16"/>
              </w:rPr>
            </w:pPr>
            <w:r w:rsidRPr="005F7B49">
              <w:rPr>
                <w:rFonts w:ascii="Arial" w:hAnsi="Arial" w:cs="Arial"/>
                <w:color w:val="000000"/>
                <w:sz w:val="16"/>
                <w:szCs w:val="16"/>
              </w:rPr>
              <w:t>Revenue assistance to the</w:t>
            </w:r>
          </w:p>
        </w:tc>
        <w:tc>
          <w:tcPr>
            <w:tcW w:w="711" w:type="pct"/>
            <w:tcBorders>
              <w:top w:val="nil"/>
              <w:left w:val="nil"/>
              <w:bottom w:val="nil"/>
              <w:right w:val="nil"/>
            </w:tcBorders>
            <w:shd w:val="clear" w:color="000000" w:fill="FFFFFF"/>
            <w:noWrap/>
            <w:vAlign w:val="center"/>
            <w:hideMark/>
          </w:tcPr>
          <w:p w14:paraId="1BB89822" w14:textId="77777777" w:rsidR="005F7B49" w:rsidRPr="005F7B49" w:rsidRDefault="005F7B49" w:rsidP="005F7B49">
            <w:pPr>
              <w:spacing w:before="0" w:after="0" w:line="240" w:lineRule="auto"/>
              <w:rPr>
                <w:rFonts w:ascii="Arial" w:hAnsi="Arial" w:cs="Arial"/>
                <w:color w:val="000000"/>
                <w:sz w:val="16"/>
                <w:szCs w:val="16"/>
              </w:rPr>
            </w:pPr>
            <w:r w:rsidRPr="005F7B49">
              <w:rPr>
                <w:rFonts w:ascii="Arial" w:hAnsi="Arial" w:cs="Arial"/>
                <w:color w:val="000000"/>
                <w:sz w:val="16"/>
                <w:szCs w:val="16"/>
              </w:rPr>
              <w:t> </w:t>
            </w:r>
          </w:p>
        </w:tc>
        <w:tc>
          <w:tcPr>
            <w:tcW w:w="59" w:type="pct"/>
            <w:tcBorders>
              <w:top w:val="nil"/>
              <w:left w:val="nil"/>
              <w:bottom w:val="nil"/>
              <w:right w:val="nil"/>
            </w:tcBorders>
            <w:shd w:val="clear" w:color="000000" w:fill="FFFFFF"/>
            <w:noWrap/>
            <w:vAlign w:val="center"/>
            <w:hideMark/>
          </w:tcPr>
          <w:p w14:paraId="13B116B6" w14:textId="77777777" w:rsidR="005F7B49" w:rsidRPr="005F7B49" w:rsidRDefault="005F7B49" w:rsidP="005F7B49">
            <w:pPr>
              <w:spacing w:before="0" w:after="0" w:line="240" w:lineRule="auto"/>
              <w:rPr>
                <w:rFonts w:ascii="Arial" w:hAnsi="Arial" w:cs="Arial"/>
                <w:color w:val="000000"/>
                <w:sz w:val="16"/>
                <w:szCs w:val="16"/>
              </w:rPr>
            </w:pPr>
            <w:r w:rsidRPr="005F7B49">
              <w:rPr>
                <w:rFonts w:ascii="Arial" w:hAnsi="Arial" w:cs="Arial"/>
                <w:color w:val="000000"/>
                <w:sz w:val="16"/>
                <w:szCs w:val="16"/>
              </w:rPr>
              <w:t> </w:t>
            </w:r>
          </w:p>
        </w:tc>
        <w:tc>
          <w:tcPr>
            <w:tcW w:w="472" w:type="pct"/>
            <w:tcBorders>
              <w:top w:val="single" w:sz="4" w:space="0" w:color="293F5B"/>
              <w:left w:val="nil"/>
              <w:bottom w:val="nil"/>
              <w:right w:val="nil"/>
            </w:tcBorders>
            <w:shd w:val="clear" w:color="000000" w:fill="FFFFFF"/>
            <w:noWrap/>
            <w:vAlign w:val="center"/>
            <w:hideMark/>
          </w:tcPr>
          <w:p w14:paraId="0BC10D1A" w14:textId="77777777" w:rsidR="005F7B49" w:rsidRPr="005F7B49" w:rsidRDefault="005F7B49" w:rsidP="005F7B49">
            <w:pPr>
              <w:spacing w:before="0" w:after="0" w:line="240" w:lineRule="auto"/>
              <w:rPr>
                <w:rFonts w:ascii="Arial" w:hAnsi="Arial" w:cs="Arial"/>
                <w:color w:val="000000"/>
                <w:sz w:val="16"/>
                <w:szCs w:val="16"/>
              </w:rPr>
            </w:pPr>
            <w:r w:rsidRPr="005F7B49">
              <w:rPr>
                <w:rFonts w:ascii="Arial" w:hAnsi="Arial" w:cs="Arial"/>
                <w:color w:val="000000"/>
                <w:sz w:val="16"/>
                <w:szCs w:val="16"/>
              </w:rPr>
              <w:t> </w:t>
            </w:r>
          </w:p>
        </w:tc>
        <w:tc>
          <w:tcPr>
            <w:tcW w:w="472" w:type="pct"/>
            <w:tcBorders>
              <w:top w:val="single" w:sz="4" w:space="0" w:color="293F5B"/>
              <w:left w:val="nil"/>
              <w:bottom w:val="nil"/>
              <w:right w:val="nil"/>
            </w:tcBorders>
            <w:shd w:val="clear" w:color="000000" w:fill="E6F2FF"/>
            <w:noWrap/>
            <w:vAlign w:val="center"/>
            <w:hideMark/>
          </w:tcPr>
          <w:p w14:paraId="08204EC7" w14:textId="77777777" w:rsidR="005F7B49" w:rsidRPr="005F7B49" w:rsidRDefault="005F7B49" w:rsidP="005F7B49">
            <w:pPr>
              <w:spacing w:before="0" w:after="0" w:line="240" w:lineRule="auto"/>
              <w:rPr>
                <w:rFonts w:ascii="Arial" w:hAnsi="Arial" w:cs="Arial"/>
                <w:color w:val="000000"/>
                <w:sz w:val="16"/>
                <w:szCs w:val="16"/>
              </w:rPr>
            </w:pPr>
            <w:r w:rsidRPr="005F7B49">
              <w:rPr>
                <w:rFonts w:ascii="Arial" w:hAnsi="Arial" w:cs="Arial"/>
                <w:color w:val="000000"/>
                <w:sz w:val="16"/>
                <w:szCs w:val="16"/>
              </w:rPr>
              <w:t> </w:t>
            </w:r>
          </w:p>
        </w:tc>
        <w:tc>
          <w:tcPr>
            <w:tcW w:w="472" w:type="pct"/>
            <w:tcBorders>
              <w:top w:val="single" w:sz="4" w:space="0" w:color="293F5B"/>
              <w:left w:val="nil"/>
              <w:bottom w:val="nil"/>
              <w:right w:val="nil"/>
            </w:tcBorders>
            <w:shd w:val="clear" w:color="000000" w:fill="FFFFFF"/>
            <w:noWrap/>
            <w:vAlign w:val="center"/>
            <w:hideMark/>
          </w:tcPr>
          <w:p w14:paraId="5A7AE1D6" w14:textId="77777777" w:rsidR="005F7B49" w:rsidRPr="005F7B49" w:rsidRDefault="005F7B49" w:rsidP="005F7B49">
            <w:pPr>
              <w:spacing w:before="0" w:after="0" w:line="240" w:lineRule="auto"/>
              <w:rPr>
                <w:rFonts w:ascii="Arial" w:hAnsi="Arial" w:cs="Arial"/>
                <w:color w:val="000000"/>
                <w:sz w:val="16"/>
                <w:szCs w:val="16"/>
              </w:rPr>
            </w:pPr>
            <w:r w:rsidRPr="005F7B49">
              <w:rPr>
                <w:rFonts w:ascii="Arial" w:hAnsi="Arial" w:cs="Arial"/>
                <w:color w:val="000000"/>
                <w:sz w:val="16"/>
                <w:szCs w:val="16"/>
              </w:rPr>
              <w:t> </w:t>
            </w:r>
          </w:p>
        </w:tc>
        <w:tc>
          <w:tcPr>
            <w:tcW w:w="472" w:type="pct"/>
            <w:tcBorders>
              <w:top w:val="single" w:sz="4" w:space="0" w:color="293F5B"/>
              <w:left w:val="nil"/>
              <w:bottom w:val="nil"/>
              <w:right w:val="nil"/>
            </w:tcBorders>
            <w:shd w:val="clear" w:color="000000" w:fill="FFFFFF"/>
            <w:noWrap/>
            <w:vAlign w:val="center"/>
            <w:hideMark/>
          </w:tcPr>
          <w:p w14:paraId="3736BBC4" w14:textId="77777777" w:rsidR="005F7B49" w:rsidRPr="005F7B49" w:rsidRDefault="005F7B49" w:rsidP="005F7B49">
            <w:pPr>
              <w:spacing w:before="0" w:after="0" w:line="240" w:lineRule="auto"/>
              <w:rPr>
                <w:rFonts w:ascii="Arial" w:hAnsi="Arial" w:cs="Arial"/>
                <w:color w:val="000000"/>
                <w:sz w:val="16"/>
                <w:szCs w:val="16"/>
              </w:rPr>
            </w:pPr>
            <w:r w:rsidRPr="005F7B49">
              <w:rPr>
                <w:rFonts w:ascii="Arial" w:hAnsi="Arial" w:cs="Arial"/>
                <w:color w:val="000000"/>
                <w:sz w:val="16"/>
                <w:szCs w:val="16"/>
              </w:rPr>
              <w:t> </w:t>
            </w:r>
          </w:p>
        </w:tc>
        <w:tc>
          <w:tcPr>
            <w:tcW w:w="472" w:type="pct"/>
            <w:tcBorders>
              <w:top w:val="single" w:sz="4" w:space="0" w:color="293F5B"/>
              <w:left w:val="nil"/>
              <w:bottom w:val="nil"/>
              <w:right w:val="nil"/>
            </w:tcBorders>
            <w:shd w:val="clear" w:color="000000" w:fill="FFFFFF"/>
            <w:noWrap/>
            <w:vAlign w:val="center"/>
            <w:hideMark/>
          </w:tcPr>
          <w:p w14:paraId="49CE0CB1" w14:textId="77777777" w:rsidR="005F7B49" w:rsidRPr="005F7B49" w:rsidRDefault="005F7B49" w:rsidP="005F7B49">
            <w:pPr>
              <w:spacing w:before="0" w:after="0" w:line="240" w:lineRule="auto"/>
              <w:rPr>
                <w:rFonts w:ascii="Arial" w:hAnsi="Arial" w:cs="Arial"/>
                <w:color w:val="000000"/>
                <w:sz w:val="16"/>
                <w:szCs w:val="16"/>
              </w:rPr>
            </w:pPr>
            <w:r w:rsidRPr="005F7B49">
              <w:rPr>
                <w:rFonts w:ascii="Arial" w:hAnsi="Arial" w:cs="Arial"/>
                <w:color w:val="000000"/>
                <w:sz w:val="16"/>
                <w:szCs w:val="16"/>
              </w:rPr>
              <w:t> </w:t>
            </w:r>
          </w:p>
        </w:tc>
      </w:tr>
      <w:tr w:rsidR="005F7B49" w:rsidRPr="005F7B49" w14:paraId="2E2EC77A" w14:textId="77777777" w:rsidTr="005F7B49">
        <w:trPr>
          <w:trHeight w:hRule="exact" w:val="226"/>
        </w:trPr>
        <w:tc>
          <w:tcPr>
            <w:tcW w:w="1873" w:type="pct"/>
            <w:tcBorders>
              <w:top w:val="nil"/>
              <w:left w:val="nil"/>
              <w:bottom w:val="nil"/>
              <w:right w:val="nil"/>
            </w:tcBorders>
            <w:shd w:val="clear" w:color="000000" w:fill="FFFFFF"/>
            <w:noWrap/>
            <w:vAlign w:val="center"/>
            <w:hideMark/>
          </w:tcPr>
          <w:p w14:paraId="5912226B" w14:textId="77777777" w:rsidR="005F7B49" w:rsidRPr="005F7B49" w:rsidRDefault="005F7B49" w:rsidP="005F7B49">
            <w:pPr>
              <w:spacing w:before="0" w:after="0" w:line="240" w:lineRule="auto"/>
              <w:ind w:left="170"/>
              <w:rPr>
                <w:rFonts w:ascii="Arial" w:hAnsi="Arial" w:cs="Arial"/>
                <w:color w:val="000000"/>
                <w:sz w:val="16"/>
                <w:szCs w:val="16"/>
              </w:rPr>
            </w:pPr>
            <w:r w:rsidRPr="005F7B49">
              <w:rPr>
                <w:rFonts w:ascii="Arial" w:hAnsi="Arial" w:cs="Arial"/>
                <w:color w:val="000000"/>
                <w:sz w:val="16"/>
                <w:szCs w:val="16"/>
              </w:rPr>
              <w:t>States and Territories</w:t>
            </w:r>
          </w:p>
        </w:tc>
        <w:tc>
          <w:tcPr>
            <w:tcW w:w="711" w:type="pct"/>
            <w:tcBorders>
              <w:top w:val="nil"/>
              <w:left w:val="nil"/>
              <w:bottom w:val="nil"/>
              <w:right w:val="nil"/>
            </w:tcBorders>
            <w:shd w:val="clear" w:color="000000" w:fill="FFFFFF"/>
            <w:noWrap/>
            <w:vAlign w:val="center"/>
            <w:hideMark/>
          </w:tcPr>
          <w:p w14:paraId="27BF41CF" w14:textId="77777777" w:rsidR="005F7B49" w:rsidRPr="005F7B49" w:rsidRDefault="005F7B49" w:rsidP="005F7B49">
            <w:pPr>
              <w:spacing w:before="0" w:after="0" w:line="240" w:lineRule="auto"/>
              <w:rPr>
                <w:rFonts w:ascii="Arial" w:hAnsi="Arial" w:cs="Arial"/>
                <w:color w:val="000000"/>
                <w:sz w:val="16"/>
                <w:szCs w:val="16"/>
              </w:rPr>
            </w:pPr>
            <w:r w:rsidRPr="005F7B49">
              <w:rPr>
                <w:rFonts w:ascii="Arial" w:hAnsi="Arial" w:cs="Arial"/>
                <w:color w:val="000000"/>
                <w:sz w:val="16"/>
                <w:szCs w:val="16"/>
              </w:rPr>
              <w:t>Other purposes</w:t>
            </w:r>
          </w:p>
        </w:tc>
        <w:tc>
          <w:tcPr>
            <w:tcW w:w="59" w:type="pct"/>
            <w:tcBorders>
              <w:top w:val="nil"/>
              <w:left w:val="nil"/>
              <w:bottom w:val="nil"/>
              <w:right w:val="nil"/>
            </w:tcBorders>
            <w:shd w:val="clear" w:color="000000" w:fill="FFFFFF"/>
            <w:noWrap/>
            <w:vAlign w:val="center"/>
            <w:hideMark/>
          </w:tcPr>
          <w:p w14:paraId="6F4C6675" w14:textId="77777777" w:rsidR="005F7B49" w:rsidRPr="005F7B49" w:rsidRDefault="005F7B49" w:rsidP="005F7B49">
            <w:pPr>
              <w:spacing w:before="0" w:after="0" w:line="240" w:lineRule="auto"/>
              <w:rPr>
                <w:rFonts w:ascii="Arial" w:hAnsi="Arial" w:cs="Arial"/>
                <w:color w:val="000000"/>
                <w:sz w:val="16"/>
                <w:szCs w:val="16"/>
              </w:rPr>
            </w:pPr>
            <w:r w:rsidRPr="005F7B49">
              <w:rPr>
                <w:rFonts w:ascii="Arial" w:hAnsi="Arial" w:cs="Arial"/>
                <w:color w:val="000000"/>
                <w:sz w:val="16"/>
                <w:szCs w:val="16"/>
              </w:rPr>
              <w:t> </w:t>
            </w:r>
          </w:p>
        </w:tc>
        <w:tc>
          <w:tcPr>
            <w:tcW w:w="472" w:type="pct"/>
            <w:tcBorders>
              <w:top w:val="nil"/>
              <w:left w:val="nil"/>
              <w:bottom w:val="nil"/>
              <w:right w:val="nil"/>
            </w:tcBorders>
            <w:shd w:val="clear" w:color="000000" w:fill="FFFFFF"/>
            <w:noWrap/>
            <w:vAlign w:val="center"/>
            <w:hideMark/>
          </w:tcPr>
          <w:p w14:paraId="6103828C" w14:textId="77777777" w:rsidR="005F7B49" w:rsidRPr="005F7B49" w:rsidRDefault="005F7B49" w:rsidP="005F7B49">
            <w:pPr>
              <w:spacing w:before="0" w:after="0" w:line="240" w:lineRule="auto"/>
              <w:jc w:val="right"/>
              <w:rPr>
                <w:rFonts w:ascii="Arial" w:hAnsi="Arial" w:cs="Arial"/>
                <w:color w:val="000000"/>
                <w:sz w:val="16"/>
                <w:szCs w:val="16"/>
              </w:rPr>
            </w:pPr>
            <w:r w:rsidRPr="005F7B49">
              <w:rPr>
                <w:rFonts w:ascii="Arial" w:hAnsi="Arial" w:cs="Arial"/>
                <w:color w:val="000000"/>
                <w:sz w:val="16"/>
                <w:szCs w:val="16"/>
              </w:rPr>
              <w:t>91,604</w:t>
            </w:r>
          </w:p>
        </w:tc>
        <w:tc>
          <w:tcPr>
            <w:tcW w:w="472" w:type="pct"/>
            <w:tcBorders>
              <w:top w:val="nil"/>
              <w:left w:val="nil"/>
              <w:bottom w:val="nil"/>
              <w:right w:val="nil"/>
            </w:tcBorders>
            <w:shd w:val="clear" w:color="000000" w:fill="E6F2FF"/>
            <w:noWrap/>
            <w:vAlign w:val="center"/>
            <w:hideMark/>
          </w:tcPr>
          <w:p w14:paraId="5EB4325D" w14:textId="77777777" w:rsidR="005F7B49" w:rsidRPr="005F7B49" w:rsidRDefault="005F7B49" w:rsidP="005F7B49">
            <w:pPr>
              <w:spacing w:before="0" w:after="0" w:line="240" w:lineRule="auto"/>
              <w:jc w:val="right"/>
              <w:rPr>
                <w:rFonts w:ascii="Arial" w:hAnsi="Arial" w:cs="Arial"/>
                <w:color w:val="000000"/>
                <w:sz w:val="16"/>
                <w:szCs w:val="16"/>
              </w:rPr>
            </w:pPr>
            <w:r w:rsidRPr="005F7B49">
              <w:rPr>
                <w:rFonts w:ascii="Arial" w:hAnsi="Arial" w:cs="Arial"/>
                <w:color w:val="000000"/>
                <w:sz w:val="16"/>
                <w:szCs w:val="16"/>
              </w:rPr>
              <w:t>94,544</w:t>
            </w:r>
          </w:p>
        </w:tc>
        <w:tc>
          <w:tcPr>
            <w:tcW w:w="472" w:type="pct"/>
            <w:tcBorders>
              <w:top w:val="nil"/>
              <w:left w:val="nil"/>
              <w:bottom w:val="nil"/>
              <w:right w:val="nil"/>
            </w:tcBorders>
            <w:shd w:val="clear" w:color="000000" w:fill="FFFFFF"/>
            <w:noWrap/>
            <w:vAlign w:val="center"/>
            <w:hideMark/>
          </w:tcPr>
          <w:p w14:paraId="41FCFD24" w14:textId="77777777" w:rsidR="005F7B49" w:rsidRPr="005F7B49" w:rsidRDefault="005F7B49" w:rsidP="005F7B49">
            <w:pPr>
              <w:spacing w:before="0" w:after="0" w:line="240" w:lineRule="auto"/>
              <w:jc w:val="right"/>
              <w:rPr>
                <w:rFonts w:ascii="Arial" w:hAnsi="Arial" w:cs="Arial"/>
                <w:color w:val="000000"/>
                <w:sz w:val="16"/>
                <w:szCs w:val="16"/>
              </w:rPr>
            </w:pPr>
            <w:r w:rsidRPr="005F7B49">
              <w:rPr>
                <w:rFonts w:ascii="Arial" w:hAnsi="Arial" w:cs="Arial"/>
                <w:color w:val="000000"/>
                <w:sz w:val="16"/>
                <w:szCs w:val="16"/>
              </w:rPr>
              <w:t>99,251</w:t>
            </w:r>
          </w:p>
        </w:tc>
        <w:tc>
          <w:tcPr>
            <w:tcW w:w="472" w:type="pct"/>
            <w:tcBorders>
              <w:top w:val="nil"/>
              <w:left w:val="nil"/>
              <w:bottom w:val="nil"/>
              <w:right w:val="nil"/>
            </w:tcBorders>
            <w:shd w:val="clear" w:color="000000" w:fill="FFFFFF"/>
            <w:noWrap/>
            <w:vAlign w:val="center"/>
            <w:hideMark/>
          </w:tcPr>
          <w:p w14:paraId="21882260" w14:textId="77777777" w:rsidR="005F7B49" w:rsidRPr="005F7B49" w:rsidRDefault="005F7B49" w:rsidP="005F7B49">
            <w:pPr>
              <w:spacing w:before="0" w:after="0" w:line="240" w:lineRule="auto"/>
              <w:jc w:val="right"/>
              <w:rPr>
                <w:rFonts w:ascii="Arial" w:hAnsi="Arial" w:cs="Arial"/>
                <w:color w:val="000000"/>
                <w:sz w:val="16"/>
                <w:szCs w:val="16"/>
              </w:rPr>
            </w:pPr>
            <w:r w:rsidRPr="005F7B49">
              <w:rPr>
                <w:rFonts w:ascii="Arial" w:hAnsi="Arial" w:cs="Arial"/>
                <w:color w:val="000000"/>
                <w:sz w:val="16"/>
                <w:szCs w:val="16"/>
              </w:rPr>
              <w:t>104,780</w:t>
            </w:r>
          </w:p>
        </w:tc>
        <w:tc>
          <w:tcPr>
            <w:tcW w:w="472" w:type="pct"/>
            <w:tcBorders>
              <w:top w:val="nil"/>
              <w:left w:val="nil"/>
              <w:bottom w:val="nil"/>
              <w:right w:val="nil"/>
            </w:tcBorders>
            <w:shd w:val="clear" w:color="000000" w:fill="FFFFFF"/>
            <w:noWrap/>
            <w:vAlign w:val="center"/>
            <w:hideMark/>
          </w:tcPr>
          <w:p w14:paraId="7E9B7D9C" w14:textId="77777777" w:rsidR="005F7B49" w:rsidRPr="005F7B49" w:rsidRDefault="005F7B49" w:rsidP="005F7B49">
            <w:pPr>
              <w:spacing w:before="0" w:after="0" w:line="240" w:lineRule="auto"/>
              <w:jc w:val="right"/>
              <w:rPr>
                <w:rFonts w:ascii="Arial" w:hAnsi="Arial" w:cs="Arial"/>
                <w:color w:val="000000"/>
                <w:sz w:val="16"/>
                <w:szCs w:val="16"/>
              </w:rPr>
            </w:pPr>
            <w:r w:rsidRPr="005F7B49">
              <w:rPr>
                <w:rFonts w:ascii="Arial" w:hAnsi="Arial" w:cs="Arial"/>
                <w:color w:val="000000"/>
                <w:sz w:val="16"/>
                <w:szCs w:val="16"/>
              </w:rPr>
              <w:t>109,239</w:t>
            </w:r>
          </w:p>
        </w:tc>
      </w:tr>
      <w:tr w:rsidR="005F7B49" w:rsidRPr="005F7B49" w14:paraId="450418B3" w14:textId="77777777" w:rsidTr="005F7B49">
        <w:trPr>
          <w:trHeight w:hRule="exact" w:val="226"/>
        </w:trPr>
        <w:tc>
          <w:tcPr>
            <w:tcW w:w="1873" w:type="pct"/>
            <w:tcBorders>
              <w:top w:val="nil"/>
              <w:left w:val="nil"/>
              <w:bottom w:val="nil"/>
              <w:right w:val="nil"/>
            </w:tcBorders>
            <w:shd w:val="clear" w:color="000000" w:fill="FFFFFF"/>
            <w:noWrap/>
            <w:vAlign w:val="center"/>
            <w:hideMark/>
          </w:tcPr>
          <w:p w14:paraId="53A76C42" w14:textId="77777777" w:rsidR="005F7B49" w:rsidRPr="005F7B49" w:rsidRDefault="005F7B49" w:rsidP="005F7B49">
            <w:pPr>
              <w:spacing w:before="0" w:after="0" w:line="240" w:lineRule="auto"/>
              <w:rPr>
                <w:rFonts w:ascii="Arial" w:hAnsi="Arial" w:cs="Arial"/>
                <w:color w:val="000000"/>
                <w:sz w:val="16"/>
                <w:szCs w:val="16"/>
              </w:rPr>
            </w:pPr>
            <w:r w:rsidRPr="005F7B49">
              <w:rPr>
                <w:rFonts w:ascii="Arial" w:hAnsi="Arial" w:cs="Arial"/>
                <w:color w:val="000000"/>
                <w:sz w:val="16"/>
                <w:szCs w:val="16"/>
              </w:rPr>
              <w:t>Support for Seniors</w:t>
            </w:r>
          </w:p>
        </w:tc>
        <w:tc>
          <w:tcPr>
            <w:tcW w:w="711" w:type="pct"/>
            <w:tcBorders>
              <w:top w:val="nil"/>
              <w:left w:val="nil"/>
              <w:bottom w:val="nil"/>
              <w:right w:val="nil"/>
            </w:tcBorders>
            <w:shd w:val="clear" w:color="000000" w:fill="FFFFFF"/>
            <w:noWrap/>
            <w:vAlign w:val="center"/>
            <w:hideMark/>
          </w:tcPr>
          <w:p w14:paraId="58F1111E" w14:textId="77777777" w:rsidR="005F7B49" w:rsidRPr="005F7B49" w:rsidRDefault="005F7B49" w:rsidP="005F7B49">
            <w:pPr>
              <w:spacing w:before="0" w:after="0" w:line="240" w:lineRule="auto"/>
              <w:rPr>
                <w:rFonts w:ascii="Arial" w:hAnsi="Arial" w:cs="Arial"/>
                <w:color w:val="000000"/>
                <w:sz w:val="16"/>
                <w:szCs w:val="16"/>
              </w:rPr>
            </w:pPr>
            <w:r w:rsidRPr="005F7B49">
              <w:rPr>
                <w:rFonts w:ascii="Arial" w:hAnsi="Arial" w:cs="Arial"/>
                <w:color w:val="000000"/>
                <w:sz w:val="16"/>
                <w:szCs w:val="16"/>
              </w:rPr>
              <w:t>SSW</w:t>
            </w:r>
          </w:p>
        </w:tc>
        <w:tc>
          <w:tcPr>
            <w:tcW w:w="59" w:type="pct"/>
            <w:tcBorders>
              <w:top w:val="nil"/>
              <w:left w:val="nil"/>
              <w:bottom w:val="nil"/>
              <w:right w:val="nil"/>
            </w:tcBorders>
            <w:shd w:val="clear" w:color="000000" w:fill="FFFFFF"/>
            <w:noWrap/>
            <w:vAlign w:val="center"/>
            <w:hideMark/>
          </w:tcPr>
          <w:p w14:paraId="332A9061" w14:textId="77777777" w:rsidR="005F7B49" w:rsidRPr="005F7B49" w:rsidRDefault="005F7B49" w:rsidP="005F7B49">
            <w:pPr>
              <w:spacing w:before="0" w:after="0" w:line="240" w:lineRule="auto"/>
              <w:rPr>
                <w:rFonts w:ascii="Arial" w:hAnsi="Arial" w:cs="Arial"/>
                <w:color w:val="000000"/>
                <w:sz w:val="16"/>
                <w:szCs w:val="16"/>
              </w:rPr>
            </w:pPr>
            <w:r w:rsidRPr="005F7B49">
              <w:rPr>
                <w:rFonts w:ascii="Arial" w:hAnsi="Arial" w:cs="Arial"/>
                <w:color w:val="000000"/>
                <w:sz w:val="16"/>
                <w:szCs w:val="16"/>
              </w:rPr>
              <w:t> </w:t>
            </w:r>
          </w:p>
        </w:tc>
        <w:tc>
          <w:tcPr>
            <w:tcW w:w="472" w:type="pct"/>
            <w:tcBorders>
              <w:top w:val="nil"/>
              <w:left w:val="nil"/>
              <w:bottom w:val="nil"/>
              <w:right w:val="nil"/>
            </w:tcBorders>
            <w:shd w:val="clear" w:color="000000" w:fill="FFFFFF"/>
            <w:noWrap/>
            <w:vAlign w:val="center"/>
            <w:hideMark/>
          </w:tcPr>
          <w:p w14:paraId="02F1A2F9" w14:textId="77777777" w:rsidR="005F7B49" w:rsidRPr="005F7B49" w:rsidRDefault="005F7B49" w:rsidP="005F7B49">
            <w:pPr>
              <w:spacing w:before="0" w:after="0" w:line="240" w:lineRule="auto"/>
              <w:jc w:val="right"/>
              <w:rPr>
                <w:rFonts w:ascii="Arial" w:hAnsi="Arial" w:cs="Arial"/>
                <w:color w:val="000000"/>
                <w:sz w:val="16"/>
                <w:szCs w:val="16"/>
              </w:rPr>
            </w:pPr>
            <w:r w:rsidRPr="005F7B49">
              <w:rPr>
                <w:rFonts w:ascii="Arial" w:hAnsi="Arial" w:cs="Arial"/>
                <w:color w:val="000000"/>
                <w:sz w:val="16"/>
                <w:szCs w:val="16"/>
              </w:rPr>
              <w:t>58,901</w:t>
            </w:r>
          </w:p>
        </w:tc>
        <w:tc>
          <w:tcPr>
            <w:tcW w:w="472" w:type="pct"/>
            <w:tcBorders>
              <w:top w:val="nil"/>
              <w:left w:val="nil"/>
              <w:bottom w:val="nil"/>
              <w:right w:val="nil"/>
            </w:tcBorders>
            <w:shd w:val="clear" w:color="000000" w:fill="E6F2FF"/>
            <w:noWrap/>
            <w:vAlign w:val="center"/>
            <w:hideMark/>
          </w:tcPr>
          <w:p w14:paraId="0B05D3BF" w14:textId="77777777" w:rsidR="005F7B49" w:rsidRPr="005F7B49" w:rsidRDefault="005F7B49" w:rsidP="005F7B49">
            <w:pPr>
              <w:spacing w:before="0" w:after="0" w:line="240" w:lineRule="auto"/>
              <w:jc w:val="right"/>
              <w:rPr>
                <w:rFonts w:ascii="Arial" w:hAnsi="Arial" w:cs="Arial"/>
                <w:color w:val="000000"/>
                <w:sz w:val="16"/>
                <w:szCs w:val="16"/>
              </w:rPr>
            </w:pPr>
            <w:r w:rsidRPr="005F7B49">
              <w:rPr>
                <w:rFonts w:ascii="Arial" w:hAnsi="Arial" w:cs="Arial"/>
                <w:color w:val="000000"/>
                <w:sz w:val="16"/>
                <w:szCs w:val="16"/>
              </w:rPr>
              <w:t>61,737</w:t>
            </w:r>
          </w:p>
        </w:tc>
        <w:tc>
          <w:tcPr>
            <w:tcW w:w="472" w:type="pct"/>
            <w:tcBorders>
              <w:top w:val="nil"/>
              <w:left w:val="nil"/>
              <w:bottom w:val="nil"/>
              <w:right w:val="nil"/>
            </w:tcBorders>
            <w:shd w:val="clear" w:color="000000" w:fill="FFFFFF"/>
            <w:noWrap/>
            <w:vAlign w:val="center"/>
            <w:hideMark/>
          </w:tcPr>
          <w:p w14:paraId="7998FD15" w14:textId="77777777" w:rsidR="005F7B49" w:rsidRPr="005F7B49" w:rsidRDefault="005F7B49" w:rsidP="005F7B49">
            <w:pPr>
              <w:spacing w:before="0" w:after="0" w:line="240" w:lineRule="auto"/>
              <w:jc w:val="right"/>
              <w:rPr>
                <w:rFonts w:ascii="Arial" w:hAnsi="Arial" w:cs="Arial"/>
                <w:color w:val="000000"/>
                <w:sz w:val="16"/>
                <w:szCs w:val="16"/>
              </w:rPr>
            </w:pPr>
            <w:r w:rsidRPr="005F7B49">
              <w:rPr>
                <w:rFonts w:ascii="Arial" w:hAnsi="Arial" w:cs="Arial"/>
                <w:color w:val="000000"/>
                <w:sz w:val="16"/>
                <w:szCs w:val="16"/>
              </w:rPr>
              <w:t>64,570</w:t>
            </w:r>
          </w:p>
        </w:tc>
        <w:tc>
          <w:tcPr>
            <w:tcW w:w="472" w:type="pct"/>
            <w:tcBorders>
              <w:top w:val="nil"/>
              <w:left w:val="nil"/>
              <w:bottom w:val="nil"/>
              <w:right w:val="nil"/>
            </w:tcBorders>
            <w:shd w:val="clear" w:color="000000" w:fill="FFFFFF"/>
            <w:noWrap/>
            <w:vAlign w:val="center"/>
            <w:hideMark/>
          </w:tcPr>
          <w:p w14:paraId="7D321663" w14:textId="77777777" w:rsidR="005F7B49" w:rsidRPr="005F7B49" w:rsidRDefault="005F7B49" w:rsidP="005F7B49">
            <w:pPr>
              <w:spacing w:before="0" w:after="0" w:line="240" w:lineRule="auto"/>
              <w:jc w:val="right"/>
              <w:rPr>
                <w:rFonts w:ascii="Arial" w:hAnsi="Arial" w:cs="Arial"/>
                <w:color w:val="000000"/>
                <w:sz w:val="16"/>
                <w:szCs w:val="16"/>
              </w:rPr>
            </w:pPr>
            <w:r w:rsidRPr="005F7B49">
              <w:rPr>
                <w:rFonts w:ascii="Arial" w:hAnsi="Arial" w:cs="Arial"/>
                <w:color w:val="000000"/>
                <w:sz w:val="16"/>
                <w:szCs w:val="16"/>
              </w:rPr>
              <w:t>67,372</w:t>
            </w:r>
          </w:p>
        </w:tc>
        <w:tc>
          <w:tcPr>
            <w:tcW w:w="472" w:type="pct"/>
            <w:tcBorders>
              <w:top w:val="nil"/>
              <w:left w:val="nil"/>
              <w:bottom w:val="nil"/>
              <w:right w:val="nil"/>
            </w:tcBorders>
            <w:shd w:val="clear" w:color="000000" w:fill="FFFFFF"/>
            <w:noWrap/>
            <w:vAlign w:val="center"/>
            <w:hideMark/>
          </w:tcPr>
          <w:p w14:paraId="0591CA21" w14:textId="77777777" w:rsidR="005F7B49" w:rsidRPr="005F7B49" w:rsidRDefault="005F7B49" w:rsidP="005F7B49">
            <w:pPr>
              <w:spacing w:before="0" w:after="0" w:line="240" w:lineRule="auto"/>
              <w:jc w:val="right"/>
              <w:rPr>
                <w:rFonts w:ascii="Arial" w:hAnsi="Arial" w:cs="Arial"/>
                <w:color w:val="000000"/>
                <w:sz w:val="16"/>
                <w:szCs w:val="16"/>
              </w:rPr>
            </w:pPr>
            <w:r w:rsidRPr="005F7B49">
              <w:rPr>
                <w:rFonts w:ascii="Arial" w:hAnsi="Arial" w:cs="Arial"/>
                <w:color w:val="000000"/>
                <w:sz w:val="16"/>
                <w:szCs w:val="16"/>
              </w:rPr>
              <w:t>70,252</w:t>
            </w:r>
          </w:p>
        </w:tc>
      </w:tr>
      <w:tr w:rsidR="005F7B49" w:rsidRPr="005F7B49" w14:paraId="7827DCF0" w14:textId="77777777" w:rsidTr="005F7B49">
        <w:trPr>
          <w:trHeight w:hRule="exact" w:val="226"/>
        </w:trPr>
        <w:tc>
          <w:tcPr>
            <w:tcW w:w="1873" w:type="pct"/>
            <w:tcBorders>
              <w:top w:val="nil"/>
              <w:left w:val="nil"/>
              <w:bottom w:val="nil"/>
              <w:right w:val="nil"/>
            </w:tcBorders>
            <w:shd w:val="clear" w:color="000000" w:fill="FFFFFF"/>
            <w:noWrap/>
            <w:vAlign w:val="center"/>
            <w:hideMark/>
          </w:tcPr>
          <w:p w14:paraId="49345428" w14:textId="77777777" w:rsidR="005F7B49" w:rsidRPr="005F7B49" w:rsidRDefault="005F7B49" w:rsidP="005F7B49">
            <w:pPr>
              <w:spacing w:before="0" w:after="0" w:line="240" w:lineRule="auto"/>
              <w:rPr>
                <w:rFonts w:ascii="Arial" w:hAnsi="Arial" w:cs="Arial"/>
                <w:color w:val="000000"/>
                <w:sz w:val="16"/>
                <w:szCs w:val="16"/>
              </w:rPr>
            </w:pPr>
            <w:r w:rsidRPr="005F7B49">
              <w:rPr>
                <w:rFonts w:ascii="Arial" w:hAnsi="Arial" w:cs="Arial"/>
                <w:color w:val="000000"/>
                <w:sz w:val="16"/>
                <w:szCs w:val="16"/>
              </w:rPr>
              <w:t>National Disability Insurance</w:t>
            </w:r>
          </w:p>
        </w:tc>
        <w:tc>
          <w:tcPr>
            <w:tcW w:w="711" w:type="pct"/>
            <w:tcBorders>
              <w:top w:val="nil"/>
              <w:left w:val="nil"/>
              <w:bottom w:val="nil"/>
              <w:right w:val="nil"/>
            </w:tcBorders>
            <w:shd w:val="clear" w:color="auto" w:fill="auto"/>
            <w:noWrap/>
            <w:vAlign w:val="center"/>
            <w:hideMark/>
          </w:tcPr>
          <w:p w14:paraId="778D6728" w14:textId="77777777" w:rsidR="005F7B49" w:rsidRPr="005F7B49" w:rsidRDefault="005F7B49" w:rsidP="005F7B49">
            <w:pPr>
              <w:spacing w:before="0" w:after="0" w:line="240" w:lineRule="auto"/>
              <w:rPr>
                <w:rFonts w:ascii="Arial" w:hAnsi="Arial" w:cs="Arial"/>
                <w:color w:val="000000"/>
                <w:sz w:val="16"/>
                <w:szCs w:val="16"/>
              </w:rPr>
            </w:pPr>
          </w:p>
        </w:tc>
        <w:tc>
          <w:tcPr>
            <w:tcW w:w="59" w:type="pct"/>
            <w:tcBorders>
              <w:top w:val="nil"/>
              <w:left w:val="nil"/>
              <w:bottom w:val="nil"/>
              <w:right w:val="nil"/>
            </w:tcBorders>
            <w:shd w:val="clear" w:color="000000" w:fill="FFFFFF"/>
            <w:noWrap/>
            <w:vAlign w:val="center"/>
            <w:hideMark/>
          </w:tcPr>
          <w:p w14:paraId="06BB6791" w14:textId="77777777" w:rsidR="005F7B49" w:rsidRPr="005F7B49" w:rsidRDefault="005F7B49" w:rsidP="005F7B49">
            <w:pPr>
              <w:spacing w:before="0" w:after="0" w:line="240" w:lineRule="auto"/>
              <w:rPr>
                <w:rFonts w:ascii="Arial" w:hAnsi="Arial" w:cs="Arial"/>
                <w:color w:val="000000"/>
                <w:sz w:val="16"/>
                <w:szCs w:val="16"/>
              </w:rPr>
            </w:pPr>
            <w:r w:rsidRPr="005F7B49">
              <w:rPr>
                <w:rFonts w:ascii="Arial" w:hAnsi="Arial" w:cs="Arial"/>
                <w:color w:val="000000"/>
                <w:sz w:val="16"/>
                <w:szCs w:val="16"/>
              </w:rPr>
              <w:t> </w:t>
            </w:r>
          </w:p>
        </w:tc>
        <w:tc>
          <w:tcPr>
            <w:tcW w:w="472" w:type="pct"/>
            <w:tcBorders>
              <w:top w:val="nil"/>
              <w:left w:val="nil"/>
              <w:bottom w:val="nil"/>
              <w:right w:val="nil"/>
            </w:tcBorders>
            <w:shd w:val="clear" w:color="000000" w:fill="FFFFFF"/>
            <w:noWrap/>
            <w:vAlign w:val="center"/>
            <w:hideMark/>
          </w:tcPr>
          <w:p w14:paraId="5E80C6DE" w14:textId="77777777" w:rsidR="005F7B49" w:rsidRPr="005F7B49" w:rsidRDefault="005F7B49" w:rsidP="005F7B49">
            <w:pPr>
              <w:spacing w:before="0" w:after="0" w:line="240" w:lineRule="auto"/>
              <w:rPr>
                <w:rFonts w:ascii="Arial" w:hAnsi="Arial" w:cs="Arial"/>
                <w:color w:val="000000"/>
                <w:sz w:val="16"/>
                <w:szCs w:val="16"/>
              </w:rPr>
            </w:pPr>
            <w:r w:rsidRPr="005F7B49">
              <w:rPr>
                <w:rFonts w:ascii="Arial" w:hAnsi="Arial" w:cs="Arial"/>
                <w:color w:val="000000"/>
                <w:sz w:val="16"/>
                <w:szCs w:val="16"/>
              </w:rPr>
              <w:t> </w:t>
            </w:r>
          </w:p>
        </w:tc>
        <w:tc>
          <w:tcPr>
            <w:tcW w:w="472" w:type="pct"/>
            <w:tcBorders>
              <w:top w:val="nil"/>
              <w:left w:val="nil"/>
              <w:bottom w:val="nil"/>
              <w:right w:val="nil"/>
            </w:tcBorders>
            <w:shd w:val="clear" w:color="000000" w:fill="E6F2FF"/>
            <w:noWrap/>
            <w:vAlign w:val="center"/>
            <w:hideMark/>
          </w:tcPr>
          <w:p w14:paraId="0D5A1E66" w14:textId="77777777" w:rsidR="005F7B49" w:rsidRPr="005F7B49" w:rsidRDefault="005F7B49" w:rsidP="005F7B49">
            <w:pPr>
              <w:spacing w:before="0" w:after="0" w:line="240" w:lineRule="auto"/>
              <w:rPr>
                <w:rFonts w:ascii="Arial" w:hAnsi="Arial" w:cs="Arial"/>
                <w:color w:val="000000"/>
                <w:sz w:val="16"/>
                <w:szCs w:val="16"/>
              </w:rPr>
            </w:pPr>
            <w:r w:rsidRPr="005F7B49">
              <w:rPr>
                <w:rFonts w:ascii="Arial" w:hAnsi="Arial" w:cs="Arial"/>
                <w:color w:val="000000"/>
                <w:sz w:val="16"/>
                <w:szCs w:val="16"/>
              </w:rPr>
              <w:t> </w:t>
            </w:r>
          </w:p>
        </w:tc>
        <w:tc>
          <w:tcPr>
            <w:tcW w:w="472" w:type="pct"/>
            <w:tcBorders>
              <w:top w:val="nil"/>
              <w:left w:val="nil"/>
              <w:bottom w:val="nil"/>
              <w:right w:val="nil"/>
            </w:tcBorders>
            <w:shd w:val="clear" w:color="000000" w:fill="FFFFFF"/>
            <w:noWrap/>
            <w:vAlign w:val="center"/>
            <w:hideMark/>
          </w:tcPr>
          <w:p w14:paraId="554CEA2C" w14:textId="77777777" w:rsidR="005F7B49" w:rsidRPr="005F7B49" w:rsidRDefault="005F7B49" w:rsidP="005F7B49">
            <w:pPr>
              <w:spacing w:before="0" w:after="0" w:line="240" w:lineRule="auto"/>
              <w:rPr>
                <w:rFonts w:ascii="Arial" w:hAnsi="Arial" w:cs="Arial"/>
                <w:color w:val="000000"/>
                <w:sz w:val="16"/>
                <w:szCs w:val="16"/>
              </w:rPr>
            </w:pPr>
            <w:r w:rsidRPr="005F7B49">
              <w:rPr>
                <w:rFonts w:ascii="Arial" w:hAnsi="Arial" w:cs="Arial"/>
                <w:color w:val="000000"/>
                <w:sz w:val="16"/>
                <w:szCs w:val="16"/>
              </w:rPr>
              <w:t> </w:t>
            </w:r>
          </w:p>
        </w:tc>
        <w:tc>
          <w:tcPr>
            <w:tcW w:w="472" w:type="pct"/>
            <w:tcBorders>
              <w:top w:val="nil"/>
              <w:left w:val="nil"/>
              <w:bottom w:val="nil"/>
              <w:right w:val="nil"/>
            </w:tcBorders>
            <w:shd w:val="clear" w:color="000000" w:fill="FFFFFF"/>
            <w:noWrap/>
            <w:vAlign w:val="center"/>
            <w:hideMark/>
          </w:tcPr>
          <w:p w14:paraId="02C07FE4" w14:textId="77777777" w:rsidR="005F7B49" w:rsidRPr="005F7B49" w:rsidRDefault="005F7B49" w:rsidP="005F7B49">
            <w:pPr>
              <w:spacing w:before="0" w:after="0" w:line="240" w:lineRule="auto"/>
              <w:rPr>
                <w:rFonts w:ascii="Arial" w:hAnsi="Arial" w:cs="Arial"/>
                <w:color w:val="000000"/>
                <w:sz w:val="16"/>
                <w:szCs w:val="16"/>
              </w:rPr>
            </w:pPr>
            <w:r w:rsidRPr="005F7B49">
              <w:rPr>
                <w:rFonts w:ascii="Arial" w:hAnsi="Arial" w:cs="Arial"/>
                <w:color w:val="000000"/>
                <w:sz w:val="16"/>
                <w:szCs w:val="16"/>
              </w:rPr>
              <w:t> </w:t>
            </w:r>
          </w:p>
        </w:tc>
        <w:tc>
          <w:tcPr>
            <w:tcW w:w="472" w:type="pct"/>
            <w:tcBorders>
              <w:top w:val="nil"/>
              <w:left w:val="nil"/>
              <w:bottom w:val="nil"/>
              <w:right w:val="nil"/>
            </w:tcBorders>
            <w:shd w:val="clear" w:color="000000" w:fill="FFFFFF"/>
            <w:noWrap/>
            <w:vAlign w:val="center"/>
            <w:hideMark/>
          </w:tcPr>
          <w:p w14:paraId="2DF70281" w14:textId="77777777" w:rsidR="005F7B49" w:rsidRPr="005F7B49" w:rsidRDefault="005F7B49" w:rsidP="005F7B49">
            <w:pPr>
              <w:spacing w:before="0" w:after="0" w:line="240" w:lineRule="auto"/>
              <w:rPr>
                <w:rFonts w:ascii="Arial" w:hAnsi="Arial" w:cs="Arial"/>
                <w:color w:val="000000"/>
                <w:sz w:val="16"/>
                <w:szCs w:val="16"/>
              </w:rPr>
            </w:pPr>
            <w:r w:rsidRPr="005F7B49">
              <w:rPr>
                <w:rFonts w:ascii="Arial" w:hAnsi="Arial" w:cs="Arial"/>
                <w:color w:val="000000"/>
                <w:sz w:val="16"/>
                <w:szCs w:val="16"/>
              </w:rPr>
              <w:t> </w:t>
            </w:r>
          </w:p>
        </w:tc>
      </w:tr>
      <w:tr w:rsidR="005F7B49" w:rsidRPr="005F7B49" w14:paraId="601D0D53" w14:textId="77777777" w:rsidTr="005F7B49">
        <w:trPr>
          <w:trHeight w:hRule="exact" w:val="226"/>
        </w:trPr>
        <w:tc>
          <w:tcPr>
            <w:tcW w:w="1873" w:type="pct"/>
            <w:tcBorders>
              <w:top w:val="nil"/>
              <w:left w:val="nil"/>
              <w:bottom w:val="nil"/>
              <w:right w:val="nil"/>
            </w:tcBorders>
            <w:shd w:val="clear" w:color="000000" w:fill="FFFFFF"/>
            <w:noWrap/>
            <w:vAlign w:val="center"/>
            <w:hideMark/>
          </w:tcPr>
          <w:p w14:paraId="2C53DE5F" w14:textId="77777777" w:rsidR="005F7B49" w:rsidRPr="005F7B49" w:rsidRDefault="005F7B49" w:rsidP="005F7B49">
            <w:pPr>
              <w:spacing w:before="0" w:after="0" w:line="240" w:lineRule="auto"/>
              <w:ind w:left="170"/>
              <w:rPr>
                <w:rFonts w:ascii="Arial" w:hAnsi="Arial" w:cs="Arial"/>
                <w:color w:val="000000"/>
                <w:sz w:val="16"/>
                <w:szCs w:val="16"/>
              </w:rPr>
            </w:pPr>
            <w:r w:rsidRPr="005F7B49">
              <w:rPr>
                <w:rFonts w:ascii="Arial" w:hAnsi="Arial" w:cs="Arial"/>
                <w:color w:val="000000"/>
                <w:sz w:val="16"/>
                <w:szCs w:val="16"/>
              </w:rPr>
              <w:t>Scheme(b)</w:t>
            </w:r>
          </w:p>
        </w:tc>
        <w:tc>
          <w:tcPr>
            <w:tcW w:w="711" w:type="pct"/>
            <w:tcBorders>
              <w:top w:val="nil"/>
              <w:left w:val="nil"/>
              <w:bottom w:val="nil"/>
              <w:right w:val="nil"/>
            </w:tcBorders>
            <w:shd w:val="clear" w:color="000000" w:fill="FFFFFF"/>
            <w:noWrap/>
            <w:vAlign w:val="center"/>
            <w:hideMark/>
          </w:tcPr>
          <w:p w14:paraId="2886ADAB" w14:textId="77777777" w:rsidR="005F7B49" w:rsidRPr="005F7B49" w:rsidRDefault="005F7B49" w:rsidP="005F7B49">
            <w:pPr>
              <w:spacing w:before="0" w:after="0" w:line="240" w:lineRule="auto"/>
              <w:rPr>
                <w:rFonts w:ascii="Arial" w:hAnsi="Arial" w:cs="Arial"/>
                <w:color w:val="000000"/>
                <w:sz w:val="16"/>
                <w:szCs w:val="16"/>
              </w:rPr>
            </w:pPr>
            <w:r w:rsidRPr="005F7B49">
              <w:rPr>
                <w:rFonts w:ascii="Arial" w:hAnsi="Arial" w:cs="Arial"/>
                <w:color w:val="000000"/>
                <w:sz w:val="16"/>
                <w:szCs w:val="16"/>
              </w:rPr>
              <w:t>SSW</w:t>
            </w:r>
          </w:p>
        </w:tc>
        <w:tc>
          <w:tcPr>
            <w:tcW w:w="59" w:type="pct"/>
            <w:tcBorders>
              <w:top w:val="nil"/>
              <w:left w:val="nil"/>
              <w:bottom w:val="nil"/>
              <w:right w:val="nil"/>
            </w:tcBorders>
            <w:shd w:val="clear" w:color="000000" w:fill="FFFFFF"/>
            <w:noWrap/>
            <w:vAlign w:val="center"/>
            <w:hideMark/>
          </w:tcPr>
          <w:p w14:paraId="51C133B7" w14:textId="77777777" w:rsidR="005F7B49" w:rsidRPr="005F7B49" w:rsidRDefault="005F7B49" w:rsidP="005F7B49">
            <w:pPr>
              <w:spacing w:before="0" w:after="0" w:line="240" w:lineRule="auto"/>
              <w:rPr>
                <w:rFonts w:ascii="Arial" w:hAnsi="Arial" w:cs="Arial"/>
                <w:color w:val="000000"/>
                <w:sz w:val="16"/>
                <w:szCs w:val="16"/>
              </w:rPr>
            </w:pPr>
            <w:r w:rsidRPr="005F7B49">
              <w:rPr>
                <w:rFonts w:ascii="Arial" w:hAnsi="Arial" w:cs="Arial"/>
                <w:color w:val="000000"/>
                <w:sz w:val="16"/>
                <w:szCs w:val="16"/>
              </w:rPr>
              <w:t> </w:t>
            </w:r>
          </w:p>
        </w:tc>
        <w:tc>
          <w:tcPr>
            <w:tcW w:w="472" w:type="pct"/>
            <w:tcBorders>
              <w:top w:val="nil"/>
              <w:left w:val="nil"/>
              <w:bottom w:val="nil"/>
              <w:right w:val="nil"/>
            </w:tcBorders>
            <w:shd w:val="clear" w:color="000000" w:fill="FFFFFF"/>
            <w:noWrap/>
            <w:vAlign w:val="center"/>
            <w:hideMark/>
          </w:tcPr>
          <w:p w14:paraId="7BE9CEF7" w14:textId="77777777" w:rsidR="005F7B49" w:rsidRPr="005F7B49" w:rsidRDefault="005F7B49" w:rsidP="005F7B49">
            <w:pPr>
              <w:spacing w:before="0" w:after="0" w:line="240" w:lineRule="auto"/>
              <w:jc w:val="right"/>
              <w:rPr>
                <w:rFonts w:ascii="Arial" w:hAnsi="Arial" w:cs="Arial"/>
                <w:color w:val="000000"/>
                <w:sz w:val="16"/>
                <w:szCs w:val="16"/>
              </w:rPr>
            </w:pPr>
            <w:r w:rsidRPr="005F7B49">
              <w:rPr>
                <w:rFonts w:ascii="Arial" w:hAnsi="Arial" w:cs="Arial"/>
                <w:color w:val="000000"/>
                <w:sz w:val="16"/>
                <w:szCs w:val="16"/>
              </w:rPr>
              <w:t>42,902</w:t>
            </w:r>
          </w:p>
        </w:tc>
        <w:tc>
          <w:tcPr>
            <w:tcW w:w="472" w:type="pct"/>
            <w:tcBorders>
              <w:top w:val="nil"/>
              <w:left w:val="nil"/>
              <w:bottom w:val="nil"/>
              <w:right w:val="nil"/>
            </w:tcBorders>
            <w:shd w:val="clear" w:color="000000" w:fill="E6F2FF"/>
            <w:noWrap/>
            <w:vAlign w:val="center"/>
            <w:hideMark/>
          </w:tcPr>
          <w:p w14:paraId="53B5D19D" w14:textId="77777777" w:rsidR="005F7B49" w:rsidRPr="005F7B49" w:rsidRDefault="005F7B49" w:rsidP="005F7B49">
            <w:pPr>
              <w:spacing w:before="0" w:after="0" w:line="240" w:lineRule="auto"/>
              <w:jc w:val="right"/>
              <w:rPr>
                <w:rFonts w:ascii="Arial" w:hAnsi="Arial" w:cs="Arial"/>
                <w:color w:val="000000"/>
                <w:sz w:val="16"/>
                <w:szCs w:val="16"/>
              </w:rPr>
            </w:pPr>
            <w:r w:rsidRPr="005F7B49">
              <w:rPr>
                <w:rFonts w:ascii="Arial" w:hAnsi="Arial" w:cs="Arial"/>
                <w:color w:val="000000"/>
                <w:sz w:val="16"/>
                <w:szCs w:val="16"/>
              </w:rPr>
              <w:t>47,985</w:t>
            </w:r>
          </w:p>
        </w:tc>
        <w:tc>
          <w:tcPr>
            <w:tcW w:w="472" w:type="pct"/>
            <w:tcBorders>
              <w:top w:val="nil"/>
              <w:left w:val="nil"/>
              <w:bottom w:val="nil"/>
              <w:right w:val="nil"/>
            </w:tcBorders>
            <w:shd w:val="clear" w:color="000000" w:fill="FFFFFF"/>
            <w:noWrap/>
            <w:vAlign w:val="center"/>
            <w:hideMark/>
          </w:tcPr>
          <w:p w14:paraId="013765DB" w14:textId="77777777" w:rsidR="005F7B49" w:rsidRPr="005F7B49" w:rsidRDefault="005F7B49" w:rsidP="005F7B49">
            <w:pPr>
              <w:spacing w:before="0" w:after="0" w:line="240" w:lineRule="auto"/>
              <w:jc w:val="right"/>
              <w:rPr>
                <w:rFonts w:ascii="Arial" w:hAnsi="Arial" w:cs="Arial"/>
                <w:color w:val="000000"/>
                <w:sz w:val="16"/>
                <w:szCs w:val="16"/>
              </w:rPr>
            </w:pPr>
            <w:r w:rsidRPr="005F7B49">
              <w:rPr>
                <w:rFonts w:ascii="Arial" w:hAnsi="Arial" w:cs="Arial"/>
                <w:color w:val="000000"/>
                <w:sz w:val="16"/>
                <w:szCs w:val="16"/>
              </w:rPr>
              <w:t>51,767</w:t>
            </w:r>
          </w:p>
        </w:tc>
        <w:tc>
          <w:tcPr>
            <w:tcW w:w="472" w:type="pct"/>
            <w:tcBorders>
              <w:top w:val="nil"/>
              <w:left w:val="nil"/>
              <w:bottom w:val="nil"/>
              <w:right w:val="nil"/>
            </w:tcBorders>
            <w:shd w:val="clear" w:color="000000" w:fill="FFFFFF"/>
            <w:noWrap/>
            <w:vAlign w:val="center"/>
            <w:hideMark/>
          </w:tcPr>
          <w:p w14:paraId="454B32AA" w14:textId="77777777" w:rsidR="005F7B49" w:rsidRPr="005F7B49" w:rsidRDefault="005F7B49" w:rsidP="005F7B49">
            <w:pPr>
              <w:spacing w:before="0" w:after="0" w:line="240" w:lineRule="auto"/>
              <w:jc w:val="right"/>
              <w:rPr>
                <w:rFonts w:ascii="Arial" w:hAnsi="Arial" w:cs="Arial"/>
                <w:color w:val="000000"/>
                <w:sz w:val="16"/>
                <w:szCs w:val="16"/>
              </w:rPr>
            </w:pPr>
            <w:r w:rsidRPr="005F7B49">
              <w:rPr>
                <w:rFonts w:ascii="Arial" w:hAnsi="Arial" w:cs="Arial"/>
                <w:color w:val="000000"/>
                <w:sz w:val="16"/>
                <w:szCs w:val="16"/>
              </w:rPr>
              <w:t>55,861</w:t>
            </w:r>
          </w:p>
        </w:tc>
        <w:tc>
          <w:tcPr>
            <w:tcW w:w="472" w:type="pct"/>
            <w:tcBorders>
              <w:top w:val="nil"/>
              <w:left w:val="nil"/>
              <w:bottom w:val="nil"/>
              <w:right w:val="nil"/>
            </w:tcBorders>
            <w:shd w:val="clear" w:color="000000" w:fill="FFFFFF"/>
            <w:noWrap/>
            <w:vAlign w:val="center"/>
            <w:hideMark/>
          </w:tcPr>
          <w:p w14:paraId="70E36EC2" w14:textId="77777777" w:rsidR="005F7B49" w:rsidRPr="005F7B49" w:rsidRDefault="005F7B49" w:rsidP="005F7B49">
            <w:pPr>
              <w:spacing w:before="0" w:after="0" w:line="240" w:lineRule="auto"/>
              <w:jc w:val="right"/>
              <w:rPr>
                <w:rFonts w:ascii="Arial" w:hAnsi="Arial" w:cs="Arial"/>
                <w:color w:val="000000"/>
                <w:sz w:val="16"/>
                <w:szCs w:val="16"/>
              </w:rPr>
            </w:pPr>
            <w:r w:rsidRPr="005F7B49">
              <w:rPr>
                <w:rFonts w:ascii="Arial" w:hAnsi="Arial" w:cs="Arial"/>
                <w:color w:val="000000"/>
                <w:sz w:val="16"/>
                <w:szCs w:val="16"/>
              </w:rPr>
              <w:t>60,111</w:t>
            </w:r>
          </w:p>
        </w:tc>
      </w:tr>
      <w:tr w:rsidR="005F7B49" w:rsidRPr="005F7B49" w14:paraId="4E46FBA6" w14:textId="77777777" w:rsidTr="005F7B49">
        <w:trPr>
          <w:trHeight w:hRule="exact" w:val="226"/>
        </w:trPr>
        <w:tc>
          <w:tcPr>
            <w:tcW w:w="1873" w:type="pct"/>
            <w:tcBorders>
              <w:top w:val="nil"/>
              <w:left w:val="nil"/>
              <w:bottom w:val="nil"/>
              <w:right w:val="nil"/>
            </w:tcBorders>
            <w:shd w:val="clear" w:color="000000" w:fill="FFFFFF"/>
            <w:noWrap/>
            <w:vAlign w:val="center"/>
            <w:hideMark/>
          </w:tcPr>
          <w:p w14:paraId="559504F0" w14:textId="77777777" w:rsidR="005F7B49" w:rsidRPr="005F7B49" w:rsidRDefault="005F7B49" w:rsidP="005F7B49">
            <w:pPr>
              <w:spacing w:before="0" w:after="0" w:line="240" w:lineRule="auto"/>
              <w:rPr>
                <w:rFonts w:ascii="Arial" w:hAnsi="Arial" w:cs="Arial"/>
                <w:color w:val="000000"/>
                <w:sz w:val="16"/>
                <w:szCs w:val="16"/>
              </w:rPr>
            </w:pPr>
            <w:r w:rsidRPr="005F7B49">
              <w:rPr>
                <w:rFonts w:ascii="Arial" w:hAnsi="Arial" w:cs="Arial"/>
                <w:color w:val="000000"/>
                <w:sz w:val="16"/>
                <w:szCs w:val="16"/>
              </w:rPr>
              <w:t>Aged Care Services</w:t>
            </w:r>
          </w:p>
        </w:tc>
        <w:tc>
          <w:tcPr>
            <w:tcW w:w="711" w:type="pct"/>
            <w:tcBorders>
              <w:top w:val="nil"/>
              <w:left w:val="nil"/>
              <w:bottom w:val="nil"/>
              <w:right w:val="nil"/>
            </w:tcBorders>
            <w:shd w:val="clear" w:color="000000" w:fill="FFFFFF"/>
            <w:noWrap/>
            <w:vAlign w:val="center"/>
            <w:hideMark/>
          </w:tcPr>
          <w:p w14:paraId="50EB5895" w14:textId="77777777" w:rsidR="005F7B49" w:rsidRPr="005F7B49" w:rsidRDefault="005F7B49" w:rsidP="005F7B49">
            <w:pPr>
              <w:spacing w:before="0" w:after="0" w:line="240" w:lineRule="auto"/>
              <w:rPr>
                <w:rFonts w:ascii="Arial" w:hAnsi="Arial" w:cs="Arial"/>
                <w:color w:val="000000"/>
                <w:sz w:val="16"/>
                <w:szCs w:val="16"/>
              </w:rPr>
            </w:pPr>
            <w:r w:rsidRPr="005F7B49">
              <w:rPr>
                <w:rFonts w:ascii="Arial" w:hAnsi="Arial" w:cs="Arial"/>
                <w:color w:val="000000"/>
                <w:sz w:val="16"/>
                <w:szCs w:val="16"/>
              </w:rPr>
              <w:t>SSW</w:t>
            </w:r>
          </w:p>
        </w:tc>
        <w:tc>
          <w:tcPr>
            <w:tcW w:w="59" w:type="pct"/>
            <w:tcBorders>
              <w:top w:val="nil"/>
              <w:left w:val="nil"/>
              <w:bottom w:val="nil"/>
              <w:right w:val="nil"/>
            </w:tcBorders>
            <w:shd w:val="clear" w:color="000000" w:fill="FFFFFF"/>
            <w:noWrap/>
            <w:vAlign w:val="center"/>
            <w:hideMark/>
          </w:tcPr>
          <w:p w14:paraId="6FB22D75" w14:textId="77777777" w:rsidR="005F7B49" w:rsidRPr="005F7B49" w:rsidRDefault="005F7B49" w:rsidP="005F7B49">
            <w:pPr>
              <w:spacing w:before="0" w:after="0" w:line="240" w:lineRule="auto"/>
              <w:rPr>
                <w:rFonts w:ascii="Arial" w:hAnsi="Arial" w:cs="Arial"/>
                <w:color w:val="000000"/>
                <w:sz w:val="16"/>
                <w:szCs w:val="16"/>
              </w:rPr>
            </w:pPr>
            <w:r w:rsidRPr="005F7B49">
              <w:rPr>
                <w:rFonts w:ascii="Arial" w:hAnsi="Arial" w:cs="Arial"/>
                <w:color w:val="000000"/>
                <w:sz w:val="16"/>
                <w:szCs w:val="16"/>
              </w:rPr>
              <w:t> </w:t>
            </w:r>
          </w:p>
        </w:tc>
        <w:tc>
          <w:tcPr>
            <w:tcW w:w="472" w:type="pct"/>
            <w:tcBorders>
              <w:top w:val="nil"/>
              <w:left w:val="nil"/>
              <w:bottom w:val="nil"/>
              <w:right w:val="nil"/>
            </w:tcBorders>
            <w:shd w:val="clear" w:color="000000" w:fill="FFFFFF"/>
            <w:noWrap/>
            <w:vAlign w:val="center"/>
            <w:hideMark/>
          </w:tcPr>
          <w:p w14:paraId="2186DFD6" w14:textId="77777777" w:rsidR="005F7B49" w:rsidRPr="005F7B49" w:rsidRDefault="005F7B49" w:rsidP="005F7B49">
            <w:pPr>
              <w:spacing w:before="0" w:after="0" w:line="240" w:lineRule="auto"/>
              <w:jc w:val="right"/>
              <w:rPr>
                <w:rFonts w:ascii="Arial" w:hAnsi="Arial" w:cs="Arial"/>
                <w:color w:val="000000"/>
                <w:sz w:val="16"/>
                <w:szCs w:val="16"/>
              </w:rPr>
            </w:pPr>
            <w:r w:rsidRPr="005F7B49">
              <w:rPr>
                <w:rFonts w:ascii="Arial" w:hAnsi="Arial" w:cs="Arial"/>
                <w:color w:val="000000"/>
                <w:sz w:val="16"/>
                <w:szCs w:val="16"/>
              </w:rPr>
              <w:t>32,305</w:t>
            </w:r>
          </w:p>
        </w:tc>
        <w:tc>
          <w:tcPr>
            <w:tcW w:w="472" w:type="pct"/>
            <w:tcBorders>
              <w:top w:val="nil"/>
              <w:left w:val="nil"/>
              <w:bottom w:val="nil"/>
              <w:right w:val="nil"/>
            </w:tcBorders>
            <w:shd w:val="clear" w:color="000000" w:fill="E6F2FF"/>
            <w:noWrap/>
            <w:vAlign w:val="center"/>
            <w:hideMark/>
          </w:tcPr>
          <w:p w14:paraId="4E45D1CF" w14:textId="77777777" w:rsidR="005F7B49" w:rsidRPr="005F7B49" w:rsidRDefault="005F7B49" w:rsidP="005F7B49">
            <w:pPr>
              <w:spacing w:before="0" w:after="0" w:line="240" w:lineRule="auto"/>
              <w:jc w:val="right"/>
              <w:rPr>
                <w:rFonts w:ascii="Arial" w:hAnsi="Arial" w:cs="Arial"/>
                <w:color w:val="000000"/>
                <w:sz w:val="16"/>
                <w:szCs w:val="16"/>
              </w:rPr>
            </w:pPr>
            <w:r w:rsidRPr="005F7B49">
              <w:rPr>
                <w:rFonts w:ascii="Arial" w:hAnsi="Arial" w:cs="Arial"/>
                <w:color w:val="000000"/>
                <w:sz w:val="16"/>
                <w:szCs w:val="16"/>
              </w:rPr>
              <w:t>36,134</w:t>
            </w:r>
          </w:p>
        </w:tc>
        <w:tc>
          <w:tcPr>
            <w:tcW w:w="472" w:type="pct"/>
            <w:tcBorders>
              <w:top w:val="nil"/>
              <w:left w:val="nil"/>
              <w:bottom w:val="nil"/>
              <w:right w:val="nil"/>
            </w:tcBorders>
            <w:shd w:val="clear" w:color="000000" w:fill="FFFFFF"/>
            <w:noWrap/>
            <w:vAlign w:val="center"/>
            <w:hideMark/>
          </w:tcPr>
          <w:p w14:paraId="678ECD76" w14:textId="77777777" w:rsidR="005F7B49" w:rsidRPr="005F7B49" w:rsidRDefault="005F7B49" w:rsidP="005F7B49">
            <w:pPr>
              <w:spacing w:before="0" w:after="0" w:line="240" w:lineRule="auto"/>
              <w:jc w:val="right"/>
              <w:rPr>
                <w:rFonts w:ascii="Arial" w:hAnsi="Arial" w:cs="Arial"/>
                <w:color w:val="000000"/>
                <w:sz w:val="16"/>
                <w:szCs w:val="16"/>
              </w:rPr>
            </w:pPr>
            <w:r w:rsidRPr="005F7B49">
              <w:rPr>
                <w:rFonts w:ascii="Arial" w:hAnsi="Arial" w:cs="Arial"/>
                <w:color w:val="000000"/>
                <w:sz w:val="16"/>
                <w:szCs w:val="16"/>
              </w:rPr>
              <w:t>37,848</w:t>
            </w:r>
          </w:p>
        </w:tc>
        <w:tc>
          <w:tcPr>
            <w:tcW w:w="472" w:type="pct"/>
            <w:tcBorders>
              <w:top w:val="nil"/>
              <w:left w:val="nil"/>
              <w:bottom w:val="nil"/>
              <w:right w:val="nil"/>
            </w:tcBorders>
            <w:shd w:val="clear" w:color="000000" w:fill="FFFFFF"/>
            <w:noWrap/>
            <w:vAlign w:val="center"/>
            <w:hideMark/>
          </w:tcPr>
          <w:p w14:paraId="6C6D0AD8" w14:textId="77777777" w:rsidR="005F7B49" w:rsidRPr="005F7B49" w:rsidRDefault="005F7B49" w:rsidP="005F7B49">
            <w:pPr>
              <w:spacing w:before="0" w:after="0" w:line="240" w:lineRule="auto"/>
              <w:jc w:val="right"/>
              <w:rPr>
                <w:rFonts w:ascii="Arial" w:hAnsi="Arial" w:cs="Arial"/>
                <w:color w:val="000000"/>
                <w:sz w:val="16"/>
                <w:szCs w:val="16"/>
              </w:rPr>
            </w:pPr>
            <w:r w:rsidRPr="005F7B49">
              <w:rPr>
                <w:rFonts w:ascii="Arial" w:hAnsi="Arial" w:cs="Arial"/>
                <w:color w:val="000000"/>
                <w:sz w:val="16"/>
                <w:szCs w:val="16"/>
              </w:rPr>
              <w:t>40,046</w:t>
            </w:r>
          </w:p>
        </w:tc>
        <w:tc>
          <w:tcPr>
            <w:tcW w:w="472" w:type="pct"/>
            <w:tcBorders>
              <w:top w:val="nil"/>
              <w:left w:val="nil"/>
              <w:bottom w:val="nil"/>
              <w:right w:val="nil"/>
            </w:tcBorders>
            <w:shd w:val="clear" w:color="000000" w:fill="FFFFFF"/>
            <w:noWrap/>
            <w:vAlign w:val="center"/>
            <w:hideMark/>
          </w:tcPr>
          <w:p w14:paraId="2E45FEA6" w14:textId="77777777" w:rsidR="005F7B49" w:rsidRPr="005F7B49" w:rsidRDefault="005F7B49" w:rsidP="005F7B49">
            <w:pPr>
              <w:spacing w:before="0" w:after="0" w:line="240" w:lineRule="auto"/>
              <w:jc w:val="right"/>
              <w:rPr>
                <w:rFonts w:ascii="Arial" w:hAnsi="Arial" w:cs="Arial"/>
                <w:color w:val="000000"/>
                <w:sz w:val="16"/>
                <w:szCs w:val="16"/>
              </w:rPr>
            </w:pPr>
            <w:r w:rsidRPr="005F7B49">
              <w:rPr>
                <w:rFonts w:ascii="Arial" w:hAnsi="Arial" w:cs="Arial"/>
                <w:color w:val="000000"/>
                <w:sz w:val="16"/>
                <w:szCs w:val="16"/>
              </w:rPr>
              <w:t>43,542</w:t>
            </w:r>
          </w:p>
        </w:tc>
      </w:tr>
      <w:tr w:rsidR="005F7B49" w:rsidRPr="005F7B49" w14:paraId="6FF8DC1B" w14:textId="77777777" w:rsidTr="005F7B49">
        <w:trPr>
          <w:trHeight w:hRule="exact" w:val="226"/>
        </w:trPr>
        <w:tc>
          <w:tcPr>
            <w:tcW w:w="1873" w:type="pct"/>
            <w:tcBorders>
              <w:top w:val="nil"/>
              <w:left w:val="nil"/>
              <w:bottom w:val="nil"/>
              <w:right w:val="nil"/>
            </w:tcBorders>
            <w:shd w:val="clear" w:color="000000" w:fill="FFFFFF"/>
            <w:noWrap/>
            <w:vAlign w:val="center"/>
            <w:hideMark/>
          </w:tcPr>
          <w:p w14:paraId="1430E4E0" w14:textId="77777777" w:rsidR="005F7B49" w:rsidRPr="005F7B49" w:rsidRDefault="005F7B49" w:rsidP="005F7B49">
            <w:pPr>
              <w:spacing w:before="0" w:after="0" w:line="240" w:lineRule="auto"/>
              <w:rPr>
                <w:rFonts w:ascii="Arial" w:hAnsi="Arial" w:cs="Arial"/>
                <w:color w:val="000000"/>
                <w:sz w:val="16"/>
                <w:szCs w:val="16"/>
              </w:rPr>
            </w:pPr>
            <w:r w:rsidRPr="005F7B49">
              <w:rPr>
                <w:rFonts w:ascii="Arial" w:hAnsi="Arial" w:cs="Arial"/>
                <w:color w:val="000000"/>
                <w:sz w:val="16"/>
                <w:szCs w:val="16"/>
              </w:rPr>
              <w:t>Medical Benefits</w:t>
            </w:r>
          </w:p>
        </w:tc>
        <w:tc>
          <w:tcPr>
            <w:tcW w:w="711" w:type="pct"/>
            <w:tcBorders>
              <w:top w:val="nil"/>
              <w:left w:val="nil"/>
              <w:bottom w:val="nil"/>
              <w:right w:val="nil"/>
            </w:tcBorders>
            <w:shd w:val="clear" w:color="000000" w:fill="FFFFFF"/>
            <w:noWrap/>
            <w:vAlign w:val="center"/>
            <w:hideMark/>
          </w:tcPr>
          <w:p w14:paraId="32C9297C" w14:textId="77777777" w:rsidR="005F7B49" w:rsidRPr="005F7B49" w:rsidRDefault="005F7B49" w:rsidP="005F7B49">
            <w:pPr>
              <w:spacing w:before="0" w:after="0" w:line="240" w:lineRule="auto"/>
              <w:rPr>
                <w:rFonts w:ascii="Arial" w:hAnsi="Arial" w:cs="Arial"/>
                <w:color w:val="000000"/>
                <w:sz w:val="16"/>
                <w:szCs w:val="16"/>
              </w:rPr>
            </w:pPr>
            <w:r w:rsidRPr="005F7B49">
              <w:rPr>
                <w:rFonts w:ascii="Arial" w:hAnsi="Arial" w:cs="Arial"/>
                <w:color w:val="000000"/>
                <w:sz w:val="16"/>
                <w:szCs w:val="16"/>
              </w:rPr>
              <w:t>Health</w:t>
            </w:r>
          </w:p>
        </w:tc>
        <w:tc>
          <w:tcPr>
            <w:tcW w:w="59" w:type="pct"/>
            <w:tcBorders>
              <w:top w:val="nil"/>
              <w:left w:val="nil"/>
              <w:bottom w:val="nil"/>
              <w:right w:val="nil"/>
            </w:tcBorders>
            <w:shd w:val="clear" w:color="000000" w:fill="FFFFFF"/>
            <w:noWrap/>
            <w:vAlign w:val="center"/>
            <w:hideMark/>
          </w:tcPr>
          <w:p w14:paraId="6A495828" w14:textId="77777777" w:rsidR="005F7B49" w:rsidRPr="005F7B49" w:rsidRDefault="005F7B49" w:rsidP="005F7B49">
            <w:pPr>
              <w:spacing w:before="0" w:after="0" w:line="240" w:lineRule="auto"/>
              <w:rPr>
                <w:rFonts w:ascii="Arial" w:hAnsi="Arial" w:cs="Arial"/>
                <w:color w:val="000000"/>
                <w:sz w:val="16"/>
                <w:szCs w:val="16"/>
              </w:rPr>
            </w:pPr>
            <w:r w:rsidRPr="005F7B49">
              <w:rPr>
                <w:rFonts w:ascii="Arial" w:hAnsi="Arial" w:cs="Arial"/>
                <w:color w:val="000000"/>
                <w:sz w:val="16"/>
                <w:szCs w:val="16"/>
              </w:rPr>
              <w:t> </w:t>
            </w:r>
          </w:p>
        </w:tc>
        <w:tc>
          <w:tcPr>
            <w:tcW w:w="472" w:type="pct"/>
            <w:tcBorders>
              <w:top w:val="nil"/>
              <w:left w:val="nil"/>
              <w:bottom w:val="nil"/>
              <w:right w:val="nil"/>
            </w:tcBorders>
            <w:shd w:val="clear" w:color="000000" w:fill="FFFFFF"/>
            <w:noWrap/>
            <w:vAlign w:val="center"/>
            <w:hideMark/>
          </w:tcPr>
          <w:p w14:paraId="1AC7D5C5" w14:textId="77777777" w:rsidR="005F7B49" w:rsidRPr="005F7B49" w:rsidRDefault="005F7B49" w:rsidP="005F7B49">
            <w:pPr>
              <w:spacing w:before="0" w:after="0" w:line="240" w:lineRule="auto"/>
              <w:jc w:val="right"/>
              <w:rPr>
                <w:rFonts w:ascii="Arial" w:hAnsi="Arial" w:cs="Arial"/>
                <w:color w:val="000000"/>
                <w:sz w:val="16"/>
                <w:szCs w:val="16"/>
              </w:rPr>
            </w:pPr>
            <w:r w:rsidRPr="005F7B49">
              <w:rPr>
                <w:rFonts w:ascii="Arial" w:hAnsi="Arial" w:cs="Arial"/>
                <w:color w:val="000000"/>
                <w:sz w:val="16"/>
                <w:szCs w:val="16"/>
              </w:rPr>
              <w:t>29,692</w:t>
            </w:r>
          </w:p>
        </w:tc>
        <w:tc>
          <w:tcPr>
            <w:tcW w:w="472" w:type="pct"/>
            <w:tcBorders>
              <w:top w:val="nil"/>
              <w:left w:val="nil"/>
              <w:bottom w:val="nil"/>
              <w:right w:val="nil"/>
            </w:tcBorders>
            <w:shd w:val="clear" w:color="000000" w:fill="E6F2FF"/>
            <w:noWrap/>
            <w:vAlign w:val="center"/>
            <w:hideMark/>
          </w:tcPr>
          <w:p w14:paraId="7F6094DE" w14:textId="77777777" w:rsidR="005F7B49" w:rsidRPr="005F7B49" w:rsidRDefault="005F7B49" w:rsidP="005F7B49">
            <w:pPr>
              <w:spacing w:before="0" w:after="0" w:line="240" w:lineRule="auto"/>
              <w:jc w:val="right"/>
              <w:rPr>
                <w:rFonts w:ascii="Arial" w:hAnsi="Arial" w:cs="Arial"/>
                <w:color w:val="000000"/>
                <w:sz w:val="16"/>
                <w:szCs w:val="16"/>
              </w:rPr>
            </w:pPr>
            <w:r w:rsidRPr="005F7B49">
              <w:rPr>
                <w:rFonts w:ascii="Arial" w:hAnsi="Arial" w:cs="Arial"/>
                <w:color w:val="000000"/>
                <w:sz w:val="16"/>
                <w:szCs w:val="16"/>
              </w:rPr>
              <w:t>31,951</w:t>
            </w:r>
          </w:p>
        </w:tc>
        <w:tc>
          <w:tcPr>
            <w:tcW w:w="472" w:type="pct"/>
            <w:tcBorders>
              <w:top w:val="nil"/>
              <w:left w:val="nil"/>
              <w:bottom w:val="nil"/>
              <w:right w:val="nil"/>
            </w:tcBorders>
            <w:shd w:val="clear" w:color="000000" w:fill="FFFFFF"/>
            <w:noWrap/>
            <w:vAlign w:val="center"/>
            <w:hideMark/>
          </w:tcPr>
          <w:p w14:paraId="373C1298" w14:textId="77777777" w:rsidR="005F7B49" w:rsidRPr="005F7B49" w:rsidRDefault="005F7B49" w:rsidP="005F7B49">
            <w:pPr>
              <w:spacing w:before="0" w:after="0" w:line="240" w:lineRule="auto"/>
              <w:jc w:val="right"/>
              <w:rPr>
                <w:rFonts w:ascii="Arial" w:hAnsi="Arial" w:cs="Arial"/>
                <w:color w:val="000000"/>
                <w:sz w:val="16"/>
                <w:szCs w:val="16"/>
              </w:rPr>
            </w:pPr>
            <w:r w:rsidRPr="005F7B49">
              <w:rPr>
                <w:rFonts w:ascii="Arial" w:hAnsi="Arial" w:cs="Arial"/>
                <w:color w:val="000000"/>
                <w:sz w:val="16"/>
                <w:szCs w:val="16"/>
              </w:rPr>
              <w:t>33,910</w:t>
            </w:r>
          </w:p>
        </w:tc>
        <w:tc>
          <w:tcPr>
            <w:tcW w:w="472" w:type="pct"/>
            <w:tcBorders>
              <w:top w:val="nil"/>
              <w:left w:val="nil"/>
              <w:bottom w:val="nil"/>
              <w:right w:val="nil"/>
            </w:tcBorders>
            <w:shd w:val="clear" w:color="000000" w:fill="FFFFFF"/>
            <w:noWrap/>
            <w:vAlign w:val="center"/>
            <w:hideMark/>
          </w:tcPr>
          <w:p w14:paraId="16A21422" w14:textId="77777777" w:rsidR="005F7B49" w:rsidRPr="005F7B49" w:rsidRDefault="005F7B49" w:rsidP="005F7B49">
            <w:pPr>
              <w:spacing w:before="0" w:after="0" w:line="240" w:lineRule="auto"/>
              <w:jc w:val="right"/>
              <w:rPr>
                <w:rFonts w:ascii="Arial" w:hAnsi="Arial" w:cs="Arial"/>
                <w:color w:val="000000"/>
                <w:sz w:val="16"/>
                <w:szCs w:val="16"/>
              </w:rPr>
            </w:pPr>
            <w:r w:rsidRPr="005F7B49">
              <w:rPr>
                <w:rFonts w:ascii="Arial" w:hAnsi="Arial" w:cs="Arial"/>
                <w:color w:val="000000"/>
                <w:sz w:val="16"/>
                <w:szCs w:val="16"/>
              </w:rPr>
              <w:t>35,474</w:t>
            </w:r>
          </w:p>
        </w:tc>
        <w:tc>
          <w:tcPr>
            <w:tcW w:w="472" w:type="pct"/>
            <w:tcBorders>
              <w:top w:val="nil"/>
              <w:left w:val="nil"/>
              <w:bottom w:val="nil"/>
              <w:right w:val="nil"/>
            </w:tcBorders>
            <w:shd w:val="clear" w:color="000000" w:fill="FFFFFF"/>
            <w:noWrap/>
            <w:vAlign w:val="center"/>
            <w:hideMark/>
          </w:tcPr>
          <w:p w14:paraId="62EB17B1" w14:textId="77777777" w:rsidR="005F7B49" w:rsidRPr="005F7B49" w:rsidRDefault="005F7B49" w:rsidP="005F7B49">
            <w:pPr>
              <w:spacing w:before="0" w:after="0" w:line="240" w:lineRule="auto"/>
              <w:jc w:val="right"/>
              <w:rPr>
                <w:rFonts w:ascii="Arial" w:hAnsi="Arial" w:cs="Arial"/>
                <w:color w:val="000000"/>
                <w:sz w:val="16"/>
                <w:szCs w:val="16"/>
              </w:rPr>
            </w:pPr>
            <w:r w:rsidRPr="005F7B49">
              <w:rPr>
                <w:rFonts w:ascii="Arial" w:hAnsi="Arial" w:cs="Arial"/>
                <w:color w:val="000000"/>
                <w:sz w:val="16"/>
                <w:szCs w:val="16"/>
              </w:rPr>
              <w:t>37,319</w:t>
            </w:r>
          </w:p>
        </w:tc>
      </w:tr>
      <w:tr w:rsidR="005F7B49" w:rsidRPr="005F7B49" w14:paraId="31C2B7A7" w14:textId="77777777" w:rsidTr="005F7B49">
        <w:trPr>
          <w:trHeight w:hRule="exact" w:val="226"/>
        </w:trPr>
        <w:tc>
          <w:tcPr>
            <w:tcW w:w="1873" w:type="pct"/>
            <w:tcBorders>
              <w:top w:val="nil"/>
              <w:left w:val="nil"/>
              <w:bottom w:val="nil"/>
              <w:right w:val="nil"/>
            </w:tcBorders>
            <w:shd w:val="clear" w:color="000000" w:fill="FFFFFF"/>
            <w:noWrap/>
            <w:vAlign w:val="center"/>
            <w:hideMark/>
          </w:tcPr>
          <w:p w14:paraId="3920ECD9" w14:textId="77777777" w:rsidR="005F7B49" w:rsidRPr="005F7B49" w:rsidRDefault="005F7B49" w:rsidP="005F7B49">
            <w:pPr>
              <w:spacing w:before="0" w:after="0" w:line="240" w:lineRule="auto"/>
              <w:rPr>
                <w:rFonts w:ascii="Arial" w:hAnsi="Arial" w:cs="Arial"/>
                <w:color w:val="000000"/>
                <w:sz w:val="16"/>
                <w:szCs w:val="16"/>
              </w:rPr>
            </w:pPr>
            <w:r w:rsidRPr="005F7B49">
              <w:rPr>
                <w:rFonts w:ascii="Arial" w:hAnsi="Arial" w:cs="Arial"/>
                <w:color w:val="000000"/>
                <w:sz w:val="16"/>
                <w:szCs w:val="16"/>
              </w:rPr>
              <w:t>Assistance to the States for</w:t>
            </w:r>
          </w:p>
        </w:tc>
        <w:tc>
          <w:tcPr>
            <w:tcW w:w="711" w:type="pct"/>
            <w:tcBorders>
              <w:top w:val="nil"/>
              <w:left w:val="nil"/>
              <w:bottom w:val="nil"/>
              <w:right w:val="nil"/>
            </w:tcBorders>
            <w:shd w:val="clear" w:color="auto" w:fill="auto"/>
            <w:noWrap/>
            <w:vAlign w:val="center"/>
            <w:hideMark/>
          </w:tcPr>
          <w:p w14:paraId="3F2B102E" w14:textId="77777777" w:rsidR="005F7B49" w:rsidRPr="005F7B49" w:rsidRDefault="005F7B49" w:rsidP="005F7B49">
            <w:pPr>
              <w:spacing w:before="0" w:after="0" w:line="240" w:lineRule="auto"/>
              <w:rPr>
                <w:rFonts w:ascii="Arial" w:hAnsi="Arial" w:cs="Arial"/>
                <w:color w:val="000000"/>
                <w:sz w:val="16"/>
                <w:szCs w:val="16"/>
              </w:rPr>
            </w:pPr>
          </w:p>
        </w:tc>
        <w:tc>
          <w:tcPr>
            <w:tcW w:w="59" w:type="pct"/>
            <w:tcBorders>
              <w:top w:val="nil"/>
              <w:left w:val="nil"/>
              <w:bottom w:val="nil"/>
              <w:right w:val="nil"/>
            </w:tcBorders>
            <w:shd w:val="clear" w:color="000000" w:fill="FFFFFF"/>
            <w:noWrap/>
            <w:vAlign w:val="center"/>
            <w:hideMark/>
          </w:tcPr>
          <w:p w14:paraId="72189C42" w14:textId="77777777" w:rsidR="005F7B49" w:rsidRPr="005F7B49" w:rsidRDefault="005F7B49" w:rsidP="005F7B49">
            <w:pPr>
              <w:spacing w:before="0" w:after="0" w:line="240" w:lineRule="auto"/>
              <w:rPr>
                <w:rFonts w:ascii="Arial" w:hAnsi="Arial" w:cs="Arial"/>
                <w:color w:val="000000"/>
                <w:sz w:val="16"/>
                <w:szCs w:val="16"/>
              </w:rPr>
            </w:pPr>
            <w:r w:rsidRPr="005F7B49">
              <w:rPr>
                <w:rFonts w:ascii="Arial" w:hAnsi="Arial" w:cs="Arial"/>
                <w:color w:val="000000"/>
                <w:sz w:val="16"/>
                <w:szCs w:val="16"/>
              </w:rPr>
              <w:t> </w:t>
            </w:r>
          </w:p>
        </w:tc>
        <w:tc>
          <w:tcPr>
            <w:tcW w:w="472" w:type="pct"/>
            <w:tcBorders>
              <w:top w:val="nil"/>
              <w:left w:val="nil"/>
              <w:bottom w:val="nil"/>
              <w:right w:val="nil"/>
            </w:tcBorders>
            <w:shd w:val="clear" w:color="000000" w:fill="FFFFFF"/>
            <w:noWrap/>
            <w:vAlign w:val="center"/>
            <w:hideMark/>
          </w:tcPr>
          <w:p w14:paraId="352F913B" w14:textId="77777777" w:rsidR="005F7B49" w:rsidRPr="005F7B49" w:rsidRDefault="005F7B49" w:rsidP="005F7B49">
            <w:pPr>
              <w:spacing w:before="0" w:after="0" w:line="240" w:lineRule="auto"/>
              <w:rPr>
                <w:rFonts w:ascii="Arial" w:hAnsi="Arial" w:cs="Arial"/>
                <w:color w:val="000000"/>
                <w:sz w:val="16"/>
                <w:szCs w:val="16"/>
              </w:rPr>
            </w:pPr>
            <w:r w:rsidRPr="005F7B49">
              <w:rPr>
                <w:rFonts w:ascii="Arial" w:hAnsi="Arial" w:cs="Arial"/>
                <w:color w:val="000000"/>
                <w:sz w:val="16"/>
                <w:szCs w:val="16"/>
              </w:rPr>
              <w:t> </w:t>
            </w:r>
          </w:p>
        </w:tc>
        <w:tc>
          <w:tcPr>
            <w:tcW w:w="472" w:type="pct"/>
            <w:tcBorders>
              <w:top w:val="nil"/>
              <w:left w:val="nil"/>
              <w:bottom w:val="nil"/>
              <w:right w:val="nil"/>
            </w:tcBorders>
            <w:shd w:val="clear" w:color="000000" w:fill="E6F2FF"/>
            <w:noWrap/>
            <w:vAlign w:val="center"/>
            <w:hideMark/>
          </w:tcPr>
          <w:p w14:paraId="7CE344A5" w14:textId="77777777" w:rsidR="005F7B49" w:rsidRPr="005F7B49" w:rsidRDefault="005F7B49" w:rsidP="005F7B49">
            <w:pPr>
              <w:spacing w:before="0" w:after="0" w:line="240" w:lineRule="auto"/>
              <w:rPr>
                <w:rFonts w:ascii="Arial" w:hAnsi="Arial" w:cs="Arial"/>
                <w:color w:val="000000"/>
                <w:sz w:val="16"/>
                <w:szCs w:val="16"/>
              </w:rPr>
            </w:pPr>
            <w:r w:rsidRPr="005F7B49">
              <w:rPr>
                <w:rFonts w:ascii="Arial" w:hAnsi="Arial" w:cs="Arial"/>
                <w:color w:val="000000"/>
                <w:sz w:val="16"/>
                <w:szCs w:val="16"/>
              </w:rPr>
              <w:t> </w:t>
            </w:r>
          </w:p>
        </w:tc>
        <w:tc>
          <w:tcPr>
            <w:tcW w:w="472" w:type="pct"/>
            <w:tcBorders>
              <w:top w:val="nil"/>
              <w:left w:val="nil"/>
              <w:bottom w:val="nil"/>
              <w:right w:val="nil"/>
            </w:tcBorders>
            <w:shd w:val="clear" w:color="000000" w:fill="FFFFFF"/>
            <w:noWrap/>
            <w:vAlign w:val="center"/>
            <w:hideMark/>
          </w:tcPr>
          <w:p w14:paraId="35CD6155" w14:textId="77777777" w:rsidR="005F7B49" w:rsidRPr="005F7B49" w:rsidRDefault="005F7B49" w:rsidP="005F7B49">
            <w:pPr>
              <w:spacing w:before="0" w:after="0" w:line="240" w:lineRule="auto"/>
              <w:rPr>
                <w:rFonts w:ascii="Arial" w:hAnsi="Arial" w:cs="Arial"/>
                <w:color w:val="000000"/>
                <w:sz w:val="16"/>
                <w:szCs w:val="16"/>
              </w:rPr>
            </w:pPr>
            <w:r w:rsidRPr="005F7B49">
              <w:rPr>
                <w:rFonts w:ascii="Arial" w:hAnsi="Arial" w:cs="Arial"/>
                <w:color w:val="000000"/>
                <w:sz w:val="16"/>
                <w:szCs w:val="16"/>
              </w:rPr>
              <w:t> </w:t>
            </w:r>
          </w:p>
        </w:tc>
        <w:tc>
          <w:tcPr>
            <w:tcW w:w="472" w:type="pct"/>
            <w:tcBorders>
              <w:top w:val="nil"/>
              <w:left w:val="nil"/>
              <w:bottom w:val="nil"/>
              <w:right w:val="nil"/>
            </w:tcBorders>
            <w:shd w:val="clear" w:color="000000" w:fill="FFFFFF"/>
            <w:noWrap/>
            <w:vAlign w:val="center"/>
            <w:hideMark/>
          </w:tcPr>
          <w:p w14:paraId="231BC93B" w14:textId="77777777" w:rsidR="005F7B49" w:rsidRPr="005F7B49" w:rsidRDefault="005F7B49" w:rsidP="005F7B49">
            <w:pPr>
              <w:spacing w:before="0" w:after="0" w:line="240" w:lineRule="auto"/>
              <w:rPr>
                <w:rFonts w:ascii="Arial" w:hAnsi="Arial" w:cs="Arial"/>
                <w:color w:val="000000"/>
                <w:sz w:val="16"/>
                <w:szCs w:val="16"/>
              </w:rPr>
            </w:pPr>
            <w:r w:rsidRPr="005F7B49">
              <w:rPr>
                <w:rFonts w:ascii="Arial" w:hAnsi="Arial" w:cs="Arial"/>
                <w:color w:val="000000"/>
                <w:sz w:val="16"/>
                <w:szCs w:val="16"/>
              </w:rPr>
              <w:t> </w:t>
            </w:r>
          </w:p>
        </w:tc>
        <w:tc>
          <w:tcPr>
            <w:tcW w:w="472" w:type="pct"/>
            <w:tcBorders>
              <w:top w:val="nil"/>
              <w:left w:val="nil"/>
              <w:bottom w:val="nil"/>
              <w:right w:val="nil"/>
            </w:tcBorders>
            <w:shd w:val="clear" w:color="000000" w:fill="FFFFFF"/>
            <w:noWrap/>
            <w:vAlign w:val="center"/>
            <w:hideMark/>
          </w:tcPr>
          <w:p w14:paraId="7C039D9E" w14:textId="77777777" w:rsidR="005F7B49" w:rsidRPr="005F7B49" w:rsidRDefault="005F7B49" w:rsidP="005F7B49">
            <w:pPr>
              <w:spacing w:before="0" w:after="0" w:line="240" w:lineRule="auto"/>
              <w:rPr>
                <w:rFonts w:ascii="Arial" w:hAnsi="Arial" w:cs="Arial"/>
                <w:color w:val="000000"/>
                <w:sz w:val="16"/>
                <w:szCs w:val="16"/>
              </w:rPr>
            </w:pPr>
            <w:r w:rsidRPr="005F7B49">
              <w:rPr>
                <w:rFonts w:ascii="Arial" w:hAnsi="Arial" w:cs="Arial"/>
                <w:color w:val="000000"/>
                <w:sz w:val="16"/>
                <w:szCs w:val="16"/>
              </w:rPr>
              <w:t> </w:t>
            </w:r>
          </w:p>
        </w:tc>
      </w:tr>
      <w:tr w:rsidR="005F7B49" w:rsidRPr="005F7B49" w14:paraId="0383453C" w14:textId="77777777" w:rsidTr="005F7B49">
        <w:trPr>
          <w:trHeight w:hRule="exact" w:val="226"/>
        </w:trPr>
        <w:tc>
          <w:tcPr>
            <w:tcW w:w="1873" w:type="pct"/>
            <w:tcBorders>
              <w:top w:val="nil"/>
              <w:left w:val="nil"/>
              <w:bottom w:val="nil"/>
              <w:right w:val="nil"/>
            </w:tcBorders>
            <w:shd w:val="clear" w:color="000000" w:fill="FFFFFF"/>
            <w:noWrap/>
            <w:vAlign w:val="center"/>
            <w:hideMark/>
          </w:tcPr>
          <w:p w14:paraId="160C41E2" w14:textId="77777777" w:rsidR="005F7B49" w:rsidRPr="005F7B49" w:rsidRDefault="005F7B49" w:rsidP="005F7B49">
            <w:pPr>
              <w:spacing w:before="0" w:after="0" w:line="240" w:lineRule="auto"/>
              <w:ind w:left="170"/>
              <w:rPr>
                <w:rFonts w:ascii="Arial" w:hAnsi="Arial" w:cs="Arial"/>
                <w:color w:val="000000"/>
                <w:sz w:val="16"/>
                <w:szCs w:val="16"/>
              </w:rPr>
            </w:pPr>
            <w:r w:rsidRPr="005F7B49">
              <w:rPr>
                <w:rFonts w:ascii="Arial" w:hAnsi="Arial" w:cs="Arial"/>
                <w:color w:val="000000"/>
                <w:sz w:val="16"/>
                <w:szCs w:val="16"/>
              </w:rPr>
              <w:t>Healthcare Services</w:t>
            </w:r>
          </w:p>
        </w:tc>
        <w:tc>
          <w:tcPr>
            <w:tcW w:w="711" w:type="pct"/>
            <w:tcBorders>
              <w:top w:val="nil"/>
              <w:left w:val="nil"/>
              <w:bottom w:val="nil"/>
              <w:right w:val="nil"/>
            </w:tcBorders>
            <w:shd w:val="clear" w:color="000000" w:fill="FFFFFF"/>
            <w:noWrap/>
            <w:vAlign w:val="center"/>
            <w:hideMark/>
          </w:tcPr>
          <w:p w14:paraId="6F484820" w14:textId="77777777" w:rsidR="005F7B49" w:rsidRPr="005F7B49" w:rsidRDefault="005F7B49" w:rsidP="005F7B49">
            <w:pPr>
              <w:spacing w:before="0" w:after="0" w:line="240" w:lineRule="auto"/>
              <w:rPr>
                <w:rFonts w:ascii="Arial" w:hAnsi="Arial" w:cs="Arial"/>
                <w:color w:val="000000"/>
                <w:sz w:val="16"/>
                <w:szCs w:val="16"/>
              </w:rPr>
            </w:pPr>
            <w:r w:rsidRPr="005F7B49">
              <w:rPr>
                <w:rFonts w:ascii="Arial" w:hAnsi="Arial" w:cs="Arial"/>
                <w:color w:val="000000"/>
                <w:sz w:val="16"/>
                <w:szCs w:val="16"/>
              </w:rPr>
              <w:t>Health</w:t>
            </w:r>
          </w:p>
        </w:tc>
        <w:tc>
          <w:tcPr>
            <w:tcW w:w="59" w:type="pct"/>
            <w:tcBorders>
              <w:top w:val="nil"/>
              <w:left w:val="nil"/>
              <w:bottom w:val="nil"/>
              <w:right w:val="nil"/>
            </w:tcBorders>
            <w:shd w:val="clear" w:color="000000" w:fill="FFFFFF"/>
            <w:noWrap/>
            <w:vAlign w:val="center"/>
            <w:hideMark/>
          </w:tcPr>
          <w:p w14:paraId="4303E956" w14:textId="77777777" w:rsidR="005F7B49" w:rsidRPr="005F7B49" w:rsidRDefault="005F7B49" w:rsidP="005F7B49">
            <w:pPr>
              <w:spacing w:before="0" w:after="0" w:line="240" w:lineRule="auto"/>
              <w:rPr>
                <w:rFonts w:ascii="Arial" w:hAnsi="Arial" w:cs="Arial"/>
                <w:color w:val="000000"/>
                <w:sz w:val="16"/>
                <w:szCs w:val="16"/>
              </w:rPr>
            </w:pPr>
            <w:r w:rsidRPr="005F7B49">
              <w:rPr>
                <w:rFonts w:ascii="Arial" w:hAnsi="Arial" w:cs="Arial"/>
                <w:color w:val="000000"/>
                <w:sz w:val="16"/>
                <w:szCs w:val="16"/>
              </w:rPr>
              <w:t> </w:t>
            </w:r>
          </w:p>
        </w:tc>
        <w:tc>
          <w:tcPr>
            <w:tcW w:w="472" w:type="pct"/>
            <w:tcBorders>
              <w:top w:val="nil"/>
              <w:left w:val="nil"/>
              <w:bottom w:val="nil"/>
              <w:right w:val="nil"/>
            </w:tcBorders>
            <w:shd w:val="clear" w:color="000000" w:fill="FFFFFF"/>
            <w:noWrap/>
            <w:vAlign w:val="center"/>
            <w:hideMark/>
          </w:tcPr>
          <w:p w14:paraId="081B6FDF" w14:textId="77777777" w:rsidR="005F7B49" w:rsidRPr="005F7B49" w:rsidRDefault="005F7B49" w:rsidP="005F7B49">
            <w:pPr>
              <w:spacing w:before="0" w:after="0" w:line="240" w:lineRule="auto"/>
              <w:jc w:val="right"/>
              <w:rPr>
                <w:rFonts w:ascii="Arial" w:hAnsi="Arial" w:cs="Arial"/>
                <w:color w:val="000000"/>
                <w:sz w:val="16"/>
                <w:szCs w:val="16"/>
              </w:rPr>
            </w:pPr>
            <w:r w:rsidRPr="005F7B49">
              <w:rPr>
                <w:rFonts w:ascii="Arial" w:hAnsi="Arial" w:cs="Arial"/>
                <w:color w:val="000000"/>
                <w:sz w:val="16"/>
                <w:szCs w:val="16"/>
              </w:rPr>
              <w:t>27,853</w:t>
            </w:r>
          </w:p>
        </w:tc>
        <w:tc>
          <w:tcPr>
            <w:tcW w:w="472" w:type="pct"/>
            <w:tcBorders>
              <w:top w:val="nil"/>
              <w:left w:val="nil"/>
              <w:bottom w:val="nil"/>
              <w:right w:val="nil"/>
            </w:tcBorders>
            <w:shd w:val="clear" w:color="000000" w:fill="E6F2FF"/>
            <w:noWrap/>
            <w:vAlign w:val="center"/>
            <w:hideMark/>
          </w:tcPr>
          <w:p w14:paraId="1F9F7982" w14:textId="77777777" w:rsidR="005F7B49" w:rsidRPr="005F7B49" w:rsidRDefault="005F7B49" w:rsidP="005F7B49">
            <w:pPr>
              <w:spacing w:before="0" w:after="0" w:line="240" w:lineRule="auto"/>
              <w:jc w:val="right"/>
              <w:rPr>
                <w:rFonts w:ascii="Arial" w:hAnsi="Arial" w:cs="Arial"/>
                <w:color w:val="000000"/>
                <w:sz w:val="16"/>
                <w:szCs w:val="16"/>
              </w:rPr>
            </w:pPr>
            <w:r w:rsidRPr="005F7B49">
              <w:rPr>
                <w:rFonts w:ascii="Arial" w:hAnsi="Arial" w:cs="Arial"/>
                <w:color w:val="000000"/>
                <w:sz w:val="16"/>
                <w:szCs w:val="16"/>
              </w:rPr>
              <w:t>30,149</w:t>
            </w:r>
          </w:p>
        </w:tc>
        <w:tc>
          <w:tcPr>
            <w:tcW w:w="472" w:type="pct"/>
            <w:tcBorders>
              <w:top w:val="nil"/>
              <w:left w:val="nil"/>
              <w:bottom w:val="nil"/>
              <w:right w:val="nil"/>
            </w:tcBorders>
            <w:shd w:val="clear" w:color="000000" w:fill="FFFFFF"/>
            <w:noWrap/>
            <w:vAlign w:val="center"/>
            <w:hideMark/>
          </w:tcPr>
          <w:p w14:paraId="44052C3F" w14:textId="77777777" w:rsidR="005F7B49" w:rsidRPr="005F7B49" w:rsidRDefault="005F7B49" w:rsidP="005F7B49">
            <w:pPr>
              <w:spacing w:before="0" w:after="0" w:line="240" w:lineRule="auto"/>
              <w:jc w:val="right"/>
              <w:rPr>
                <w:rFonts w:ascii="Arial" w:hAnsi="Arial" w:cs="Arial"/>
                <w:color w:val="000000"/>
                <w:sz w:val="16"/>
                <w:szCs w:val="16"/>
              </w:rPr>
            </w:pPr>
            <w:r w:rsidRPr="005F7B49">
              <w:rPr>
                <w:rFonts w:ascii="Arial" w:hAnsi="Arial" w:cs="Arial"/>
                <w:color w:val="000000"/>
                <w:sz w:val="16"/>
                <w:szCs w:val="16"/>
              </w:rPr>
              <w:t>32,187</w:t>
            </w:r>
          </w:p>
        </w:tc>
        <w:tc>
          <w:tcPr>
            <w:tcW w:w="472" w:type="pct"/>
            <w:tcBorders>
              <w:top w:val="nil"/>
              <w:left w:val="nil"/>
              <w:bottom w:val="nil"/>
              <w:right w:val="nil"/>
            </w:tcBorders>
            <w:shd w:val="clear" w:color="000000" w:fill="FFFFFF"/>
            <w:noWrap/>
            <w:vAlign w:val="center"/>
            <w:hideMark/>
          </w:tcPr>
          <w:p w14:paraId="157F3352" w14:textId="77777777" w:rsidR="005F7B49" w:rsidRPr="005F7B49" w:rsidRDefault="005F7B49" w:rsidP="005F7B49">
            <w:pPr>
              <w:spacing w:before="0" w:after="0" w:line="240" w:lineRule="auto"/>
              <w:jc w:val="right"/>
              <w:rPr>
                <w:rFonts w:ascii="Arial" w:hAnsi="Arial" w:cs="Arial"/>
                <w:color w:val="000000"/>
                <w:sz w:val="16"/>
                <w:szCs w:val="16"/>
              </w:rPr>
            </w:pPr>
            <w:r w:rsidRPr="005F7B49">
              <w:rPr>
                <w:rFonts w:ascii="Arial" w:hAnsi="Arial" w:cs="Arial"/>
                <w:color w:val="000000"/>
                <w:sz w:val="16"/>
                <w:szCs w:val="16"/>
              </w:rPr>
              <w:t>34,229</w:t>
            </w:r>
          </w:p>
        </w:tc>
        <w:tc>
          <w:tcPr>
            <w:tcW w:w="472" w:type="pct"/>
            <w:tcBorders>
              <w:top w:val="nil"/>
              <w:left w:val="nil"/>
              <w:bottom w:val="nil"/>
              <w:right w:val="nil"/>
            </w:tcBorders>
            <w:shd w:val="clear" w:color="000000" w:fill="FFFFFF"/>
            <w:noWrap/>
            <w:vAlign w:val="center"/>
            <w:hideMark/>
          </w:tcPr>
          <w:p w14:paraId="4BE0A0BD" w14:textId="77777777" w:rsidR="005F7B49" w:rsidRPr="005F7B49" w:rsidRDefault="005F7B49" w:rsidP="005F7B49">
            <w:pPr>
              <w:spacing w:before="0" w:after="0" w:line="240" w:lineRule="auto"/>
              <w:jc w:val="right"/>
              <w:rPr>
                <w:rFonts w:ascii="Arial" w:hAnsi="Arial" w:cs="Arial"/>
                <w:color w:val="000000"/>
                <w:sz w:val="16"/>
                <w:szCs w:val="16"/>
              </w:rPr>
            </w:pPr>
            <w:r w:rsidRPr="005F7B49">
              <w:rPr>
                <w:rFonts w:ascii="Arial" w:hAnsi="Arial" w:cs="Arial"/>
                <w:color w:val="000000"/>
                <w:sz w:val="16"/>
                <w:szCs w:val="16"/>
              </w:rPr>
              <w:t>36,454</w:t>
            </w:r>
          </w:p>
        </w:tc>
      </w:tr>
      <w:tr w:rsidR="005F7B49" w:rsidRPr="005F7B49" w14:paraId="6DDE3535" w14:textId="77777777" w:rsidTr="005F7B49">
        <w:trPr>
          <w:trHeight w:hRule="exact" w:val="226"/>
        </w:trPr>
        <w:tc>
          <w:tcPr>
            <w:tcW w:w="1873" w:type="pct"/>
            <w:tcBorders>
              <w:top w:val="nil"/>
              <w:left w:val="nil"/>
              <w:bottom w:val="nil"/>
              <w:right w:val="nil"/>
            </w:tcBorders>
            <w:shd w:val="clear" w:color="000000" w:fill="FFFFFF"/>
            <w:noWrap/>
            <w:vAlign w:val="center"/>
            <w:hideMark/>
          </w:tcPr>
          <w:p w14:paraId="5E03C8B7" w14:textId="77777777" w:rsidR="005F7B49" w:rsidRPr="005F7B49" w:rsidRDefault="005F7B49" w:rsidP="005F7B49">
            <w:pPr>
              <w:spacing w:before="0" w:after="0" w:line="240" w:lineRule="auto"/>
              <w:rPr>
                <w:rFonts w:ascii="Arial" w:hAnsi="Arial" w:cs="Arial"/>
                <w:color w:val="000000"/>
                <w:sz w:val="16"/>
                <w:szCs w:val="16"/>
              </w:rPr>
            </w:pPr>
            <w:r w:rsidRPr="005F7B49">
              <w:rPr>
                <w:rFonts w:ascii="Arial" w:hAnsi="Arial" w:cs="Arial"/>
                <w:color w:val="000000"/>
                <w:sz w:val="16"/>
                <w:szCs w:val="16"/>
              </w:rPr>
              <w:t>Commonwealth Debt</w:t>
            </w:r>
          </w:p>
        </w:tc>
        <w:tc>
          <w:tcPr>
            <w:tcW w:w="711" w:type="pct"/>
            <w:tcBorders>
              <w:top w:val="nil"/>
              <w:left w:val="nil"/>
              <w:bottom w:val="nil"/>
              <w:right w:val="nil"/>
            </w:tcBorders>
            <w:shd w:val="clear" w:color="auto" w:fill="auto"/>
            <w:noWrap/>
            <w:vAlign w:val="center"/>
            <w:hideMark/>
          </w:tcPr>
          <w:p w14:paraId="5237FDFB" w14:textId="77777777" w:rsidR="005F7B49" w:rsidRPr="005F7B49" w:rsidRDefault="005F7B49" w:rsidP="005F7B49">
            <w:pPr>
              <w:spacing w:before="0" w:after="0" w:line="240" w:lineRule="auto"/>
              <w:rPr>
                <w:rFonts w:ascii="Arial" w:hAnsi="Arial" w:cs="Arial"/>
                <w:color w:val="000000"/>
                <w:sz w:val="16"/>
                <w:szCs w:val="16"/>
              </w:rPr>
            </w:pPr>
          </w:p>
        </w:tc>
        <w:tc>
          <w:tcPr>
            <w:tcW w:w="59" w:type="pct"/>
            <w:tcBorders>
              <w:top w:val="nil"/>
              <w:left w:val="nil"/>
              <w:bottom w:val="nil"/>
              <w:right w:val="nil"/>
            </w:tcBorders>
            <w:shd w:val="clear" w:color="000000" w:fill="FFFFFF"/>
            <w:noWrap/>
            <w:vAlign w:val="center"/>
            <w:hideMark/>
          </w:tcPr>
          <w:p w14:paraId="4917566E" w14:textId="77777777" w:rsidR="005F7B49" w:rsidRPr="005F7B49" w:rsidRDefault="005F7B49" w:rsidP="005F7B49">
            <w:pPr>
              <w:spacing w:before="0" w:after="0" w:line="240" w:lineRule="auto"/>
              <w:rPr>
                <w:rFonts w:ascii="Arial" w:hAnsi="Arial" w:cs="Arial"/>
                <w:color w:val="000000"/>
                <w:sz w:val="16"/>
                <w:szCs w:val="16"/>
              </w:rPr>
            </w:pPr>
            <w:r w:rsidRPr="005F7B49">
              <w:rPr>
                <w:rFonts w:ascii="Arial" w:hAnsi="Arial" w:cs="Arial"/>
                <w:color w:val="000000"/>
                <w:sz w:val="16"/>
                <w:szCs w:val="16"/>
              </w:rPr>
              <w:t> </w:t>
            </w:r>
          </w:p>
        </w:tc>
        <w:tc>
          <w:tcPr>
            <w:tcW w:w="472" w:type="pct"/>
            <w:tcBorders>
              <w:top w:val="nil"/>
              <w:left w:val="nil"/>
              <w:bottom w:val="nil"/>
              <w:right w:val="nil"/>
            </w:tcBorders>
            <w:shd w:val="clear" w:color="000000" w:fill="FFFFFF"/>
            <w:noWrap/>
            <w:vAlign w:val="center"/>
            <w:hideMark/>
          </w:tcPr>
          <w:p w14:paraId="1F5BA868" w14:textId="77777777" w:rsidR="005F7B49" w:rsidRPr="005F7B49" w:rsidRDefault="005F7B49" w:rsidP="005F7B49">
            <w:pPr>
              <w:spacing w:before="0" w:after="0" w:line="240" w:lineRule="auto"/>
              <w:rPr>
                <w:rFonts w:ascii="Arial" w:hAnsi="Arial" w:cs="Arial"/>
                <w:color w:val="000000"/>
                <w:sz w:val="16"/>
                <w:szCs w:val="16"/>
              </w:rPr>
            </w:pPr>
            <w:r w:rsidRPr="005F7B49">
              <w:rPr>
                <w:rFonts w:ascii="Arial" w:hAnsi="Arial" w:cs="Arial"/>
                <w:color w:val="000000"/>
                <w:sz w:val="16"/>
                <w:szCs w:val="16"/>
              </w:rPr>
              <w:t> </w:t>
            </w:r>
          </w:p>
        </w:tc>
        <w:tc>
          <w:tcPr>
            <w:tcW w:w="472" w:type="pct"/>
            <w:tcBorders>
              <w:top w:val="nil"/>
              <w:left w:val="nil"/>
              <w:bottom w:val="nil"/>
              <w:right w:val="nil"/>
            </w:tcBorders>
            <w:shd w:val="clear" w:color="000000" w:fill="E6F2FF"/>
            <w:noWrap/>
            <w:vAlign w:val="center"/>
            <w:hideMark/>
          </w:tcPr>
          <w:p w14:paraId="1A586D95" w14:textId="77777777" w:rsidR="005F7B49" w:rsidRPr="005F7B49" w:rsidRDefault="005F7B49" w:rsidP="005F7B49">
            <w:pPr>
              <w:spacing w:before="0" w:after="0" w:line="240" w:lineRule="auto"/>
              <w:rPr>
                <w:rFonts w:ascii="Arial" w:hAnsi="Arial" w:cs="Arial"/>
                <w:color w:val="000000"/>
                <w:sz w:val="16"/>
                <w:szCs w:val="16"/>
              </w:rPr>
            </w:pPr>
            <w:r w:rsidRPr="005F7B49">
              <w:rPr>
                <w:rFonts w:ascii="Arial" w:hAnsi="Arial" w:cs="Arial"/>
                <w:color w:val="000000"/>
                <w:sz w:val="16"/>
                <w:szCs w:val="16"/>
              </w:rPr>
              <w:t> </w:t>
            </w:r>
          </w:p>
        </w:tc>
        <w:tc>
          <w:tcPr>
            <w:tcW w:w="472" w:type="pct"/>
            <w:tcBorders>
              <w:top w:val="nil"/>
              <w:left w:val="nil"/>
              <w:bottom w:val="nil"/>
              <w:right w:val="nil"/>
            </w:tcBorders>
            <w:shd w:val="clear" w:color="000000" w:fill="FFFFFF"/>
            <w:noWrap/>
            <w:vAlign w:val="center"/>
            <w:hideMark/>
          </w:tcPr>
          <w:p w14:paraId="4D70B1C3" w14:textId="77777777" w:rsidR="005F7B49" w:rsidRPr="005F7B49" w:rsidRDefault="005F7B49" w:rsidP="005F7B49">
            <w:pPr>
              <w:spacing w:before="0" w:after="0" w:line="240" w:lineRule="auto"/>
              <w:rPr>
                <w:rFonts w:ascii="Arial" w:hAnsi="Arial" w:cs="Arial"/>
                <w:color w:val="000000"/>
                <w:sz w:val="16"/>
                <w:szCs w:val="16"/>
              </w:rPr>
            </w:pPr>
            <w:r w:rsidRPr="005F7B49">
              <w:rPr>
                <w:rFonts w:ascii="Arial" w:hAnsi="Arial" w:cs="Arial"/>
                <w:color w:val="000000"/>
                <w:sz w:val="16"/>
                <w:szCs w:val="16"/>
              </w:rPr>
              <w:t> </w:t>
            </w:r>
          </w:p>
        </w:tc>
        <w:tc>
          <w:tcPr>
            <w:tcW w:w="472" w:type="pct"/>
            <w:tcBorders>
              <w:top w:val="nil"/>
              <w:left w:val="nil"/>
              <w:bottom w:val="nil"/>
              <w:right w:val="nil"/>
            </w:tcBorders>
            <w:shd w:val="clear" w:color="000000" w:fill="FFFFFF"/>
            <w:noWrap/>
            <w:vAlign w:val="center"/>
            <w:hideMark/>
          </w:tcPr>
          <w:p w14:paraId="77606E5D" w14:textId="77777777" w:rsidR="005F7B49" w:rsidRPr="005F7B49" w:rsidRDefault="005F7B49" w:rsidP="005F7B49">
            <w:pPr>
              <w:spacing w:before="0" w:after="0" w:line="240" w:lineRule="auto"/>
              <w:rPr>
                <w:rFonts w:ascii="Arial" w:hAnsi="Arial" w:cs="Arial"/>
                <w:color w:val="000000"/>
                <w:sz w:val="16"/>
                <w:szCs w:val="16"/>
              </w:rPr>
            </w:pPr>
            <w:r w:rsidRPr="005F7B49">
              <w:rPr>
                <w:rFonts w:ascii="Arial" w:hAnsi="Arial" w:cs="Arial"/>
                <w:color w:val="000000"/>
                <w:sz w:val="16"/>
                <w:szCs w:val="16"/>
              </w:rPr>
              <w:t> </w:t>
            </w:r>
          </w:p>
        </w:tc>
        <w:tc>
          <w:tcPr>
            <w:tcW w:w="472" w:type="pct"/>
            <w:tcBorders>
              <w:top w:val="nil"/>
              <w:left w:val="nil"/>
              <w:bottom w:val="nil"/>
              <w:right w:val="nil"/>
            </w:tcBorders>
            <w:shd w:val="clear" w:color="000000" w:fill="FFFFFF"/>
            <w:noWrap/>
            <w:vAlign w:val="center"/>
            <w:hideMark/>
          </w:tcPr>
          <w:p w14:paraId="4976CE89" w14:textId="77777777" w:rsidR="005F7B49" w:rsidRPr="005F7B49" w:rsidRDefault="005F7B49" w:rsidP="005F7B49">
            <w:pPr>
              <w:spacing w:before="0" w:after="0" w:line="240" w:lineRule="auto"/>
              <w:rPr>
                <w:rFonts w:ascii="Arial" w:hAnsi="Arial" w:cs="Arial"/>
                <w:color w:val="000000"/>
                <w:sz w:val="16"/>
                <w:szCs w:val="16"/>
              </w:rPr>
            </w:pPr>
            <w:r w:rsidRPr="005F7B49">
              <w:rPr>
                <w:rFonts w:ascii="Arial" w:hAnsi="Arial" w:cs="Arial"/>
                <w:color w:val="000000"/>
                <w:sz w:val="16"/>
                <w:szCs w:val="16"/>
              </w:rPr>
              <w:t> </w:t>
            </w:r>
          </w:p>
        </w:tc>
      </w:tr>
      <w:tr w:rsidR="005F7B49" w:rsidRPr="005F7B49" w14:paraId="791BE32A" w14:textId="77777777" w:rsidTr="005F7B49">
        <w:trPr>
          <w:trHeight w:hRule="exact" w:val="226"/>
        </w:trPr>
        <w:tc>
          <w:tcPr>
            <w:tcW w:w="1873" w:type="pct"/>
            <w:tcBorders>
              <w:top w:val="nil"/>
              <w:left w:val="nil"/>
              <w:bottom w:val="nil"/>
              <w:right w:val="nil"/>
            </w:tcBorders>
            <w:shd w:val="clear" w:color="000000" w:fill="FFFFFF"/>
            <w:noWrap/>
            <w:vAlign w:val="center"/>
            <w:hideMark/>
          </w:tcPr>
          <w:p w14:paraId="00AC317D" w14:textId="77777777" w:rsidR="005F7B49" w:rsidRPr="005F7B49" w:rsidRDefault="005F7B49" w:rsidP="005F7B49">
            <w:pPr>
              <w:spacing w:before="0" w:after="0" w:line="240" w:lineRule="auto"/>
              <w:ind w:left="170"/>
              <w:rPr>
                <w:rFonts w:ascii="Arial" w:hAnsi="Arial" w:cs="Arial"/>
                <w:color w:val="000000"/>
                <w:sz w:val="16"/>
                <w:szCs w:val="16"/>
              </w:rPr>
            </w:pPr>
            <w:r w:rsidRPr="005F7B49">
              <w:rPr>
                <w:rFonts w:ascii="Arial" w:hAnsi="Arial" w:cs="Arial"/>
                <w:color w:val="000000"/>
                <w:sz w:val="16"/>
                <w:szCs w:val="16"/>
              </w:rPr>
              <w:t>Management</w:t>
            </w:r>
          </w:p>
        </w:tc>
        <w:tc>
          <w:tcPr>
            <w:tcW w:w="711" w:type="pct"/>
            <w:tcBorders>
              <w:top w:val="nil"/>
              <w:left w:val="nil"/>
              <w:bottom w:val="nil"/>
              <w:right w:val="nil"/>
            </w:tcBorders>
            <w:shd w:val="clear" w:color="000000" w:fill="FFFFFF"/>
            <w:noWrap/>
            <w:vAlign w:val="center"/>
            <w:hideMark/>
          </w:tcPr>
          <w:p w14:paraId="68F32601" w14:textId="77777777" w:rsidR="005F7B49" w:rsidRPr="005F7B49" w:rsidRDefault="005F7B49" w:rsidP="005F7B49">
            <w:pPr>
              <w:spacing w:before="0" w:after="0" w:line="240" w:lineRule="auto"/>
              <w:rPr>
                <w:rFonts w:ascii="Arial" w:hAnsi="Arial" w:cs="Arial"/>
                <w:color w:val="000000"/>
                <w:sz w:val="16"/>
                <w:szCs w:val="16"/>
              </w:rPr>
            </w:pPr>
            <w:r w:rsidRPr="005F7B49">
              <w:rPr>
                <w:rFonts w:ascii="Arial" w:hAnsi="Arial" w:cs="Arial"/>
                <w:color w:val="000000"/>
                <w:sz w:val="16"/>
                <w:szCs w:val="16"/>
              </w:rPr>
              <w:t>Other purposes</w:t>
            </w:r>
          </w:p>
        </w:tc>
        <w:tc>
          <w:tcPr>
            <w:tcW w:w="59" w:type="pct"/>
            <w:tcBorders>
              <w:top w:val="nil"/>
              <w:left w:val="nil"/>
              <w:bottom w:val="nil"/>
              <w:right w:val="nil"/>
            </w:tcBorders>
            <w:shd w:val="clear" w:color="000000" w:fill="FFFFFF"/>
            <w:noWrap/>
            <w:vAlign w:val="center"/>
            <w:hideMark/>
          </w:tcPr>
          <w:p w14:paraId="5305EAE6" w14:textId="77777777" w:rsidR="005F7B49" w:rsidRPr="005F7B49" w:rsidRDefault="005F7B49" w:rsidP="005F7B49">
            <w:pPr>
              <w:spacing w:before="0" w:after="0" w:line="240" w:lineRule="auto"/>
              <w:rPr>
                <w:rFonts w:ascii="Arial" w:hAnsi="Arial" w:cs="Arial"/>
                <w:color w:val="000000"/>
                <w:sz w:val="16"/>
                <w:szCs w:val="16"/>
              </w:rPr>
            </w:pPr>
            <w:r w:rsidRPr="005F7B49">
              <w:rPr>
                <w:rFonts w:ascii="Arial" w:hAnsi="Arial" w:cs="Arial"/>
                <w:color w:val="000000"/>
                <w:sz w:val="16"/>
                <w:szCs w:val="16"/>
              </w:rPr>
              <w:t> </w:t>
            </w:r>
          </w:p>
        </w:tc>
        <w:tc>
          <w:tcPr>
            <w:tcW w:w="472" w:type="pct"/>
            <w:tcBorders>
              <w:top w:val="nil"/>
              <w:left w:val="nil"/>
              <w:bottom w:val="nil"/>
              <w:right w:val="nil"/>
            </w:tcBorders>
            <w:shd w:val="clear" w:color="000000" w:fill="FFFFFF"/>
            <w:noWrap/>
            <w:vAlign w:val="center"/>
            <w:hideMark/>
          </w:tcPr>
          <w:p w14:paraId="25116C7F" w14:textId="77777777" w:rsidR="005F7B49" w:rsidRPr="005F7B49" w:rsidRDefault="005F7B49" w:rsidP="005F7B49">
            <w:pPr>
              <w:spacing w:before="0" w:after="0" w:line="240" w:lineRule="auto"/>
              <w:jc w:val="right"/>
              <w:rPr>
                <w:rFonts w:ascii="Arial" w:hAnsi="Arial" w:cs="Arial"/>
                <w:color w:val="000000"/>
                <w:sz w:val="16"/>
                <w:szCs w:val="16"/>
              </w:rPr>
            </w:pPr>
            <w:r w:rsidRPr="005F7B49">
              <w:rPr>
                <w:rFonts w:ascii="Arial" w:hAnsi="Arial" w:cs="Arial"/>
                <w:color w:val="000000"/>
                <w:sz w:val="16"/>
                <w:szCs w:val="16"/>
              </w:rPr>
              <w:t>20,967</w:t>
            </w:r>
          </w:p>
        </w:tc>
        <w:tc>
          <w:tcPr>
            <w:tcW w:w="472" w:type="pct"/>
            <w:tcBorders>
              <w:top w:val="nil"/>
              <w:left w:val="nil"/>
              <w:bottom w:val="nil"/>
              <w:right w:val="nil"/>
            </w:tcBorders>
            <w:shd w:val="clear" w:color="000000" w:fill="E6F2FF"/>
            <w:noWrap/>
            <w:vAlign w:val="center"/>
            <w:hideMark/>
          </w:tcPr>
          <w:p w14:paraId="287C100A" w14:textId="77777777" w:rsidR="005F7B49" w:rsidRPr="005F7B49" w:rsidRDefault="005F7B49" w:rsidP="005F7B49">
            <w:pPr>
              <w:spacing w:before="0" w:after="0" w:line="240" w:lineRule="auto"/>
              <w:jc w:val="right"/>
              <w:rPr>
                <w:rFonts w:ascii="Arial" w:hAnsi="Arial" w:cs="Arial"/>
                <w:color w:val="000000"/>
                <w:sz w:val="16"/>
                <w:szCs w:val="16"/>
              </w:rPr>
            </w:pPr>
            <w:r w:rsidRPr="005F7B49">
              <w:rPr>
                <w:rFonts w:ascii="Arial" w:hAnsi="Arial" w:cs="Arial"/>
                <w:color w:val="000000"/>
                <w:sz w:val="16"/>
                <w:szCs w:val="16"/>
              </w:rPr>
              <w:t>22,364</w:t>
            </w:r>
          </w:p>
        </w:tc>
        <w:tc>
          <w:tcPr>
            <w:tcW w:w="472" w:type="pct"/>
            <w:tcBorders>
              <w:top w:val="nil"/>
              <w:left w:val="nil"/>
              <w:bottom w:val="nil"/>
              <w:right w:val="nil"/>
            </w:tcBorders>
            <w:shd w:val="clear" w:color="000000" w:fill="FFFFFF"/>
            <w:noWrap/>
            <w:vAlign w:val="center"/>
            <w:hideMark/>
          </w:tcPr>
          <w:p w14:paraId="3A80298C" w14:textId="77777777" w:rsidR="005F7B49" w:rsidRPr="005F7B49" w:rsidRDefault="005F7B49" w:rsidP="005F7B49">
            <w:pPr>
              <w:spacing w:before="0" w:after="0" w:line="240" w:lineRule="auto"/>
              <w:jc w:val="right"/>
              <w:rPr>
                <w:rFonts w:ascii="Arial" w:hAnsi="Arial" w:cs="Arial"/>
                <w:color w:val="000000"/>
                <w:sz w:val="16"/>
                <w:szCs w:val="16"/>
              </w:rPr>
            </w:pPr>
            <w:r w:rsidRPr="005F7B49">
              <w:rPr>
                <w:rFonts w:ascii="Arial" w:hAnsi="Arial" w:cs="Arial"/>
                <w:color w:val="000000"/>
                <w:sz w:val="16"/>
                <w:szCs w:val="16"/>
              </w:rPr>
              <w:t>26,052</w:t>
            </w:r>
          </w:p>
        </w:tc>
        <w:tc>
          <w:tcPr>
            <w:tcW w:w="472" w:type="pct"/>
            <w:tcBorders>
              <w:top w:val="nil"/>
              <w:left w:val="nil"/>
              <w:bottom w:val="nil"/>
              <w:right w:val="nil"/>
            </w:tcBorders>
            <w:shd w:val="clear" w:color="000000" w:fill="FFFFFF"/>
            <w:noWrap/>
            <w:vAlign w:val="center"/>
            <w:hideMark/>
          </w:tcPr>
          <w:p w14:paraId="61C6B87F" w14:textId="77777777" w:rsidR="005F7B49" w:rsidRPr="005F7B49" w:rsidRDefault="005F7B49" w:rsidP="005F7B49">
            <w:pPr>
              <w:spacing w:before="0" w:after="0" w:line="240" w:lineRule="auto"/>
              <w:jc w:val="right"/>
              <w:rPr>
                <w:rFonts w:ascii="Arial" w:hAnsi="Arial" w:cs="Arial"/>
                <w:color w:val="000000"/>
                <w:sz w:val="16"/>
                <w:szCs w:val="16"/>
              </w:rPr>
            </w:pPr>
            <w:r w:rsidRPr="005F7B49">
              <w:rPr>
                <w:rFonts w:ascii="Arial" w:hAnsi="Arial" w:cs="Arial"/>
                <w:color w:val="000000"/>
                <w:sz w:val="16"/>
                <w:szCs w:val="16"/>
              </w:rPr>
              <w:t>28,339</w:t>
            </w:r>
          </w:p>
        </w:tc>
        <w:tc>
          <w:tcPr>
            <w:tcW w:w="472" w:type="pct"/>
            <w:tcBorders>
              <w:top w:val="nil"/>
              <w:left w:val="nil"/>
              <w:bottom w:val="nil"/>
              <w:right w:val="nil"/>
            </w:tcBorders>
            <w:shd w:val="clear" w:color="000000" w:fill="FFFFFF"/>
            <w:noWrap/>
            <w:vAlign w:val="center"/>
            <w:hideMark/>
          </w:tcPr>
          <w:p w14:paraId="1FA0DBC5" w14:textId="77777777" w:rsidR="005F7B49" w:rsidRPr="005F7B49" w:rsidRDefault="005F7B49" w:rsidP="005F7B49">
            <w:pPr>
              <w:spacing w:before="0" w:after="0" w:line="240" w:lineRule="auto"/>
              <w:jc w:val="right"/>
              <w:rPr>
                <w:rFonts w:ascii="Arial" w:hAnsi="Arial" w:cs="Arial"/>
                <w:color w:val="000000"/>
                <w:sz w:val="16"/>
                <w:szCs w:val="16"/>
              </w:rPr>
            </w:pPr>
            <w:r w:rsidRPr="005F7B49">
              <w:rPr>
                <w:rFonts w:ascii="Arial" w:hAnsi="Arial" w:cs="Arial"/>
                <w:color w:val="000000"/>
                <w:sz w:val="16"/>
                <w:szCs w:val="16"/>
              </w:rPr>
              <w:t>34,057</w:t>
            </w:r>
          </w:p>
        </w:tc>
      </w:tr>
      <w:tr w:rsidR="005F7B49" w:rsidRPr="005F7B49" w14:paraId="1E9E8584" w14:textId="77777777" w:rsidTr="005F7B49">
        <w:trPr>
          <w:trHeight w:hRule="exact" w:val="226"/>
        </w:trPr>
        <w:tc>
          <w:tcPr>
            <w:tcW w:w="1873" w:type="pct"/>
            <w:tcBorders>
              <w:top w:val="nil"/>
              <w:left w:val="nil"/>
              <w:bottom w:val="nil"/>
              <w:right w:val="nil"/>
            </w:tcBorders>
            <w:shd w:val="clear" w:color="000000" w:fill="FFFFFF"/>
            <w:noWrap/>
            <w:vAlign w:val="center"/>
            <w:hideMark/>
          </w:tcPr>
          <w:p w14:paraId="3DE6B0DA" w14:textId="77777777" w:rsidR="005F7B49" w:rsidRPr="005F7B49" w:rsidRDefault="005F7B49" w:rsidP="005F7B49">
            <w:pPr>
              <w:spacing w:before="0" w:after="0" w:line="240" w:lineRule="auto"/>
              <w:rPr>
                <w:rFonts w:ascii="Arial" w:hAnsi="Arial" w:cs="Arial"/>
                <w:color w:val="000000"/>
                <w:sz w:val="16"/>
                <w:szCs w:val="16"/>
              </w:rPr>
            </w:pPr>
            <w:r w:rsidRPr="005F7B49">
              <w:rPr>
                <w:rFonts w:ascii="Arial" w:hAnsi="Arial" w:cs="Arial"/>
                <w:color w:val="000000"/>
                <w:sz w:val="16"/>
                <w:szCs w:val="16"/>
              </w:rPr>
              <w:t>Financial Support for People</w:t>
            </w:r>
          </w:p>
        </w:tc>
        <w:tc>
          <w:tcPr>
            <w:tcW w:w="711" w:type="pct"/>
            <w:tcBorders>
              <w:top w:val="nil"/>
              <w:left w:val="nil"/>
              <w:bottom w:val="nil"/>
              <w:right w:val="nil"/>
            </w:tcBorders>
            <w:shd w:val="clear" w:color="auto" w:fill="auto"/>
            <w:noWrap/>
            <w:vAlign w:val="center"/>
            <w:hideMark/>
          </w:tcPr>
          <w:p w14:paraId="561B78EE" w14:textId="77777777" w:rsidR="005F7B49" w:rsidRPr="005F7B49" w:rsidRDefault="005F7B49" w:rsidP="005F7B49">
            <w:pPr>
              <w:spacing w:before="0" w:after="0" w:line="240" w:lineRule="auto"/>
              <w:rPr>
                <w:rFonts w:ascii="Arial" w:hAnsi="Arial" w:cs="Arial"/>
                <w:color w:val="000000"/>
                <w:sz w:val="16"/>
                <w:szCs w:val="16"/>
              </w:rPr>
            </w:pPr>
          </w:p>
        </w:tc>
        <w:tc>
          <w:tcPr>
            <w:tcW w:w="59" w:type="pct"/>
            <w:tcBorders>
              <w:top w:val="nil"/>
              <w:left w:val="nil"/>
              <w:bottom w:val="nil"/>
              <w:right w:val="nil"/>
            </w:tcBorders>
            <w:shd w:val="clear" w:color="000000" w:fill="FFFFFF"/>
            <w:noWrap/>
            <w:vAlign w:val="center"/>
            <w:hideMark/>
          </w:tcPr>
          <w:p w14:paraId="76FB2537" w14:textId="77777777" w:rsidR="005F7B49" w:rsidRPr="005F7B49" w:rsidRDefault="005F7B49" w:rsidP="005F7B49">
            <w:pPr>
              <w:spacing w:before="0" w:after="0" w:line="240" w:lineRule="auto"/>
              <w:rPr>
                <w:rFonts w:ascii="Arial" w:hAnsi="Arial" w:cs="Arial"/>
                <w:color w:val="000000"/>
                <w:sz w:val="16"/>
                <w:szCs w:val="16"/>
              </w:rPr>
            </w:pPr>
            <w:r w:rsidRPr="005F7B49">
              <w:rPr>
                <w:rFonts w:ascii="Arial" w:hAnsi="Arial" w:cs="Arial"/>
                <w:color w:val="000000"/>
                <w:sz w:val="16"/>
                <w:szCs w:val="16"/>
              </w:rPr>
              <w:t> </w:t>
            </w:r>
          </w:p>
        </w:tc>
        <w:tc>
          <w:tcPr>
            <w:tcW w:w="472" w:type="pct"/>
            <w:tcBorders>
              <w:top w:val="nil"/>
              <w:left w:val="nil"/>
              <w:bottom w:val="nil"/>
              <w:right w:val="nil"/>
            </w:tcBorders>
            <w:shd w:val="clear" w:color="000000" w:fill="FFFFFF"/>
            <w:noWrap/>
            <w:vAlign w:val="center"/>
            <w:hideMark/>
          </w:tcPr>
          <w:p w14:paraId="1BCF9842" w14:textId="77777777" w:rsidR="005F7B49" w:rsidRPr="005F7B49" w:rsidRDefault="005F7B49" w:rsidP="005F7B49">
            <w:pPr>
              <w:spacing w:before="0" w:after="0" w:line="240" w:lineRule="auto"/>
              <w:rPr>
                <w:rFonts w:ascii="Arial" w:hAnsi="Arial" w:cs="Arial"/>
                <w:color w:val="000000"/>
                <w:sz w:val="16"/>
                <w:szCs w:val="16"/>
              </w:rPr>
            </w:pPr>
            <w:r w:rsidRPr="005F7B49">
              <w:rPr>
                <w:rFonts w:ascii="Arial" w:hAnsi="Arial" w:cs="Arial"/>
                <w:color w:val="000000"/>
                <w:sz w:val="16"/>
                <w:szCs w:val="16"/>
              </w:rPr>
              <w:t> </w:t>
            </w:r>
          </w:p>
        </w:tc>
        <w:tc>
          <w:tcPr>
            <w:tcW w:w="472" w:type="pct"/>
            <w:tcBorders>
              <w:top w:val="nil"/>
              <w:left w:val="nil"/>
              <w:bottom w:val="nil"/>
              <w:right w:val="nil"/>
            </w:tcBorders>
            <w:shd w:val="clear" w:color="000000" w:fill="E6F2FF"/>
            <w:noWrap/>
            <w:vAlign w:val="center"/>
            <w:hideMark/>
          </w:tcPr>
          <w:p w14:paraId="0610D766" w14:textId="77777777" w:rsidR="005F7B49" w:rsidRPr="005F7B49" w:rsidRDefault="005F7B49" w:rsidP="005F7B49">
            <w:pPr>
              <w:spacing w:before="0" w:after="0" w:line="240" w:lineRule="auto"/>
              <w:rPr>
                <w:rFonts w:ascii="Arial" w:hAnsi="Arial" w:cs="Arial"/>
                <w:color w:val="000000"/>
                <w:sz w:val="16"/>
                <w:szCs w:val="16"/>
              </w:rPr>
            </w:pPr>
            <w:r w:rsidRPr="005F7B49">
              <w:rPr>
                <w:rFonts w:ascii="Arial" w:hAnsi="Arial" w:cs="Arial"/>
                <w:color w:val="000000"/>
                <w:sz w:val="16"/>
                <w:szCs w:val="16"/>
              </w:rPr>
              <w:t> </w:t>
            </w:r>
          </w:p>
        </w:tc>
        <w:tc>
          <w:tcPr>
            <w:tcW w:w="472" w:type="pct"/>
            <w:tcBorders>
              <w:top w:val="nil"/>
              <w:left w:val="nil"/>
              <w:bottom w:val="nil"/>
              <w:right w:val="nil"/>
            </w:tcBorders>
            <w:shd w:val="clear" w:color="000000" w:fill="FFFFFF"/>
            <w:noWrap/>
            <w:vAlign w:val="center"/>
            <w:hideMark/>
          </w:tcPr>
          <w:p w14:paraId="4F24191A" w14:textId="77777777" w:rsidR="005F7B49" w:rsidRPr="005F7B49" w:rsidRDefault="005F7B49" w:rsidP="005F7B49">
            <w:pPr>
              <w:spacing w:before="0" w:after="0" w:line="240" w:lineRule="auto"/>
              <w:rPr>
                <w:rFonts w:ascii="Arial" w:hAnsi="Arial" w:cs="Arial"/>
                <w:color w:val="000000"/>
                <w:sz w:val="16"/>
                <w:szCs w:val="16"/>
              </w:rPr>
            </w:pPr>
            <w:r w:rsidRPr="005F7B49">
              <w:rPr>
                <w:rFonts w:ascii="Arial" w:hAnsi="Arial" w:cs="Arial"/>
                <w:color w:val="000000"/>
                <w:sz w:val="16"/>
                <w:szCs w:val="16"/>
              </w:rPr>
              <w:t> </w:t>
            </w:r>
          </w:p>
        </w:tc>
        <w:tc>
          <w:tcPr>
            <w:tcW w:w="472" w:type="pct"/>
            <w:tcBorders>
              <w:top w:val="nil"/>
              <w:left w:val="nil"/>
              <w:bottom w:val="nil"/>
              <w:right w:val="nil"/>
            </w:tcBorders>
            <w:shd w:val="clear" w:color="000000" w:fill="FFFFFF"/>
            <w:noWrap/>
            <w:vAlign w:val="center"/>
            <w:hideMark/>
          </w:tcPr>
          <w:p w14:paraId="36E3EB5D" w14:textId="77777777" w:rsidR="005F7B49" w:rsidRPr="005F7B49" w:rsidRDefault="005F7B49" w:rsidP="005F7B49">
            <w:pPr>
              <w:spacing w:before="0" w:after="0" w:line="240" w:lineRule="auto"/>
              <w:rPr>
                <w:rFonts w:ascii="Arial" w:hAnsi="Arial" w:cs="Arial"/>
                <w:color w:val="000000"/>
                <w:sz w:val="16"/>
                <w:szCs w:val="16"/>
              </w:rPr>
            </w:pPr>
            <w:r w:rsidRPr="005F7B49">
              <w:rPr>
                <w:rFonts w:ascii="Arial" w:hAnsi="Arial" w:cs="Arial"/>
                <w:color w:val="000000"/>
                <w:sz w:val="16"/>
                <w:szCs w:val="16"/>
              </w:rPr>
              <w:t> </w:t>
            </w:r>
          </w:p>
        </w:tc>
        <w:tc>
          <w:tcPr>
            <w:tcW w:w="472" w:type="pct"/>
            <w:tcBorders>
              <w:top w:val="nil"/>
              <w:left w:val="nil"/>
              <w:bottom w:val="nil"/>
              <w:right w:val="nil"/>
            </w:tcBorders>
            <w:shd w:val="clear" w:color="000000" w:fill="FFFFFF"/>
            <w:noWrap/>
            <w:vAlign w:val="center"/>
            <w:hideMark/>
          </w:tcPr>
          <w:p w14:paraId="60C91E5B" w14:textId="77777777" w:rsidR="005F7B49" w:rsidRPr="005F7B49" w:rsidRDefault="005F7B49" w:rsidP="005F7B49">
            <w:pPr>
              <w:spacing w:before="0" w:after="0" w:line="240" w:lineRule="auto"/>
              <w:rPr>
                <w:rFonts w:ascii="Arial" w:hAnsi="Arial" w:cs="Arial"/>
                <w:color w:val="000000"/>
                <w:sz w:val="16"/>
                <w:szCs w:val="16"/>
              </w:rPr>
            </w:pPr>
            <w:r w:rsidRPr="005F7B49">
              <w:rPr>
                <w:rFonts w:ascii="Arial" w:hAnsi="Arial" w:cs="Arial"/>
                <w:color w:val="000000"/>
                <w:sz w:val="16"/>
                <w:szCs w:val="16"/>
              </w:rPr>
              <w:t> </w:t>
            </w:r>
          </w:p>
        </w:tc>
      </w:tr>
      <w:tr w:rsidR="005F7B49" w:rsidRPr="005F7B49" w14:paraId="0BDB0A24" w14:textId="77777777" w:rsidTr="005F7B49">
        <w:trPr>
          <w:trHeight w:hRule="exact" w:val="226"/>
        </w:trPr>
        <w:tc>
          <w:tcPr>
            <w:tcW w:w="1873" w:type="pct"/>
            <w:tcBorders>
              <w:top w:val="nil"/>
              <w:left w:val="nil"/>
              <w:bottom w:val="nil"/>
              <w:right w:val="nil"/>
            </w:tcBorders>
            <w:shd w:val="clear" w:color="000000" w:fill="FFFFFF"/>
            <w:noWrap/>
            <w:vAlign w:val="center"/>
            <w:hideMark/>
          </w:tcPr>
          <w:p w14:paraId="4274E77A" w14:textId="77777777" w:rsidR="005F7B49" w:rsidRPr="005F7B49" w:rsidRDefault="005F7B49" w:rsidP="005F7B49">
            <w:pPr>
              <w:spacing w:before="0" w:after="0" w:line="240" w:lineRule="auto"/>
              <w:ind w:left="170"/>
              <w:rPr>
                <w:rFonts w:ascii="Arial" w:hAnsi="Arial" w:cs="Arial"/>
                <w:color w:val="000000"/>
                <w:sz w:val="16"/>
                <w:szCs w:val="16"/>
              </w:rPr>
            </w:pPr>
            <w:r w:rsidRPr="005F7B49">
              <w:rPr>
                <w:rFonts w:ascii="Arial" w:hAnsi="Arial" w:cs="Arial"/>
                <w:color w:val="000000"/>
                <w:sz w:val="16"/>
                <w:szCs w:val="16"/>
              </w:rPr>
              <w:t>with Disability</w:t>
            </w:r>
          </w:p>
        </w:tc>
        <w:tc>
          <w:tcPr>
            <w:tcW w:w="711" w:type="pct"/>
            <w:tcBorders>
              <w:top w:val="nil"/>
              <w:left w:val="nil"/>
              <w:bottom w:val="nil"/>
              <w:right w:val="nil"/>
            </w:tcBorders>
            <w:shd w:val="clear" w:color="000000" w:fill="FFFFFF"/>
            <w:noWrap/>
            <w:vAlign w:val="center"/>
            <w:hideMark/>
          </w:tcPr>
          <w:p w14:paraId="19E11AF3" w14:textId="77777777" w:rsidR="005F7B49" w:rsidRPr="005F7B49" w:rsidRDefault="005F7B49" w:rsidP="005F7B49">
            <w:pPr>
              <w:spacing w:before="0" w:after="0" w:line="240" w:lineRule="auto"/>
              <w:rPr>
                <w:rFonts w:ascii="Arial" w:hAnsi="Arial" w:cs="Arial"/>
                <w:color w:val="000000"/>
                <w:sz w:val="16"/>
                <w:szCs w:val="16"/>
              </w:rPr>
            </w:pPr>
            <w:r w:rsidRPr="005F7B49">
              <w:rPr>
                <w:rFonts w:ascii="Arial" w:hAnsi="Arial" w:cs="Arial"/>
                <w:color w:val="000000"/>
                <w:sz w:val="16"/>
                <w:szCs w:val="16"/>
              </w:rPr>
              <w:t>SSW</w:t>
            </w:r>
          </w:p>
        </w:tc>
        <w:tc>
          <w:tcPr>
            <w:tcW w:w="59" w:type="pct"/>
            <w:tcBorders>
              <w:top w:val="nil"/>
              <w:left w:val="nil"/>
              <w:bottom w:val="nil"/>
              <w:right w:val="nil"/>
            </w:tcBorders>
            <w:shd w:val="clear" w:color="000000" w:fill="FFFFFF"/>
            <w:noWrap/>
            <w:vAlign w:val="center"/>
            <w:hideMark/>
          </w:tcPr>
          <w:p w14:paraId="6BD397C5" w14:textId="77777777" w:rsidR="005F7B49" w:rsidRPr="005F7B49" w:rsidRDefault="005F7B49" w:rsidP="005F7B49">
            <w:pPr>
              <w:spacing w:before="0" w:after="0" w:line="240" w:lineRule="auto"/>
              <w:rPr>
                <w:rFonts w:ascii="Arial" w:hAnsi="Arial" w:cs="Arial"/>
                <w:color w:val="000000"/>
                <w:sz w:val="16"/>
                <w:szCs w:val="16"/>
              </w:rPr>
            </w:pPr>
            <w:r w:rsidRPr="005F7B49">
              <w:rPr>
                <w:rFonts w:ascii="Arial" w:hAnsi="Arial" w:cs="Arial"/>
                <w:color w:val="000000"/>
                <w:sz w:val="16"/>
                <w:szCs w:val="16"/>
              </w:rPr>
              <w:t> </w:t>
            </w:r>
          </w:p>
        </w:tc>
        <w:tc>
          <w:tcPr>
            <w:tcW w:w="472" w:type="pct"/>
            <w:tcBorders>
              <w:top w:val="nil"/>
              <w:left w:val="nil"/>
              <w:bottom w:val="nil"/>
              <w:right w:val="nil"/>
            </w:tcBorders>
            <w:shd w:val="clear" w:color="000000" w:fill="FFFFFF"/>
            <w:noWrap/>
            <w:vAlign w:val="center"/>
            <w:hideMark/>
          </w:tcPr>
          <w:p w14:paraId="2F7242F3" w14:textId="77777777" w:rsidR="005F7B49" w:rsidRPr="005F7B49" w:rsidRDefault="005F7B49" w:rsidP="005F7B49">
            <w:pPr>
              <w:spacing w:before="0" w:after="0" w:line="240" w:lineRule="auto"/>
              <w:jc w:val="right"/>
              <w:rPr>
                <w:rFonts w:ascii="Arial" w:hAnsi="Arial" w:cs="Arial"/>
                <w:color w:val="000000"/>
                <w:sz w:val="16"/>
                <w:szCs w:val="16"/>
              </w:rPr>
            </w:pPr>
            <w:r w:rsidRPr="005F7B49">
              <w:rPr>
                <w:rFonts w:ascii="Arial" w:hAnsi="Arial" w:cs="Arial"/>
                <w:color w:val="000000"/>
                <w:sz w:val="16"/>
                <w:szCs w:val="16"/>
              </w:rPr>
              <w:t>21,098</w:t>
            </w:r>
          </w:p>
        </w:tc>
        <w:tc>
          <w:tcPr>
            <w:tcW w:w="472" w:type="pct"/>
            <w:tcBorders>
              <w:top w:val="nil"/>
              <w:left w:val="nil"/>
              <w:bottom w:val="nil"/>
              <w:right w:val="nil"/>
            </w:tcBorders>
            <w:shd w:val="clear" w:color="000000" w:fill="E6F2FF"/>
            <w:noWrap/>
            <w:vAlign w:val="center"/>
            <w:hideMark/>
          </w:tcPr>
          <w:p w14:paraId="4D7F2AC9" w14:textId="77777777" w:rsidR="005F7B49" w:rsidRPr="005F7B49" w:rsidRDefault="005F7B49" w:rsidP="005F7B49">
            <w:pPr>
              <w:spacing w:before="0" w:after="0" w:line="240" w:lineRule="auto"/>
              <w:jc w:val="right"/>
              <w:rPr>
                <w:rFonts w:ascii="Arial" w:hAnsi="Arial" w:cs="Arial"/>
                <w:color w:val="000000"/>
                <w:sz w:val="16"/>
                <w:szCs w:val="16"/>
              </w:rPr>
            </w:pPr>
            <w:r w:rsidRPr="005F7B49">
              <w:rPr>
                <w:rFonts w:ascii="Arial" w:hAnsi="Arial" w:cs="Arial"/>
                <w:color w:val="000000"/>
                <w:sz w:val="16"/>
                <w:szCs w:val="16"/>
              </w:rPr>
              <w:t>22,070</w:t>
            </w:r>
          </w:p>
        </w:tc>
        <w:tc>
          <w:tcPr>
            <w:tcW w:w="472" w:type="pct"/>
            <w:tcBorders>
              <w:top w:val="nil"/>
              <w:left w:val="nil"/>
              <w:bottom w:val="nil"/>
              <w:right w:val="nil"/>
            </w:tcBorders>
            <w:shd w:val="clear" w:color="000000" w:fill="FFFFFF"/>
            <w:noWrap/>
            <w:vAlign w:val="center"/>
            <w:hideMark/>
          </w:tcPr>
          <w:p w14:paraId="229937F0" w14:textId="77777777" w:rsidR="005F7B49" w:rsidRPr="005F7B49" w:rsidRDefault="005F7B49" w:rsidP="005F7B49">
            <w:pPr>
              <w:spacing w:before="0" w:after="0" w:line="240" w:lineRule="auto"/>
              <w:jc w:val="right"/>
              <w:rPr>
                <w:rFonts w:ascii="Arial" w:hAnsi="Arial" w:cs="Arial"/>
                <w:color w:val="000000"/>
                <w:sz w:val="16"/>
                <w:szCs w:val="16"/>
              </w:rPr>
            </w:pPr>
            <w:r w:rsidRPr="005F7B49">
              <w:rPr>
                <w:rFonts w:ascii="Arial" w:hAnsi="Arial" w:cs="Arial"/>
                <w:color w:val="000000"/>
                <w:sz w:val="16"/>
                <w:szCs w:val="16"/>
              </w:rPr>
              <w:t>22,937</w:t>
            </w:r>
          </w:p>
        </w:tc>
        <w:tc>
          <w:tcPr>
            <w:tcW w:w="472" w:type="pct"/>
            <w:tcBorders>
              <w:top w:val="nil"/>
              <w:left w:val="nil"/>
              <w:bottom w:val="nil"/>
              <w:right w:val="nil"/>
            </w:tcBorders>
            <w:shd w:val="clear" w:color="000000" w:fill="FFFFFF"/>
            <w:noWrap/>
            <w:vAlign w:val="center"/>
            <w:hideMark/>
          </w:tcPr>
          <w:p w14:paraId="6B03C0A3" w14:textId="77777777" w:rsidR="005F7B49" w:rsidRPr="005F7B49" w:rsidRDefault="005F7B49" w:rsidP="005F7B49">
            <w:pPr>
              <w:spacing w:before="0" w:after="0" w:line="240" w:lineRule="auto"/>
              <w:jc w:val="right"/>
              <w:rPr>
                <w:rFonts w:ascii="Arial" w:hAnsi="Arial" w:cs="Arial"/>
                <w:color w:val="000000"/>
                <w:sz w:val="16"/>
                <w:szCs w:val="16"/>
              </w:rPr>
            </w:pPr>
            <w:r w:rsidRPr="005F7B49">
              <w:rPr>
                <w:rFonts w:ascii="Arial" w:hAnsi="Arial" w:cs="Arial"/>
                <w:color w:val="000000"/>
                <w:sz w:val="16"/>
                <w:szCs w:val="16"/>
              </w:rPr>
              <w:t>23,755</w:t>
            </w:r>
          </w:p>
        </w:tc>
        <w:tc>
          <w:tcPr>
            <w:tcW w:w="472" w:type="pct"/>
            <w:tcBorders>
              <w:top w:val="nil"/>
              <w:left w:val="nil"/>
              <w:bottom w:val="nil"/>
              <w:right w:val="nil"/>
            </w:tcBorders>
            <w:shd w:val="clear" w:color="000000" w:fill="FFFFFF"/>
            <w:noWrap/>
            <w:vAlign w:val="center"/>
            <w:hideMark/>
          </w:tcPr>
          <w:p w14:paraId="0A020DE0" w14:textId="77777777" w:rsidR="005F7B49" w:rsidRPr="005F7B49" w:rsidRDefault="005F7B49" w:rsidP="005F7B49">
            <w:pPr>
              <w:spacing w:before="0" w:after="0" w:line="240" w:lineRule="auto"/>
              <w:jc w:val="right"/>
              <w:rPr>
                <w:rFonts w:ascii="Arial" w:hAnsi="Arial" w:cs="Arial"/>
                <w:color w:val="000000"/>
                <w:sz w:val="16"/>
                <w:szCs w:val="16"/>
              </w:rPr>
            </w:pPr>
            <w:r w:rsidRPr="005F7B49">
              <w:rPr>
                <w:rFonts w:ascii="Arial" w:hAnsi="Arial" w:cs="Arial"/>
                <w:color w:val="000000"/>
                <w:sz w:val="16"/>
                <w:szCs w:val="16"/>
              </w:rPr>
              <w:t>24,820</w:t>
            </w:r>
          </w:p>
        </w:tc>
      </w:tr>
      <w:tr w:rsidR="005F7B49" w:rsidRPr="005F7B49" w14:paraId="4887763E" w14:textId="77777777" w:rsidTr="005F7B49">
        <w:trPr>
          <w:trHeight w:hRule="exact" w:val="226"/>
        </w:trPr>
        <w:tc>
          <w:tcPr>
            <w:tcW w:w="1873" w:type="pct"/>
            <w:tcBorders>
              <w:top w:val="nil"/>
              <w:left w:val="nil"/>
              <w:bottom w:val="nil"/>
              <w:right w:val="nil"/>
            </w:tcBorders>
            <w:shd w:val="clear" w:color="000000" w:fill="FFFFFF"/>
            <w:noWrap/>
            <w:vAlign w:val="center"/>
            <w:hideMark/>
          </w:tcPr>
          <w:p w14:paraId="6D20D0A8" w14:textId="77777777" w:rsidR="005F7B49" w:rsidRPr="005F7B49" w:rsidRDefault="005F7B49" w:rsidP="005F7B49">
            <w:pPr>
              <w:spacing w:before="0" w:after="0" w:line="240" w:lineRule="auto"/>
              <w:rPr>
                <w:rFonts w:ascii="Arial" w:hAnsi="Arial" w:cs="Arial"/>
                <w:color w:val="000000"/>
                <w:sz w:val="16"/>
                <w:szCs w:val="16"/>
              </w:rPr>
            </w:pPr>
            <w:r w:rsidRPr="005F7B49">
              <w:rPr>
                <w:rFonts w:ascii="Arial" w:hAnsi="Arial" w:cs="Arial"/>
                <w:color w:val="000000"/>
                <w:sz w:val="16"/>
                <w:szCs w:val="16"/>
              </w:rPr>
              <w:t>Pharmaceutical Benefits</w:t>
            </w:r>
          </w:p>
        </w:tc>
        <w:tc>
          <w:tcPr>
            <w:tcW w:w="711" w:type="pct"/>
            <w:tcBorders>
              <w:top w:val="nil"/>
              <w:left w:val="nil"/>
              <w:bottom w:val="nil"/>
              <w:right w:val="nil"/>
            </w:tcBorders>
            <w:shd w:val="clear" w:color="000000" w:fill="FFFFFF"/>
            <w:noWrap/>
            <w:vAlign w:val="center"/>
            <w:hideMark/>
          </w:tcPr>
          <w:p w14:paraId="1EF1A51C" w14:textId="77777777" w:rsidR="005F7B49" w:rsidRPr="005F7B49" w:rsidRDefault="005F7B49" w:rsidP="005F7B49">
            <w:pPr>
              <w:spacing w:before="0" w:after="0" w:line="240" w:lineRule="auto"/>
              <w:rPr>
                <w:rFonts w:ascii="Arial" w:hAnsi="Arial" w:cs="Arial"/>
                <w:color w:val="000000"/>
                <w:sz w:val="16"/>
                <w:szCs w:val="16"/>
              </w:rPr>
            </w:pPr>
            <w:r w:rsidRPr="005F7B49">
              <w:rPr>
                <w:rFonts w:ascii="Arial" w:hAnsi="Arial" w:cs="Arial"/>
                <w:color w:val="000000"/>
                <w:sz w:val="16"/>
                <w:szCs w:val="16"/>
              </w:rPr>
              <w:t>Health</w:t>
            </w:r>
          </w:p>
        </w:tc>
        <w:tc>
          <w:tcPr>
            <w:tcW w:w="59" w:type="pct"/>
            <w:tcBorders>
              <w:top w:val="nil"/>
              <w:left w:val="nil"/>
              <w:bottom w:val="nil"/>
              <w:right w:val="nil"/>
            </w:tcBorders>
            <w:shd w:val="clear" w:color="000000" w:fill="FFFFFF"/>
            <w:noWrap/>
            <w:vAlign w:val="center"/>
            <w:hideMark/>
          </w:tcPr>
          <w:p w14:paraId="3757E230" w14:textId="77777777" w:rsidR="005F7B49" w:rsidRPr="005F7B49" w:rsidRDefault="005F7B49" w:rsidP="005F7B49">
            <w:pPr>
              <w:spacing w:before="0" w:after="0" w:line="240" w:lineRule="auto"/>
              <w:rPr>
                <w:rFonts w:ascii="Arial" w:hAnsi="Arial" w:cs="Arial"/>
                <w:color w:val="000000"/>
                <w:sz w:val="16"/>
                <w:szCs w:val="16"/>
              </w:rPr>
            </w:pPr>
            <w:r w:rsidRPr="005F7B49">
              <w:rPr>
                <w:rFonts w:ascii="Arial" w:hAnsi="Arial" w:cs="Arial"/>
                <w:color w:val="000000"/>
                <w:sz w:val="16"/>
                <w:szCs w:val="16"/>
              </w:rPr>
              <w:t> </w:t>
            </w:r>
          </w:p>
        </w:tc>
        <w:tc>
          <w:tcPr>
            <w:tcW w:w="472" w:type="pct"/>
            <w:tcBorders>
              <w:top w:val="nil"/>
              <w:left w:val="nil"/>
              <w:bottom w:val="nil"/>
              <w:right w:val="nil"/>
            </w:tcBorders>
            <w:shd w:val="clear" w:color="000000" w:fill="FFFFFF"/>
            <w:noWrap/>
            <w:vAlign w:val="center"/>
            <w:hideMark/>
          </w:tcPr>
          <w:p w14:paraId="418D1C10" w14:textId="77777777" w:rsidR="005F7B49" w:rsidRPr="005F7B49" w:rsidRDefault="005F7B49" w:rsidP="005F7B49">
            <w:pPr>
              <w:spacing w:before="0" w:after="0" w:line="240" w:lineRule="auto"/>
              <w:jc w:val="right"/>
              <w:rPr>
                <w:rFonts w:ascii="Arial" w:hAnsi="Arial" w:cs="Arial"/>
                <w:color w:val="000000"/>
                <w:sz w:val="16"/>
                <w:szCs w:val="16"/>
              </w:rPr>
            </w:pPr>
            <w:r w:rsidRPr="005F7B49">
              <w:rPr>
                <w:rFonts w:ascii="Arial" w:hAnsi="Arial" w:cs="Arial"/>
                <w:color w:val="000000"/>
                <w:sz w:val="16"/>
                <w:szCs w:val="16"/>
              </w:rPr>
              <w:t>18,989</w:t>
            </w:r>
          </w:p>
        </w:tc>
        <w:tc>
          <w:tcPr>
            <w:tcW w:w="472" w:type="pct"/>
            <w:tcBorders>
              <w:top w:val="nil"/>
              <w:left w:val="nil"/>
              <w:bottom w:val="nil"/>
              <w:right w:val="nil"/>
            </w:tcBorders>
            <w:shd w:val="clear" w:color="000000" w:fill="E6F2FF"/>
            <w:noWrap/>
            <w:vAlign w:val="center"/>
            <w:hideMark/>
          </w:tcPr>
          <w:p w14:paraId="5D7A565F" w14:textId="77777777" w:rsidR="005F7B49" w:rsidRPr="005F7B49" w:rsidRDefault="005F7B49" w:rsidP="005F7B49">
            <w:pPr>
              <w:spacing w:before="0" w:after="0" w:line="240" w:lineRule="auto"/>
              <w:jc w:val="right"/>
              <w:rPr>
                <w:rFonts w:ascii="Arial" w:hAnsi="Arial" w:cs="Arial"/>
                <w:color w:val="000000"/>
                <w:sz w:val="16"/>
                <w:szCs w:val="16"/>
              </w:rPr>
            </w:pPr>
            <w:r w:rsidRPr="005F7B49">
              <w:rPr>
                <w:rFonts w:ascii="Arial" w:hAnsi="Arial" w:cs="Arial"/>
                <w:color w:val="000000"/>
                <w:sz w:val="16"/>
                <w:szCs w:val="16"/>
              </w:rPr>
              <w:t>19,527</w:t>
            </w:r>
          </w:p>
        </w:tc>
        <w:tc>
          <w:tcPr>
            <w:tcW w:w="472" w:type="pct"/>
            <w:tcBorders>
              <w:top w:val="nil"/>
              <w:left w:val="nil"/>
              <w:bottom w:val="nil"/>
              <w:right w:val="nil"/>
            </w:tcBorders>
            <w:shd w:val="clear" w:color="000000" w:fill="FFFFFF"/>
            <w:noWrap/>
            <w:vAlign w:val="center"/>
            <w:hideMark/>
          </w:tcPr>
          <w:p w14:paraId="39505C12" w14:textId="77777777" w:rsidR="005F7B49" w:rsidRPr="005F7B49" w:rsidRDefault="005F7B49" w:rsidP="005F7B49">
            <w:pPr>
              <w:spacing w:before="0" w:after="0" w:line="240" w:lineRule="auto"/>
              <w:jc w:val="right"/>
              <w:rPr>
                <w:rFonts w:ascii="Arial" w:hAnsi="Arial" w:cs="Arial"/>
                <w:color w:val="000000"/>
                <w:sz w:val="16"/>
                <w:szCs w:val="16"/>
              </w:rPr>
            </w:pPr>
            <w:r w:rsidRPr="005F7B49">
              <w:rPr>
                <w:rFonts w:ascii="Arial" w:hAnsi="Arial" w:cs="Arial"/>
                <w:color w:val="000000"/>
                <w:sz w:val="16"/>
                <w:szCs w:val="16"/>
              </w:rPr>
              <w:t>19,759</w:t>
            </w:r>
          </w:p>
        </w:tc>
        <w:tc>
          <w:tcPr>
            <w:tcW w:w="472" w:type="pct"/>
            <w:tcBorders>
              <w:top w:val="nil"/>
              <w:left w:val="nil"/>
              <w:bottom w:val="nil"/>
              <w:right w:val="nil"/>
            </w:tcBorders>
            <w:shd w:val="clear" w:color="000000" w:fill="FFFFFF"/>
            <w:noWrap/>
            <w:vAlign w:val="center"/>
            <w:hideMark/>
          </w:tcPr>
          <w:p w14:paraId="5AE8E50C" w14:textId="77777777" w:rsidR="005F7B49" w:rsidRPr="005F7B49" w:rsidRDefault="005F7B49" w:rsidP="005F7B49">
            <w:pPr>
              <w:spacing w:before="0" w:after="0" w:line="240" w:lineRule="auto"/>
              <w:jc w:val="right"/>
              <w:rPr>
                <w:rFonts w:ascii="Arial" w:hAnsi="Arial" w:cs="Arial"/>
                <w:color w:val="000000"/>
                <w:sz w:val="16"/>
                <w:szCs w:val="16"/>
              </w:rPr>
            </w:pPr>
            <w:r w:rsidRPr="005F7B49">
              <w:rPr>
                <w:rFonts w:ascii="Arial" w:hAnsi="Arial" w:cs="Arial"/>
                <w:color w:val="000000"/>
                <w:sz w:val="16"/>
                <w:szCs w:val="16"/>
              </w:rPr>
              <w:t>19,550</w:t>
            </w:r>
          </w:p>
        </w:tc>
        <w:tc>
          <w:tcPr>
            <w:tcW w:w="472" w:type="pct"/>
            <w:tcBorders>
              <w:top w:val="nil"/>
              <w:left w:val="nil"/>
              <w:bottom w:val="nil"/>
              <w:right w:val="nil"/>
            </w:tcBorders>
            <w:shd w:val="clear" w:color="000000" w:fill="FFFFFF"/>
            <w:noWrap/>
            <w:vAlign w:val="center"/>
            <w:hideMark/>
          </w:tcPr>
          <w:p w14:paraId="33A7D447" w14:textId="77777777" w:rsidR="005F7B49" w:rsidRPr="005F7B49" w:rsidRDefault="005F7B49" w:rsidP="005F7B49">
            <w:pPr>
              <w:spacing w:before="0" w:after="0" w:line="240" w:lineRule="auto"/>
              <w:jc w:val="right"/>
              <w:rPr>
                <w:rFonts w:ascii="Arial" w:hAnsi="Arial" w:cs="Arial"/>
                <w:color w:val="000000"/>
                <w:sz w:val="16"/>
                <w:szCs w:val="16"/>
              </w:rPr>
            </w:pPr>
            <w:r w:rsidRPr="005F7B49">
              <w:rPr>
                <w:rFonts w:ascii="Arial" w:hAnsi="Arial" w:cs="Arial"/>
                <w:color w:val="000000"/>
                <w:sz w:val="16"/>
                <w:szCs w:val="16"/>
              </w:rPr>
              <w:t>19,712</w:t>
            </w:r>
          </w:p>
        </w:tc>
      </w:tr>
      <w:tr w:rsidR="005F7B49" w:rsidRPr="005F7B49" w14:paraId="20356884" w14:textId="77777777" w:rsidTr="005F7B49">
        <w:trPr>
          <w:trHeight w:hRule="exact" w:val="226"/>
        </w:trPr>
        <w:tc>
          <w:tcPr>
            <w:tcW w:w="1873" w:type="pct"/>
            <w:tcBorders>
              <w:top w:val="nil"/>
              <w:left w:val="nil"/>
              <w:bottom w:val="nil"/>
              <w:right w:val="nil"/>
            </w:tcBorders>
            <w:shd w:val="clear" w:color="000000" w:fill="FFFFFF"/>
            <w:noWrap/>
            <w:vAlign w:val="center"/>
            <w:hideMark/>
          </w:tcPr>
          <w:p w14:paraId="0FD0092F" w14:textId="69F32605" w:rsidR="005F7B49" w:rsidRPr="005F7B49" w:rsidRDefault="005F7B49" w:rsidP="005F7B49">
            <w:pPr>
              <w:spacing w:before="0" w:after="0" w:line="240" w:lineRule="auto"/>
              <w:rPr>
                <w:rFonts w:ascii="Arial" w:hAnsi="Arial" w:cs="Arial"/>
                <w:color w:val="000000"/>
                <w:sz w:val="16"/>
                <w:szCs w:val="16"/>
              </w:rPr>
            </w:pPr>
            <w:r w:rsidRPr="005F7B49">
              <w:rPr>
                <w:rFonts w:ascii="Arial" w:hAnsi="Arial" w:cs="Arial"/>
                <w:color w:val="000000"/>
                <w:sz w:val="16"/>
                <w:szCs w:val="16"/>
              </w:rPr>
              <w:t>Non</w:t>
            </w:r>
            <w:r w:rsidR="008D4F6B">
              <w:rPr>
                <w:rFonts w:ascii="Arial" w:hAnsi="Arial" w:cs="Arial"/>
                <w:color w:val="000000"/>
                <w:sz w:val="16"/>
                <w:szCs w:val="16"/>
              </w:rPr>
              <w:noBreakHyphen/>
            </w:r>
            <w:r w:rsidRPr="005F7B49">
              <w:rPr>
                <w:rFonts w:ascii="Arial" w:hAnsi="Arial" w:cs="Arial"/>
                <w:color w:val="000000"/>
                <w:sz w:val="16"/>
                <w:szCs w:val="16"/>
              </w:rPr>
              <w:t>Government Schools</w:t>
            </w:r>
          </w:p>
        </w:tc>
        <w:tc>
          <w:tcPr>
            <w:tcW w:w="711" w:type="pct"/>
            <w:tcBorders>
              <w:top w:val="nil"/>
              <w:left w:val="nil"/>
              <w:bottom w:val="nil"/>
              <w:right w:val="nil"/>
            </w:tcBorders>
            <w:shd w:val="clear" w:color="000000" w:fill="FFFFFF"/>
            <w:noWrap/>
            <w:vAlign w:val="center"/>
            <w:hideMark/>
          </w:tcPr>
          <w:p w14:paraId="3AFD0FB0" w14:textId="77777777" w:rsidR="005F7B49" w:rsidRPr="005F7B49" w:rsidRDefault="005F7B49" w:rsidP="005F7B49">
            <w:pPr>
              <w:spacing w:before="0" w:after="0" w:line="240" w:lineRule="auto"/>
              <w:rPr>
                <w:rFonts w:ascii="Arial" w:hAnsi="Arial" w:cs="Arial"/>
                <w:color w:val="000000"/>
                <w:sz w:val="16"/>
                <w:szCs w:val="16"/>
              </w:rPr>
            </w:pPr>
            <w:r w:rsidRPr="005F7B49">
              <w:rPr>
                <w:rFonts w:ascii="Arial" w:hAnsi="Arial" w:cs="Arial"/>
                <w:color w:val="000000"/>
                <w:sz w:val="16"/>
                <w:szCs w:val="16"/>
              </w:rPr>
              <w:t> </w:t>
            </w:r>
          </w:p>
        </w:tc>
        <w:tc>
          <w:tcPr>
            <w:tcW w:w="59" w:type="pct"/>
            <w:tcBorders>
              <w:top w:val="nil"/>
              <w:left w:val="nil"/>
              <w:bottom w:val="nil"/>
              <w:right w:val="nil"/>
            </w:tcBorders>
            <w:shd w:val="clear" w:color="000000" w:fill="FFFFFF"/>
            <w:noWrap/>
            <w:vAlign w:val="center"/>
            <w:hideMark/>
          </w:tcPr>
          <w:p w14:paraId="194FB4F2" w14:textId="77777777" w:rsidR="005F7B49" w:rsidRPr="005F7B49" w:rsidRDefault="005F7B49" w:rsidP="005F7B49">
            <w:pPr>
              <w:spacing w:before="0" w:after="0" w:line="240" w:lineRule="auto"/>
              <w:rPr>
                <w:rFonts w:ascii="Arial" w:hAnsi="Arial" w:cs="Arial"/>
                <w:color w:val="000000"/>
                <w:sz w:val="16"/>
                <w:szCs w:val="16"/>
              </w:rPr>
            </w:pPr>
            <w:r w:rsidRPr="005F7B49">
              <w:rPr>
                <w:rFonts w:ascii="Arial" w:hAnsi="Arial" w:cs="Arial"/>
                <w:color w:val="000000"/>
                <w:sz w:val="16"/>
                <w:szCs w:val="16"/>
              </w:rPr>
              <w:t> </w:t>
            </w:r>
          </w:p>
        </w:tc>
        <w:tc>
          <w:tcPr>
            <w:tcW w:w="472" w:type="pct"/>
            <w:tcBorders>
              <w:top w:val="nil"/>
              <w:left w:val="nil"/>
              <w:bottom w:val="nil"/>
              <w:right w:val="nil"/>
            </w:tcBorders>
            <w:shd w:val="clear" w:color="000000" w:fill="FFFFFF"/>
            <w:noWrap/>
            <w:vAlign w:val="center"/>
            <w:hideMark/>
          </w:tcPr>
          <w:p w14:paraId="21DD71DF" w14:textId="77777777" w:rsidR="005F7B49" w:rsidRPr="005F7B49" w:rsidRDefault="005F7B49" w:rsidP="005F7B49">
            <w:pPr>
              <w:spacing w:before="0" w:after="0" w:line="240" w:lineRule="auto"/>
              <w:rPr>
                <w:rFonts w:ascii="Arial" w:hAnsi="Arial" w:cs="Arial"/>
                <w:color w:val="000000"/>
                <w:sz w:val="16"/>
                <w:szCs w:val="16"/>
              </w:rPr>
            </w:pPr>
            <w:r w:rsidRPr="005F7B49">
              <w:rPr>
                <w:rFonts w:ascii="Arial" w:hAnsi="Arial" w:cs="Arial"/>
                <w:color w:val="000000"/>
                <w:sz w:val="16"/>
                <w:szCs w:val="16"/>
              </w:rPr>
              <w:t> </w:t>
            </w:r>
          </w:p>
        </w:tc>
        <w:tc>
          <w:tcPr>
            <w:tcW w:w="472" w:type="pct"/>
            <w:tcBorders>
              <w:top w:val="nil"/>
              <w:left w:val="nil"/>
              <w:bottom w:val="nil"/>
              <w:right w:val="nil"/>
            </w:tcBorders>
            <w:shd w:val="clear" w:color="000000" w:fill="E6F2FF"/>
            <w:noWrap/>
            <w:vAlign w:val="center"/>
            <w:hideMark/>
          </w:tcPr>
          <w:p w14:paraId="47663634" w14:textId="77777777" w:rsidR="005F7B49" w:rsidRPr="005F7B49" w:rsidRDefault="005F7B49" w:rsidP="005F7B49">
            <w:pPr>
              <w:spacing w:before="0" w:after="0" w:line="240" w:lineRule="auto"/>
              <w:rPr>
                <w:rFonts w:ascii="Arial" w:hAnsi="Arial" w:cs="Arial"/>
                <w:color w:val="000000"/>
                <w:sz w:val="16"/>
                <w:szCs w:val="16"/>
              </w:rPr>
            </w:pPr>
            <w:r w:rsidRPr="005F7B49">
              <w:rPr>
                <w:rFonts w:ascii="Arial" w:hAnsi="Arial" w:cs="Arial"/>
                <w:color w:val="000000"/>
                <w:sz w:val="16"/>
                <w:szCs w:val="16"/>
              </w:rPr>
              <w:t> </w:t>
            </w:r>
          </w:p>
        </w:tc>
        <w:tc>
          <w:tcPr>
            <w:tcW w:w="472" w:type="pct"/>
            <w:tcBorders>
              <w:top w:val="nil"/>
              <w:left w:val="nil"/>
              <w:bottom w:val="nil"/>
              <w:right w:val="nil"/>
            </w:tcBorders>
            <w:shd w:val="clear" w:color="000000" w:fill="FFFFFF"/>
            <w:noWrap/>
            <w:vAlign w:val="center"/>
            <w:hideMark/>
          </w:tcPr>
          <w:p w14:paraId="373A3997" w14:textId="77777777" w:rsidR="005F7B49" w:rsidRPr="005F7B49" w:rsidRDefault="005F7B49" w:rsidP="005F7B49">
            <w:pPr>
              <w:spacing w:before="0" w:after="0" w:line="240" w:lineRule="auto"/>
              <w:rPr>
                <w:rFonts w:ascii="Arial" w:hAnsi="Arial" w:cs="Arial"/>
                <w:color w:val="000000"/>
                <w:sz w:val="16"/>
                <w:szCs w:val="16"/>
              </w:rPr>
            </w:pPr>
            <w:r w:rsidRPr="005F7B49">
              <w:rPr>
                <w:rFonts w:ascii="Arial" w:hAnsi="Arial" w:cs="Arial"/>
                <w:color w:val="000000"/>
                <w:sz w:val="16"/>
                <w:szCs w:val="16"/>
              </w:rPr>
              <w:t> </w:t>
            </w:r>
          </w:p>
        </w:tc>
        <w:tc>
          <w:tcPr>
            <w:tcW w:w="472" w:type="pct"/>
            <w:tcBorders>
              <w:top w:val="nil"/>
              <w:left w:val="nil"/>
              <w:bottom w:val="nil"/>
              <w:right w:val="nil"/>
            </w:tcBorders>
            <w:shd w:val="clear" w:color="000000" w:fill="FFFFFF"/>
            <w:noWrap/>
            <w:vAlign w:val="center"/>
            <w:hideMark/>
          </w:tcPr>
          <w:p w14:paraId="4FC02162" w14:textId="77777777" w:rsidR="005F7B49" w:rsidRPr="005F7B49" w:rsidRDefault="005F7B49" w:rsidP="005F7B49">
            <w:pPr>
              <w:spacing w:before="0" w:after="0" w:line="240" w:lineRule="auto"/>
              <w:rPr>
                <w:rFonts w:ascii="Arial" w:hAnsi="Arial" w:cs="Arial"/>
                <w:color w:val="000000"/>
                <w:sz w:val="16"/>
                <w:szCs w:val="16"/>
              </w:rPr>
            </w:pPr>
            <w:r w:rsidRPr="005F7B49">
              <w:rPr>
                <w:rFonts w:ascii="Arial" w:hAnsi="Arial" w:cs="Arial"/>
                <w:color w:val="000000"/>
                <w:sz w:val="16"/>
                <w:szCs w:val="16"/>
              </w:rPr>
              <w:t> </w:t>
            </w:r>
          </w:p>
        </w:tc>
        <w:tc>
          <w:tcPr>
            <w:tcW w:w="472" w:type="pct"/>
            <w:tcBorders>
              <w:top w:val="nil"/>
              <w:left w:val="nil"/>
              <w:bottom w:val="nil"/>
              <w:right w:val="nil"/>
            </w:tcBorders>
            <w:shd w:val="clear" w:color="000000" w:fill="FFFFFF"/>
            <w:noWrap/>
            <w:vAlign w:val="center"/>
            <w:hideMark/>
          </w:tcPr>
          <w:p w14:paraId="18CD8A0A" w14:textId="77777777" w:rsidR="005F7B49" w:rsidRPr="005F7B49" w:rsidRDefault="005F7B49" w:rsidP="005F7B49">
            <w:pPr>
              <w:spacing w:before="0" w:after="0" w:line="240" w:lineRule="auto"/>
              <w:rPr>
                <w:rFonts w:ascii="Arial" w:hAnsi="Arial" w:cs="Arial"/>
                <w:color w:val="000000"/>
                <w:sz w:val="16"/>
                <w:szCs w:val="16"/>
              </w:rPr>
            </w:pPr>
            <w:r w:rsidRPr="005F7B49">
              <w:rPr>
                <w:rFonts w:ascii="Arial" w:hAnsi="Arial" w:cs="Arial"/>
                <w:color w:val="000000"/>
                <w:sz w:val="16"/>
                <w:szCs w:val="16"/>
              </w:rPr>
              <w:t> </w:t>
            </w:r>
          </w:p>
        </w:tc>
      </w:tr>
      <w:tr w:rsidR="005F7B49" w:rsidRPr="005F7B49" w14:paraId="20871138" w14:textId="77777777" w:rsidTr="005F7B49">
        <w:trPr>
          <w:trHeight w:hRule="exact" w:val="226"/>
        </w:trPr>
        <w:tc>
          <w:tcPr>
            <w:tcW w:w="1873" w:type="pct"/>
            <w:tcBorders>
              <w:top w:val="nil"/>
              <w:left w:val="nil"/>
              <w:bottom w:val="nil"/>
              <w:right w:val="nil"/>
            </w:tcBorders>
            <w:shd w:val="clear" w:color="000000" w:fill="FFFFFF"/>
            <w:noWrap/>
            <w:vAlign w:val="center"/>
            <w:hideMark/>
          </w:tcPr>
          <w:p w14:paraId="3BF76359" w14:textId="77777777" w:rsidR="005F7B49" w:rsidRPr="005F7B49" w:rsidRDefault="005F7B49" w:rsidP="005F7B49">
            <w:pPr>
              <w:spacing w:before="0" w:after="0" w:line="240" w:lineRule="auto"/>
              <w:ind w:left="170"/>
              <w:rPr>
                <w:rFonts w:ascii="Arial" w:hAnsi="Arial" w:cs="Arial"/>
                <w:color w:val="000000"/>
                <w:sz w:val="16"/>
                <w:szCs w:val="16"/>
              </w:rPr>
            </w:pPr>
            <w:r w:rsidRPr="005F7B49">
              <w:rPr>
                <w:rFonts w:ascii="Arial" w:hAnsi="Arial" w:cs="Arial"/>
                <w:color w:val="000000"/>
                <w:sz w:val="16"/>
                <w:szCs w:val="16"/>
              </w:rPr>
              <w:t>National Support</w:t>
            </w:r>
          </w:p>
        </w:tc>
        <w:tc>
          <w:tcPr>
            <w:tcW w:w="711" w:type="pct"/>
            <w:tcBorders>
              <w:top w:val="nil"/>
              <w:left w:val="nil"/>
              <w:bottom w:val="nil"/>
              <w:right w:val="nil"/>
            </w:tcBorders>
            <w:shd w:val="clear" w:color="000000" w:fill="FFFFFF"/>
            <w:noWrap/>
            <w:vAlign w:val="center"/>
            <w:hideMark/>
          </w:tcPr>
          <w:p w14:paraId="1CAB2D8B" w14:textId="77777777" w:rsidR="005F7B49" w:rsidRPr="005F7B49" w:rsidRDefault="005F7B49" w:rsidP="005F7B49">
            <w:pPr>
              <w:spacing w:before="0" w:after="0" w:line="240" w:lineRule="auto"/>
              <w:rPr>
                <w:rFonts w:ascii="Arial" w:hAnsi="Arial" w:cs="Arial"/>
                <w:color w:val="000000"/>
                <w:sz w:val="16"/>
                <w:szCs w:val="16"/>
              </w:rPr>
            </w:pPr>
            <w:r w:rsidRPr="005F7B49">
              <w:rPr>
                <w:rFonts w:ascii="Arial" w:hAnsi="Arial" w:cs="Arial"/>
                <w:color w:val="000000"/>
                <w:sz w:val="16"/>
                <w:szCs w:val="16"/>
              </w:rPr>
              <w:t>Education</w:t>
            </w:r>
          </w:p>
        </w:tc>
        <w:tc>
          <w:tcPr>
            <w:tcW w:w="59" w:type="pct"/>
            <w:tcBorders>
              <w:top w:val="nil"/>
              <w:left w:val="nil"/>
              <w:bottom w:val="nil"/>
              <w:right w:val="nil"/>
            </w:tcBorders>
            <w:shd w:val="clear" w:color="000000" w:fill="FFFFFF"/>
            <w:noWrap/>
            <w:vAlign w:val="center"/>
            <w:hideMark/>
          </w:tcPr>
          <w:p w14:paraId="6DFEE9A9" w14:textId="77777777" w:rsidR="005F7B49" w:rsidRPr="005F7B49" w:rsidRDefault="005F7B49" w:rsidP="005F7B49">
            <w:pPr>
              <w:spacing w:before="0" w:after="0" w:line="240" w:lineRule="auto"/>
              <w:rPr>
                <w:rFonts w:ascii="Arial" w:hAnsi="Arial" w:cs="Arial"/>
                <w:color w:val="000000"/>
                <w:sz w:val="16"/>
                <w:szCs w:val="16"/>
              </w:rPr>
            </w:pPr>
            <w:r w:rsidRPr="005F7B49">
              <w:rPr>
                <w:rFonts w:ascii="Arial" w:hAnsi="Arial" w:cs="Arial"/>
                <w:color w:val="000000"/>
                <w:sz w:val="16"/>
                <w:szCs w:val="16"/>
              </w:rPr>
              <w:t> </w:t>
            </w:r>
          </w:p>
        </w:tc>
        <w:tc>
          <w:tcPr>
            <w:tcW w:w="472" w:type="pct"/>
            <w:tcBorders>
              <w:top w:val="nil"/>
              <w:left w:val="nil"/>
              <w:bottom w:val="nil"/>
              <w:right w:val="nil"/>
            </w:tcBorders>
            <w:shd w:val="clear" w:color="000000" w:fill="FFFFFF"/>
            <w:noWrap/>
            <w:vAlign w:val="center"/>
            <w:hideMark/>
          </w:tcPr>
          <w:p w14:paraId="6756F320" w14:textId="77777777" w:rsidR="005F7B49" w:rsidRPr="005F7B49" w:rsidRDefault="005F7B49" w:rsidP="005F7B49">
            <w:pPr>
              <w:spacing w:before="0" w:after="0" w:line="240" w:lineRule="auto"/>
              <w:jc w:val="right"/>
              <w:rPr>
                <w:rFonts w:ascii="Arial" w:hAnsi="Arial" w:cs="Arial"/>
                <w:color w:val="000000"/>
                <w:sz w:val="16"/>
                <w:szCs w:val="16"/>
              </w:rPr>
            </w:pPr>
            <w:r w:rsidRPr="005F7B49">
              <w:rPr>
                <w:rFonts w:ascii="Arial" w:hAnsi="Arial" w:cs="Arial"/>
                <w:color w:val="000000"/>
                <w:sz w:val="16"/>
                <w:szCs w:val="16"/>
              </w:rPr>
              <w:t>18,116</w:t>
            </w:r>
          </w:p>
        </w:tc>
        <w:tc>
          <w:tcPr>
            <w:tcW w:w="472" w:type="pct"/>
            <w:tcBorders>
              <w:top w:val="nil"/>
              <w:left w:val="nil"/>
              <w:bottom w:val="nil"/>
              <w:right w:val="nil"/>
            </w:tcBorders>
            <w:shd w:val="clear" w:color="000000" w:fill="E6F2FF"/>
            <w:noWrap/>
            <w:vAlign w:val="center"/>
            <w:hideMark/>
          </w:tcPr>
          <w:p w14:paraId="0DBA00D9" w14:textId="77777777" w:rsidR="005F7B49" w:rsidRPr="005F7B49" w:rsidRDefault="005F7B49" w:rsidP="005F7B49">
            <w:pPr>
              <w:spacing w:before="0" w:after="0" w:line="240" w:lineRule="auto"/>
              <w:jc w:val="right"/>
              <w:rPr>
                <w:rFonts w:ascii="Arial" w:hAnsi="Arial" w:cs="Arial"/>
                <w:color w:val="000000"/>
                <w:sz w:val="16"/>
                <w:szCs w:val="16"/>
              </w:rPr>
            </w:pPr>
            <w:r w:rsidRPr="005F7B49">
              <w:rPr>
                <w:rFonts w:ascii="Arial" w:hAnsi="Arial" w:cs="Arial"/>
                <w:color w:val="000000"/>
                <w:sz w:val="16"/>
                <w:szCs w:val="16"/>
              </w:rPr>
              <w:t>18,726</w:t>
            </w:r>
          </w:p>
        </w:tc>
        <w:tc>
          <w:tcPr>
            <w:tcW w:w="472" w:type="pct"/>
            <w:tcBorders>
              <w:top w:val="nil"/>
              <w:left w:val="nil"/>
              <w:bottom w:val="nil"/>
              <w:right w:val="nil"/>
            </w:tcBorders>
            <w:shd w:val="clear" w:color="000000" w:fill="FFFFFF"/>
            <w:noWrap/>
            <w:vAlign w:val="center"/>
            <w:hideMark/>
          </w:tcPr>
          <w:p w14:paraId="33BF3FBA" w14:textId="77777777" w:rsidR="005F7B49" w:rsidRPr="005F7B49" w:rsidRDefault="005F7B49" w:rsidP="005F7B49">
            <w:pPr>
              <w:spacing w:before="0" w:after="0" w:line="240" w:lineRule="auto"/>
              <w:jc w:val="right"/>
              <w:rPr>
                <w:rFonts w:ascii="Arial" w:hAnsi="Arial" w:cs="Arial"/>
                <w:color w:val="000000"/>
                <w:sz w:val="16"/>
                <w:szCs w:val="16"/>
              </w:rPr>
            </w:pPr>
            <w:r w:rsidRPr="005F7B49">
              <w:rPr>
                <w:rFonts w:ascii="Arial" w:hAnsi="Arial" w:cs="Arial"/>
                <w:color w:val="000000"/>
                <w:sz w:val="16"/>
                <w:szCs w:val="16"/>
              </w:rPr>
              <w:t>19,497</w:t>
            </w:r>
          </w:p>
        </w:tc>
        <w:tc>
          <w:tcPr>
            <w:tcW w:w="472" w:type="pct"/>
            <w:tcBorders>
              <w:top w:val="nil"/>
              <w:left w:val="nil"/>
              <w:bottom w:val="nil"/>
              <w:right w:val="nil"/>
            </w:tcBorders>
            <w:shd w:val="clear" w:color="000000" w:fill="FFFFFF"/>
            <w:noWrap/>
            <w:vAlign w:val="center"/>
            <w:hideMark/>
          </w:tcPr>
          <w:p w14:paraId="4AFC9391" w14:textId="77777777" w:rsidR="005F7B49" w:rsidRPr="005F7B49" w:rsidRDefault="005F7B49" w:rsidP="005F7B49">
            <w:pPr>
              <w:spacing w:before="0" w:after="0" w:line="240" w:lineRule="auto"/>
              <w:jc w:val="right"/>
              <w:rPr>
                <w:rFonts w:ascii="Arial" w:hAnsi="Arial" w:cs="Arial"/>
                <w:color w:val="000000"/>
                <w:sz w:val="16"/>
                <w:szCs w:val="16"/>
              </w:rPr>
            </w:pPr>
            <w:r w:rsidRPr="005F7B49">
              <w:rPr>
                <w:rFonts w:ascii="Arial" w:hAnsi="Arial" w:cs="Arial"/>
                <w:color w:val="000000"/>
                <w:sz w:val="16"/>
                <w:szCs w:val="16"/>
              </w:rPr>
              <w:t>20,275</w:t>
            </w:r>
          </w:p>
        </w:tc>
        <w:tc>
          <w:tcPr>
            <w:tcW w:w="472" w:type="pct"/>
            <w:tcBorders>
              <w:top w:val="nil"/>
              <w:left w:val="nil"/>
              <w:bottom w:val="nil"/>
              <w:right w:val="nil"/>
            </w:tcBorders>
            <w:shd w:val="clear" w:color="000000" w:fill="FFFFFF"/>
            <w:noWrap/>
            <w:vAlign w:val="center"/>
            <w:hideMark/>
          </w:tcPr>
          <w:p w14:paraId="56B60913" w14:textId="77777777" w:rsidR="005F7B49" w:rsidRPr="005F7B49" w:rsidRDefault="005F7B49" w:rsidP="005F7B49">
            <w:pPr>
              <w:spacing w:before="0" w:after="0" w:line="240" w:lineRule="auto"/>
              <w:jc w:val="right"/>
              <w:rPr>
                <w:rFonts w:ascii="Arial" w:hAnsi="Arial" w:cs="Arial"/>
                <w:color w:val="000000"/>
                <w:sz w:val="16"/>
                <w:szCs w:val="16"/>
              </w:rPr>
            </w:pPr>
            <w:r w:rsidRPr="005F7B49">
              <w:rPr>
                <w:rFonts w:ascii="Arial" w:hAnsi="Arial" w:cs="Arial"/>
                <w:color w:val="000000"/>
                <w:sz w:val="16"/>
                <w:szCs w:val="16"/>
              </w:rPr>
              <w:t>21,051</w:t>
            </w:r>
          </w:p>
        </w:tc>
      </w:tr>
      <w:tr w:rsidR="005F7B49" w:rsidRPr="005F7B49" w14:paraId="1314BE73" w14:textId="77777777" w:rsidTr="005F7B49">
        <w:trPr>
          <w:trHeight w:hRule="exact" w:val="226"/>
        </w:trPr>
        <w:tc>
          <w:tcPr>
            <w:tcW w:w="1873" w:type="pct"/>
            <w:tcBorders>
              <w:top w:val="nil"/>
              <w:left w:val="nil"/>
              <w:bottom w:val="nil"/>
              <w:right w:val="nil"/>
            </w:tcBorders>
            <w:shd w:val="clear" w:color="000000" w:fill="FFFFFF"/>
            <w:noWrap/>
            <w:vAlign w:val="center"/>
            <w:hideMark/>
          </w:tcPr>
          <w:p w14:paraId="78AC59B9" w14:textId="77777777" w:rsidR="005F7B49" w:rsidRPr="005F7B49" w:rsidRDefault="005F7B49" w:rsidP="005F7B49">
            <w:pPr>
              <w:spacing w:before="0" w:after="0" w:line="240" w:lineRule="auto"/>
              <w:rPr>
                <w:rFonts w:ascii="Arial" w:hAnsi="Arial" w:cs="Arial"/>
                <w:color w:val="000000"/>
                <w:sz w:val="16"/>
                <w:szCs w:val="16"/>
              </w:rPr>
            </w:pPr>
            <w:r w:rsidRPr="005F7B49">
              <w:rPr>
                <w:rFonts w:ascii="Arial" w:hAnsi="Arial" w:cs="Arial"/>
                <w:color w:val="000000"/>
                <w:sz w:val="16"/>
                <w:szCs w:val="16"/>
              </w:rPr>
              <w:t>Support for Families</w:t>
            </w:r>
          </w:p>
        </w:tc>
        <w:tc>
          <w:tcPr>
            <w:tcW w:w="711" w:type="pct"/>
            <w:tcBorders>
              <w:top w:val="nil"/>
              <w:left w:val="nil"/>
              <w:bottom w:val="nil"/>
              <w:right w:val="nil"/>
            </w:tcBorders>
            <w:shd w:val="clear" w:color="000000" w:fill="FFFFFF"/>
            <w:noWrap/>
            <w:vAlign w:val="center"/>
            <w:hideMark/>
          </w:tcPr>
          <w:p w14:paraId="06FAF9E2" w14:textId="77777777" w:rsidR="005F7B49" w:rsidRPr="005F7B49" w:rsidRDefault="005F7B49" w:rsidP="005F7B49">
            <w:pPr>
              <w:spacing w:before="0" w:after="0" w:line="240" w:lineRule="auto"/>
              <w:rPr>
                <w:rFonts w:ascii="Arial" w:hAnsi="Arial" w:cs="Arial"/>
                <w:color w:val="000000"/>
                <w:sz w:val="16"/>
                <w:szCs w:val="16"/>
              </w:rPr>
            </w:pPr>
            <w:r w:rsidRPr="005F7B49">
              <w:rPr>
                <w:rFonts w:ascii="Arial" w:hAnsi="Arial" w:cs="Arial"/>
                <w:color w:val="000000"/>
                <w:sz w:val="16"/>
                <w:szCs w:val="16"/>
              </w:rPr>
              <w:t>SSW</w:t>
            </w:r>
          </w:p>
        </w:tc>
        <w:tc>
          <w:tcPr>
            <w:tcW w:w="59" w:type="pct"/>
            <w:tcBorders>
              <w:top w:val="nil"/>
              <w:left w:val="nil"/>
              <w:bottom w:val="nil"/>
              <w:right w:val="nil"/>
            </w:tcBorders>
            <w:shd w:val="clear" w:color="000000" w:fill="FFFFFF"/>
            <w:noWrap/>
            <w:vAlign w:val="center"/>
            <w:hideMark/>
          </w:tcPr>
          <w:p w14:paraId="65510753" w14:textId="77777777" w:rsidR="005F7B49" w:rsidRPr="005F7B49" w:rsidRDefault="005F7B49" w:rsidP="005F7B49">
            <w:pPr>
              <w:spacing w:before="0" w:after="0" w:line="240" w:lineRule="auto"/>
              <w:rPr>
                <w:rFonts w:ascii="Arial" w:hAnsi="Arial" w:cs="Arial"/>
                <w:color w:val="000000"/>
                <w:sz w:val="16"/>
                <w:szCs w:val="16"/>
              </w:rPr>
            </w:pPr>
            <w:r w:rsidRPr="005F7B49">
              <w:rPr>
                <w:rFonts w:ascii="Arial" w:hAnsi="Arial" w:cs="Arial"/>
                <w:color w:val="000000"/>
                <w:sz w:val="16"/>
                <w:szCs w:val="16"/>
              </w:rPr>
              <w:t> </w:t>
            </w:r>
          </w:p>
        </w:tc>
        <w:tc>
          <w:tcPr>
            <w:tcW w:w="472" w:type="pct"/>
            <w:tcBorders>
              <w:top w:val="nil"/>
              <w:left w:val="nil"/>
              <w:bottom w:val="nil"/>
              <w:right w:val="nil"/>
            </w:tcBorders>
            <w:shd w:val="clear" w:color="000000" w:fill="FFFFFF"/>
            <w:noWrap/>
            <w:vAlign w:val="center"/>
            <w:hideMark/>
          </w:tcPr>
          <w:p w14:paraId="7092EC24" w14:textId="77777777" w:rsidR="005F7B49" w:rsidRPr="005F7B49" w:rsidRDefault="005F7B49" w:rsidP="005F7B49">
            <w:pPr>
              <w:spacing w:before="0" w:after="0" w:line="240" w:lineRule="auto"/>
              <w:jc w:val="right"/>
              <w:rPr>
                <w:rFonts w:ascii="Arial" w:hAnsi="Arial" w:cs="Arial"/>
                <w:color w:val="000000"/>
                <w:sz w:val="16"/>
                <w:szCs w:val="16"/>
              </w:rPr>
            </w:pPr>
            <w:r w:rsidRPr="005F7B49">
              <w:rPr>
                <w:rFonts w:ascii="Arial" w:hAnsi="Arial" w:cs="Arial"/>
                <w:color w:val="000000"/>
                <w:sz w:val="16"/>
                <w:szCs w:val="16"/>
              </w:rPr>
              <w:t>16,869</w:t>
            </w:r>
          </w:p>
        </w:tc>
        <w:tc>
          <w:tcPr>
            <w:tcW w:w="472" w:type="pct"/>
            <w:tcBorders>
              <w:top w:val="nil"/>
              <w:left w:val="nil"/>
              <w:bottom w:val="nil"/>
              <w:right w:val="nil"/>
            </w:tcBorders>
            <w:shd w:val="clear" w:color="000000" w:fill="E6F2FF"/>
            <w:noWrap/>
            <w:vAlign w:val="center"/>
            <w:hideMark/>
          </w:tcPr>
          <w:p w14:paraId="4F7A1DFC" w14:textId="77777777" w:rsidR="005F7B49" w:rsidRPr="005F7B49" w:rsidRDefault="005F7B49" w:rsidP="005F7B49">
            <w:pPr>
              <w:spacing w:before="0" w:after="0" w:line="240" w:lineRule="auto"/>
              <w:jc w:val="right"/>
              <w:rPr>
                <w:rFonts w:ascii="Arial" w:hAnsi="Arial" w:cs="Arial"/>
                <w:color w:val="000000"/>
                <w:sz w:val="16"/>
                <w:szCs w:val="16"/>
              </w:rPr>
            </w:pPr>
            <w:r w:rsidRPr="005F7B49">
              <w:rPr>
                <w:rFonts w:ascii="Arial" w:hAnsi="Arial" w:cs="Arial"/>
                <w:color w:val="000000"/>
                <w:sz w:val="16"/>
                <w:szCs w:val="16"/>
              </w:rPr>
              <w:t>17,599</w:t>
            </w:r>
          </w:p>
        </w:tc>
        <w:tc>
          <w:tcPr>
            <w:tcW w:w="472" w:type="pct"/>
            <w:tcBorders>
              <w:top w:val="nil"/>
              <w:left w:val="nil"/>
              <w:bottom w:val="nil"/>
              <w:right w:val="nil"/>
            </w:tcBorders>
            <w:shd w:val="clear" w:color="000000" w:fill="FFFFFF"/>
            <w:noWrap/>
            <w:vAlign w:val="center"/>
            <w:hideMark/>
          </w:tcPr>
          <w:p w14:paraId="1ADD1E99" w14:textId="77777777" w:rsidR="005F7B49" w:rsidRPr="005F7B49" w:rsidRDefault="005F7B49" w:rsidP="005F7B49">
            <w:pPr>
              <w:spacing w:before="0" w:after="0" w:line="240" w:lineRule="auto"/>
              <w:jc w:val="right"/>
              <w:rPr>
                <w:rFonts w:ascii="Arial" w:hAnsi="Arial" w:cs="Arial"/>
                <w:color w:val="000000"/>
                <w:sz w:val="16"/>
                <w:szCs w:val="16"/>
              </w:rPr>
            </w:pPr>
            <w:r w:rsidRPr="005F7B49">
              <w:rPr>
                <w:rFonts w:ascii="Arial" w:hAnsi="Arial" w:cs="Arial"/>
                <w:color w:val="000000"/>
                <w:sz w:val="16"/>
                <w:szCs w:val="16"/>
              </w:rPr>
              <w:t>17,956</w:t>
            </w:r>
          </w:p>
        </w:tc>
        <w:tc>
          <w:tcPr>
            <w:tcW w:w="472" w:type="pct"/>
            <w:tcBorders>
              <w:top w:val="nil"/>
              <w:left w:val="nil"/>
              <w:bottom w:val="nil"/>
              <w:right w:val="nil"/>
            </w:tcBorders>
            <w:shd w:val="clear" w:color="000000" w:fill="FFFFFF"/>
            <w:noWrap/>
            <w:vAlign w:val="center"/>
            <w:hideMark/>
          </w:tcPr>
          <w:p w14:paraId="2FEB8316" w14:textId="77777777" w:rsidR="005F7B49" w:rsidRPr="005F7B49" w:rsidRDefault="005F7B49" w:rsidP="005F7B49">
            <w:pPr>
              <w:spacing w:before="0" w:after="0" w:line="240" w:lineRule="auto"/>
              <w:jc w:val="right"/>
              <w:rPr>
                <w:rFonts w:ascii="Arial" w:hAnsi="Arial" w:cs="Arial"/>
                <w:color w:val="000000"/>
                <w:sz w:val="16"/>
                <w:szCs w:val="16"/>
              </w:rPr>
            </w:pPr>
            <w:r w:rsidRPr="005F7B49">
              <w:rPr>
                <w:rFonts w:ascii="Arial" w:hAnsi="Arial" w:cs="Arial"/>
                <w:color w:val="000000"/>
                <w:sz w:val="16"/>
                <w:szCs w:val="16"/>
              </w:rPr>
              <w:t>18,361</w:t>
            </w:r>
          </w:p>
        </w:tc>
        <w:tc>
          <w:tcPr>
            <w:tcW w:w="472" w:type="pct"/>
            <w:tcBorders>
              <w:top w:val="nil"/>
              <w:left w:val="nil"/>
              <w:bottom w:val="nil"/>
              <w:right w:val="nil"/>
            </w:tcBorders>
            <w:shd w:val="clear" w:color="000000" w:fill="FFFFFF"/>
            <w:noWrap/>
            <w:vAlign w:val="center"/>
            <w:hideMark/>
          </w:tcPr>
          <w:p w14:paraId="7910C2F9" w14:textId="77777777" w:rsidR="005F7B49" w:rsidRPr="005F7B49" w:rsidRDefault="005F7B49" w:rsidP="005F7B49">
            <w:pPr>
              <w:spacing w:before="0" w:after="0" w:line="240" w:lineRule="auto"/>
              <w:jc w:val="right"/>
              <w:rPr>
                <w:rFonts w:ascii="Arial" w:hAnsi="Arial" w:cs="Arial"/>
                <w:color w:val="000000"/>
                <w:sz w:val="16"/>
                <w:szCs w:val="16"/>
              </w:rPr>
            </w:pPr>
            <w:r w:rsidRPr="005F7B49">
              <w:rPr>
                <w:rFonts w:ascii="Arial" w:hAnsi="Arial" w:cs="Arial"/>
                <w:color w:val="000000"/>
                <w:sz w:val="16"/>
                <w:szCs w:val="16"/>
              </w:rPr>
              <w:t>18,549</w:t>
            </w:r>
          </w:p>
        </w:tc>
      </w:tr>
      <w:tr w:rsidR="005F7B49" w:rsidRPr="005F7B49" w14:paraId="2015726E" w14:textId="77777777" w:rsidTr="005F7B49">
        <w:trPr>
          <w:trHeight w:hRule="exact" w:val="226"/>
        </w:trPr>
        <w:tc>
          <w:tcPr>
            <w:tcW w:w="1873" w:type="pct"/>
            <w:tcBorders>
              <w:top w:val="nil"/>
              <w:left w:val="nil"/>
              <w:bottom w:val="nil"/>
              <w:right w:val="nil"/>
            </w:tcBorders>
            <w:shd w:val="clear" w:color="000000" w:fill="FFFFFF"/>
            <w:noWrap/>
            <w:vAlign w:val="center"/>
            <w:hideMark/>
          </w:tcPr>
          <w:p w14:paraId="1DDAFC26" w14:textId="77777777" w:rsidR="005F7B49" w:rsidRPr="005F7B49" w:rsidRDefault="005F7B49" w:rsidP="005F7B49">
            <w:pPr>
              <w:spacing w:before="0" w:after="0" w:line="240" w:lineRule="auto"/>
              <w:rPr>
                <w:rFonts w:ascii="Arial" w:hAnsi="Arial" w:cs="Arial"/>
                <w:color w:val="000000"/>
                <w:sz w:val="16"/>
                <w:szCs w:val="16"/>
              </w:rPr>
            </w:pPr>
            <w:r w:rsidRPr="005F7B49">
              <w:rPr>
                <w:rFonts w:ascii="Arial" w:hAnsi="Arial" w:cs="Arial"/>
                <w:color w:val="000000"/>
                <w:sz w:val="16"/>
                <w:szCs w:val="16"/>
              </w:rPr>
              <w:t>Job Seeker Income Support</w:t>
            </w:r>
          </w:p>
        </w:tc>
        <w:tc>
          <w:tcPr>
            <w:tcW w:w="711" w:type="pct"/>
            <w:tcBorders>
              <w:top w:val="nil"/>
              <w:left w:val="nil"/>
              <w:bottom w:val="nil"/>
              <w:right w:val="nil"/>
            </w:tcBorders>
            <w:shd w:val="clear" w:color="000000" w:fill="FFFFFF"/>
            <w:noWrap/>
            <w:vAlign w:val="center"/>
            <w:hideMark/>
          </w:tcPr>
          <w:p w14:paraId="75080462" w14:textId="77777777" w:rsidR="005F7B49" w:rsidRPr="005F7B49" w:rsidRDefault="005F7B49" w:rsidP="005F7B49">
            <w:pPr>
              <w:spacing w:before="0" w:after="0" w:line="240" w:lineRule="auto"/>
              <w:rPr>
                <w:rFonts w:ascii="Arial" w:hAnsi="Arial" w:cs="Arial"/>
                <w:color w:val="000000"/>
                <w:sz w:val="16"/>
                <w:szCs w:val="16"/>
              </w:rPr>
            </w:pPr>
            <w:r w:rsidRPr="005F7B49">
              <w:rPr>
                <w:rFonts w:ascii="Arial" w:hAnsi="Arial" w:cs="Arial"/>
                <w:color w:val="000000"/>
                <w:sz w:val="16"/>
                <w:szCs w:val="16"/>
              </w:rPr>
              <w:t>SSW</w:t>
            </w:r>
          </w:p>
        </w:tc>
        <w:tc>
          <w:tcPr>
            <w:tcW w:w="59" w:type="pct"/>
            <w:tcBorders>
              <w:top w:val="nil"/>
              <w:left w:val="nil"/>
              <w:bottom w:val="nil"/>
              <w:right w:val="nil"/>
            </w:tcBorders>
            <w:shd w:val="clear" w:color="000000" w:fill="FFFFFF"/>
            <w:noWrap/>
            <w:vAlign w:val="center"/>
            <w:hideMark/>
          </w:tcPr>
          <w:p w14:paraId="4F9D27D9" w14:textId="77777777" w:rsidR="005F7B49" w:rsidRPr="005F7B49" w:rsidRDefault="005F7B49" w:rsidP="005F7B49">
            <w:pPr>
              <w:spacing w:before="0" w:after="0" w:line="240" w:lineRule="auto"/>
              <w:rPr>
                <w:rFonts w:ascii="Arial" w:hAnsi="Arial" w:cs="Arial"/>
                <w:color w:val="000000"/>
                <w:sz w:val="16"/>
                <w:szCs w:val="16"/>
              </w:rPr>
            </w:pPr>
            <w:r w:rsidRPr="005F7B49">
              <w:rPr>
                <w:rFonts w:ascii="Arial" w:hAnsi="Arial" w:cs="Arial"/>
                <w:color w:val="000000"/>
                <w:sz w:val="16"/>
                <w:szCs w:val="16"/>
              </w:rPr>
              <w:t> </w:t>
            </w:r>
          </w:p>
        </w:tc>
        <w:tc>
          <w:tcPr>
            <w:tcW w:w="472" w:type="pct"/>
            <w:tcBorders>
              <w:top w:val="nil"/>
              <w:left w:val="nil"/>
              <w:bottom w:val="nil"/>
              <w:right w:val="nil"/>
            </w:tcBorders>
            <w:shd w:val="clear" w:color="000000" w:fill="FFFFFF"/>
            <w:noWrap/>
            <w:vAlign w:val="center"/>
            <w:hideMark/>
          </w:tcPr>
          <w:p w14:paraId="5B0EA099" w14:textId="77777777" w:rsidR="005F7B49" w:rsidRPr="005F7B49" w:rsidRDefault="005F7B49" w:rsidP="005F7B49">
            <w:pPr>
              <w:spacing w:before="0" w:after="0" w:line="240" w:lineRule="auto"/>
              <w:jc w:val="right"/>
              <w:rPr>
                <w:rFonts w:ascii="Arial" w:hAnsi="Arial" w:cs="Arial"/>
                <w:color w:val="000000"/>
                <w:sz w:val="16"/>
                <w:szCs w:val="16"/>
              </w:rPr>
            </w:pPr>
            <w:r w:rsidRPr="005F7B49">
              <w:rPr>
                <w:rFonts w:ascii="Arial" w:hAnsi="Arial" w:cs="Arial"/>
                <w:color w:val="000000"/>
                <w:sz w:val="16"/>
                <w:szCs w:val="16"/>
              </w:rPr>
              <w:t>14,845</w:t>
            </w:r>
          </w:p>
        </w:tc>
        <w:tc>
          <w:tcPr>
            <w:tcW w:w="472" w:type="pct"/>
            <w:tcBorders>
              <w:top w:val="nil"/>
              <w:left w:val="nil"/>
              <w:bottom w:val="nil"/>
              <w:right w:val="nil"/>
            </w:tcBorders>
            <w:shd w:val="clear" w:color="000000" w:fill="E6F2FF"/>
            <w:noWrap/>
            <w:vAlign w:val="center"/>
            <w:hideMark/>
          </w:tcPr>
          <w:p w14:paraId="5B33F595" w14:textId="77777777" w:rsidR="005F7B49" w:rsidRPr="005F7B49" w:rsidRDefault="005F7B49" w:rsidP="005F7B49">
            <w:pPr>
              <w:spacing w:before="0" w:after="0" w:line="240" w:lineRule="auto"/>
              <w:jc w:val="right"/>
              <w:rPr>
                <w:rFonts w:ascii="Arial" w:hAnsi="Arial" w:cs="Arial"/>
                <w:color w:val="000000"/>
                <w:sz w:val="16"/>
                <w:szCs w:val="16"/>
              </w:rPr>
            </w:pPr>
            <w:r w:rsidRPr="005F7B49">
              <w:rPr>
                <w:rFonts w:ascii="Arial" w:hAnsi="Arial" w:cs="Arial"/>
                <w:color w:val="000000"/>
                <w:sz w:val="16"/>
                <w:szCs w:val="16"/>
              </w:rPr>
              <w:t>16,286</w:t>
            </w:r>
          </w:p>
        </w:tc>
        <w:tc>
          <w:tcPr>
            <w:tcW w:w="472" w:type="pct"/>
            <w:tcBorders>
              <w:top w:val="nil"/>
              <w:left w:val="nil"/>
              <w:bottom w:val="nil"/>
              <w:right w:val="nil"/>
            </w:tcBorders>
            <w:shd w:val="clear" w:color="000000" w:fill="FFFFFF"/>
            <w:noWrap/>
            <w:vAlign w:val="center"/>
            <w:hideMark/>
          </w:tcPr>
          <w:p w14:paraId="73613376" w14:textId="77777777" w:rsidR="005F7B49" w:rsidRPr="005F7B49" w:rsidRDefault="005F7B49" w:rsidP="005F7B49">
            <w:pPr>
              <w:spacing w:before="0" w:after="0" w:line="240" w:lineRule="auto"/>
              <w:jc w:val="right"/>
              <w:rPr>
                <w:rFonts w:ascii="Arial" w:hAnsi="Arial" w:cs="Arial"/>
                <w:color w:val="000000"/>
                <w:sz w:val="16"/>
                <w:szCs w:val="16"/>
              </w:rPr>
            </w:pPr>
            <w:r w:rsidRPr="005F7B49">
              <w:rPr>
                <w:rFonts w:ascii="Arial" w:hAnsi="Arial" w:cs="Arial"/>
                <w:color w:val="000000"/>
                <w:sz w:val="16"/>
                <w:szCs w:val="16"/>
              </w:rPr>
              <w:t>16,777</w:t>
            </w:r>
          </w:p>
        </w:tc>
        <w:tc>
          <w:tcPr>
            <w:tcW w:w="472" w:type="pct"/>
            <w:tcBorders>
              <w:top w:val="nil"/>
              <w:left w:val="nil"/>
              <w:bottom w:val="nil"/>
              <w:right w:val="nil"/>
            </w:tcBorders>
            <w:shd w:val="clear" w:color="000000" w:fill="FFFFFF"/>
            <w:noWrap/>
            <w:vAlign w:val="center"/>
            <w:hideMark/>
          </w:tcPr>
          <w:p w14:paraId="73002A01" w14:textId="77777777" w:rsidR="005F7B49" w:rsidRPr="005F7B49" w:rsidRDefault="005F7B49" w:rsidP="005F7B49">
            <w:pPr>
              <w:spacing w:before="0" w:after="0" w:line="240" w:lineRule="auto"/>
              <w:jc w:val="right"/>
              <w:rPr>
                <w:rFonts w:ascii="Arial" w:hAnsi="Arial" w:cs="Arial"/>
                <w:color w:val="000000"/>
                <w:sz w:val="16"/>
                <w:szCs w:val="16"/>
              </w:rPr>
            </w:pPr>
            <w:r w:rsidRPr="005F7B49">
              <w:rPr>
                <w:rFonts w:ascii="Arial" w:hAnsi="Arial" w:cs="Arial"/>
                <w:color w:val="000000"/>
                <w:sz w:val="16"/>
                <w:szCs w:val="16"/>
              </w:rPr>
              <w:t>16,965</w:t>
            </w:r>
          </w:p>
        </w:tc>
        <w:tc>
          <w:tcPr>
            <w:tcW w:w="472" w:type="pct"/>
            <w:tcBorders>
              <w:top w:val="nil"/>
              <w:left w:val="nil"/>
              <w:bottom w:val="nil"/>
              <w:right w:val="nil"/>
            </w:tcBorders>
            <w:shd w:val="clear" w:color="000000" w:fill="FFFFFF"/>
            <w:noWrap/>
            <w:vAlign w:val="center"/>
            <w:hideMark/>
          </w:tcPr>
          <w:p w14:paraId="6858572E" w14:textId="77777777" w:rsidR="005F7B49" w:rsidRPr="005F7B49" w:rsidRDefault="005F7B49" w:rsidP="005F7B49">
            <w:pPr>
              <w:spacing w:before="0" w:after="0" w:line="240" w:lineRule="auto"/>
              <w:jc w:val="right"/>
              <w:rPr>
                <w:rFonts w:ascii="Arial" w:hAnsi="Arial" w:cs="Arial"/>
                <w:color w:val="000000"/>
                <w:sz w:val="16"/>
                <w:szCs w:val="16"/>
              </w:rPr>
            </w:pPr>
            <w:r w:rsidRPr="005F7B49">
              <w:rPr>
                <w:rFonts w:ascii="Arial" w:hAnsi="Arial" w:cs="Arial"/>
                <w:color w:val="000000"/>
                <w:sz w:val="16"/>
                <w:szCs w:val="16"/>
              </w:rPr>
              <w:t>16,535</w:t>
            </w:r>
          </w:p>
        </w:tc>
      </w:tr>
      <w:tr w:rsidR="005F7B49" w:rsidRPr="005F7B49" w14:paraId="69A7B483" w14:textId="77777777" w:rsidTr="005F7B49">
        <w:trPr>
          <w:trHeight w:hRule="exact" w:val="226"/>
        </w:trPr>
        <w:tc>
          <w:tcPr>
            <w:tcW w:w="1873" w:type="pct"/>
            <w:tcBorders>
              <w:top w:val="nil"/>
              <w:left w:val="nil"/>
              <w:bottom w:val="nil"/>
              <w:right w:val="nil"/>
            </w:tcBorders>
            <w:shd w:val="clear" w:color="000000" w:fill="FFFFFF"/>
            <w:noWrap/>
            <w:vAlign w:val="center"/>
            <w:hideMark/>
          </w:tcPr>
          <w:p w14:paraId="71D39CF5" w14:textId="77777777" w:rsidR="005F7B49" w:rsidRPr="005F7B49" w:rsidRDefault="005F7B49" w:rsidP="005F7B49">
            <w:pPr>
              <w:spacing w:before="0" w:after="0" w:line="240" w:lineRule="auto"/>
              <w:rPr>
                <w:rFonts w:ascii="Arial" w:hAnsi="Arial" w:cs="Arial"/>
                <w:color w:val="000000"/>
                <w:sz w:val="16"/>
                <w:szCs w:val="16"/>
              </w:rPr>
            </w:pPr>
            <w:r w:rsidRPr="005F7B49">
              <w:rPr>
                <w:rFonts w:ascii="Arial" w:hAnsi="Arial" w:cs="Arial"/>
                <w:color w:val="000000"/>
                <w:sz w:val="16"/>
                <w:szCs w:val="16"/>
              </w:rPr>
              <w:t>Child Care Subsidy</w:t>
            </w:r>
          </w:p>
        </w:tc>
        <w:tc>
          <w:tcPr>
            <w:tcW w:w="711" w:type="pct"/>
            <w:tcBorders>
              <w:top w:val="nil"/>
              <w:left w:val="nil"/>
              <w:bottom w:val="nil"/>
              <w:right w:val="nil"/>
            </w:tcBorders>
            <w:shd w:val="clear" w:color="000000" w:fill="FFFFFF"/>
            <w:noWrap/>
            <w:vAlign w:val="center"/>
            <w:hideMark/>
          </w:tcPr>
          <w:p w14:paraId="5E394948" w14:textId="77777777" w:rsidR="005F7B49" w:rsidRPr="005F7B49" w:rsidRDefault="005F7B49" w:rsidP="005F7B49">
            <w:pPr>
              <w:spacing w:before="0" w:after="0" w:line="240" w:lineRule="auto"/>
              <w:rPr>
                <w:rFonts w:ascii="Arial" w:hAnsi="Arial" w:cs="Arial"/>
                <w:color w:val="000000"/>
                <w:sz w:val="16"/>
                <w:szCs w:val="16"/>
              </w:rPr>
            </w:pPr>
            <w:r w:rsidRPr="005F7B49">
              <w:rPr>
                <w:rFonts w:ascii="Arial" w:hAnsi="Arial" w:cs="Arial"/>
                <w:color w:val="000000"/>
                <w:sz w:val="16"/>
                <w:szCs w:val="16"/>
              </w:rPr>
              <w:t>SSW</w:t>
            </w:r>
          </w:p>
        </w:tc>
        <w:tc>
          <w:tcPr>
            <w:tcW w:w="59" w:type="pct"/>
            <w:tcBorders>
              <w:top w:val="nil"/>
              <w:left w:val="nil"/>
              <w:bottom w:val="nil"/>
              <w:right w:val="nil"/>
            </w:tcBorders>
            <w:shd w:val="clear" w:color="000000" w:fill="FFFFFF"/>
            <w:noWrap/>
            <w:vAlign w:val="center"/>
            <w:hideMark/>
          </w:tcPr>
          <w:p w14:paraId="56BD26BF" w14:textId="77777777" w:rsidR="005F7B49" w:rsidRPr="005F7B49" w:rsidRDefault="005F7B49" w:rsidP="005F7B49">
            <w:pPr>
              <w:spacing w:before="0" w:after="0" w:line="240" w:lineRule="auto"/>
              <w:rPr>
                <w:rFonts w:ascii="Arial" w:hAnsi="Arial" w:cs="Arial"/>
                <w:color w:val="000000"/>
                <w:sz w:val="16"/>
                <w:szCs w:val="16"/>
              </w:rPr>
            </w:pPr>
            <w:r w:rsidRPr="005F7B49">
              <w:rPr>
                <w:rFonts w:ascii="Arial" w:hAnsi="Arial" w:cs="Arial"/>
                <w:color w:val="000000"/>
                <w:sz w:val="16"/>
                <w:szCs w:val="16"/>
              </w:rPr>
              <w:t> </w:t>
            </w:r>
          </w:p>
        </w:tc>
        <w:tc>
          <w:tcPr>
            <w:tcW w:w="472" w:type="pct"/>
            <w:tcBorders>
              <w:top w:val="nil"/>
              <w:left w:val="nil"/>
              <w:bottom w:val="nil"/>
              <w:right w:val="nil"/>
            </w:tcBorders>
            <w:shd w:val="clear" w:color="000000" w:fill="FFFFFF"/>
            <w:noWrap/>
            <w:vAlign w:val="center"/>
            <w:hideMark/>
          </w:tcPr>
          <w:p w14:paraId="31845431" w14:textId="77777777" w:rsidR="005F7B49" w:rsidRPr="005F7B49" w:rsidRDefault="005F7B49" w:rsidP="005F7B49">
            <w:pPr>
              <w:spacing w:before="0" w:after="0" w:line="240" w:lineRule="auto"/>
              <w:jc w:val="right"/>
              <w:rPr>
                <w:rFonts w:ascii="Arial" w:hAnsi="Arial" w:cs="Arial"/>
                <w:color w:val="000000"/>
                <w:sz w:val="16"/>
                <w:szCs w:val="16"/>
              </w:rPr>
            </w:pPr>
            <w:r w:rsidRPr="005F7B49">
              <w:rPr>
                <w:rFonts w:ascii="Arial" w:hAnsi="Arial" w:cs="Arial"/>
                <w:color w:val="000000"/>
                <w:sz w:val="16"/>
                <w:szCs w:val="16"/>
              </w:rPr>
              <w:t>13,738</w:t>
            </w:r>
          </w:p>
        </w:tc>
        <w:tc>
          <w:tcPr>
            <w:tcW w:w="472" w:type="pct"/>
            <w:tcBorders>
              <w:top w:val="nil"/>
              <w:left w:val="nil"/>
              <w:bottom w:val="nil"/>
              <w:right w:val="nil"/>
            </w:tcBorders>
            <w:shd w:val="clear" w:color="000000" w:fill="E6F2FF"/>
            <w:noWrap/>
            <w:vAlign w:val="center"/>
            <w:hideMark/>
          </w:tcPr>
          <w:p w14:paraId="3C9E975F" w14:textId="77777777" w:rsidR="005F7B49" w:rsidRPr="005F7B49" w:rsidRDefault="005F7B49" w:rsidP="005F7B49">
            <w:pPr>
              <w:spacing w:before="0" w:after="0" w:line="240" w:lineRule="auto"/>
              <w:jc w:val="right"/>
              <w:rPr>
                <w:rFonts w:ascii="Arial" w:hAnsi="Arial" w:cs="Arial"/>
                <w:color w:val="000000"/>
                <w:sz w:val="16"/>
                <w:szCs w:val="16"/>
              </w:rPr>
            </w:pPr>
            <w:r w:rsidRPr="005F7B49">
              <w:rPr>
                <w:rFonts w:ascii="Arial" w:hAnsi="Arial" w:cs="Arial"/>
                <w:color w:val="000000"/>
                <w:sz w:val="16"/>
                <w:szCs w:val="16"/>
              </w:rPr>
              <w:t>14,444</w:t>
            </w:r>
          </w:p>
        </w:tc>
        <w:tc>
          <w:tcPr>
            <w:tcW w:w="472" w:type="pct"/>
            <w:tcBorders>
              <w:top w:val="nil"/>
              <w:left w:val="nil"/>
              <w:bottom w:val="nil"/>
              <w:right w:val="nil"/>
            </w:tcBorders>
            <w:shd w:val="clear" w:color="000000" w:fill="FFFFFF"/>
            <w:noWrap/>
            <w:vAlign w:val="center"/>
            <w:hideMark/>
          </w:tcPr>
          <w:p w14:paraId="2B21DA80" w14:textId="77777777" w:rsidR="005F7B49" w:rsidRPr="005F7B49" w:rsidRDefault="005F7B49" w:rsidP="005F7B49">
            <w:pPr>
              <w:spacing w:before="0" w:after="0" w:line="240" w:lineRule="auto"/>
              <w:jc w:val="right"/>
              <w:rPr>
                <w:rFonts w:ascii="Arial" w:hAnsi="Arial" w:cs="Arial"/>
                <w:color w:val="000000"/>
                <w:sz w:val="16"/>
                <w:szCs w:val="16"/>
              </w:rPr>
            </w:pPr>
            <w:r w:rsidRPr="005F7B49">
              <w:rPr>
                <w:rFonts w:ascii="Arial" w:hAnsi="Arial" w:cs="Arial"/>
                <w:color w:val="000000"/>
                <w:sz w:val="16"/>
                <w:szCs w:val="16"/>
              </w:rPr>
              <w:t>15,262</w:t>
            </w:r>
          </w:p>
        </w:tc>
        <w:tc>
          <w:tcPr>
            <w:tcW w:w="472" w:type="pct"/>
            <w:tcBorders>
              <w:top w:val="nil"/>
              <w:left w:val="nil"/>
              <w:bottom w:val="nil"/>
              <w:right w:val="nil"/>
            </w:tcBorders>
            <w:shd w:val="clear" w:color="000000" w:fill="FFFFFF"/>
            <w:noWrap/>
            <w:vAlign w:val="center"/>
            <w:hideMark/>
          </w:tcPr>
          <w:p w14:paraId="4CC822D0" w14:textId="77777777" w:rsidR="005F7B49" w:rsidRPr="005F7B49" w:rsidRDefault="005F7B49" w:rsidP="005F7B49">
            <w:pPr>
              <w:spacing w:before="0" w:after="0" w:line="240" w:lineRule="auto"/>
              <w:jc w:val="right"/>
              <w:rPr>
                <w:rFonts w:ascii="Arial" w:hAnsi="Arial" w:cs="Arial"/>
                <w:color w:val="000000"/>
                <w:sz w:val="16"/>
                <w:szCs w:val="16"/>
              </w:rPr>
            </w:pPr>
            <w:r w:rsidRPr="005F7B49">
              <w:rPr>
                <w:rFonts w:ascii="Arial" w:hAnsi="Arial" w:cs="Arial"/>
                <w:color w:val="000000"/>
                <w:sz w:val="16"/>
                <w:szCs w:val="16"/>
              </w:rPr>
              <w:t>15,988</w:t>
            </w:r>
          </w:p>
        </w:tc>
        <w:tc>
          <w:tcPr>
            <w:tcW w:w="472" w:type="pct"/>
            <w:tcBorders>
              <w:top w:val="nil"/>
              <w:left w:val="nil"/>
              <w:bottom w:val="nil"/>
              <w:right w:val="nil"/>
            </w:tcBorders>
            <w:shd w:val="clear" w:color="000000" w:fill="FFFFFF"/>
            <w:noWrap/>
            <w:vAlign w:val="center"/>
            <w:hideMark/>
          </w:tcPr>
          <w:p w14:paraId="34EC55E3" w14:textId="77777777" w:rsidR="005F7B49" w:rsidRPr="005F7B49" w:rsidRDefault="005F7B49" w:rsidP="005F7B49">
            <w:pPr>
              <w:spacing w:before="0" w:after="0" w:line="240" w:lineRule="auto"/>
              <w:jc w:val="right"/>
              <w:rPr>
                <w:rFonts w:ascii="Arial" w:hAnsi="Arial" w:cs="Arial"/>
                <w:color w:val="000000"/>
                <w:sz w:val="16"/>
                <w:szCs w:val="16"/>
              </w:rPr>
            </w:pPr>
            <w:r w:rsidRPr="005F7B49">
              <w:rPr>
                <w:rFonts w:ascii="Arial" w:hAnsi="Arial" w:cs="Arial"/>
                <w:color w:val="000000"/>
                <w:sz w:val="16"/>
                <w:szCs w:val="16"/>
              </w:rPr>
              <w:t>16,818</w:t>
            </w:r>
          </w:p>
        </w:tc>
      </w:tr>
      <w:tr w:rsidR="005F7B49" w:rsidRPr="005F7B49" w14:paraId="2701B474" w14:textId="77777777" w:rsidTr="005F7B49">
        <w:trPr>
          <w:trHeight w:hRule="exact" w:val="226"/>
        </w:trPr>
        <w:tc>
          <w:tcPr>
            <w:tcW w:w="1873" w:type="pct"/>
            <w:tcBorders>
              <w:top w:val="nil"/>
              <w:left w:val="nil"/>
              <w:bottom w:val="nil"/>
              <w:right w:val="nil"/>
            </w:tcBorders>
            <w:shd w:val="clear" w:color="000000" w:fill="FFFFFF"/>
            <w:noWrap/>
            <w:vAlign w:val="center"/>
            <w:hideMark/>
          </w:tcPr>
          <w:p w14:paraId="61C4F7A1" w14:textId="77777777" w:rsidR="005F7B49" w:rsidRPr="005F7B49" w:rsidRDefault="005F7B49" w:rsidP="005F7B49">
            <w:pPr>
              <w:spacing w:before="0" w:after="0" w:line="240" w:lineRule="auto"/>
              <w:rPr>
                <w:rFonts w:ascii="Arial" w:hAnsi="Arial" w:cs="Arial"/>
                <w:color w:val="000000"/>
                <w:sz w:val="16"/>
                <w:szCs w:val="16"/>
              </w:rPr>
            </w:pPr>
            <w:r w:rsidRPr="005F7B49">
              <w:rPr>
                <w:rFonts w:ascii="Arial" w:hAnsi="Arial" w:cs="Arial"/>
                <w:color w:val="000000"/>
                <w:sz w:val="16"/>
                <w:szCs w:val="16"/>
              </w:rPr>
              <w:t>Financial Support for Carers</w:t>
            </w:r>
          </w:p>
        </w:tc>
        <w:tc>
          <w:tcPr>
            <w:tcW w:w="711" w:type="pct"/>
            <w:tcBorders>
              <w:top w:val="nil"/>
              <w:left w:val="nil"/>
              <w:bottom w:val="nil"/>
              <w:right w:val="nil"/>
            </w:tcBorders>
            <w:shd w:val="clear" w:color="000000" w:fill="FFFFFF"/>
            <w:noWrap/>
            <w:vAlign w:val="center"/>
            <w:hideMark/>
          </w:tcPr>
          <w:p w14:paraId="5C5CC6DC" w14:textId="77777777" w:rsidR="005F7B49" w:rsidRPr="005F7B49" w:rsidRDefault="005F7B49" w:rsidP="005F7B49">
            <w:pPr>
              <w:spacing w:before="0" w:after="0" w:line="240" w:lineRule="auto"/>
              <w:rPr>
                <w:rFonts w:ascii="Arial" w:hAnsi="Arial" w:cs="Arial"/>
                <w:color w:val="000000"/>
                <w:sz w:val="16"/>
                <w:szCs w:val="16"/>
              </w:rPr>
            </w:pPr>
            <w:r w:rsidRPr="005F7B49">
              <w:rPr>
                <w:rFonts w:ascii="Arial" w:hAnsi="Arial" w:cs="Arial"/>
                <w:color w:val="000000"/>
                <w:sz w:val="16"/>
                <w:szCs w:val="16"/>
              </w:rPr>
              <w:t>SSW</w:t>
            </w:r>
          </w:p>
        </w:tc>
        <w:tc>
          <w:tcPr>
            <w:tcW w:w="59" w:type="pct"/>
            <w:tcBorders>
              <w:top w:val="nil"/>
              <w:left w:val="nil"/>
              <w:bottom w:val="nil"/>
              <w:right w:val="nil"/>
            </w:tcBorders>
            <w:shd w:val="clear" w:color="000000" w:fill="FFFFFF"/>
            <w:noWrap/>
            <w:vAlign w:val="center"/>
            <w:hideMark/>
          </w:tcPr>
          <w:p w14:paraId="6E45CAEC" w14:textId="77777777" w:rsidR="005F7B49" w:rsidRPr="005F7B49" w:rsidRDefault="005F7B49" w:rsidP="005F7B49">
            <w:pPr>
              <w:spacing w:before="0" w:after="0" w:line="240" w:lineRule="auto"/>
              <w:rPr>
                <w:rFonts w:ascii="Arial" w:hAnsi="Arial" w:cs="Arial"/>
                <w:color w:val="000000"/>
                <w:sz w:val="16"/>
                <w:szCs w:val="16"/>
              </w:rPr>
            </w:pPr>
            <w:r w:rsidRPr="005F7B49">
              <w:rPr>
                <w:rFonts w:ascii="Arial" w:hAnsi="Arial" w:cs="Arial"/>
                <w:color w:val="000000"/>
                <w:sz w:val="16"/>
                <w:szCs w:val="16"/>
              </w:rPr>
              <w:t> </w:t>
            </w:r>
          </w:p>
        </w:tc>
        <w:tc>
          <w:tcPr>
            <w:tcW w:w="472" w:type="pct"/>
            <w:tcBorders>
              <w:top w:val="nil"/>
              <w:left w:val="nil"/>
              <w:bottom w:val="nil"/>
              <w:right w:val="nil"/>
            </w:tcBorders>
            <w:shd w:val="clear" w:color="000000" w:fill="FFFFFF"/>
            <w:noWrap/>
            <w:vAlign w:val="center"/>
            <w:hideMark/>
          </w:tcPr>
          <w:p w14:paraId="0686BA3F" w14:textId="77777777" w:rsidR="005F7B49" w:rsidRPr="005F7B49" w:rsidRDefault="005F7B49" w:rsidP="005F7B49">
            <w:pPr>
              <w:spacing w:before="0" w:after="0" w:line="240" w:lineRule="auto"/>
              <w:jc w:val="right"/>
              <w:rPr>
                <w:rFonts w:ascii="Arial" w:hAnsi="Arial" w:cs="Arial"/>
                <w:color w:val="000000"/>
                <w:sz w:val="16"/>
                <w:szCs w:val="16"/>
              </w:rPr>
            </w:pPr>
            <w:r w:rsidRPr="005F7B49">
              <w:rPr>
                <w:rFonts w:ascii="Arial" w:hAnsi="Arial" w:cs="Arial"/>
                <w:color w:val="000000"/>
                <w:sz w:val="16"/>
                <w:szCs w:val="16"/>
              </w:rPr>
              <w:t>11,093</w:t>
            </w:r>
          </w:p>
        </w:tc>
        <w:tc>
          <w:tcPr>
            <w:tcW w:w="472" w:type="pct"/>
            <w:tcBorders>
              <w:top w:val="nil"/>
              <w:left w:val="nil"/>
              <w:bottom w:val="nil"/>
              <w:right w:val="nil"/>
            </w:tcBorders>
            <w:shd w:val="clear" w:color="000000" w:fill="E6F2FF"/>
            <w:noWrap/>
            <w:vAlign w:val="center"/>
            <w:hideMark/>
          </w:tcPr>
          <w:p w14:paraId="79A3B5C3" w14:textId="77777777" w:rsidR="005F7B49" w:rsidRPr="005F7B49" w:rsidRDefault="005F7B49" w:rsidP="005F7B49">
            <w:pPr>
              <w:spacing w:before="0" w:after="0" w:line="240" w:lineRule="auto"/>
              <w:jc w:val="right"/>
              <w:rPr>
                <w:rFonts w:ascii="Arial" w:hAnsi="Arial" w:cs="Arial"/>
                <w:color w:val="000000"/>
                <w:sz w:val="16"/>
                <w:szCs w:val="16"/>
              </w:rPr>
            </w:pPr>
            <w:r w:rsidRPr="005F7B49">
              <w:rPr>
                <w:rFonts w:ascii="Arial" w:hAnsi="Arial" w:cs="Arial"/>
                <w:color w:val="000000"/>
                <w:sz w:val="16"/>
                <w:szCs w:val="16"/>
              </w:rPr>
              <w:t>11,688</w:t>
            </w:r>
          </w:p>
        </w:tc>
        <w:tc>
          <w:tcPr>
            <w:tcW w:w="472" w:type="pct"/>
            <w:tcBorders>
              <w:top w:val="nil"/>
              <w:left w:val="nil"/>
              <w:bottom w:val="nil"/>
              <w:right w:val="nil"/>
            </w:tcBorders>
            <w:shd w:val="clear" w:color="000000" w:fill="FFFFFF"/>
            <w:noWrap/>
            <w:vAlign w:val="center"/>
            <w:hideMark/>
          </w:tcPr>
          <w:p w14:paraId="1880E07F" w14:textId="77777777" w:rsidR="005F7B49" w:rsidRPr="005F7B49" w:rsidRDefault="005F7B49" w:rsidP="005F7B49">
            <w:pPr>
              <w:spacing w:before="0" w:after="0" w:line="240" w:lineRule="auto"/>
              <w:jc w:val="right"/>
              <w:rPr>
                <w:rFonts w:ascii="Arial" w:hAnsi="Arial" w:cs="Arial"/>
                <w:color w:val="000000"/>
                <w:sz w:val="16"/>
                <w:szCs w:val="16"/>
              </w:rPr>
            </w:pPr>
            <w:r w:rsidRPr="005F7B49">
              <w:rPr>
                <w:rFonts w:ascii="Arial" w:hAnsi="Arial" w:cs="Arial"/>
                <w:color w:val="000000"/>
                <w:sz w:val="16"/>
                <w:szCs w:val="16"/>
              </w:rPr>
              <w:t>12,207</w:t>
            </w:r>
          </w:p>
        </w:tc>
        <w:tc>
          <w:tcPr>
            <w:tcW w:w="472" w:type="pct"/>
            <w:tcBorders>
              <w:top w:val="nil"/>
              <w:left w:val="nil"/>
              <w:bottom w:val="nil"/>
              <w:right w:val="nil"/>
            </w:tcBorders>
            <w:shd w:val="clear" w:color="000000" w:fill="FFFFFF"/>
            <w:noWrap/>
            <w:vAlign w:val="center"/>
            <w:hideMark/>
          </w:tcPr>
          <w:p w14:paraId="233115EC" w14:textId="77777777" w:rsidR="005F7B49" w:rsidRPr="005F7B49" w:rsidRDefault="005F7B49" w:rsidP="005F7B49">
            <w:pPr>
              <w:spacing w:before="0" w:after="0" w:line="240" w:lineRule="auto"/>
              <w:jc w:val="right"/>
              <w:rPr>
                <w:rFonts w:ascii="Arial" w:hAnsi="Arial" w:cs="Arial"/>
                <w:color w:val="000000"/>
                <w:sz w:val="16"/>
                <w:szCs w:val="16"/>
              </w:rPr>
            </w:pPr>
            <w:r w:rsidRPr="005F7B49">
              <w:rPr>
                <w:rFonts w:ascii="Arial" w:hAnsi="Arial" w:cs="Arial"/>
                <w:color w:val="000000"/>
                <w:sz w:val="16"/>
                <w:szCs w:val="16"/>
              </w:rPr>
              <w:t>12,679</w:t>
            </w:r>
          </w:p>
        </w:tc>
        <w:tc>
          <w:tcPr>
            <w:tcW w:w="472" w:type="pct"/>
            <w:tcBorders>
              <w:top w:val="nil"/>
              <w:left w:val="nil"/>
              <w:bottom w:val="nil"/>
              <w:right w:val="nil"/>
            </w:tcBorders>
            <w:shd w:val="clear" w:color="000000" w:fill="FFFFFF"/>
            <w:noWrap/>
            <w:vAlign w:val="center"/>
            <w:hideMark/>
          </w:tcPr>
          <w:p w14:paraId="2D22B18A" w14:textId="77777777" w:rsidR="005F7B49" w:rsidRPr="005F7B49" w:rsidRDefault="005F7B49" w:rsidP="005F7B49">
            <w:pPr>
              <w:spacing w:before="0" w:after="0" w:line="240" w:lineRule="auto"/>
              <w:jc w:val="right"/>
              <w:rPr>
                <w:rFonts w:ascii="Arial" w:hAnsi="Arial" w:cs="Arial"/>
                <w:color w:val="000000"/>
                <w:sz w:val="16"/>
                <w:szCs w:val="16"/>
              </w:rPr>
            </w:pPr>
            <w:r w:rsidRPr="005F7B49">
              <w:rPr>
                <w:rFonts w:ascii="Arial" w:hAnsi="Arial" w:cs="Arial"/>
                <w:color w:val="000000"/>
                <w:sz w:val="16"/>
                <w:szCs w:val="16"/>
              </w:rPr>
              <w:t>13,224</w:t>
            </w:r>
          </w:p>
        </w:tc>
      </w:tr>
      <w:tr w:rsidR="005F7B49" w:rsidRPr="005F7B49" w14:paraId="584983EE" w14:textId="77777777" w:rsidTr="005F7B49">
        <w:trPr>
          <w:trHeight w:hRule="exact" w:val="226"/>
        </w:trPr>
        <w:tc>
          <w:tcPr>
            <w:tcW w:w="1873" w:type="pct"/>
            <w:tcBorders>
              <w:top w:val="nil"/>
              <w:left w:val="nil"/>
              <w:bottom w:val="nil"/>
              <w:right w:val="nil"/>
            </w:tcBorders>
            <w:shd w:val="clear" w:color="000000" w:fill="FFFFFF"/>
            <w:noWrap/>
            <w:vAlign w:val="center"/>
            <w:hideMark/>
          </w:tcPr>
          <w:p w14:paraId="07749E43" w14:textId="77777777" w:rsidR="005F7B49" w:rsidRPr="005F7B49" w:rsidRDefault="005F7B49" w:rsidP="005F7B49">
            <w:pPr>
              <w:spacing w:before="0" w:after="0" w:line="240" w:lineRule="auto"/>
              <w:rPr>
                <w:rFonts w:ascii="Arial" w:hAnsi="Arial" w:cs="Arial"/>
                <w:color w:val="000000"/>
                <w:sz w:val="16"/>
                <w:szCs w:val="16"/>
              </w:rPr>
            </w:pPr>
            <w:r w:rsidRPr="005F7B49">
              <w:rPr>
                <w:rFonts w:ascii="Arial" w:hAnsi="Arial" w:cs="Arial"/>
                <w:color w:val="000000"/>
                <w:sz w:val="16"/>
                <w:szCs w:val="16"/>
              </w:rPr>
              <w:t>Government Schools National</w:t>
            </w:r>
          </w:p>
        </w:tc>
        <w:tc>
          <w:tcPr>
            <w:tcW w:w="711" w:type="pct"/>
            <w:tcBorders>
              <w:top w:val="nil"/>
              <w:left w:val="nil"/>
              <w:bottom w:val="nil"/>
              <w:right w:val="nil"/>
            </w:tcBorders>
            <w:shd w:val="clear" w:color="000000" w:fill="FFFFFF"/>
            <w:noWrap/>
            <w:vAlign w:val="center"/>
            <w:hideMark/>
          </w:tcPr>
          <w:p w14:paraId="1FE814D5" w14:textId="77777777" w:rsidR="005F7B49" w:rsidRPr="005F7B49" w:rsidRDefault="005F7B49" w:rsidP="005F7B49">
            <w:pPr>
              <w:spacing w:before="0" w:after="0" w:line="240" w:lineRule="auto"/>
              <w:rPr>
                <w:rFonts w:ascii="Arial" w:hAnsi="Arial" w:cs="Arial"/>
                <w:color w:val="000000"/>
                <w:sz w:val="16"/>
                <w:szCs w:val="16"/>
              </w:rPr>
            </w:pPr>
            <w:r w:rsidRPr="005F7B49">
              <w:rPr>
                <w:rFonts w:ascii="Arial" w:hAnsi="Arial" w:cs="Arial"/>
                <w:color w:val="000000"/>
                <w:sz w:val="16"/>
                <w:szCs w:val="16"/>
              </w:rPr>
              <w:t> </w:t>
            </w:r>
          </w:p>
        </w:tc>
        <w:tc>
          <w:tcPr>
            <w:tcW w:w="59" w:type="pct"/>
            <w:tcBorders>
              <w:top w:val="nil"/>
              <w:left w:val="nil"/>
              <w:bottom w:val="nil"/>
              <w:right w:val="nil"/>
            </w:tcBorders>
            <w:shd w:val="clear" w:color="000000" w:fill="FFFFFF"/>
            <w:noWrap/>
            <w:vAlign w:val="center"/>
            <w:hideMark/>
          </w:tcPr>
          <w:p w14:paraId="2573F477" w14:textId="77777777" w:rsidR="005F7B49" w:rsidRPr="005F7B49" w:rsidRDefault="005F7B49" w:rsidP="005F7B49">
            <w:pPr>
              <w:spacing w:before="0" w:after="0" w:line="240" w:lineRule="auto"/>
              <w:rPr>
                <w:rFonts w:ascii="Arial" w:hAnsi="Arial" w:cs="Arial"/>
                <w:color w:val="000000"/>
                <w:sz w:val="16"/>
                <w:szCs w:val="16"/>
              </w:rPr>
            </w:pPr>
            <w:r w:rsidRPr="005F7B49">
              <w:rPr>
                <w:rFonts w:ascii="Arial" w:hAnsi="Arial" w:cs="Arial"/>
                <w:color w:val="000000"/>
                <w:sz w:val="16"/>
                <w:szCs w:val="16"/>
              </w:rPr>
              <w:t> </w:t>
            </w:r>
          </w:p>
        </w:tc>
        <w:tc>
          <w:tcPr>
            <w:tcW w:w="472" w:type="pct"/>
            <w:tcBorders>
              <w:top w:val="nil"/>
              <w:left w:val="nil"/>
              <w:bottom w:val="nil"/>
              <w:right w:val="nil"/>
            </w:tcBorders>
            <w:shd w:val="clear" w:color="000000" w:fill="FFFFFF"/>
            <w:noWrap/>
            <w:vAlign w:val="center"/>
            <w:hideMark/>
          </w:tcPr>
          <w:p w14:paraId="6C763ED6" w14:textId="77777777" w:rsidR="005F7B49" w:rsidRPr="005F7B49" w:rsidRDefault="005F7B49" w:rsidP="005F7B49">
            <w:pPr>
              <w:spacing w:before="0" w:after="0" w:line="240" w:lineRule="auto"/>
              <w:rPr>
                <w:rFonts w:ascii="Arial" w:hAnsi="Arial" w:cs="Arial"/>
                <w:color w:val="000000"/>
                <w:sz w:val="16"/>
                <w:szCs w:val="16"/>
              </w:rPr>
            </w:pPr>
            <w:r w:rsidRPr="005F7B49">
              <w:rPr>
                <w:rFonts w:ascii="Arial" w:hAnsi="Arial" w:cs="Arial"/>
                <w:color w:val="000000"/>
                <w:sz w:val="16"/>
                <w:szCs w:val="16"/>
              </w:rPr>
              <w:t> </w:t>
            </w:r>
          </w:p>
        </w:tc>
        <w:tc>
          <w:tcPr>
            <w:tcW w:w="472" w:type="pct"/>
            <w:tcBorders>
              <w:top w:val="nil"/>
              <w:left w:val="nil"/>
              <w:bottom w:val="nil"/>
              <w:right w:val="nil"/>
            </w:tcBorders>
            <w:shd w:val="clear" w:color="000000" w:fill="E6F2FF"/>
            <w:noWrap/>
            <w:vAlign w:val="center"/>
            <w:hideMark/>
          </w:tcPr>
          <w:p w14:paraId="0F558E22" w14:textId="77777777" w:rsidR="005F7B49" w:rsidRPr="005F7B49" w:rsidRDefault="005F7B49" w:rsidP="005F7B49">
            <w:pPr>
              <w:spacing w:before="0" w:after="0" w:line="240" w:lineRule="auto"/>
              <w:rPr>
                <w:rFonts w:ascii="Arial" w:hAnsi="Arial" w:cs="Arial"/>
                <w:color w:val="000000"/>
                <w:sz w:val="16"/>
                <w:szCs w:val="16"/>
              </w:rPr>
            </w:pPr>
            <w:r w:rsidRPr="005F7B49">
              <w:rPr>
                <w:rFonts w:ascii="Arial" w:hAnsi="Arial" w:cs="Arial"/>
                <w:color w:val="000000"/>
                <w:sz w:val="16"/>
                <w:szCs w:val="16"/>
              </w:rPr>
              <w:t> </w:t>
            </w:r>
          </w:p>
        </w:tc>
        <w:tc>
          <w:tcPr>
            <w:tcW w:w="472" w:type="pct"/>
            <w:tcBorders>
              <w:top w:val="nil"/>
              <w:left w:val="nil"/>
              <w:bottom w:val="nil"/>
              <w:right w:val="nil"/>
            </w:tcBorders>
            <w:shd w:val="clear" w:color="000000" w:fill="FFFFFF"/>
            <w:noWrap/>
            <w:vAlign w:val="center"/>
            <w:hideMark/>
          </w:tcPr>
          <w:p w14:paraId="603A6187" w14:textId="77777777" w:rsidR="005F7B49" w:rsidRPr="005F7B49" w:rsidRDefault="005F7B49" w:rsidP="005F7B49">
            <w:pPr>
              <w:spacing w:before="0" w:after="0" w:line="240" w:lineRule="auto"/>
              <w:rPr>
                <w:rFonts w:ascii="Arial" w:hAnsi="Arial" w:cs="Arial"/>
                <w:color w:val="000000"/>
                <w:sz w:val="16"/>
                <w:szCs w:val="16"/>
              </w:rPr>
            </w:pPr>
            <w:r w:rsidRPr="005F7B49">
              <w:rPr>
                <w:rFonts w:ascii="Arial" w:hAnsi="Arial" w:cs="Arial"/>
                <w:color w:val="000000"/>
                <w:sz w:val="16"/>
                <w:szCs w:val="16"/>
              </w:rPr>
              <w:t> </w:t>
            </w:r>
          </w:p>
        </w:tc>
        <w:tc>
          <w:tcPr>
            <w:tcW w:w="472" w:type="pct"/>
            <w:tcBorders>
              <w:top w:val="nil"/>
              <w:left w:val="nil"/>
              <w:bottom w:val="nil"/>
              <w:right w:val="nil"/>
            </w:tcBorders>
            <w:shd w:val="clear" w:color="000000" w:fill="FFFFFF"/>
            <w:noWrap/>
            <w:vAlign w:val="center"/>
            <w:hideMark/>
          </w:tcPr>
          <w:p w14:paraId="3ABC5435" w14:textId="77777777" w:rsidR="005F7B49" w:rsidRPr="005F7B49" w:rsidRDefault="005F7B49" w:rsidP="005F7B49">
            <w:pPr>
              <w:spacing w:before="0" w:after="0" w:line="240" w:lineRule="auto"/>
              <w:rPr>
                <w:rFonts w:ascii="Arial" w:hAnsi="Arial" w:cs="Arial"/>
                <w:color w:val="000000"/>
                <w:sz w:val="16"/>
                <w:szCs w:val="16"/>
              </w:rPr>
            </w:pPr>
            <w:r w:rsidRPr="005F7B49">
              <w:rPr>
                <w:rFonts w:ascii="Arial" w:hAnsi="Arial" w:cs="Arial"/>
                <w:color w:val="000000"/>
                <w:sz w:val="16"/>
                <w:szCs w:val="16"/>
              </w:rPr>
              <w:t> </w:t>
            </w:r>
          </w:p>
        </w:tc>
        <w:tc>
          <w:tcPr>
            <w:tcW w:w="472" w:type="pct"/>
            <w:tcBorders>
              <w:top w:val="nil"/>
              <w:left w:val="nil"/>
              <w:bottom w:val="nil"/>
              <w:right w:val="nil"/>
            </w:tcBorders>
            <w:shd w:val="clear" w:color="000000" w:fill="FFFFFF"/>
            <w:noWrap/>
            <w:vAlign w:val="center"/>
            <w:hideMark/>
          </w:tcPr>
          <w:p w14:paraId="65F738C3" w14:textId="77777777" w:rsidR="005F7B49" w:rsidRPr="005F7B49" w:rsidRDefault="005F7B49" w:rsidP="005F7B49">
            <w:pPr>
              <w:spacing w:before="0" w:after="0" w:line="240" w:lineRule="auto"/>
              <w:rPr>
                <w:rFonts w:ascii="Arial" w:hAnsi="Arial" w:cs="Arial"/>
                <w:color w:val="000000"/>
                <w:sz w:val="16"/>
                <w:szCs w:val="16"/>
              </w:rPr>
            </w:pPr>
            <w:r w:rsidRPr="005F7B49">
              <w:rPr>
                <w:rFonts w:ascii="Arial" w:hAnsi="Arial" w:cs="Arial"/>
                <w:color w:val="000000"/>
                <w:sz w:val="16"/>
                <w:szCs w:val="16"/>
              </w:rPr>
              <w:t> </w:t>
            </w:r>
          </w:p>
        </w:tc>
      </w:tr>
      <w:tr w:rsidR="005F7B49" w:rsidRPr="005F7B49" w14:paraId="725F5456" w14:textId="77777777" w:rsidTr="005F7B49">
        <w:trPr>
          <w:trHeight w:hRule="exact" w:val="226"/>
        </w:trPr>
        <w:tc>
          <w:tcPr>
            <w:tcW w:w="1873" w:type="pct"/>
            <w:tcBorders>
              <w:top w:val="nil"/>
              <w:left w:val="nil"/>
              <w:bottom w:val="nil"/>
              <w:right w:val="nil"/>
            </w:tcBorders>
            <w:shd w:val="clear" w:color="000000" w:fill="FFFFFF"/>
            <w:noWrap/>
            <w:vAlign w:val="center"/>
            <w:hideMark/>
          </w:tcPr>
          <w:p w14:paraId="17571B4E" w14:textId="77777777" w:rsidR="005F7B49" w:rsidRPr="005F7B49" w:rsidRDefault="005F7B49" w:rsidP="005F7B49">
            <w:pPr>
              <w:spacing w:before="0" w:after="0" w:line="240" w:lineRule="auto"/>
              <w:ind w:left="170"/>
              <w:rPr>
                <w:rFonts w:ascii="Arial" w:hAnsi="Arial" w:cs="Arial"/>
                <w:color w:val="000000"/>
                <w:sz w:val="16"/>
                <w:szCs w:val="16"/>
              </w:rPr>
            </w:pPr>
            <w:r w:rsidRPr="005F7B49">
              <w:rPr>
                <w:rFonts w:ascii="Arial" w:hAnsi="Arial" w:cs="Arial"/>
                <w:color w:val="000000"/>
                <w:sz w:val="16"/>
                <w:szCs w:val="16"/>
              </w:rPr>
              <w:t>Support</w:t>
            </w:r>
          </w:p>
        </w:tc>
        <w:tc>
          <w:tcPr>
            <w:tcW w:w="711" w:type="pct"/>
            <w:tcBorders>
              <w:top w:val="nil"/>
              <w:left w:val="nil"/>
              <w:bottom w:val="nil"/>
              <w:right w:val="nil"/>
            </w:tcBorders>
            <w:shd w:val="clear" w:color="000000" w:fill="FFFFFF"/>
            <w:noWrap/>
            <w:vAlign w:val="center"/>
            <w:hideMark/>
          </w:tcPr>
          <w:p w14:paraId="03BF2AA6" w14:textId="77777777" w:rsidR="005F7B49" w:rsidRPr="005F7B49" w:rsidRDefault="005F7B49" w:rsidP="005F7B49">
            <w:pPr>
              <w:spacing w:before="0" w:after="0" w:line="240" w:lineRule="auto"/>
              <w:rPr>
                <w:rFonts w:ascii="Arial" w:hAnsi="Arial" w:cs="Arial"/>
                <w:color w:val="000000"/>
                <w:sz w:val="16"/>
                <w:szCs w:val="16"/>
              </w:rPr>
            </w:pPr>
            <w:r w:rsidRPr="005F7B49">
              <w:rPr>
                <w:rFonts w:ascii="Arial" w:hAnsi="Arial" w:cs="Arial"/>
                <w:color w:val="000000"/>
                <w:sz w:val="16"/>
                <w:szCs w:val="16"/>
              </w:rPr>
              <w:t>Education</w:t>
            </w:r>
          </w:p>
        </w:tc>
        <w:tc>
          <w:tcPr>
            <w:tcW w:w="59" w:type="pct"/>
            <w:tcBorders>
              <w:top w:val="nil"/>
              <w:left w:val="nil"/>
              <w:bottom w:val="nil"/>
              <w:right w:val="nil"/>
            </w:tcBorders>
            <w:shd w:val="clear" w:color="000000" w:fill="FFFFFF"/>
            <w:noWrap/>
            <w:vAlign w:val="center"/>
            <w:hideMark/>
          </w:tcPr>
          <w:p w14:paraId="57D3D554" w14:textId="77777777" w:rsidR="005F7B49" w:rsidRPr="005F7B49" w:rsidRDefault="005F7B49" w:rsidP="005F7B49">
            <w:pPr>
              <w:spacing w:before="0" w:after="0" w:line="240" w:lineRule="auto"/>
              <w:rPr>
                <w:rFonts w:ascii="Arial" w:hAnsi="Arial" w:cs="Arial"/>
                <w:color w:val="000000"/>
                <w:sz w:val="16"/>
                <w:szCs w:val="16"/>
              </w:rPr>
            </w:pPr>
            <w:r w:rsidRPr="005F7B49">
              <w:rPr>
                <w:rFonts w:ascii="Arial" w:hAnsi="Arial" w:cs="Arial"/>
                <w:color w:val="000000"/>
                <w:sz w:val="16"/>
                <w:szCs w:val="16"/>
              </w:rPr>
              <w:t> </w:t>
            </w:r>
          </w:p>
        </w:tc>
        <w:tc>
          <w:tcPr>
            <w:tcW w:w="472" w:type="pct"/>
            <w:tcBorders>
              <w:top w:val="nil"/>
              <w:left w:val="nil"/>
              <w:bottom w:val="nil"/>
              <w:right w:val="nil"/>
            </w:tcBorders>
            <w:shd w:val="clear" w:color="000000" w:fill="FFFFFF"/>
            <w:noWrap/>
            <w:vAlign w:val="center"/>
            <w:hideMark/>
          </w:tcPr>
          <w:p w14:paraId="74ABEC1A" w14:textId="77777777" w:rsidR="005F7B49" w:rsidRPr="005F7B49" w:rsidRDefault="005F7B49" w:rsidP="005F7B49">
            <w:pPr>
              <w:spacing w:before="0" w:after="0" w:line="240" w:lineRule="auto"/>
              <w:jc w:val="right"/>
              <w:rPr>
                <w:rFonts w:ascii="Arial" w:hAnsi="Arial" w:cs="Arial"/>
                <w:color w:val="000000"/>
                <w:sz w:val="16"/>
                <w:szCs w:val="16"/>
              </w:rPr>
            </w:pPr>
            <w:r w:rsidRPr="005F7B49">
              <w:rPr>
                <w:rFonts w:ascii="Arial" w:hAnsi="Arial" w:cs="Arial"/>
                <w:color w:val="000000"/>
                <w:sz w:val="16"/>
                <w:szCs w:val="16"/>
              </w:rPr>
              <w:t>11,113</w:t>
            </w:r>
          </w:p>
        </w:tc>
        <w:tc>
          <w:tcPr>
            <w:tcW w:w="472" w:type="pct"/>
            <w:tcBorders>
              <w:top w:val="nil"/>
              <w:left w:val="nil"/>
              <w:bottom w:val="nil"/>
              <w:right w:val="nil"/>
            </w:tcBorders>
            <w:shd w:val="clear" w:color="000000" w:fill="E6F2FF"/>
            <w:noWrap/>
            <w:vAlign w:val="center"/>
            <w:hideMark/>
          </w:tcPr>
          <w:p w14:paraId="028D9391" w14:textId="77777777" w:rsidR="005F7B49" w:rsidRPr="005F7B49" w:rsidRDefault="005F7B49" w:rsidP="005F7B49">
            <w:pPr>
              <w:spacing w:before="0" w:after="0" w:line="240" w:lineRule="auto"/>
              <w:jc w:val="right"/>
              <w:rPr>
                <w:rFonts w:ascii="Arial" w:hAnsi="Arial" w:cs="Arial"/>
                <w:color w:val="000000"/>
                <w:sz w:val="16"/>
                <w:szCs w:val="16"/>
              </w:rPr>
            </w:pPr>
            <w:r w:rsidRPr="005F7B49">
              <w:rPr>
                <w:rFonts w:ascii="Arial" w:hAnsi="Arial" w:cs="Arial"/>
                <w:color w:val="000000"/>
                <w:sz w:val="16"/>
                <w:szCs w:val="16"/>
              </w:rPr>
              <w:t>11,476</w:t>
            </w:r>
          </w:p>
        </w:tc>
        <w:tc>
          <w:tcPr>
            <w:tcW w:w="472" w:type="pct"/>
            <w:tcBorders>
              <w:top w:val="nil"/>
              <w:left w:val="nil"/>
              <w:bottom w:val="nil"/>
              <w:right w:val="nil"/>
            </w:tcBorders>
            <w:shd w:val="clear" w:color="000000" w:fill="FFFFFF"/>
            <w:noWrap/>
            <w:vAlign w:val="center"/>
            <w:hideMark/>
          </w:tcPr>
          <w:p w14:paraId="0C62C75E" w14:textId="77777777" w:rsidR="005F7B49" w:rsidRPr="005F7B49" w:rsidRDefault="005F7B49" w:rsidP="005F7B49">
            <w:pPr>
              <w:spacing w:before="0" w:after="0" w:line="240" w:lineRule="auto"/>
              <w:jc w:val="right"/>
              <w:rPr>
                <w:rFonts w:ascii="Arial" w:hAnsi="Arial" w:cs="Arial"/>
                <w:color w:val="000000"/>
                <w:sz w:val="16"/>
                <w:szCs w:val="16"/>
              </w:rPr>
            </w:pPr>
            <w:r w:rsidRPr="005F7B49">
              <w:rPr>
                <w:rFonts w:ascii="Arial" w:hAnsi="Arial" w:cs="Arial"/>
                <w:color w:val="000000"/>
                <w:sz w:val="16"/>
                <w:szCs w:val="16"/>
              </w:rPr>
              <w:t>11,891</w:t>
            </w:r>
          </w:p>
        </w:tc>
        <w:tc>
          <w:tcPr>
            <w:tcW w:w="472" w:type="pct"/>
            <w:tcBorders>
              <w:top w:val="nil"/>
              <w:left w:val="nil"/>
              <w:bottom w:val="nil"/>
              <w:right w:val="nil"/>
            </w:tcBorders>
            <w:shd w:val="clear" w:color="000000" w:fill="FFFFFF"/>
            <w:noWrap/>
            <w:vAlign w:val="center"/>
            <w:hideMark/>
          </w:tcPr>
          <w:p w14:paraId="448722A3" w14:textId="77777777" w:rsidR="005F7B49" w:rsidRPr="005F7B49" w:rsidRDefault="005F7B49" w:rsidP="005F7B49">
            <w:pPr>
              <w:spacing w:before="0" w:after="0" w:line="240" w:lineRule="auto"/>
              <w:jc w:val="right"/>
              <w:rPr>
                <w:rFonts w:ascii="Arial" w:hAnsi="Arial" w:cs="Arial"/>
                <w:color w:val="000000"/>
                <w:sz w:val="16"/>
                <w:szCs w:val="16"/>
              </w:rPr>
            </w:pPr>
            <w:r w:rsidRPr="005F7B49">
              <w:rPr>
                <w:rFonts w:ascii="Arial" w:hAnsi="Arial" w:cs="Arial"/>
                <w:color w:val="000000"/>
                <w:sz w:val="16"/>
                <w:szCs w:val="16"/>
              </w:rPr>
              <w:t>12,324</w:t>
            </w:r>
          </w:p>
        </w:tc>
        <w:tc>
          <w:tcPr>
            <w:tcW w:w="472" w:type="pct"/>
            <w:tcBorders>
              <w:top w:val="nil"/>
              <w:left w:val="nil"/>
              <w:bottom w:val="nil"/>
              <w:right w:val="nil"/>
            </w:tcBorders>
            <w:shd w:val="clear" w:color="000000" w:fill="FFFFFF"/>
            <w:noWrap/>
            <w:vAlign w:val="center"/>
            <w:hideMark/>
          </w:tcPr>
          <w:p w14:paraId="0F48AE9C" w14:textId="77777777" w:rsidR="005F7B49" w:rsidRPr="005F7B49" w:rsidRDefault="005F7B49" w:rsidP="005F7B49">
            <w:pPr>
              <w:spacing w:before="0" w:after="0" w:line="240" w:lineRule="auto"/>
              <w:jc w:val="right"/>
              <w:rPr>
                <w:rFonts w:ascii="Arial" w:hAnsi="Arial" w:cs="Arial"/>
                <w:color w:val="000000"/>
                <w:sz w:val="16"/>
                <w:szCs w:val="16"/>
              </w:rPr>
            </w:pPr>
            <w:r w:rsidRPr="005F7B49">
              <w:rPr>
                <w:rFonts w:ascii="Arial" w:hAnsi="Arial" w:cs="Arial"/>
                <w:color w:val="000000"/>
                <w:sz w:val="16"/>
                <w:szCs w:val="16"/>
              </w:rPr>
              <w:t>12,783</w:t>
            </w:r>
          </w:p>
        </w:tc>
      </w:tr>
      <w:tr w:rsidR="005F7B49" w:rsidRPr="005F7B49" w14:paraId="7FB21F31" w14:textId="77777777" w:rsidTr="005F7B49">
        <w:trPr>
          <w:trHeight w:hRule="exact" w:val="226"/>
        </w:trPr>
        <w:tc>
          <w:tcPr>
            <w:tcW w:w="1873" w:type="pct"/>
            <w:tcBorders>
              <w:top w:val="nil"/>
              <w:left w:val="nil"/>
              <w:bottom w:val="nil"/>
              <w:right w:val="nil"/>
            </w:tcBorders>
            <w:shd w:val="clear" w:color="000000" w:fill="FFFFFF"/>
            <w:noWrap/>
            <w:vAlign w:val="center"/>
            <w:hideMark/>
          </w:tcPr>
          <w:p w14:paraId="4E3353E3" w14:textId="77777777" w:rsidR="005F7B49" w:rsidRPr="005F7B49" w:rsidRDefault="005F7B49" w:rsidP="005F7B49">
            <w:pPr>
              <w:spacing w:before="0" w:after="0" w:line="240" w:lineRule="auto"/>
              <w:rPr>
                <w:rFonts w:ascii="Arial" w:hAnsi="Arial" w:cs="Arial"/>
                <w:color w:val="000000"/>
                <w:sz w:val="16"/>
                <w:szCs w:val="16"/>
              </w:rPr>
            </w:pPr>
            <w:r w:rsidRPr="005F7B49">
              <w:rPr>
                <w:rFonts w:ascii="Arial" w:hAnsi="Arial" w:cs="Arial"/>
                <w:color w:val="000000"/>
                <w:sz w:val="16"/>
                <w:szCs w:val="16"/>
              </w:rPr>
              <w:t>Army Capabilities</w:t>
            </w:r>
          </w:p>
        </w:tc>
        <w:tc>
          <w:tcPr>
            <w:tcW w:w="711" w:type="pct"/>
            <w:tcBorders>
              <w:top w:val="nil"/>
              <w:left w:val="nil"/>
              <w:bottom w:val="nil"/>
              <w:right w:val="nil"/>
            </w:tcBorders>
            <w:shd w:val="clear" w:color="000000" w:fill="FFFFFF"/>
            <w:noWrap/>
            <w:vAlign w:val="center"/>
            <w:hideMark/>
          </w:tcPr>
          <w:p w14:paraId="222613FE" w14:textId="77777777" w:rsidR="005F7B49" w:rsidRPr="005F7B49" w:rsidRDefault="005F7B49" w:rsidP="005F7B49">
            <w:pPr>
              <w:spacing w:before="0" w:after="0" w:line="240" w:lineRule="auto"/>
              <w:rPr>
                <w:rFonts w:ascii="Arial" w:hAnsi="Arial" w:cs="Arial"/>
                <w:color w:val="000000"/>
                <w:sz w:val="16"/>
                <w:szCs w:val="16"/>
              </w:rPr>
            </w:pPr>
            <w:r w:rsidRPr="005F7B49">
              <w:rPr>
                <w:rFonts w:ascii="Arial" w:hAnsi="Arial" w:cs="Arial"/>
                <w:color w:val="000000"/>
                <w:sz w:val="16"/>
                <w:szCs w:val="16"/>
              </w:rPr>
              <w:t>Defence</w:t>
            </w:r>
          </w:p>
        </w:tc>
        <w:tc>
          <w:tcPr>
            <w:tcW w:w="59" w:type="pct"/>
            <w:tcBorders>
              <w:top w:val="nil"/>
              <w:left w:val="nil"/>
              <w:bottom w:val="nil"/>
              <w:right w:val="nil"/>
            </w:tcBorders>
            <w:shd w:val="clear" w:color="000000" w:fill="FFFFFF"/>
            <w:noWrap/>
            <w:vAlign w:val="center"/>
            <w:hideMark/>
          </w:tcPr>
          <w:p w14:paraId="29D9B9A9" w14:textId="77777777" w:rsidR="005F7B49" w:rsidRPr="005F7B49" w:rsidRDefault="005F7B49" w:rsidP="005F7B49">
            <w:pPr>
              <w:spacing w:before="0" w:after="0" w:line="240" w:lineRule="auto"/>
              <w:rPr>
                <w:rFonts w:ascii="Arial" w:hAnsi="Arial" w:cs="Arial"/>
                <w:color w:val="000000"/>
                <w:sz w:val="16"/>
                <w:szCs w:val="16"/>
              </w:rPr>
            </w:pPr>
            <w:r w:rsidRPr="005F7B49">
              <w:rPr>
                <w:rFonts w:ascii="Arial" w:hAnsi="Arial" w:cs="Arial"/>
                <w:color w:val="000000"/>
                <w:sz w:val="16"/>
                <w:szCs w:val="16"/>
              </w:rPr>
              <w:t> </w:t>
            </w:r>
          </w:p>
        </w:tc>
        <w:tc>
          <w:tcPr>
            <w:tcW w:w="472" w:type="pct"/>
            <w:tcBorders>
              <w:top w:val="nil"/>
              <w:left w:val="nil"/>
              <w:bottom w:val="nil"/>
              <w:right w:val="nil"/>
            </w:tcBorders>
            <w:shd w:val="clear" w:color="000000" w:fill="FFFFFF"/>
            <w:noWrap/>
            <w:vAlign w:val="center"/>
            <w:hideMark/>
          </w:tcPr>
          <w:p w14:paraId="20B45FB0" w14:textId="77777777" w:rsidR="005F7B49" w:rsidRPr="005F7B49" w:rsidRDefault="005F7B49" w:rsidP="005F7B49">
            <w:pPr>
              <w:spacing w:before="0" w:after="0" w:line="240" w:lineRule="auto"/>
              <w:jc w:val="right"/>
              <w:rPr>
                <w:rFonts w:ascii="Arial" w:hAnsi="Arial" w:cs="Arial"/>
                <w:color w:val="000000"/>
                <w:sz w:val="16"/>
                <w:szCs w:val="16"/>
              </w:rPr>
            </w:pPr>
            <w:r w:rsidRPr="005F7B49">
              <w:rPr>
                <w:rFonts w:ascii="Arial" w:hAnsi="Arial" w:cs="Arial"/>
                <w:color w:val="000000"/>
                <w:sz w:val="16"/>
                <w:szCs w:val="16"/>
              </w:rPr>
              <w:t>11,380</w:t>
            </w:r>
          </w:p>
        </w:tc>
        <w:tc>
          <w:tcPr>
            <w:tcW w:w="472" w:type="pct"/>
            <w:tcBorders>
              <w:top w:val="nil"/>
              <w:left w:val="nil"/>
              <w:bottom w:val="nil"/>
              <w:right w:val="nil"/>
            </w:tcBorders>
            <w:shd w:val="clear" w:color="000000" w:fill="E6F2FF"/>
            <w:noWrap/>
            <w:vAlign w:val="center"/>
            <w:hideMark/>
          </w:tcPr>
          <w:p w14:paraId="42C7ADDE" w14:textId="77777777" w:rsidR="005F7B49" w:rsidRPr="005F7B49" w:rsidRDefault="005F7B49" w:rsidP="005F7B49">
            <w:pPr>
              <w:spacing w:before="0" w:after="0" w:line="240" w:lineRule="auto"/>
              <w:jc w:val="right"/>
              <w:rPr>
                <w:rFonts w:ascii="Arial" w:hAnsi="Arial" w:cs="Arial"/>
                <w:color w:val="000000"/>
                <w:sz w:val="16"/>
                <w:szCs w:val="16"/>
              </w:rPr>
            </w:pPr>
            <w:r w:rsidRPr="005F7B49">
              <w:rPr>
                <w:rFonts w:ascii="Arial" w:hAnsi="Arial" w:cs="Arial"/>
                <w:color w:val="000000"/>
                <w:sz w:val="16"/>
                <w:szCs w:val="16"/>
              </w:rPr>
              <w:t>11,147</w:t>
            </w:r>
          </w:p>
        </w:tc>
        <w:tc>
          <w:tcPr>
            <w:tcW w:w="472" w:type="pct"/>
            <w:tcBorders>
              <w:top w:val="nil"/>
              <w:left w:val="nil"/>
              <w:bottom w:val="nil"/>
              <w:right w:val="nil"/>
            </w:tcBorders>
            <w:shd w:val="clear" w:color="000000" w:fill="FFFFFF"/>
            <w:noWrap/>
            <w:vAlign w:val="center"/>
            <w:hideMark/>
          </w:tcPr>
          <w:p w14:paraId="0165E9B4" w14:textId="77777777" w:rsidR="005F7B49" w:rsidRPr="005F7B49" w:rsidRDefault="005F7B49" w:rsidP="005F7B49">
            <w:pPr>
              <w:spacing w:before="0" w:after="0" w:line="240" w:lineRule="auto"/>
              <w:jc w:val="right"/>
              <w:rPr>
                <w:rFonts w:ascii="Arial" w:hAnsi="Arial" w:cs="Arial"/>
                <w:color w:val="000000"/>
                <w:sz w:val="16"/>
                <w:szCs w:val="16"/>
              </w:rPr>
            </w:pPr>
            <w:r w:rsidRPr="005F7B49">
              <w:rPr>
                <w:rFonts w:ascii="Arial" w:hAnsi="Arial" w:cs="Arial"/>
                <w:color w:val="000000"/>
                <w:sz w:val="16"/>
                <w:szCs w:val="16"/>
              </w:rPr>
              <w:t>12,553</w:t>
            </w:r>
          </w:p>
        </w:tc>
        <w:tc>
          <w:tcPr>
            <w:tcW w:w="472" w:type="pct"/>
            <w:tcBorders>
              <w:top w:val="nil"/>
              <w:left w:val="nil"/>
              <w:bottom w:val="nil"/>
              <w:right w:val="nil"/>
            </w:tcBorders>
            <w:shd w:val="clear" w:color="000000" w:fill="FFFFFF"/>
            <w:noWrap/>
            <w:vAlign w:val="center"/>
            <w:hideMark/>
          </w:tcPr>
          <w:p w14:paraId="3DC35FE1" w14:textId="77777777" w:rsidR="005F7B49" w:rsidRPr="005F7B49" w:rsidRDefault="005F7B49" w:rsidP="005F7B49">
            <w:pPr>
              <w:spacing w:before="0" w:after="0" w:line="240" w:lineRule="auto"/>
              <w:jc w:val="right"/>
              <w:rPr>
                <w:rFonts w:ascii="Arial" w:hAnsi="Arial" w:cs="Arial"/>
                <w:color w:val="000000"/>
                <w:sz w:val="16"/>
                <w:szCs w:val="16"/>
              </w:rPr>
            </w:pPr>
            <w:r w:rsidRPr="005F7B49">
              <w:rPr>
                <w:rFonts w:ascii="Arial" w:hAnsi="Arial" w:cs="Arial"/>
                <w:color w:val="000000"/>
                <w:sz w:val="16"/>
                <w:szCs w:val="16"/>
              </w:rPr>
              <w:t>13,200</w:t>
            </w:r>
          </w:p>
        </w:tc>
        <w:tc>
          <w:tcPr>
            <w:tcW w:w="472" w:type="pct"/>
            <w:tcBorders>
              <w:top w:val="nil"/>
              <w:left w:val="nil"/>
              <w:bottom w:val="nil"/>
              <w:right w:val="nil"/>
            </w:tcBorders>
            <w:shd w:val="clear" w:color="000000" w:fill="FFFFFF"/>
            <w:noWrap/>
            <w:vAlign w:val="center"/>
            <w:hideMark/>
          </w:tcPr>
          <w:p w14:paraId="0B420B24" w14:textId="77777777" w:rsidR="005F7B49" w:rsidRPr="005F7B49" w:rsidRDefault="005F7B49" w:rsidP="005F7B49">
            <w:pPr>
              <w:spacing w:before="0" w:after="0" w:line="240" w:lineRule="auto"/>
              <w:jc w:val="right"/>
              <w:rPr>
                <w:rFonts w:ascii="Arial" w:hAnsi="Arial" w:cs="Arial"/>
                <w:color w:val="000000"/>
                <w:sz w:val="16"/>
                <w:szCs w:val="16"/>
              </w:rPr>
            </w:pPr>
            <w:r w:rsidRPr="005F7B49">
              <w:rPr>
                <w:rFonts w:ascii="Arial" w:hAnsi="Arial" w:cs="Arial"/>
                <w:color w:val="000000"/>
                <w:sz w:val="16"/>
                <w:szCs w:val="16"/>
              </w:rPr>
              <w:t>14,085</w:t>
            </w:r>
          </w:p>
        </w:tc>
      </w:tr>
      <w:tr w:rsidR="005F7B49" w:rsidRPr="005F7B49" w14:paraId="56525DA8" w14:textId="77777777" w:rsidTr="005F7B49">
        <w:trPr>
          <w:trHeight w:hRule="exact" w:val="226"/>
        </w:trPr>
        <w:tc>
          <w:tcPr>
            <w:tcW w:w="1873" w:type="pct"/>
            <w:tcBorders>
              <w:top w:val="nil"/>
              <w:left w:val="nil"/>
              <w:bottom w:val="nil"/>
              <w:right w:val="nil"/>
            </w:tcBorders>
            <w:shd w:val="clear" w:color="000000" w:fill="FFFFFF"/>
            <w:noWrap/>
            <w:vAlign w:val="center"/>
            <w:hideMark/>
          </w:tcPr>
          <w:p w14:paraId="6F63A710" w14:textId="77777777" w:rsidR="005F7B49" w:rsidRPr="005F7B49" w:rsidRDefault="005F7B49" w:rsidP="005F7B49">
            <w:pPr>
              <w:spacing w:before="0" w:after="0" w:line="240" w:lineRule="auto"/>
              <w:rPr>
                <w:rFonts w:ascii="Arial" w:hAnsi="Arial" w:cs="Arial"/>
                <w:color w:val="000000"/>
                <w:sz w:val="16"/>
                <w:szCs w:val="16"/>
              </w:rPr>
            </w:pPr>
            <w:r w:rsidRPr="005F7B49">
              <w:rPr>
                <w:rFonts w:ascii="Arial" w:hAnsi="Arial" w:cs="Arial"/>
                <w:color w:val="000000"/>
                <w:sz w:val="16"/>
                <w:szCs w:val="16"/>
              </w:rPr>
              <w:t>Navy Capabilities</w:t>
            </w:r>
          </w:p>
        </w:tc>
        <w:tc>
          <w:tcPr>
            <w:tcW w:w="711" w:type="pct"/>
            <w:tcBorders>
              <w:top w:val="nil"/>
              <w:left w:val="nil"/>
              <w:bottom w:val="nil"/>
              <w:right w:val="nil"/>
            </w:tcBorders>
            <w:shd w:val="clear" w:color="000000" w:fill="FFFFFF"/>
            <w:noWrap/>
            <w:vAlign w:val="center"/>
            <w:hideMark/>
          </w:tcPr>
          <w:p w14:paraId="5D0D1236" w14:textId="77777777" w:rsidR="005F7B49" w:rsidRPr="005F7B49" w:rsidRDefault="005F7B49" w:rsidP="005F7B49">
            <w:pPr>
              <w:spacing w:before="0" w:after="0" w:line="240" w:lineRule="auto"/>
              <w:rPr>
                <w:rFonts w:ascii="Arial" w:hAnsi="Arial" w:cs="Arial"/>
                <w:color w:val="000000"/>
                <w:sz w:val="16"/>
                <w:szCs w:val="16"/>
              </w:rPr>
            </w:pPr>
            <w:r w:rsidRPr="005F7B49">
              <w:rPr>
                <w:rFonts w:ascii="Arial" w:hAnsi="Arial" w:cs="Arial"/>
                <w:color w:val="000000"/>
                <w:sz w:val="16"/>
                <w:szCs w:val="16"/>
              </w:rPr>
              <w:t>Defence</w:t>
            </w:r>
          </w:p>
        </w:tc>
        <w:tc>
          <w:tcPr>
            <w:tcW w:w="59" w:type="pct"/>
            <w:tcBorders>
              <w:top w:val="nil"/>
              <w:left w:val="nil"/>
              <w:bottom w:val="nil"/>
              <w:right w:val="nil"/>
            </w:tcBorders>
            <w:shd w:val="clear" w:color="000000" w:fill="FFFFFF"/>
            <w:noWrap/>
            <w:vAlign w:val="center"/>
            <w:hideMark/>
          </w:tcPr>
          <w:p w14:paraId="59809621" w14:textId="77777777" w:rsidR="005F7B49" w:rsidRPr="005F7B49" w:rsidRDefault="005F7B49" w:rsidP="005F7B49">
            <w:pPr>
              <w:spacing w:before="0" w:after="0" w:line="240" w:lineRule="auto"/>
              <w:rPr>
                <w:rFonts w:ascii="Arial" w:hAnsi="Arial" w:cs="Arial"/>
                <w:color w:val="000000"/>
                <w:sz w:val="16"/>
                <w:szCs w:val="16"/>
              </w:rPr>
            </w:pPr>
            <w:r w:rsidRPr="005F7B49">
              <w:rPr>
                <w:rFonts w:ascii="Arial" w:hAnsi="Arial" w:cs="Arial"/>
                <w:color w:val="000000"/>
                <w:sz w:val="16"/>
                <w:szCs w:val="16"/>
              </w:rPr>
              <w:t> </w:t>
            </w:r>
          </w:p>
        </w:tc>
        <w:tc>
          <w:tcPr>
            <w:tcW w:w="472" w:type="pct"/>
            <w:tcBorders>
              <w:top w:val="nil"/>
              <w:left w:val="nil"/>
              <w:bottom w:val="nil"/>
              <w:right w:val="nil"/>
            </w:tcBorders>
            <w:shd w:val="clear" w:color="000000" w:fill="FFFFFF"/>
            <w:noWrap/>
            <w:vAlign w:val="center"/>
            <w:hideMark/>
          </w:tcPr>
          <w:p w14:paraId="350C5B23" w14:textId="77777777" w:rsidR="005F7B49" w:rsidRPr="005F7B49" w:rsidRDefault="005F7B49" w:rsidP="005F7B49">
            <w:pPr>
              <w:spacing w:before="0" w:after="0" w:line="240" w:lineRule="auto"/>
              <w:jc w:val="right"/>
              <w:rPr>
                <w:rFonts w:ascii="Arial" w:hAnsi="Arial" w:cs="Arial"/>
                <w:color w:val="000000"/>
                <w:sz w:val="16"/>
                <w:szCs w:val="16"/>
              </w:rPr>
            </w:pPr>
            <w:r w:rsidRPr="005F7B49">
              <w:rPr>
                <w:rFonts w:ascii="Arial" w:hAnsi="Arial" w:cs="Arial"/>
                <w:color w:val="000000"/>
                <w:sz w:val="16"/>
                <w:szCs w:val="16"/>
              </w:rPr>
              <w:t>10,466</w:t>
            </w:r>
          </w:p>
        </w:tc>
        <w:tc>
          <w:tcPr>
            <w:tcW w:w="472" w:type="pct"/>
            <w:tcBorders>
              <w:top w:val="nil"/>
              <w:left w:val="nil"/>
              <w:bottom w:val="nil"/>
              <w:right w:val="nil"/>
            </w:tcBorders>
            <w:shd w:val="clear" w:color="000000" w:fill="E6F2FF"/>
            <w:noWrap/>
            <w:vAlign w:val="center"/>
            <w:hideMark/>
          </w:tcPr>
          <w:p w14:paraId="36111DD0" w14:textId="77777777" w:rsidR="005F7B49" w:rsidRPr="005F7B49" w:rsidRDefault="005F7B49" w:rsidP="005F7B49">
            <w:pPr>
              <w:spacing w:before="0" w:after="0" w:line="240" w:lineRule="auto"/>
              <w:jc w:val="right"/>
              <w:rPr>
                <w:rFonts w:ascii="Arial" w:hAnsi="Arial" w:cs="Arial"/>
                <w:color w:val="000000"/>
                <w:sz w:val="16"/>
                <w:szCs w:val="16"/>
              </w:rPr>
            </w:pPr>
            <w:r w:rsidRPr="005F7B49">
              <w:rPr>
                <w:rFonts w:ascii="Arial" w:hAnsi="Arial" w:cs="Arial"/>
                <w:color w:val="000000"/>
                <w:sz w:val="16"/>
                <w:szCs w:val="16"/>
              </w:rPr>
              <w:t>10,414</w:t>
            </w:r>
          </w:p>
        </w:tc>
        <w:tc>
          <w:tcPr>
            <w:tcW w:w="472" w:type="pct"/>
            <w:tcBorders>
              <w:top w:val="nil"/>
              <w:left w:val="nil"/>
              <w:bottom w:val="nil"/>
              <w:right w:val="nil"/>
            </w:tcBorders>
            <w:shd w:val="clear" w:color="000000" w:fill="FFFFFF"/>
            <w:noWrap/>
            <w:vAlign w:val="center"/>
            <w:hideMark/>
          </w:tcPr>
          <w:p w14:paraId="49B19512" w14:textId="77777777" w:rsidR="005F7B49" w:rsidRPr="005F7B49" w:rsidRDefault="005F7B49" w:rsidP="005F7B49">
            <w:pPr>
              <w:spacing w:before="0" w:after="0" w:line="240" w:lineRule="auto"/>
              <w:jc w:val="right"/>
              <w:rPr>
                <w:rFonts w:ascii="Arial" w:hAnsi="Arial" w:cs="Arial"/>
                <w:color w:val="000000"/>
                <w:sz w:val="16"/>
                <w:szCs w:val="16"/>
              </w:rPr>
            </w:pPr>
            <w:r w:rsidRPr="005F7B49">
              <w:rPr>
                <w:rFonts w:ascii="Arial" w:hAnsi="Arial" w:cs="Arial"/>
                <w:color w:val="000000"/>
                <w:sz w:val="16"/>
                <w:szCs w:val="16"/>
              </w:rPr>
              <w:t>11,310</w:t>
            </w:r>
          </w:p>
        </w:tc>
        <w:tc>
          <w:tcPr>
            <w:tcW w:w="472" w:type="pct"/>
            <w:tcBorders>
              <w:top w:val="nil"/>
              <w:left w:val="nil"/>
              <w:bottom w:val="nil"/>
              <w:right w:val="nil"/>
            </w:tcBorders>
            <w:shd w:val="clear" w:color="000000" w:fill="FFFFFF"/>
            <w:noWrap/>
            <w:vAlign w:val="center"/>
            <w:hideMark/>
          </w:tcPr>
          <w:p w14:paraId="3CB0AB95" w14:textId="77777777" w:rsidR="005F7B49" w:rsidRPr="005F7B49" w:rsidRDefault="005F7B49" w:rsidP="005F7B49">
            <w:pPr>
              <w:spacing w:before="0" w:after="0" w:line="240" w:lineRule="auto"/>
              <w:jc w:val="right"/>
              <w:rPr>
                <w:rFonts w:ascii="Arial" w:hAnsi="Arial" w:cs="Arial"/>
                <w:color w:val="000000"/>
                <w:sz w:val="16"/>
                <w:szCs w:val="16"/>
              </w:rPr>
            </w:pPr>
            <w:r w:rsidRPr="005F7B49">
              <w:rPr>
                <w:rFonts w:ascii="Arial" w:hAnsi="Arial" w:cs="Arial"/>
                <w:color w:val="000000"/>
                <w:sz w:val="16"/>
                <w:szCs w:val="16"/>
              </w:rPr>
              <w:t>12,470</w:t>
            </w:r>
          </w:p>
        </w:tc>
        <w:tc>
          <w:tcPr>
            <w:tcW w:w="472" w:type="pct"/>
            <w:tcBorders>
              <w:top w:val="nil"/>
              <w:left w:val="nil"/>
              <w:bottom w:val="nil"/>
              <w:right w:val="nil"/>
            </w:tcBorders>
            <w:shd w:val="clear" w:color="000000" w:fill="FFFFFF"/>
            <w:noWrap/>
            <w:vAlign w:val="center"/>
            <w:hideMark/>
          </w:tcPr>
          <w:p w14:paraId="60B33703" w14:textId="77777777" w:rsidR="005F7B49" w:rsidRPr="005F7B49" w:rsidRDefault="005F7B49" w:rsidP="005F7B49">
            <w:pPr>
              <w:spacing w:before="0" w:after="0" w:line="240" w:lineRule="auto"/>
              <w:jc w:val="right"/>
              <w:rPr>
                <w:rFonts w:ascii="Arial" w:hAnsi="Arial" w:cs="Arial"/>
                <w:color w:val="000000"/>
                <w:sz w:val="16"/>
                <w:szCs w:val="16"/>
              </w:rPr>
            </w:pPr>
            <w:r w:rsidRPr="005F7B49">
              <w:rPr>
                <w:rFonts w:ascii="Arial" w:hAnsi="Arial" w:cs="Arial"/>
                <w:color w:val="000000"/>
                <w:sz w:val="16"/>
                <w:szCs w:val="16"/>
              </w:rPr>
              <w:t>12,551</w:t>
            </w:r>
          </w:p>
        </w:tc>
      </w:tr>
      <w:tr w:rsidR="005F7B49" w:rsidRPr="005F7B49" w14:paraId="5FA58D53" w14:textId="77777777" w:rsidTr="005F7B49">
        <w:trPr>
          <w:trHeight w:hRule="exact" w:val="226"/>
        </w:trPr>
        <w:tc>
          <w:tcPr>
            <w:tcW w:w="1873" w:type="pct"/>
            <w:tcBorders>
              <w:top w:val="nil"/>
              <w:left w:val="nil"/>
              <w:bottom w:val="nil"/>
              <w:right w:val="nil"/>
            </w:tcBorders>
            <w:shd w:val="clear" w:color="000000" w:fill="FFFFFF"/>
            <w:noWrap/>
            <w:vAlign w:val="center"/>
            <w:hideMark/>
          </w:tcPr>
          <w:p w14:paraId="30DFE1A1" w14:textId="77777777" w:rsidR="005F7B49" w:rsidRPr="005F7B49" w:rsidRDefault="005F7B49" w:rsidP="005F7B49">
            <w:pPr>
              <w:spacing w:before="0" w:after="0" w:line="240" w:lineRule="auto"/>
              <w:rPr>
                <w:rFonts w:ascii="Arial" w:hAnsi="Arial" w:cs="Arial"/>
                <w:color w:val="000000"/>
                <w:sz w:val="16"/>
                <w:szCs w:val="16"/>
              </w:rPr>
            </w:pPr>
            <w:r w:rsidRPr="005F7B49">
              <w:rPr>
                <w:rFonts w:ascii="Arial" w:hAnsi="Arial" w:cs="Arial"/>
                <w:color w:val="000000"/>
                <w:sz w:val="16"/>
                <w:szCs w:val="16"/>
              </w:rPr>
              <w:t>Fuel Tax Credits Scheme</w:t>
            </w:r>
          </w:p>
        </w:tc>
        <w:tc>
          <w:tcPr>
            <w:tcW w:w="711" w:type="pct"/>
            <w:tcBorders>
              <w:top w:val="nil"/>
              <w:left w:val="nil"/>
              <w:bottom w:val="nil"/>
              <w:right w:val="nil"/>
            </w:tcBorders>
            <w:shd w:val="clear" w:color="000000" w:fill="FFFFFF"/>
            <w:noWrap/>
            <w:vAlign w:val="center"/>
            <w:hideMark/>
          </w:tcPr>
          <w:p w14:paraId="17DFB109" w14:textId="77777777" w:rsidR="005F7B49" w:rsidRPr="005F7B49" w:rsidRDefault="005F7B49" w:rsidP="005F7B49">
            <w:pPr>
              <w:spacing w:before="0" w:after="0" w:line="240" w:lineRule="auto"/>
              <w:rPr>
                <w:rFonts w:ascii="Arial" w:hAnsi="Arial" w:cs="Arial"/>
                <w:color w:val="000000"/>
                <w:sz w:val="16"/>
                <w:szCs w:val="16"/>
              </w:rPr>
            </w:pPr>
            <w:r w:rsidRPr="005F7B49">
              <w:rPr>
                <w:rFonts w:ascii="Arial" w:hAnsi="Arial" w:cs="Arial"/>
                <w:color w:val="000000"/>
                <w:sz w:val="16"/>
                <w:szCs w:val="16"/>
              </w:rPr>
              <w:t>Fuel and energy</w:t>
            </w:r>
          </w:p>
        </w:tc>
        <w:tc>
          <w:tcPr>
            <w:tcW w:w="59" w:type="pct"/>
            <w:tcBorders>
              <w:top w:val="nil"/>
              <w:left w:val="nil"/>
              <w:bottom w:val="nil"/>
              <w:right w:val="nil"/>
            </w:tcBorders>
            <w:shd w:val="clear" w:color="000000" w:fill="FFFFFF"/>
            <w:noWrap/>
            <w:vAlign w:val="center"/>
            <w:hideMark/>
          </w:tcPr>
          <w:p w14:paraId="7B976E0C" w14:textId="77777777" w:rsidR="005F7B49" w:rsidRPr="005F7B49" w:rsidRDefault="005F7B49" w:rsidP="005F7B49">
            <w:pPr>
              <w:spacing w:before="0" w:after="0" w:line="240" w:lineRule="auto"/>
              <w:rPr>
                <w:rFonts w:ascii="Arial" w:hAnsi="Arial" w:cs="Arial"/>
                <w:color w:val="000000"/>
                <w:sz w:val="16"/>
                <w:szCs w:val="16"/>
              </w:rPr>
            </w:pPr>
            <w:r w:rsidRPr="005F7B49">
              <w:rPr>
                <w:rFonts w:ascii="Arial" w:hAnsi="Arial" w:cs="Arial"/>
                <w:color w:val="000000"/>
                <w:sz w:val="16"/>
                <w:szCs w:val="16"/>
              </w:rPr>
              <w:t> </w:t>
            </w:r>
          </w:p>
        </w:tc>
        <w:tc>
          <w:tcPr>
            <w:tcW w:w="472" w:type="pct"/>
            <w:tcBorders>
              <w:top w:val="nil"/>
              <w:left w:val="nil"/>
              <w:bottom w:val="nil"/>
              <w:right w:val="nil"/>
            </w:tcBorders>
            <w:shd w:val="clear" w:color="000000" w:fill="FFFFFF"/>
            <w:noWrap/>
            <w:vAlign w:val="center"/>
            <w:hideMark/>
          </w:tcPr>
          <w:p w14:paraId="7B65C302" w14:textId="77777777" w:rsidR="005F7B49" w:rsidRPr="005F7B49" w:rsidRDefault="005F7B49" w:rsidP="005F7B49">
            <w:pPr>
              <w:spacing w:before="0" w:after="0" w:line="240" w:lineRule="auto"/>
              <w:jc w:val="right"/>
              <w:rPr>
                <w:rFonts w:ascii="Arial" w:hAnsi="Arial" w:cs="Arial"/>
                <w:color w:val="000000"/>
                <w:sz w:val="16"/>
                <w:szCs w:val="16"/>
              </w:rPr>
            </w:pPr>
            <w:r w:rsidRPr="005F7B49">
              <w:rPr>
                <w:rFonts w:ascii="Arial" w:hAnsi="Arial" w:cs="Arial"/>
                <w:color w:val="000000"/>
                <w:sz w:val="16"/>
                <w:szCs w:val="16"/>
              </w:rPr>
              <w:t>9,704</w:t>
            </w:r>
          </w:p>
        </w:tc>
        <w:tc>
          <w:tcPr>
            <w:tcW w:w="472" w:type="pct"/>
            <w:tcBorders>
              <w:top w:val="nil"/>
              <w:left w:val="nil"/>
              <w:bottom w:val="nil"/>
              <w:right w:val="nil"/>
            </w:tcBorders>
            <w:shd w:val="clear" w:color="000000" w:fill="E6F2FF"/>
            <w:noWrap/>
            <w:vAlign w:val="center"/>
            <w:hideMark/>
          </w:tcPr>
          <w:p w14:paraId="09F71F49" w14:textId="77777777" w:rsidR="005F7B49" w:rsidRPr="005F7B49" w:rsidRDefault="005F7B49" w:rsidP="005F7B49">
            <w:pPr>
              <w:spacing w:before="0" w:after="0" w:line="240" w:lineRule="auto"/>
              <w:jc w:val="right"/>
              <w:rPr>
                <w:rFonts w:ascii="Arial" w:hAnsi="Arial" w:cs="Arial"/>
                <w:color w:val="000000"/>
                <w:sz w:val="16"/>
                <w:szCs w:val="16"/>
              </w:rPr>
            </w:pPr>
            <w:r w:rsidRPr="005F7B49">
              <w:rPr>
                <w:rFonts w:ascii="Arial" w:hAnsi="Arial" w:cs="Arial"/>
                <w:color w:val="000000"/>
                <w:sz w:val="16"/>
                <w:szCs w:val="16"/>
              </w:rPr>
              <w:t>10,133</w:t>
            </w:r>
          </w:p>
        </w:tc>
        <w:tc>
          <w:tcPr>
            <w:tcW w:w="472" w:type="pct"/>
            <w:tcBorders>
              <w:top w:val="nil"/>
              <w:left w:val="nil"/>
              <w:bottom w:val="nil"/>
              <w:right w:val="nil"/>
            </w:tcBorders>
            <w:shd w:val="clear" w:color="000000" w:fill="FFFFFF"/>
            <w:noWrap/>
            <w:vAlign w:val="center"/>
            <w:hideMark/>
          </w:tcPr>
          <w:p w14:paraId="6877FB39" w14:textId="77777777" w:rsidR="005F7B49" w:rsidRPr="005F7B49" w:rsidRDefault="005F7B49" w:rsidP="005F7B49">
            <w:pPr>
              <w:spacing w:before="0" w:after="0" w:line="240" w:lineRule="auto"/>
              <w:jc w:val="right"/>
              <w:rPr>
                <w:rFonts w:ascii="Arial" w:hAnsi="Arial" w:cs="Arial"/>
                <w:color w:val="000000"/>
                <w:sz w:val="16"/>
                <w:szCs w:val="16"/>
              </w:rPr>
            </w:pPr>
            <w:r w:rsidRPr="005F7B49">
              <w:rPr>
                <w:rFonts w:ascii="Arial" w:hAnsi="Arial" w:cs="Arial"/>
                <w:color w:val="000000"/>
                <w:sz w:val="16"/>
                <w:szCs w:val="16"/>
              </w:rPr>
              <w:t>10,484</w:t>
            </w:r>
          </w:p>
        </w:tc>
        <w:tc>
          <w:tcPr>
            <w:tcW w:w="472" w:type="pct"/>
            <w:tcBorders>
              <w:top w:val="nil"/>
              <w:left w:val="nil"/>
              <w:bottom w:val="nil"/>
              <w:right w:val="nil"/>
            </w:tcBorders>
            <w:shd w:val="clear" w:color="000000" w:fill="FFFFFF"/>
            <w:noWrap/>
            <w:vAlign w:val="center"/>
            <w:hideMark/>
          </w:tcPr>
          <w:p w14:paraId="5DEDB364" w14:textId="77777777" w:rsidR="005F7B49" w:rsidRPr="005F7B49" w:rsidRDefault="005F7B49" w:rsidP="005F7B49">
            <w:pPr>
              <w:spacing w:before="0" w:after="0" w:line="240" w:lineRule="auto"/>
              <w:jc w:val="right"/>
              <w:rPr>
                <w:rFonts w:ascii="Arial" w:hAnsi="Arial" w:cs="Arial"/>
                <w:color w:val="000000"/>
                <w:sz w:val="16"/>
                <w:szCs w:val="16"/>
              </w:rPr>
            </w:pPr>
            <w:r w:rsidRPr="005F7B49">
              <w:rPr>
                <w:rFonts w:ascii="Arial" w:hAnsi="Arial" w:cs="Arial"/>
                <w:color w:val="000000"/>
                <w:sz w:val="16"/>
                <w:szCs w:val="16"/>
              </w:rPr>
              <w:t>11,196</w:t>
            </w:r>
          </w:p>
        </w:tc>
        <w:tc>
          <w:tcPr>
            <w:tcW w:w="472" w:type="pct"/>
            <w:tcBorders>
              <w:top w:val="nil"/>
              <w:left w:val="nil"/>
              <w:bottom w:val="nil"/>
              <w:right w:val="nil"/>
            </w:tcBorders>
            <w:shd w:val="clear" w:color="000000" w:fill="FFFFFF"/>
            <w:noWrap/>
            <w:vAlign w:val="center"/>
            <w:hideMark/>
          </w:tcPr>
          <w:p w14:paraId="0307DC92" w14:textId="77777777" w:rsidR="005F7B49" w:rsidRPr="005F7B49" w:rsidRDefault="005F7B49" w:rsidP="005F7B49">
            <w:pPr>
              <w:spacing w:before="0" w:after="0" w:line="240" w:lineRule="auto"/>
              <w:jc w:val="right"/>
              <w:rPr>
                <w:rFonts w:ascii="Arial" w:hAnsi="Arial" w:cs="Arial"/>
                <w:color w:val="000000"/>
                <w:sz w:val="16"/>
                <w:szCs w:val="16"/>
              </w:rPr>
            </w:pPr>
            <w:r w:rsidRPr="005F7B49">
              <w:rPr>
                <w:rFonts w:ascii="Arial" w:hAnsi="Arial" w:cs="Arial"/>
                <w:color w:val="000000"/>
                <w:sz w:val="16"/>
                <w:szCs w:val="16"/>
              </w:rPr>
              <w:t>11,994</w:t>
            </w:r>
          </w:p>
        </w:tc>
      </w:tr>
      <w:tr w:rsidR="005F7B49" w:rsidRPr="005F7B49" w14:paraId="659B29F8" w14:textId="77777777" w:rsidTr="005F7B49">
        <w:trPr>
          <w:trHeight w:hRule="exact" w:val="226"/>
        </w:trPr>
        <w:tc>
          <w:tcPr>
            <w:tcW w:w="1873" w:type="pct"/>
            <w:tcBorders>
              <w:top w:val="nil"/>
              <w:left w:val="nil"/>
              <w:bottom w:val="nil"/>
              <w:right w:val="nil"/>
            </w:tcBorders>
            <w:shd w:val="clear" w:color="000000" w:fill="FFFFFF"/>
            <w:noWrap/>
            <w:vAlign w:val="center"/>
            <w:hideMark/>
          </w:tcPr>
          <w:p w14:paraId="6D2BA383" w14:textId="02DCF186" w:rsidR="005F7B49" w:rsidRPr="005F7B49" w:rsidRDefault="005F7B49" w:rsidP="005F7B49">
            <w:pPr>
              <w:spacing w:before="0" w:after="0" w:line="240" w:lineRule="auto"/>
              <w:rPr>
                <w:rFonts w:ascii="Arial" w:hAnsi="Arial" w:cs="Arial"/>
                <w:color w:val="000000"/>
                <w:sz w:val="16"/>
                <w:szCs w:val="16"/>
              </w:rPr>
            </w:pPr>
            <w:r w:rsidRPr="005F7B49">
              <w:rPr>
                <w:rFonts w:ascii="Arial" w:hAnsi="Arial" w:cs="Arial"/>
                <w:color w:val="000000"/>
                <w:sz w:val="16"/>
                <w:szCs w:val="16"/>
              </w:rPr>
              <w:t xml:space="preserve">Public Sector Superannuation </w:t>
            </w:r>
            <w:r w:rsidR="008D4F6B">
              <w:rPr>
                <w:rFonts w:ascii="Arial" w:hAnsi="Arial" w:cs="Arial"/>
                <w:color w:val="000000"/>
                <w:sz w:val="16"/>
                <w:szCs w:val="16"/>
              </w:rPr>
              <w:noBreakHyphen/>
            </w:r>
          </w:p>
        </w:tc>
        <w:tc>
          <w:tcPr>
            <w:tcW w:w="711" w:type="pct"/>
            <w:tcBorders>
              <w:top w:val="nil"/>
              <w:left w:val="nil"/>
              <w:bottom w:val="nil"/>
              <w:right w:val="nil"/>
            </w:tcBorders>
            <w:shd w:val="clear" w:color="000000" w:fill="FFFFFF"/>
            <w:noWrap/>
            <w:vAlign w:val="center"/>
            <w:hideMark/>
          </w:tcPr>
          <w:p w14:paraId="3E2CBAD2" w14:textId="77777777" w:rsidR="005F7B49" w:rsidRPr="005F7B49" w:rsidRDefault="005F7B49" w:rsidP="005F7B49">
            <w:pPr>
              <w:spacing w:before="0" w:after="0" w:line="240" w:lineRule="auto"/>
              <w:rPr>
                <w:rFonts w:ascii="Arial" w:hAnsi="Arial" w:cs="Arial"/>
                <w:color w:val="000000"/>
                <w:sz w:val="16"/>
                <w:szCs w:val="16"/>
              </w:rPr>
            </w:pPr>
            <w:r w:rsidRPr="005F7B49">
              <w:rPr>
                <w:rFonts w:ascii="Arial" w:hAnsi="Arial" w:cs="Arial"/>
                <w:color w:val="000000"/>
                <w:sz w:val="16"/>
                <w:szCs w:val="16"/>
              </w:rPr>
              <w:t>General public</w:t>
            </w:r>
          </w:p>
        </w:tc>
        <w:tc>
          <w:tcPr>
            <w:tcW w:w="59" w:type="pct"/>
            <w:tcBorders>
              <w:top w:val="nil"/>
              <w:left w:val="nil"/>
              <w:bottom w:val="nil"/>
              <w:right w:val="nil"/>
            </w:tcBorders>
            <w:shd w:val="clear" w:color="000000" w:fill="FFFFFF"/>
            <w:noWrap/>
            <w:vAlign w:val="center"/>
            <w:hideMark/>
          </w:tcPr>
          <w:p w14:paraId="5507E939" w14:textId="77777777" w:rsidR="005F7B49" w:rsidRPr="005F7B49" w:rsidRDefault="005F7B49" w:rsidP="005F7B49">
            <w:pPr>
              <w:spacing w:before="0" w:after="0" w:line="240" w:lineRule="auto"/>
              <w:rPr>
                <w:rFonts w:ascii="Arial" w:hAnsi="Arial" w:cs="Arial"/>
                <w:color w:val="000000"/>
                <w:sz w:val="16"/>
                <w:szCs w:val="16"/>
              </w:rPr>
            </w:pPr>
            <w:r w:rsidRPr="005F7B49">
              <w:rPr>
                <w:rFonts w:ascii="Arial" w:hAnsi="Arial" w:cs="Arial"/>
                <w:color w:val="000000"/>
                <w:sz w:val="16"/>
                <w:szCs w:val="16"/>
              </w:rPr>
              <w:t> </w:t>
            </w:r>
          </w:p>
        </w:tc>
        <w:tc>
          <w:tcPr>
            <w:tcW w:w="472" w:type="pct"/>
            <w:tcBorders>
              <w:top w:val="nil"/>
              <w:left w:val="nil"/>
              <w:bottom w:val="nil"/>
              <w:right w:val="nil"/>
            </w:tcBorders>
            <w:shd w:val="clear" w:color="000000" w:fill="FFFFFF"/>
            <w:noWrap/>
            <w:vAlign w:val="center"/>
            <w:hideMark/>
          </w:tcPr>
          <w:p w14:paraId="2B8B0EDE" w14:textId="77777777" w:rsidR="005F7B49" w:rsidRPr="005F7B49" w:rsidRDefault="005F7B49" w:rsidP="005F7B49">
            <w:pPr>
              <w:spacing w:before="0" w:after="0" w:line="240" w:lineRule="auto"/>
              <w:rPr>
                <w:rFonts w:ascii="Arial" w:hAnsi="Arial" w:cs="Arial"/>
                <w:color w:val="000000"/>
                <w:sz w:val="16"/>
                <w:szCs w:val="16"/>
              </w:rPr>
            </w:pPr>
            <w:r w:rsidRPr="005F7B49">
              <w:rPr>
                <w:rFonts w:ascii="Arial" w:hAnsi="Arial" w:cs="Arial"/>
                <w:color w:val="000000"/>
                <w:sz w:val="16"/>
                <w:szCs w:val="16"/>
              </w:rPr>
              <w:t> </w:t>
            </w:r>
          </w:p>
        </w:tc>
        <w:tc>
          <w:tcPr>
            <w:tcW w:w="472" w:type="pct"/>
            <w:tcBorders>
              <w:top w:val="nil"/>
              <w:left w:val="nil"/>
              <w:bottom w:val="nil"/>
              <w:right w:val="nil"/>
            </w:tcBorders>
            <w:shd w:val="clear" w:color="000000" w:fill="E6F2FF"/>
            <w:noWrap/>
            <w:vAlign w:val="center"/>
            <w:hideMark/>
          </w:tcPr>
          <w:p w14:paraId="10C6285A" w14:textId="77777777" w:rsidR="005F7B49" w:rsidRPr="005F7B49" w:rsidRDefault="005F7B49" w:rsidP="005F7B49">
            <w:pPr>
              <w:spacing w:before="0" w:after="0" w:line="240" w:lineRule="auto"/>
              <w:rPr>
                <w:rFonts w:ascii="Arial" w:hAnsi="Arial" w:cs="Arial"/>
                <w:color w:val="000000"/>
                <w:sz w:val="16"/>
                <w:szCs w:val="16"/>
              </w:rPr>
            </w:pPr>
            <w:r w:rsidRPr="005F7B49">
              <w:rPr>
                <w:rFonts w:ascii="Arial" w:hAnsi="Arial" w:cs="Arial"/>
                <w:color w:val="000000"/>
                <w:sz w:val="16"/>
                <w:szCs w:val="16"/>
              </w:rPr>
              <w:t> </w:t>
            </w:r>
          </w:p>
        </w:tc>
        <w:tc>
          <w:tcPr>
            <w:tcW w:w="472" w:type="pct"/>
            <w:tcBorders>
              <w:top w:val="nil"/>
              <w:left w:val="nil"/>
              <w:bottom w:val="nil"/>
              <w:right w:val="nil"/>
            </w:tcBorders>
            <w:shd w:val="clear" w:color="000000" w:fill="FFFFFF"/>
            <w:noWrap/>
            <w:vAlign w:val="center"/>
            <w:hideMark/>
          </w:tcPr>
          <w:p w14:paraId="1D06C609" w14:textId="77777777" w:rsidR="005F7B49" w:rsidRPr="005F7B49" w:rsidRDefault="005F7B49" w:rsidP="005F7B49">
            <w:pPr>
              <w:spacing w:before="0" w:after="0" w:line="240" w:lineRule="auto"/>
              <w:rPr>
                <w:rFonts w:ascii="Arial" w:hAnsi="Arial" w:cs="Arial"/>
                <w:color w:val="000000"/>
                <w:sz w:val="16"/>
                <w:szCs w:val="16"/>
              </w:rPr>
            </w:pPr>
            <w:r w:rsidRPr="005F7B49">
              <w:rPr>
                <w:rFonts w:ascii="Arial" w:hAnsi="Arial" w:cs="Arial"/>
                <w:color w:val="000000"/>
                <w:sz w:val="16"/>
                <w:szCs w:val="16"/>
              </w:rPr>
              <w:t> </w:t>
            </w:r>
          </w:p>
        </w:tc>
        <w:tc>
          <w:tcPr>
            <w:tcW w:w="472" w:type="pct"/>
            <w:tcBorders>
              <w:top w:val="nil"/>
              <w:left w:val="nil"/>
              <w:bottom w:val="nil"/>
              <w:right w:val="nil"/>
            </w:tcBorders>
            <w:shd w:val="clear" w:color="000000" w:fill="FFFFFF"/>
            <w:noWrap/>
            <w:vAlign w:val="center"/>
            <w:hideMark/>
          </w:tcPr>
          <w:p w14:paraId="27E809BC" w14:textId="77777777" w:rsidR="005F7B49" w:rsidRPr="005F7B49" w:rsidRDefault="005F7B49" w:rsidP="005F7B49">
            <w:pPr>
              <w:spacing w:before="0" w:after="0" w:line="240" w:lineRule="auto"/>
              <w:rPr>
                <w:rFonts w:ascii="Arial" w:hAnsi="Arial" w:cs="Arial"/>
                <w:color w:val="000000"/>
                <w:sz w:val="16"/>
                <w:szCs w:val="16"/>
              </w:rPr>
            </w:pPr>
            <w:r w:rsidRPr="005F7B49">
              <w:rPr>
                <w:rFonts w:ascii="Arial" w:hAnsi="Arial" w:cs="Arial"/>
                <w:color w:val="000000"/>
                <w:sz w:val="16"/>
                <w:szCs w:val="16"/>
              </w:rPr>
              <w:t> </w:t>
            </w:r>
          </w:p>
        </w:tc>
        <w:tc>
          <w:tcPr>
            <w:tcW w:w="472" w:type="pct"/>
            <w:tcBorders>
              <w:top w:val="nil"/>
              <w:left w:val="nil"/>
              <w:bottom w:val="nil"/>
              <w:right w:val="nil"/>
            </w:tcBorders>
            <w:shd w:val="clear" w:color="000000" w:fill="FFFFFF"/>
            <w:noWrap/>
            <w:vAlign w:val="center"/>
            <w:hideMark/>
          </w:tcPr>
          <w:p w14:paraId="0BCA2932" w14:textId="77777777" w:rsidR="005F7B49" w:rsidRPr="005F7B49" w:rsidRDefault="005F7B49" w:rsidP="005F7B49">
            <w:pPr>
              <w:spacing w:before="0" w:after="0" w:line="240" w:lineRule="auto"/>
              <w:rPr>
                <w:rFonts w:ascii="Arial" w:hAnsi="Arial" w:cs="Arial"/>
                <w:color w:val="000000"/>
                <w:sz w:val="16"/>
                <w:szCs w:val="16"/>
              </w:rPr>
            </w:pPr>
            <w:r w:rsidRPr="005F7B49">
              <w:rPr>
                <w:rFonts w:ascii="Arial" w:hAnsi="Arial" w:cs="Arial"/>
                <w:color w:val="000000"/>
                <w:sz w:val="16"/>
                <w:szCs w:val="16"/>
              </w:rPr>
              <w:t> </w:t>
            </w:r>
          </w:p>
        </w:tc>
      </w:tr>
      <w:tr w:rsidR="005F7B49" w:rsidRPr="005F7B49" w14:paraId="7BD9D568" w14:textId="77777777" w:rsidTr="005F7B49">
        <w:trPr>
          <w:trHeight w:hRule="exact" w:val="226"/>
        </w:trPr>
        <w:tc>
          <w:tcPr>
            <w:tcW w:w="1873" w:type="pct"/>
            <w:tcBorders>
              <w:top w:val="nil"/>
              <w:left w:val="nil"/>
              <w:bottom w:val="nil"/>
              <w:right w:val="nil"/>
            </w:tcBorders>
            <w:shd w:val="clear" w:color="000000" w:fill="FFFFFF"/>
            <w:noWrap/>
            <w:vAlign w:val="center"/>
            <w:hideMark/>
          </w:tcPr>
          <w:p w14:paraId="0CA601E3" w14:textId="77777777" w:rsidR="005F7B49" w:rsidRPr="005F7B49" w:rsidRDefault="005F7B49" w:rsidP="005F7B49">
            <w:pPr>
              <w:spacing w:before="0" w:after="0" w:line="240" w:lineRule="auto"/>
              <w:ind w:left="170"/>
              <w:rPr>
                <w:rFonts w:ascii="Arial" w:hAnsi="Arial" w:cs="Arial"/>
                <w:color w:val="000000"/>
                <w:sz w:val="16"/>
                <w:szCs w:val="16"/>
              </w:rPr>
            </w:pPr>
            <w:r w:rsidRPr="005F7B49">
              <w:rPr>
                <w:rFonts w:ascii="Arial" w:hAnsi="Arial" w:cs="Arial"/>
                <w:color w:val="000000"/>
                <w:sz w:val="16"/>
                <w:szCs w:val="16"/>
              </w:rPr>
              <w:t>Benefits</w:t>
            </w:r>
          </w:p>
        </w:tc>
        <w:tc>
          <w:tcPr>
            <w:tcW w:w="711" w:type="pct"/>
            <w:tcBorders>
              <w:top w:val="nil"/>
              <w:left w:val="nil"/>
              <w:bottom w:val="nil"/>
              <w:right w:val="nil"/>
            </w:tcBorders>
            <w:shd w:val="clear" w:color="000000" w:fill="FFFFFF"/>
            <w:noWrap/>
            <w:vAlign w:val="center"/>
            <w:hideMark/>
          </w:tcPr>
          <w:p w14:paraId="57A31F6E" w14:textId="77777777" w:rsidR="005F7B49" w:rsidRPr="005F7B49" w:rsidRDefault="005F7B49" w:rsidP="005F7B49">
            <w:pPr>
              <w:spacing w:before="0" w:after="0" w:line="240" w:lineRule="auto"/>
              <w:rPr>
                <w:rFonts w:ascii="Arial" w:hAnsi="Arial" w:cs="Arial"/>
                <w:color w:val="000000"/>
                <w:sz w:val="16"/>
                <w:szCs w:val="16"/>
              </w:rPr>
            </w:pPr>
            <w:r w:rsidRPr="005F7B49">
              <w:rPr>
                <w:rFonts w:ascii="Arial" w:hAnsi="Arial" w:cs="Arial"/>
                <w:color w:val="000000"/>
                <w:sz w:val="16"/>
                <w:szCs w:val="16"/>
              </w:rPr>
              <w:t>services</w:t>
            </w:r>
          </w:p>
        </w:tc>
        <w:tc>
          <w:tcPr>
            <w:tcW w:w="59" w:type="pct"/>
            <w:tcBorders>
              <w:top w:val="nil"/>
              <w:left w:val="nil"/>
              <w:bottom w:val="nil"/>
              <w:right w:val="nil"/>
            </w:tcBorders>
            <w:shd w:val="clear" w:color="000000" w:fill="FFFFFF"/>
            <w:noWrap/>
            <w:vAlign w:val="center"/>
            <w:hideMark/>
          </w:tcPr>
          <w:p w14:paraId="27F9A11E" w14:textId="77777777" w:rsidR="005F7B49" w:rsidRPr="005F7B49" w:rsidRDefault="005F7B49" w:rsidP="005F7B49">
            <w:pPr>
              <w:spacing w:before="0" w:after="0" w:line="240" w:lineRule="auto"/>
              <w:rPr>
                <w:rFonts w:ascii="Arial" w:hAnsi="Arial" w:cs="Arial"/>
                <w:color w:val="000000"/>
                <w:sz w:val="16"/>
                <w:szCs w:val="16"/>
              </w:rPr>
            </w:pPr>
            <w:r w:rsidRPr="005F7B49">
              <w:rPr>
                <w:rFonts w:ascii="Arial" w:hAnsi="Arial" w:cs="Arial"/>
                <w:color w:val="000000"/>
                <w:sz w:val="16"/>
                <w:szCs w:val="16"/>
              </w:rPr>
              <w:t> </w:t>
            </w:r>
          </w:p>
        </w:tc>
        <w:tc>
          <w:tcPr>
            <w:tcW w:w="472" w:type="pct"/>
            <w:tcBorders>
              <w:top w:val="nil"/>
              <w:left w:val="nil"/>
              <w:bottom w:val="nil"/>
              <w:right w:val="nil"/>
            </w:tcBorders>
            <w:shd w:val="clear" w:color="000000" w:fill="FFFFFF"/>
            <w:noWrap/>
            <w:vAlign w:val="center"/>
            <w:hideMark/>
          </w:tcPr>
          <w:p w14:paraId="2EA6D3CA" w14:textId="77777777" w:rsidR="005F7B49" w:rsidRPr="005F7B49" w:rsidRDefault="005F7B49" w:rsidP="005F7B49">
            <w:pPr>
              <w:spacing w:before="0" w:after="0" w:line="240" w:lineRule="auto"/>
              <w:jc w:val="right"/>
              <w:rPr>
                <w:rFonts w:ascii="Arial" w:hAnsi="Arial" w:cs="Arial"/>
                <w:color w:val="000000"/>
                <w:sz w:val="16"/>
                <w:szCs w:val="16"/>
              </w:rPr>
            </w:pPr>
            <w:r w:rsidRPr="005F7B49">
              <w:rPr>
                <w:rFonts w:ascii="Arial" w:hAnsi="Arial" w:cs="Arial"/>
                <w:color w:val="000000"/>
                <w:sz w:val="16"/>
                <w:szCs w:val="16"/>
              </w:rPr>
              <w:t>9,427</w:t>
            </w:r>
          </w:p>
        </w:tc>
        <w:tc>
          <w:tcPr>
            <w:tcW w:w="472" w:type="pct"/>
            <w:tcBorders>
              <w:top w:val="nil"/>
              <w:left w:val="nil"/>
              <w:bottom w:val="nil"/>
              <w:right w:val="nil"/>
            </w:tcBorders>
            <w:shd w:val="clear" w:color="000000" w:fill="E6F2FF"/>
            <w:noWrap/>
            <w:vAlign w:val="center"/>
            <w:hideMark/>
          </w:tcPr>
          <w:p w14:paraId="5117C8B2" w14:textId="77777777" w:rsidR="005F7B49" w:rsidRPr="005F7B49" w:rsidRDefault="005F7B49" w:rsidP="005F7B49">
            <w:pPr>
              <w:spacing w:before="0" w:after="0" w:line="240" w:lineRule="auto"/>
              <w:jc w:val="right"/>
              <w:rPr>
                <w:rFonts w:ascii="Arial" w:hAnsi="Arial" w:cs="Arial"/>
                <w:color w:val="000000"/>
                <w:sz w:val="16"/>
                <w:szCs w:val="16"/>
              </w:rPr>
            </w:pPr>
            <w:r w:rsidRPr="005F7B49">
              <w:rPr>
                <w:rFonts w:ascii="Arial" w:hAnsi="Arial" w:cs="Arial"/>
                <w:color w:val="000000"/>
                <w:sz w:val="16"/>
                <w:szCs w:val="16"/>
              </w:rPr>
              <w:t>10,000</w:t>
            </w:r>
          </w:p>
        </w:tc>
        <w:tc>
          <w:tcPr>
            <w:tcW w:w="472" w:type="pct"/>
            <w:tcBorders>
              <w:top w:val="nil"/>
              <w:left w:val="nil"/>
              <w:bottom w:val="nil"/>
              <w:right w:val="nil"/>
            </w:tcBorders>
            <w:shd w:val="clear" w:color="000000" w:fill="FFFFFF"/>
            <w:noWrap/>
            <w:vAlign w:val="center"/>
            <w:hideMark/>
          </w:tcPr>
          <w:p w14:paraId="187B261D" w14:textId="77777777" w:rsidR="005F7B49" w:rsidRPr="005F7B49" w:rsidRDefault="005F7B49" w:rsidP="005F7B49">
            <w:pPr>
              <w:spacing w:before="0" w:after="0" w:line="240" w:lineRule="auto"/>
              <w:jc w:val="right"/>
              <w:rPr>
                <w:rFonts w:ascii="Arial" w:hAnsi="Arial" w:cs="Arial"/>
                <w:color w:val="000000"/>
                <w:sz w:val="16"/>
                <w:szCs w:val="16"/>
              </w:rPr>
            </w:pPr>
            <w:r w:rsidRPr="005F7B49">
              <w:rPr>
                <w:rFonts w:ascii="Arial" w:hAnsi="Arial" w:cs="Arial"/>
                <w:color w:val="000000"/>
                <w:sz w:val="16"/>
                <w:szCs w:val="16"/>
              </w:rPr>
              <w:t>10,353</w:t>
            </w:r>
          </w:p>
        </w:tc>
        <w:tc>
          <w:tcPr>
            <w:tcW w:w="472" w:type="pct"/>
            <w:tcBorders>
              <w:top w:val="nil"/>
              <w:left w:val="nil"/>
              <w:bottom w:val="nil"/>
              <w:right w:val="nil"/>
            </w:tcBorders>
            <w:shd w:val="clear" w:color="000000" w:fill="FFFFFF"/>
            <w:noWrap/>
            <w:vAlign w:val="center"/>
            <w:hideMark/>
          </w:tcPr>
          <w:p w14:paraId="4771EB05" w14:textId="77777777" w:rsidR="005F7B49" w:rsidRPr="005F7B49" w:rsidRDefault="005F7B49" w:rsidP="005F7B49">
            <w:pPr>
              <w:spacing w:before="0" w:after="0" w:line="240" w:lineRule="auto"/>
              <w:jc w:val="right"/>
              <w:rPr>
                <w:rFonts w:ascii="Arial" w:hAnsi="Arial" w:cs="Arial"/>
                <w:color w:val="000000"/>
                <w:sz w:val="16"/>
                <w:szCs w:val="16"/>
              </w:rPr>
            </w:pPr>
            <w:r w:rsidRPr="005F7B49">
              <w:rPr>
                <w:rFonts w:ascii="Arial" w:hAnsi="Arial" w:cs="Arial"/>
                <w:color w:val="000000"/>
                <w:sz w:val="16"/>
                <w:szCs w:val="16"/>
              </w:rPr>
              <w:t>10,753</w:t>
            </w:r>
          </w:p>
        </w:tc>
        <w:tc>
          <w:tcPr>
            <w:tcW w:w="472" w:type="pct"/>
            <w:tcBorders>
              <w:top w:val="nil"/>
              <w:left w:val="nil"/>
              <w:bottom w:val="nil"/>
              <w:right w:val="nil"/>
            </w:tcBorders>
            <w:shd w:val="clear" w:color="000000" w:fill="FFFFFF"/>
            <w:noWrap/>
            <w:vAlign w:val="center"/>
            <w:hideMark/>
          </w:tcPr>
          <w:p w14:paraId="7851F967" w14:textId="77777777" w:rsidR="005F7B49" w:rsidRPr="005F7B49" w:rsidRDefault="005F7B49" w:rsidP="005F7B49">
            <w:pPr>
              <w:spacing w:before="0" w:after="0" w:line="240" w:lineRule="auto"/>
              <w:jc w:val="right"/>
              <w:rPr>
                <w:rFonts w:ascii="Arial" w:hAnsi="Arial" w:cs="Arial"/>
                <w:color w:val="000000"/>
                <w:sz w:val="16"/>
                <w:szCs w:val="16"/>
              </w:rPr>
            </w:pPr>
            <w:r w:rsidRPr="005F7B49">
              <w:rPr>
                <w:rFonts w:ascii="Arial" w:hAnsi="Arial" w:cs="Arial"/>
                <w:color w:val="000000"/>
                <w:sz w:val="16"/>
                <w:szCs w:val="16"/>
              </w:rPr>
              <w:t>11,175</w:t>
            </w:r>
          </w:p>
        </w:tc>
      </w:tr>
      <w:tr w:rsidR="005F7B49" w:rsidRPr="005F7B49" w14:paraId="0F2FA6E3" w14:textId="77777777" w:rsidTr="005F7B49">
        <w:trPr>
          <w:trHeight w:hRule="exact" w:val="226"/>
        </w:trPr>
        <w:tc>
          <w:tcPr>
            <w:tcW w:w="1873" w:type="pct"/>
            <w:tcBorders>
              <w:top w:val="nil"/>
              <w:left w:val="nil"/>
              <w:bottom w:val="nil"/>
              <w:right w:val="nil"/>
            </w:tcBorders>
            <w:shd w:val="clear" w:color="000000" w:fill="FFFFFF"/>
            <w:noWrap/>
            <w:vAlign w:val="center"/>
            <w:hideMark/>
          </w:tcPr>
          <w:p w14:paraId="6EDCF3AF" w14:textId="77777777" w:rsidR="005F7B49" w:rsidRPr="005F7B49" w:rsidRDefault="005F7B49" w:rsidP="005F7B49">
            <w:pPr>
              <w:spacing w:before="0" w:after="0" w:line="240" w:lineRule="auto"/>
              <w:rPr>
                <w:rFonts w:ascii="Arial" w:hAnsi="Arial" w:cs="Arial"/>
                <w:color w:val="000000"/>
                <w:sz w:val="16"/>
                <w:szCs w:val="16"/>
              </w:rPr>
            </w:pPr>
            <w:r w:rsidRPr="005F7B49">
              <w:rPr>
                <w:rFonts w:ascii="Arial" w:hAnsi="Arial" w:cs="Arial"/>
                <w:color w:val="000000"/>
                <w:sz w:val="16"/>
                <w:szCs w:val="16"/>
              </w:rPr>
              <w:t>Air Force Capabilities</w:t>
            </w:r>
          </w:p>
        </w:tc>
        <w:tc>
          <w:tcPr>
            <w:tcW w:w="711" w:type="pct"/>
            <w:tcBorders>
              <w:top w:val="nil"/>
              <w:left w:val="nil"/>
              <w:bottom w:val="nil"/>
              <w:right w:val="nil"/>
            </w:tcBorders>
            <w:shd w:val="clear" w:color="000000" w:fill="FFFFFF"/>
            <w:noWrap/>
            <w:vAlign w:val="center"/>
            <w:hideMark/>
          </w:tcPr>
          <w:p w14:paraId="2D7D78FC" w14:textId="77777777" w:rsidR="005F7B49" w:rsidRPr="005F7B49" w:rsidRDefault="005F7B49" w:rsidP="005F7B49">
            <w:pPr>
              <w:spacing w:before="0" w:after="0" w:line="240" w:lineRule="auto"/>
              <w:rPr>
                <w:rFonts w:ascii="Arial" w:hAnsi="Arial" w:cs="Arial"/>
                <w:color w:val="000000"/>
                <w:sz w:val="16"/>
                <w:szCs w:val="16"/>
              </w:rPr>
            </w:pPr>
            <w:r w:rsidRPr="005F7B49">
              <w:rPr>
                <w:rFonts w:ascii="Arial" w:hAnsi="Arial" w:cs="Arial"/>
                <w:color w:val="000000"/>
                <w:sz w:val="16"/>
                <w:szCs w:val="16"/>
              </w:rPr>
              <w:t>Defence</w:t>
            </w:r>
          </w:p>
        </w:tc>
        <w:tc>
          <w:tcPr>
            <w:tcW w:w="59" w:type="pct"/>
            <w:tcBorders>
              <w:top w:val="nil"/>
              <w:left w:val="nil"/>
              <w:bottom w:val="nil"/>
              <w:right w:val="nil"/>
            </w:tcBorders>
            <w:shd w:val="clear" w:color="000000" w:fill="FFFFFF"/>
            <w:noWrap/>
            <w:vAlign w:val="center"/>
            <w:hideMark/>
          </w:tcPr>
          <w:p w14:paraId="4197317D" w14:textId="77777777" w:rsidR="005F7B49" w:rsidRPr="005F7B49" w:rsidRDefault="005F7B49" w:rsidP="005F7B49">
            <w:pPr>
              <w:spacing w:before="0" w:after="0" w:line="240" w:lineRule="auto"/>
              <w:rPr>
                <w:rFonts w:ascii="Arial" w:hAnsi="Arial" w:cs="Arial"/>
                <w:color w:val="000000"/>
                <w:sz w:val="16"/>
                <w:szCs w:val="16"/>
              </w:rPr>
            </w:pPr>
            <w:r w:rsidRPr="005F7B49">
              <w:rPr>
                <w:rFonts w:ascii="Arial" w:hAnsi="Arial" w:cs="Arial"/>
                <w:color w:val="000000"/>
                <w:sz w:val="16"/>
                <w:szCs w:val="16"/>
              </w:rPr>
              <w:t> </w:t>
            </w:r>
          </w:p>
        </w:tc>
        <w:tc>
          <w:tcPr>
            <w:tcW w:w="472" w:type="pct"/>
            <w:tcBorders>
              <w:top w:val="nil"/>
              <w:left w:val="nil"/>
              <w:bottom w:val="single" w:sz="4" w:space="0" w:color="293F5B"/>
              <w:right w:val="nil"/>
            </w:tcBorders>
            <w:shd w:val="clear" w:color="000000" w:fill="FFFFFF"/>
            <w:noWrap/>
            <w:vAlign w:val="center"/>
            <w:hideMark/>
          </w:tcPr>
          <w:p w14:paraId="60526F5C" w14:textId="77777777" w:rsidR="005F7B49" w:rsidRPr="005F7B49" w:rsidRDefault="005F7B49" w:rsidP="005F7B49">
            <w:pPr>
              <w:spacing w:before="0" w:after="0" w:line="240" w:lineRule="auto"/>
              <w:jc w:val="right"/>
              <w:rPr>
                <w:rFonts w:ascii="Arial" w:hAnsi="Arial" w:cs="Arial"/>
                <w:color w:val="000000"/>
                <w:sz w:val="16"/>
                <w:szCs w:val="16"/>
              </w:rPr>
            </w:pPr>
            <w:r w:rsidRPr="005F7B49">
              <w:rPr>
                <w:rFonts w:ascii="Arial" w:hAnsi="Arial" w:cs="Arial"/>
                <w:color w:val="000000"/>
                <w:sz w:val="16"/>
                <w:szCs w:val="16"/>
              </w:rPr>
              <w:t>9,750</w:t>
            </w:r>
          </w:p>
        </w:tc>
        <w:tc>
          <w:tcPr>
            <w:tcW w:w="472" w:type="pct"/>
            <w:tcBorders>
              <w:top w:val="nil"/>
              <w:left w:val="nil"/>
              <w:bottom w:val="single" w:sz="4" w:space="0" w:color="293F5B"/>
              <w:right w:val="nil"/>
            </w:tcBorders>
            <w:shd w:val="clear" w:color="000000" w:fill="E6F2FF"/>
            <w:noWrap/>
            <w:vAlign w:val="center"/>
            <w:hideMark/>
          </w:tcPr>
          <w:p w14:paraId="55870C4A" w14:textId="77777777" w:rsidR="005F7B49" w:rsidRPr="005F7B49" w:rsidRDefault="005F7B49" w:rsidP="005F7B49">
            <w:pPr>
              <w:spacing w:before="0" w:after="0" w:line="240" w:lineRule="auto"/>
              <w:jc w:val="right"/>
              <w:rPr>
                <w:rFonts w:ascii="Arial" w:hAnsi="Arial" w:cs="Arial"/>
                <w:color w:val="000000"/>
                <w:sz w:val="16"/>
                <w:szCs w:val="16"/>
              </w:rPr>
            </w:pPr>
            <w:r w:rsidRPr="005F7B49">
              <w:rPr>
                <w:rFonts w:ascii="Arial" w:hAnsi="Arial" w:cs="Arial"/>
                <w:color w:val="000000"/>
                <w:sz w:val="16"/>
                <w:szCs w:val="16"/>
              </w:rPr>
              <w:t>9,032</w:t>
            </w:r>
          </w:p>
        </w:tc>
        <w:tc>
          <w:tcPr>
            <w:tcW w:w="472" w:type="pct"/>
            <w:tcBorders>
              <w:top w:val="nil"/>
              <w:left w:val="nil"/>
              <w:bottom w:val="single" w:sz="4" w:space="0" w:color="293F5B"/>
              <w:right w:val="nil"/>
            </w:tcBorders>
            <w:shd w:val="clear" w:color="000000" w:fill="FFFFFF"/>
            <w:noWrap/>
            <w:vAlign w:val="center"/>
            <w:hideMark/>
          </w:tcPr>
          <w:p w14:paraId="38EF53FE" w14:textId="77777777" w:rsidR="005F7B49" w:rsidRPr="005F7B49" w:rsidRDefault="005F7B49" w:rsidP="005F7B49">
            <w:pPr>
              <w:spacing w:before="0" w:after="0" w:line="240" w:lineRule="auto"/>
              <w:jc w:val="right"/>
              <w:rPr>
                <w:rFonts w:ascii="Arial" w:hAnsi="Arial" w:cs="Arial"/>
                <w:color w:val="000000"/>
                <w:sz w:val="16"/>
                <w:szCs w:val="16"/>
              </w:rPr>
            </w:pPr>
            <w:r w:rsidRPr="005F7B49">
              <w:rPr>
                <w:rFonts w:ascii="Arial" w:hAnsi="Arial" w:cs="Arial"/>
                <w:color w:val="000000"/>
                <w:sz w:val="16"/>
                <w:szCs w:val="16"/>
              </w:rPr>
              <w:t>9,651</w:t>
            </w:r>
          </w:p>
        </w:tc>
        <w:tc>
          <w:tcPr>
            <w:tcW w:w="472" w:type="pct"/>
            <w:tcBorders>
              <w:top w:val="nil"/>
              <w:left w:val="nil"/>
              <w:bottom w:val="single" w:sz="4" w:space="0" w:color="293F5B"/>
              <w:right w:val="nil"/>
            </w:tcBorders>
            <w:shd w:val="clear" w:color="000000" w:fill="FFFFFF"/>
            <w:noWrap/>
            <w:vAlign w:val="center"/>
            <w:hideMark/>
          </w:tcPr>
          <w:p w14:paraId="5075FA55" w14:textId="77777777" w:rsidR="005F7B49" w:rsidRPr="005F7B49" w:rsidRDefault="005F7B49" w:rsidP="005F7B49">
            <w:pPr>
              <w:spacing w:before="0" w:after="0" w:line="240" w:lineRule="auto"/>
              <w:jc w:val="right"/>
              <w:rPr>
                <w:rFonts w:ascii="Arial" w:hAnsi="Arial" w:cs="Arial"/>
                <w:color w:val="000000"/>
                <w:sz w:val="16"/>
                <w:szCs w:val="16"/>
              </w:rPr>
            </w:pPr>
            <w:r w:rsidRPr="005F7B49">
              <w:rPr>
                <w:rFonts w:ascii="Arial" w:hAnsi="Arial" w:cs="Arial"/>
                <w:color w:val="000000"/>
                <w:sz w:val="16"/>
                <w:szCs w:val="16"/>
              </w:rPr>
              <w:t>10,352</w:t>
            </w:r>
          </w:p>
        </w:tc>
        <w:tc>
          <w:tcPr>
            <w:tcW w:w="472" w:type="pct"/>
            <w:tcBorders>
              <w:top w:val="nil"/>
              <w:left w:val="nil"/>
              <w:bottom w:val="single" w:sz="4" w:space="0" w:color="293F5B"/>
              <w:right w:val="nil"/>
            </w:tcBorders>
            <w:shd w:val="clear" w:color="000000" w:fill="FFFFFF"/>
            <w:noWrap/>
            <w:vAlign w:val="center"/>
            <w:hideMark/>
          </w:tcPr>
          <w:p w14:paraId="59117E85" w14:textId="77777777" w:rsidR="005F7B49" w:rsidRPr="005F7B49" w:rsidRDefault="005F7B49" w:rsidP="005F7B49">
            <w:pPr>
              <w:spacing w:before="0" w:after="0" w:line="240" w:lineRule="auto"/>
              <w:jc w:val="right"/>
              <w:rPr>
                <w:rFonts w:ascii="Arial" w:hAnsi="Arial" w:cs="Arial"/>
                <w:color w:val="000000"/>
                <w:sz w:val="16"/>
                <w:szCs w:val="16"/>
              </w:rPr>
            </w:pPr>
            <w:r w:rsidRPr="005F7B49">
              <w:rPr>
                <w:rFonts w:ascii="Arial" w:hAnsi="Arial" w:cs="Arial"/>
                <w:color w:val="000000"/>
                <w:sz w:val="16"/>
                <w:szCs w:val="16"/>
              </w:rPr>
              <w:t>10,939</w:t>
            </w:r>
          </w:p>
        </w:tc>
      </w:tr>
      <w:tr w:rsidR="005F7B49" w:rsidRPr="005F7B49" w14:paraId="1E127CFC" w14:textId="77777777" w:rsidTr="006E6D19">
        <w:trPr>
          <w:trHeight w:hRule="exact" w:val="226"/>
        </w:trPr>
        <w:tc>
          <w:tcPr>
            <w:tcW w:w="1873" w:type="pct"/>
            <w:tcBorders>
              <w:top w:val="nil"/>
              <w:left w:val="nil"/>
              <w:bottom w:val="nil"/>
              <w:right w:val="nil"/>
            </w:tcBorders>
            <w:shd w:val="clear" w:color="000000" w:fill="FFFFFF"/>
            <w:noWrap/>
            <w:vAlign w:val="center"/>
            <w:hideMark/>
          </w:tcPr>
          <w:p w14:paraId="3221FB87" w14:textId="7F7F17CC" w:rsidR="005F7B49" w:rsidRPr="005F7B49" w:rsidRDefault="005F7B49" w:rsidP="005F7B49">
            <w:pPr>
              <w:spacing w:before="0" w:after="0" w:line="240" w:lineRule="auto"/>
              <w:rPr>
                <w:rFonts w:ascii="Arial" w:hAnsi="Arial" w:cs="Arial"/>
                <w:b/>
                <w:bCs/>
                <w:color w:val="000000"/>
                <w:sz w:val="16"/>
                <w:szCs w:val="16"/>
              </w:rPr>
            </w:pPr>
            <w:r w:rsidRPr="005F7B49">
              <w:rPr>
                <w:rFonts w:ascii="Arial" w:hAnsi="Arial" w:cs="Arial"/>
                <w:b/>
                <w:bCs/>
                <w:color w:val="000000"/>
                <w:sz w:val="16"/>
                <w:szCs w:val="16"/>
              </w:rPr>
              <w:t>Sub</w:t>
            </w:r>
            <w:r w:rsidR="008D4F6B">
              <w:rPr>
                <w:rFonts w:ascii="Arial" w:hAnsi="Arial" w:cs="Arial"/>
                <w:b/>
                <w:bCs/>
                <w:color w:val="000000"/>
                <w:sz w:val="16"/>
                <w:szCs w:val="16"/>
              </w:rPr>
              <w:noBreakHyphen/>
            </w:r>
            <w:r w:rsidRPr="005F7B49">
              <w:rPr>
                <w:rFonts w:ascii="Arial" w:hAnsi="Arial" w:cs="Arial"/>
                <w:b/>
                <w:bCs/>
                <w:color w:val="000000"/>
                <w:sz w:val="16"/>
                <w:szCs w:val="16"/>
              </w:rPr>
              <w:t>total</w:t>
            </w:r>
          </w:p>
        </w:tc>
        <w:tc>
          <w:tcPr>
            <w:tcW w:w="711" w:type="pct"/>
            <w:tcBorders>
              <w:top w:val="nil"/>
              <w:left w:val="nil"/>
              <w:bottom w:val="nil"/>
              <w:right w:val="nil"/>
            </w:tcBorders>
            <w:shd w:val="clear" w:color="000000" w:fill="FFFFFF"/>
            <w:noWrap/>
            <w:vAlign w:val="center"/>
            <w:hideMark/>
          </w:tcPr>
          <w:p w14:paraId="5CBB3233" w14:textId="77777777" w:rsidR="005F7B49" w:rsidRPr="005F7B49" w:rsidRDefault="005F7B49" w:rsidP="005F7B49">
            <w:pPr>
              <w:spacing w:before="0" w:after="0" w:line="240" w:lineRule="auto"/>
              <w:rPr>
                <w:rFonts w:ascii="Arial" w:hAnsi="Arial" w:cs="Arial"/>
                <w:b/>
                <w:bCs/>
                <w:color w:val="000000"/>
                <w:sz w:val="16"/>
                <w:szCs w:val="16"/>
              </w:rPr>
            </w:pPr>
            <w:r w:rsidRPr="005F7B49">
              <w:rPr>
                <w:rFonts w:ascii="Arial" w:hAnsi="Arial" w:cs="Arial"/>
                <w:b/>
                <w:bCs/>
                <w:color w:val="000000"/>
                <w:sz w:val="16"/>
                <w:szCs w:val="16"/>
              </w:rPr>
              <w:t> </w:t>
            </w:r>
          </w:p>
        </w:tc>
        <w:tc>
          <w:tcPr>
            <w:tcW w:w="59" w:type="pct"/>
            <w:tcBorders>
              <w:top w:val="nil"/>
              <w:left w:val="nil"/>
              <w:bottom w:val="nil"/>
              <w:right w:val="nil"/>
            </w:tcBorders>
            <w:shd w:val="clear" w:color="000000" w:fill="FFFFFF"/>
            <w:noWrap/>
            <w:vAlign w:val="center"/>
            <w:hideMark/>
          </w:tcPr>
          <w:p w14:paraId="1481A54C" w14:textId="77777777" w:rsidR="005F7B49" w:rsidRPr="005F7B49" w:rsidRDefault="005F7B49" w:rsidP="005F7B49">
            <w:pPr>
              <w:spacing w:before="0" w:after="0" w:line="240" w:lineRule="auto"/>
              <w:rPr>
                <w:rFonts w:ascii="Arial" w:hAnsi="Arial" w:cs="Arial"/>
                <w:b/>
                <w:bCs/>
                <w:color w:val="000000"/>
                <w:sz w:val="16"/>
                <w:szCs w:val="16"/>
              </w:rPr>
            </w:pPr>
            <w:r w:rsidRPr="005F7B49">
              <w:rPr>
                <w:rFonts w:ascii="Arial" w:hAnsi="Arial" w:cs="Arial"/>
                <w:b/>
                <w:bCs/>
                <w:color w:val="000000"/>
                <w:sz w:val="16"/>
                <w:szCs w:val="16"/>
              </w:rPr>
              <w:t> </w:t>
            </w:r>
          </w:p>
        </w:tc>
        <w:tc>
          <w:tcPr>
            <w:tcW w:w="472" w:type="pct"/>
            <w:tcBorders>
              <w:top w:val="single" w:sz="4" w:space="0" w:color="293F5B"/>
              <w:left w:val="nil"/>
              <w:bottom w:val="single" w:sz="4" w:space="0" w:color="293F5B"/>
              <w:right w:val="nil"/>
            </w:tcBorders>
            <w:shd w:val="clear" w:color="000000" w:fill="FFFFFF"/>
            <w:noWrap/>
            <w:vAlign w:val="center"/>
            <w:hideMark/>
          </w:tcPr>
          <w:p w14:paraId="4CAF151F" w14:textId="77777777" w:rsidR="005F7B49" w:rsidRPr="005F7B49" w:rsidRDefault="005F7B49" w:rsidP="005F7B49">
            <w:pPr>
              <w:spacing w:before="0" w:after="0" w:line="240" w:lineRule="auto"/>
              <w:jc w:val="right"/>
              <w:rPr>
                <w:rFonts w:ascii="Arial" w:hAnsi="Arial" w:cs="Arial"/>
                <w:b/>
                <w:bCs/>
                <w:color w:val="000000"/>
                <w:sz w:val="16"/>
                <w:szCs w:val="16"/>
              </w:rPr>
            </w:pPr>
            <w:r w:rsidRPr="005F7B49">
              <w:rPr>
                <w:rFonts w:ascii="Arial" w:hAnsi="Arial" w:cs="Arial"/>
                <w:b/>
                <w:bCs/>
                <w:color w:val="000000"/>
                <w:sz w:val="16"/>
                <w:szCs w:val="16"/>
              </w:rPr>
              <w:t>480,810</w:t>
            </w:r>
          </w:p>
        </w:tc>
        <w:tc>
          <w:tcPr>
            <w:tcW w:w="472" w:type="pct"/>
            <w:tcBorders>
              <w:top w:val="single" w:sz="4" w:space="0" w:color="293F5B"/>
              <w:left w:val="nil"/>
              <w:bottom w:val="single" w:sz="4" w:space="0" w:color="293F5B"/>
              <w:right w:val="nil"/>
            </w:tcBorders>
            <w:shd w:val="clear" w:color="000000" w:fill="E6F2FF"/>
            <w:noWrap/>
            <w:vAlign w:val="center"/>
            <w:hideMark/>
          </w:tcPr>
          <w:p w14:paraId="73CA2F29" w14:textId="77777777" w:rsidR="005F7B49" w:rsidRPr="005F7B49" w:rsidRDefault="005F7B49" w:rsidP="005F7B49">
            <w:pPr>
              <w:spacing w:before="0" w:after="0" w:line="240" w:lineRule="auto"/>
              <w:jc w:val="right"/>
              <w:rPr>
                <w:rFonts w:ascii="Arial" w:hAnsi="Arial" w:cs="Arial"/>
                <w:b/>
                <w:bCs/>
                <w:color w:val="000000"/>
                <w:sz w:val="16"/>
                <w:szCs w:val="16"/>
              </w:rPr>
            </w:pPr>
            <w:r w:rsidRPr="005F7B49">
              <w:rPr>
                <w:rFonts w:ascii="Arial" w:hAnsi="Arial" w:cs="Arial"/>
                <w:b/>
                <w:bCs/>
                <w:color w:val="000000"/>
                <w:sz w:val="16"/>
                <w:szCs w:val="16"/>
              </w:rPr>
              <w:t>507,406</w:t>
            </w:r>
          </w:p>
        </w:tc>
        <w:tc>
          <w:tcPr>
            <w:tcW w:w="472" w:type="pct"/>
            <w:tcBorders>
              <w:top w:val="single" w:sz="4" w:space="0" w:color="293F5B"/>
              <w:left w:val="nil"/>
              <w:bottom w:val="single" w:sz="4" w:space="0" w:color="293F5B"/>
              <w:right w:val="nil"/>
            </w:tcBorders>
            <w:shd w:val="clear" w:color="000000" w:fill="FFFFFF"/>
            <w:noWrap/>
            <w:vAlign w:val="center"/>
            <w:hideMark/>
          </w:tcPr>
          <w:p w14:paraId="2E801D20" w14:textId="77777777" w:rsidR="005F7B49" w:rsidRPr="005F7B49" w:rsidRDefault="005F7B49" w:rsidP="005F7B49">
            <w:pPr>
              <w:spacing w:before="0" w:after="0" w:line="240" w:lineRule="auto"/>
              <w:jc w:val="right"/>
              <w:rPr>
                <w:rFonts w:ascii="Arial" w:hAnsi="Arial" w:cs="Arial"/>
                <w:b/>
                <w:bCs/>
                <w:color w:val="000000"/>
                <w:sz w:val="16"/>
                <w:szCs w:val="16"/>
              </w:rPr>
            </w:pPr>
            <w:r w:rsidRPr="005F7B49">
              <w:rPr>
                <w:rFonts w:ascii="Arial" w:hAnsi="Arial" w:cs="Arial"/>
                <w:b/>
                <w:bCs/>
                <w:color w:val="000000"/>
                <w:sz w:val="16"/>
                <w:szCs w:val="16"/>
              </w:rPr>
              <w:t>536,220</w:t>
            </w:r>
          </w:p>
        </w:tc>
        <w:tc>
          <w:tcPr>
            <w:tcW w:w="472" w:type="pct"/>
            <w:tcBorders>
              <w:top w:val="single" w:sz="4" w:space="0" w:color="293F5B"/>
              <w:left w:val="nil"/>
              <w:bottom w:val="single" w:sz="4" w:space="0" w:color="293F5B"/>
              <w:right w:val="nil"/>
            </w:tcBorders>
            <w:shd w:val="clear" w:color="000000" w:fill="FFFFFF"/>
            <w:noWrap/>
            <w:vAlign w:val="center"/>
            <w:hideMark/>
          </w:tcPr>
          <w:p w14:paraId="03EA1764" w14:textId="77777777" w:rsidR="005F7B49" w:rsidRPr="005F7B49" w:rsidRDefault="005F7B49" w:rsidP="005F7B49">
            <w:pPr>
              <w:spacing w:before="0" w:after="0" w:line="240" w:lineRule="auto"/>
              <w:jc w:val="right"/>
              <w:rPr>
                <w:rFonts w:ascii="Arial" w:hAnsi="Arial" w:cs="Arial"/>
                <w:b/>
                <w:bCs/>
                <w:color w:val="000000"/>
                <w:sz w:val="16"/>
                <w:szCs w:val="16"/>
              </w:rPr>
            </w:pPr>
            <w:r w:rsidRPr="005F7B49">
              <w:rPr>
                <w:rFonts w:ascii="Arial" w:hAnsi="Arial" w:cs="Arial"/>
                <w:b/>
                <w:bCs/>
                <w:color w:val="000000"/>
                <w:sz w:val="16"/>
                <w:szCs w:val="16"/>
              </w:rPr>
              <w:t>563,969</w:t>
            </w:r>
          </w:p>
        </w:tc>
        <w:tc>
          <w:tcPr>
            <w:tcW w:w="472" w:type="pct"/>
            <w:tcBorders>
              <w:top w:val="single" w:sz="4" w:space="0" w:color="293F5B"/>
              <w:left w:val="nil"/>
              <w:bottom w:val="single" w:sz="4" w:space="0" w:color="293F5B"/>
              <w:right w:val="nil"/>
            </w:tcBorders>
            <w:shd w:val="clear" w:color="000000" w:fill="FFFFFF"/>
            <w:noWrap/>
            <w:vAlign w:val="center"/>
            <w:hideMark/>
          </w:tcPr>
          <w:p w14:paraId="469004BC" w14:textId="77777777" w:rsidR="005F7B49" w:rsidRPr="005F7B49" w:rsidRDefault="005F7B49" w:rsidP="005F7B49">
            <w:pPr>
              <w:spacing w:before="0" w:after="0" w:line="240" w:lineRule="auto"/>
              <w:jc w:val="right"/>
              <w:rPr>
                <w:rFonts w:ascii="Arial" w:hAnsi="Arial" w:cs="Arial"/>
                <w:b/>
                <w:bCs/>
                <w:color w:val="000000"/>
                <w:sz w:val="16"/>
                <w:szCs w:val="16"/>
              </w:rPr>
            </w:pPr>
            <w:r w:rsidRPr="005F7B49">
              <w:rPr>
                <w:rFonts w:ascii="Arial" w:hAnsi="Arial" w:cs="Arial"/>
                <w:b/>
                <w:bCs/>
                <w:color w:val="000000"/>
                <w:sz w:val="16"/>
                <w:szCs w:val="16"/>
              </w:rPr>
              <w:t>595,209</w:t>
            </w:r>
          </w:p>
        </w:tc>
      </w:tr>
      <w:tr w:rsidR="005F7B49" w:rsidRPr="005F7B49" w14:paraId="3B5083B9" w14:textId="77777777" w:rsidTr="005F7B49">
        <w:trPr>
          <w:trHeight w:hRule="exact" w:val="226"/>
        </w:trPr>
        <w:tc>
          <w:tcPr>
            <w:tcW w:w="1873" w:type="pct"/>
            <w:tcBorders>
              <w:top w:val="nil"/>
              <w:left w:val="nil"/>
              <w:bottom w:val="nil"/>
              <w:right w:val="nil"/>
            </w:tcBorders>
            <w:shd w:val="clear" w:color="000000" w:fill="FFFFFF"/>
            <w:noWrap/>
            <w:vAlign w:val="center"/>
            <w:hideMark/>
          </w:tcPr>
          <w:p w14:paraId="46519D79" w14:textId="77777777" w:rsidR="005F7B49" w:rsidRPr="005F7B49" w:rsidRDefault="005F7B49" w:rsidP="005F7B49">
            <w:pPr>
              <w:spacing w:before="0" w:after="0" w:line="240" w:lineRule="auto"/>
              <w:rPr>
                <w:rFonts w:ascii="Arial" w:hAnsi="Arial" w:cs="Arial"/>
                <w:color w:val="000000"/>
                <w:sz w:val="16"/>
                <w:szCs w:val="16"/>
              </w:rPr>
            </w:pPr>
            <w:r w:rsidRPr="005F7B49">
              <w:rPr>
                <w:rFonts w:ascii="Arial" w:hAnsi="Arial" w:cs="Arial"/>
                <w:color w:val="000000"/>
                <w:sz w:val="16"/>
                <w:szCs w:val="16"/>
              </w:rPr>
              <w:t>Other programs</w:t>
            </w:r>
          </w:p>
        </w:tc>
        <w:tc>
          <w:tcPr>
            <w:tcW w:w="711" w:type="pct"/>
            <w:tcBorders>
              <w:top w:val="nil"/>
              <w:left w:val="nil"/>
              <w:bottom w:val="nil"/>
              <w:right w:val="nil"/>
            </w:tcBorders>
            <w:shd w:val="clear" w:color="000000" w:fill="FFFFFF"/>
            <w:noWrap/>
            <w:vAlign w:val="center"/>
            <w:hideMark/>
          </w:tcPr>
          <w:p w14:paraId="44130133" w14:textId="77777777" w:rsidR="005F7B49" w:rsidRPr="005F7B49" w:rsidRDefault="005F7B49" w:rsidP="005F7B49">
            <w:pPr>
              <w:spacing w:before="0" w:after="0" w:line="240" w:lineRule="auto"/>
              <w:rPr>
                <w:rFonts w:ascii="Arial" w:hAnsi="Arial" w:cs="Arial"/>
                <w:color w:val="000000"/>
                <w:sz w:val="16"/>
                <w:szCs w:val="16"/>
              </w:rPr>
            </w:pPr>
            <w:r w:rsidRPr="005F7B49">
              <w:rPr>
                <w:rFonts w:ascii="Arial" w:hAnsi="Arial" w:cs="Arial"/>
                <w:color w:val="000000"/>
                <w:sz w:val="16"/>
                <w:szCs w:val="16"/>
              </w:rPr>
              <w:t> </w:t>
            </w:r>
          </w:p>
        </w:tc>
        <w:tc>
          <w:tcPr>
            <w:tcW w:w="59" w:type="pct"/>
            <w:tcBorders>
              <w:top w:val="nil"/>
              <w:left w:val="nil"/>
              <w:bottom w:val="nil"/>
              <w:right w:val="nil"/>
            </w:tcBorders>
            <w:shd w:val="clear" w:color="000000" w:fill="FFFFFF"/>
            <w:noWrap/>
            <w:vAlign w:val="center"/>
            <w:hideMark/>
          </w:tcPr>
          <w:p w14:paraId="2821DDFE" w14:textId="77777777" w:rsidR="005F7B49" w:rsidRPr="005F7B49" w:rsidRDefault="005F7B49" w:rsidP="005F7B49">
            <w:pPr>
              <w:spacing w:before="0" w:after="0" w:line="240" w:lineRule="auto"/>
              <w:rPr>
                <w:rFonts w:ascii="Arial" w:hAnsi="Arial" w:cs="Arial"/>
                <w:color w:val="000000"/>
                <w:sz w:val="16"/>
                <w:szCs w:val="16"/>
              </w:rPr>
            </w:pPr>
            <w:r w:rsidRPr="005F7B49">
              <w:rPr>
                <w:rFonts w:ascii="Arial" w:hAnsi="Arial" w:cs="Arial"/>
                <w:color w:val="000000"/>
                <w:sz w:val="16"/>
                <w:szCs w:val="16"/>
              </w:rPr>
              <w:t> </w:t>
            </w:r>
          </w:p>
        </w:tc>
        <w:tc>
          <w:tcPr>
            <w:tcW w:w="472" w:type="pct"/>
            <w:tcBorders>
              <w:top w:val="nil"/>
              <w:left w:val="nil"/>
              <w:bottom w:val="single" w:sz="4" w:space="0" w:color="293F5B"/>
              <w:right w:val="nil"/>
            </w:tcBorders>
            <w:shd w:val="clear" w:color="000000" w:fill="FFFFFF"/>
            <w:noWrap/>
            <w:vAlign w:val="center"/>
            <w:hideMark/>
          </w:tcPr>
          <w:p w14:paraId="364E124B" w14:textId="77777777" w:rsidR="005F7B49" w:rsidRPr="005F7B49" w:rsidRDefault="005F7B49" w:rsidP="005F7B49">
            <w:pPr>
              <w:spacing w:before="0" w:after="0" w:line="240" w:lineRule="auto"/>
              <w:jc w:val="right"/>
              <w:rPr>
                <w:rFonts w:ascii="Arial" w:hAnsi="Arial" w:cs="Arial"/>
                <w:color w:val="000000"/>
                <w:sz w:val="16"/>
                <w:szCs w:val="16"/>
              </w:rPr>
            </w:pPr>
            <w:r w:rsidRPr="005F7B49">
              <w:rPr>
                <w:rFonts w:ascii="Arial" w:hAnsi="Arial" w:cs="Arial"/>
                <w:color w:val="000000"/>
                <w:sz w:val="16"/>
                <w:szCs w:val="16"/>
              </w:rPr>
              <w:t>202,151</w:t>
            </w:r>
          </w:p>
        </w:tc>
        <w:tc>
          <w:tcPr>
            <w:tcW w:w="472" w:type="pct"/>
            <w:tcBorders>
              <w:top w:val="nil"/>
              <w:left w:val="nil"/>
              <w:bottom w:val="single" w:sz="4" w:space="0" w:color="293F5B"/>
              <w:right w:val="nil"/>
            </w:tcBorders>
            <w:shd w:val="clear" w:color="000000" w:fill="E6F2FF"/>
            <w:noWrap/>
            <w:vAlign w:val="center"/>
            <w:hideMark/>
          </w:tcPr>
          <w:p w14:paraId="6C20A9D9" w14:textId="77777777" w:rsidR="005F7B49" w:rsidRPr="005F7B49" w:rsidRDefault="005F7B49" w:rsidP="005F7B49">
            <w:pPr>
              <w:spacing w:before="0" w:after="0" w:line="240" w:lineRule="auto"/>
              <w:jc w:val="right"/>
              <w:rPr>
                <w:rFonts w:ascii="Arial" w:hAnsi="Arial" w:cs="Arial"/>
                <w:color w:val="000000"/>
                <w:sz w:val="16"/>
                <w:szCs w:val="16"/>
              </w:rPr>
            </w:pPr>
            <w:r w:rsidRPr="005F7B49">
              <w:rPr>
                <w:rFonts w:ascii="Arial" w:hAnsi="Arial" w:cs="Arial"/>
                <w:color w:val="000000"/>
                <w:sz w:val="16"/>
                <w:szCs w:val="16"/>
              </w:rPr>
              <w:t>219,326</w:t>
            </w:r>
          </w:p>
        </w:tc>
        <w:tc>
          <w:tcPr>
            <w:tcW w:w="472" w:type="pct"/>
            <w:tcBorders>
              <w:top w:val="nil"/>
              <w:left w:val="nil"/>
              <w:bottom w:val="single" w:sz="4" w:space="0" w:color="293F5B"/>
              <w:right w:val="nil"/>
            </w:tcBorders>
            <w:shd w:val="clear" w:color="000000" w:fill="FFFFFF"/>
            <w:noWrap/>
            <w:vAlign w:val="center"/>
            <w:hideMark/>
          </w:tcPr>
          <w:p w14:paraId="3C20EB89" w14:textId="77777777" w:rsidR="005F7B49" w:rsidRPr="005F7B49" w:rsidRDefault="005F7B49" w:rsidP="005F7B49">
            <w:pPr>
              <w:spacing w:before="0" w:after="0" w:line="240" w:lineRule="auto"/>
              <w:jc w:val="right"/>
              <w:rPr>
                <w:rFonts w:ascii="Arial" w:hAnsi="Arial" w:cs="Arial"/>
                <w:color w:val="000000"/>
                <w:sz w:val="16"/>
                <w:szCs w:val="16"/>
              </w:rPr>
            </w:pPr>
            <w:r w:rsidRPr="005F7B49">
              <w:rPr>
                <w:rFonts w:ascii="Arial" w:hAnsi="Arial" w:cs="Arial"/>
                <w:color w:val="000000"/>
                <w:sz w:val="16"/>
                <w:szCs w:val="16"/>
              </w:rPr>
              <w:t>225,971</w:t>
            </w:r>
          </w:p>
        </w:tc>
        <w:tc>
          <w:tcPr>
            <w:tcW w:w="472" w:type="pct"/>
            <w:tcBorders>
              <w:top w:val="nil"/>
              <w:left w:val="nil"/>
              <w:bottom w:val="single" w:sz="4" w:space="0" w:color="293F5B"/>
              <w:right w:val="nil"/>
            </w:tcBorders>
            <w:shd w:val="clear" w:color="000000" w:fill="FFFFFF"/>
            <w:noWrap/>
            <w:vAlign w:val="center"/>
            <w:hideMark/>
          </w:tcPr>
          <w:p w14:paraId="55F8AA6E" w14:textId="77777777" w:rsidR="005F7B49" w:rsidRPr="005F7B49" w:rsidRDefault="005F7B49" w:rsidP="005F7B49">
            <w:pPr>
              <w:spacing w:before="0" w:after="0" w:line="240" w:lineRule="auto"/>
              <w:jc w:val="right"/>
              <w:rPr>
                <w:rFonts w:ascii="Arial" w:hAnsi="Arial" w:cs="Arial"/>
                <w:color w:val="000000"/>
                <w:sz w:val="16"/>
                <w:szCs w:val="16"/>
              </w:rPr>
            </w:pPr>
            <w:r w:rsidRPr="005F7B49">
              <w:rPr>
                <w:rFonts w:ascii="Arial" w:hAnsi="Arial" w:cs="Arial"/>
                <w:color w:val="000000"/>
                <w:sz w:val="16"/>
                <w:szCs w:val="16"/>
              </w:rPr>
              <w:t>222,754</w:t>
            </w:r>
          </w:p>
        </w:tc>
        <w:tc>
          <w:tcPr>
            <w:tcW w:w="472" w:type="pct"/>
            <w:tcBorders>
              <w:top w:val="nil"/>
              <w:left w:val="nil"/>
              <w:bottom w:val="single" w:sz="4" w:space="0" w:color="293F5B"/>
              <w:right w:val="nil"/>
            </w:tcBorders>
            <w:shd w:val="clear" w:color="000000" w:fill="FFFFFF"/>
            <w:noWrap/>
            <w:vAlign w:val="center"/>
            <w:hideMark/>
          </w:tcPr>
          <w:p w14:paraId="3FAF18A0" w14:textId="77777777" w:rsidR="005F7B49" w:rsidRPr="005F7B49" w:rsidRDefault="005F7B49" w:rsidP="005F7B49">
            <w:pPr>
              <w:spacing w:before="0" w:after="0" w:line="240" w:lineRule="auto"/>
              <w:jc w:val="right"/>
              <w:rPr>
                <w:rFonts w:ascii="Arial" w:hAnsi="Arial" w:cs="Arial"/>
                <w:color w:val="000000"/>
                <w:sz w:val="16"/>
                <w:szCs w:val="16"/>
              </w:rPr>
            </w:pPr>
            <w:r w:rsidRPr="005F7B49">
              <w:rPr>
                <w:rFonts w:ascii="Arial" w:hAnsi="Arial" w:cs="Arial"/>
                <w:color w:val="000000"/>
                <w:sz w:val="16"/>
                <w:szCs w:val="16"/>
              </w:rPr>
              <w:t>230,948</w:t>
            </w:r>
          </w:p>
        </w:tc>
      </w:tr>
      <w:tr w:rsidR="005F7B49" w:rsidRPr="005F7B49" w14:paraId="11994F5C" w14:textId="77777777" w:rsidTr="006E6D19">
        <w:trPr>
          <w:trHeight w:hRule="exact" w:val="226"/>
        </w:trPr>
        <w:tc>
          <w:tcPr>
            <w:tcW w:w="1873" w:type="pct"/>
            <w:tcBorders>
              <w:top w:val="nil"/>
              <w:left w:val="nil"/>
              <w:bottom w:val="single" w:sz="4" w:space="0" w:color="293F5B"/>
              <w:right w:val="nil"/>
            </w:tcBorders>
            <w:shd w:val="clear" w:color="000000" w:fill="FFFFFF"/>
            <w:noWrap/>
            <w:vAlign w:val="center"/>
            <w:hideMark/>
          </w:tcPr>
          <w:p w14:paraId="1ADA22A1" w14:textId="77777777" w:rsidR="005F7B49" w:rsidRPr="005F7B49" w:rsidRDefault="005F7B49" w:rsidP="005F7B49">
            <w:pPr>
              <w:spacing w:before="0" w:after="0" w:line="240" w:lineRule="auto"/>
              <w:rPr>
                <w:rFonts w:ascii="Arial" w:hAnsi="Arial" w:cs="Arial"/>
                <w:b/>
                <w:bCs/>
                <w:color w:val="000000"/>
                <w:sz w:val="16"/>
                <w:szCs w:val="16"/>
              </w:rPr>
            </w:pPr>
            <w:r w:rsidRPr="005F7B49">
              <w:rPr>
                <w:rFonts w:ascii="Arial" w:hAnsi="Arial" w:cs="Arial"/>
                <w:b/>
                <w:bCs/>
                <w:color w:val="000000"/>
                <w:sz w:val="16"/>
                <w:szCs w:val="16"/>
              </w:rPr>
              <w:t>Total payments</w:t>
            </w:r>
          </w:p>
        </w:tc>
        <w:tc>
          <w:tcPr>
            <w:tcW w:w="711" w:type="pct"/>
            <w:tcBorders>
              <w:top w:val="nil"/>
              <w:left w:val="nil"/>
              <w:bottom w:val="single" w:sz="4" w:space="0" w:color="293F5B"/>
              <w:right w:val="nil"/>
            </w:tcBorders>
            <w:shd w:val="clear" w:color="000000" w:fill="FFFFFF"/>
            <w:noWrap/>
            <w:vAlign w:val="center"/>
            <w:hideMark/>
          </w:tcPr>
          <w:p w14:paraId="3D6F4CD6" w14:textId="77777777" w:rsidR="005F7B49" w:rsidRPr="005F7B49" w:rsidRDefault="005F7B49" w:rsidP="005F7B49">
            <w:pPr>
              <w:spacing w:before="0" w:after="0" w:line="240" w:lineRule="auto"/>
              <w:rPr>
                <w:rFonts w:ascii="Arial" w:hAnsi="Arial" w:cs="Arial"/>
                <w:b/>
                <w:bCs/>
                <w:color w:val="000000"/>
                <w:sz w:val="16"/>
                <w:szCs w:val="16"/>
              </w:rPr>
            </w:pPr>
            <w:r w:rsidRPr="005F7B49">
              <w:rPr>
                <w:rFonts w:ascii="Arial" w:hAnsi="Arial" w:cs="Arial"/>
                <w:b/>
                <w:bCs/>
                <w:color w:val="000000"/>
                <w:sz w:val="16"/>
                <w:szCs w:val="16"/>
              </w:rPr>
              <w:t> </w:t>
            </w:r>
          </w:p>
        </w:tc>
        <w:tc>
          <w:tcPr>
            <w:tcW w:w="59" w:type="pct"/>
            <w:tcBorders>
              <w:top w:val="nil"/>
              <w:left w:val="nil"/>
              <w:bottom w:val="single" w:sz="4" w:space="0" w:color="293F5B"/>
              <w:right w:val="nil"/>
            </w:tcBorders>
            <w:shd w:val="clear" w:color="000000" w:fill="FFFFFF"/>
            <w:noWrap/>
            <w:vAlign w:val="center"/>
            <w:hideMark/>
          </w:tcPr>
          <w:p w14:paraId="71E3791E" w14:textId="77777777" w:rsidR="005F7B49" w:rsidRPr="005F7B49" w:rsidRDefault="005F7B49" w:rsidP="005F7B49">
            <w:pPr>
              <w:spacing w:before="0" w:after="0" w:line="240" w:lineRule="auto"/>
              <w:rPr>
                <w:rFonts w:ascii="Arial" w:hAnsi="Arial" w:cs="Arial"/>
                <w:b/>
                <w:bCs/>
                <w:color w:val="000000"/>
                <w:sz w:val="16"/>
                <w:szCs w:val="16"/>
              </w:rPr>
            </w:pPr>
            <w:r w:rsidRPr="005F7B49">
              <w:rPr>
                <w:rFonts w:ascii="Arial" w:hAnsi="Arial" w:cs="Arial"/>
                <w:b/>
                <w:bCs/>
                <w:color w:val="000000"/>
                <w:sz w:val="16"/>
                <w:szCs w:val="16"/>
              </w:rPr>
              <w:t> </w:t>
            </w:r>
          </w:p>
        </w:tc>
        <w:tc>
          <w:tcPr>
            <w:tcW w:w="472" w:type="pct"/>
            <w:tcBorders>
              <w:top w:val="single" w:sz="4" w:space="0" w:color="293F5B"/>
              <w:left w:val="nil"/>
              <w:bottom w:val="single" w:sz="4" w:space="0" w:color="293F5B"/>
              <w:right w:val="nil"/>
            </w:tcBorders>
            <w:shd w:val="clear" w:color="000000" w:fill="FFFFFF"/>
            <w:noWrap/>
            <w:vAlign w:val="center"/>
            <w:hideMark/>
          </w:tcPr>
          <w:p w14:paraId="3EAA69C3" w14:textId="77777777" w:rsidR="005F7B49" w:rsidRPr="005F7B49" w:rsidRDefault="005F7B49" w:rsidP="005F7B49">
            <w:pPr>
              <w:spacing w:before="0" w:after="0" w:line="240" w:lineRule="auto"/>
              <w:jc w:val="right"/>
              <w:rPr>
                <w:rFonts w:ascii="Arial" w:hAnsi="Arial" w:cs="Arial"/>
                <w:b/>
                <w:bCs/>
                <w:color w:val="000000"/>
                <w:sz w:val="16"/>
                <w:szCs w:val="16"/>
              </w:rPr>
            </w:pPr>
            <w:r w:rsidRPr="005F7B49">
              <w:rPr>
                <w:rFonts w:ascii="Arial" w:hAnsi="Arial" w:cs="Arial"/>
                <w:b/>
                <w:bCs/>
                <w:color w:val="000000"/>
                <w:sz w:val="16"/>
                <w:szCs w:val="16"/>
              </w:rPr>
              <w:t>682,961</w:t>
            </w:r>
          </w:p>
        </w:tc>
        <w:tc>
          <w:tcPr>
            <w:tcW w:w="472" w:type="pct"/>
            <w:tcBorders>
              <w:top w:val="single" w:sz="4" w:space="0" w:color="293F5B"/>
              <w:left w:val="nil"/>
              <w:bottom w:val="single" w:sz="4" w:space="0" w:color="293F5B"/>
              <w:right w:val="nil"/>
            </w:tcBorders>
            <w:shd w:val="clear" w:color="000000" w:fill="E6F2FF"/>
            <w:noWrap/>
            <w:vAlign w:val="center"/>
            <w:hideMark/>
          </w:tcPr>
          <w:p w14:paraId="2AA82D0A" w14:textId="77777777" w:rsidR="005F7B49" w:rsidRPr="005F7B49" w:rsidRDefault="005F7B49" w:rsidP="005F7B49">
            <w:pPr>
              <w:spacing w:before="0" w:after="0" w:line="240" w:lineRule="auto"/>
              <w:jc w:val="right"/>
              <w:rPr>
                <w:rFonts w:ascii="Arial" w:hAnsi="Arial" w:cs="Arial"/>
                <w:b/>
                <w:bCs/>
                <w:color w:val="000000"/>
                <w:sz w:val="16"/>
                <w:szCs w:val="16"/>
              </w:rPr>
            </w:pPr>
            <w:r w:rsidRPr="005F7B49">
              <w:rPr>
                <w:rFonts w:ascii="Arial" w:hAnsi="Arial" w:cs="Arial"/>
                <w:b/>
                <w:bCs/>
                <w:color w:val="000000"/>
                <w:sz w:val="16"/>
                <w:szCs w:val="16"/>
              </w:rPr>
              <w:t>726,732</w:t>
            </w:r>
          </w:p>
        </w:tc>
        <w:tc>
          <w:tcPr>
            <w:tcW w:w="472" w:type="pct"/>
            <w:tcBorders>
              <w:top w:val="single" w:sz="4" w:space="0" w:color="293F5B"/>
              <w:left w:val="nil"/>
              <w:bottom w:val="single" w:sz="4" w:space="0" w:color="293F5B"/>
              <w:right w:val="nil"/>
            </w:tcBorders>
            <w:shd w:val="clear" w:color="000000" w:fill="FFFFFF"/>
            <w:noWrap/>
            <w:vAlign w:val="center"/>
            <w:hideMark/>
          </w:tcPr>
          <w:p w14:paraId="10D4B240" w14:textId="77777777" w:rsidR="005F7B49" w:rsidRPr="005F7B49" w:rsidRDefault="005F7B49" w:rsidP="005F7B49">
            <w:pPr>
              <w:spacing w:before="0" w:after="0" w:line="240" w:lineRule="auto"/>
              <w:jc w:val="right"/>
              <w:rPr>
                <w:rFonts w:ascii="Arial" w:hAnsi="Arial" w:cs="Arial"/>
                <w:b/>
                <w:bCs/>
                <w:color w:val="000000"/>
                <w:sz w:val="16"/>
                <w:szCs w:val="16"/>
              </w:rPr>
            </w:pPr>
            <w:r w:rsidRPr="005F7B49">
              <w:rPr>
                <w:rFonts w:ascii="Arial" w:hAnsi="Arial" w:cs="Arial"/>
                <w:b/>
                <w:bCs/>
                <w:color w:val="000000"/>
                <w:sz w:val="16"/>
                <w:szCs w:val="16"/>
              </w:rPr>
              <w:t>762,192</w:t>
            </w:r>
          </w:p>
        </w:tc>
        <w:tc>
          <w:tcPr>
            <w:tcW w:w="472" w:type="pct"/>
            <w:tcBorders>
              <w:top w:val="single" w:sz="4" w:space="0" w:color="293F5B"/>
              <w:left w:val="nil"/>
              <w:bottom w:val="single" w:sz="4" w:space="0" w:color="293F5B"/>
              <w:right w:val="nil"/>
            </w:tcBorders>
            <w:shd w:val="clear" w:color="000000" w:fill="FFFFFF"/>
            <w:noWrap/>
            <w:vAlign w:val="center"/>
            <w:hideMark/>
          </w:tcPr>
          <w:p w14:paraId="4AC6FE04" w14:textId="77777777" w:rsidR="005F7B49" w:rsidRPr="005F7B49" w:rsidRDefault="005F7B49" w:rsidP="005F7B49">
            <w:pPr>
              <w:spacing w:before="0" w:after="0" w:line="240" w:lineRule="auto"/>
              <w:jc w:val="right"/>
              <w:rPr>
                <w:rFonts w:ascii="Arial" w:hAnsi="Arial" w:cs="Arial"/>
                <w:b/>
                <w:bCs/>
                <w:color w:val="000000"/>
                <w:sz w:val="16"/>
                <w:szCs w:val="16"/>
              </w:rPr>
            </w:pPr>
            <w:r w:rsidRPr="005F7B49">
              <w:rPr>
                <w:rFonts w:ascii="Arial" w:hAnsi="Arial" w:cs="Arial"/>
                <w:b/>
                <w:bCs/>
                <w:color w:val="000000"/>
                <w:sz w:val="16"/>
                <w:szCs w:val="16"/>
              </w:rPr>
              <w:t>786,722</w:t>
            </w:r>
          </w:p>
        </w:tc>
        <w:tc>
          <w:tcPr>
            <w:tcW w:w="472" w:type="pct"/>
            <w:tcBorders>
              <w:top w:val="single" w:sz="4" w:space="0" w:color="293F5B"/>
              <w:left w:val="nil"/>
              <w:bottom w:val="single" w:sz="4" w:space="0" w:color="293F5B"/>
              <w:right w:val="nil"/>
            </w:tcBorders>
            <w:shd w:val="clear" w:color="000000" w:fill="FFFFFF"/>
            <w:noWrap/>
            <w:vAlign w:val="center"/>
            <w:hideMark/>
          </w:tcPr>
          <w:p w14:paraId="4F0BC535" w14:textId="77777777" w:rsidR="005F7B49" w:rsidRPr="005F7B49" w:rsidRDefault="005F7B49" w:rsidP="005F7B49">
            <w:pPr>
              <w:spacing w:before="0" w:after="0" w:line="240" w:lineRule="auto"/>
              <w:jc w:val="right"/>
              <w:rPr>
                <w:rFonts w:ascii="Arial" w:hAnsi="Arial" w:cs="Arial"/>
                <w:b/>
                <w:bCs/>
                <w:color w:val="000000"/>
                <w:sz w:val="16"/>
                <w:szCs w:val="16"/>
              </w:rPr>
            </w:pPr>
            <w:r w:rsidRPr="005F7B49">
              <w:rPr>
                <w:rFonts w:ascii="Arial" w:hAnsi="Arial" w:cs="Arial"/>
                <w:b/>
                <w:bCs/>
                <w:color w:val="000000"/>
                <w:sz w:val="16"/>
                <w:szCs w:val="16"/>
              </w:rPr>
              <w:t>826,157</w:t>
            </w:r>
          </w:p>
        </w:tc>
      </w:tr>
    </w:tbl>
    <w:p w14:paraId="3826CE2E" w14:textId="5623C69A" w:rsidR="00E32E1B" w:rsidRPr="000177D7" w:rsidRDefault="00E32E1B" w:rsidP="00961412">
      <w:pPr>
        <w:pStyle w:val="ChartandTableFootnoteAlpha"/>
        <w:numPr>
          <w:ilvl w:val="0"/>
          <w:numId w:val="5"/>
        </w:numPr>
        <w:ind w:left="284" w:hanging="284"/>
        <w:rPr>
          <w:color w:val="auto"/>
        </w:rPr>
      </w:pPr>
      <w:r w:rsidRPr="000177D7">
        <w:rPr>
          <w:color w:val="auto"/>
        </w:rPr>
        <w:t>The entry for each program includes eliminations for inter</w:t>
      </w:r>
      <w:r w:rsidR="008D4F6B">
        <w:rPr>
          <w:color w:val="auto"/>
        </w:rPr>
        <w:noBreakHyphen/>
      </w:r>
      <w:r w:rsidRPr="000177D7">
        <w:rPr>
          <w:color w:val="auto"/>
        </w:rPr>
        <w:t>agency transactions within that program.</w:t>
      </w:r>
    </w:p>
    <w:p w14:paraId="43C09599" w14:textId="77777777" w:rsidR="00E32E1B" w:rsidRDefault="00E32E1B" w:rsidP="00961412">
      <w:pPr>
        <w:pStyle w:val="ChartandTableFootnoteAlpha"/>
        <w:numPr>
          <w:ilvl w:val="0"/>
          <w:numId w:val="5"/>
        </w:numPr>
        <w:ind w:left="284" w:hanging="284"/>
        <w:rPr>
          <w:color w:val="auto"/>
        </w:rPr>
      </w:pPr>
      <w:r w:rsidRPr="000177D7">
        <w:rPr>
          <w:color w:val="auto"/>
        </w:rPr>
        <w:t>This program is a combination of agency costs, support for participants and administered expenses.</w:t>
      </w:r>
    </w:p>
    <w:p w14:paraId="4E37F515" w14:textId="77777777" w:rsidR="00E32E1B" w:rsidRPr="000177D7" w:rsidRDefault="00E32E1B" w:rsidP="00D91079">
      <w:pPr>
        <w:pStyle w:val="TableLine"/>
      </w:pPr>
    </w:p>
    <w:p w14:paraId="64D0B251" w14:textId="77777777" w:rsidR="00ED485A" w:rsidRPr="000177D7" w:rsidRDefault="00ED485A" w:rsidP="00ED485A">
      <w:pPr>
        <w:pStyle w:val="Heading2"/>
      </w:pPr>
      <w:bookmarkStart w:id="42" w:name="_Toc166369417"/>
      <w:r w:rsidRPr="000177D7">
        <w:lastRenderedPageBreak/>
        <w:t>General government sector expenses</w:t>
      </w:r>
      <w:bookmarkEnd w:id="39"/>
      <w:bookmarkEnd w:id="41"/>
      <w:bookmarkEnd w:id="42"/>
    </w:p>
    <w:p w14:paraId="3555B02F" w14:textId="77777777" w:rsidR="00ED485A" w:rsidRPr="000177D7" w:rsidRDefault="00ED485A" w:rsidP="00ED485A">
      <w:pPr>
        <w:pStyle w:val="Heading3"/>
      </w:pPr>
      <w:bookmarkStart w:id="43" w:name="_Toc99203679"/>
      <w:bookmarkStart w:id="44" w:name="_Toc117358172"/>
      <w:bookmarkStart w:id="45" w:name="_Toc166369418"/>
      <w:r w:rsidRPr="000177D7">
        <w:t>General public services</w:t>
      </w:r>
      <w:bookmarkEnd w:id="43"/>
      <w:bookmarkEnd w:id="44"/>
      <w:bookmarkEnd w:id="45"/>
    </w:p>
    <w:p w14:paraId="3FB8AB36" w14:textId="37B16EF3" w:rsidR="00E32E1B" w:rsidRDefault="00E32E1B" w:rsidP="00F2334A">
      <w:bookmarkStart w:id="46" w:name="_Toc4689182"/>
      <w:bookmarkEnd w:id="34"/>
      <w:bookmarkEnd w:id="35"/>
      <w:r w:rsidRPr="000177D7">
        <w:t>The general public services function includes expenses to support the organisation and operation of government</w:t>
      </w:r>
      <w:r>
        <w:t xml:space="preserve">. These expenses include those </w:t>
      </w:r>
      <w:r w:rsidR="00D91079">
        <w:t>relating to</w:t>
      </w:r>
      <w:r w:rsidR="00D91079" w:rsidRPr="000177D7">
        <w:t xml:space="preserve"> </w:t>
      </w:r>
      <w:r w:rsidRPr="000177D7">
        <w:t>the Parliament</w:t>
      </w:r>
      <w:r>
        <w:t>,</w:t>
      </w:r>
      <w:r w:rsidRPr="000177D7">
        <w:t xml:space="preserve"> the Governor</w:t>
      </w:r>
      <w:r w:rsidR="008D4F6B">
        <w:noBreakHyphen/>
      </w:r>
      <w:r w:rsidRPr="000177D7">
        <w:t>General</w:t>
      </w:r>
      <w:r>
        <w:t>,</w:t>
      </w:r>
      <w:r w:rsidRPr="000177D7">
        <w:t xml:space="preserve"> the conduct of elections</w:t>
      </w:r>
      <w:r>
        <w:t>,</w:t>
      </w:r>
      <w:r w:rsidRPr="000177D7">
        <w:t xml:space="preserve"> the collection of taxes and management of public funds and debt</w:t>
      </w:r>
      <w:r>
        <w:t>,</w:t>
      </w:r>
      <w:r w:rsidRPr="000177D7">
        <w:t xml:space="preserve"> assistance to developing countries to reduce poverty and achieve sustainable development</w:t>
      </w:r>
      <w:r w:rsidR="00D91079">
        <w:t xml:space="preserve"> (</w:t>
      </w:r>
      <w:r w:rsidRPr="000177D7">
        <w:t>particularly countries in the Pacific region</w:t>
      </w:r>
      <w:r w:rsidR="00D91079">
        <w:t>)</w:t>
      </w:r>
      <w:r>
        <w:t>,</w:t>
      </w:r>
      <w:r w:rsidRPr="000177D7">
        <w:t xml:space="preserve"> contributions to international organisations</w:t>
      </w:r>
      <w:r>
        <w:t>,</w:t>
      </w:r>
      <w:r w:rsidRPr="000177D7">
        <w:t xml:space="preserve"> and foreign affairs.</w:t>
      </w:r>
    </w:p>
    <w:p w14:paraId="4EFE144A" w14:textId="13D70221" w:rsidR="00E32E1B" w:rsidRPr="000177D7" w:rsidRDefault="00E32E1B" w:rsidP="00F2334A">
      <w:r w:rsidRPr="000177D7">
        <w:t>The general public services function also includes expenses related to research in areas not otherwise connected with a specific function</w:t>
      </w:r>
      <w:r w:rsidR="00D91079">
        <w:t xml:space="preserve"> (including </w:t>
      </w:r>
      <w:r w:rsidR="005F7A06">
        <w:t>research undertaken by</w:t>
      </w:r>
      <w:r w:rsidR="00D91079" w:rsidRPr="00CD39D7">
        <w:t xml:space="preserve"> </w:t>
      </w:r>
      <w:r w:rsidR="005F7A06">
        <w:t xml:space="preserve">the </w:t>
      </w:r>
      <w:r w:rsidR="00D91079" w:rsidRPr="00CD39D7">
        <w:t>Commonwealth Scientific and Industrial Research Organisation, the Australian Nuclear Science and Technology Organisation, the Australian Institute of Marine Science, and the Australian Research Council</w:t>
      </w:r>
      <w:r w:rsidR="00D91079">
        <w:t>)</w:t>
      </w:r>
      <w:r w:rsidRPr="000177D7">
        <w:t>, those associated with overall economic and statistical services, as well as government superannuation benefits (excluding nominal interest expenses on unfunded liabilities, which are included under the nominal superannuation interest sub</w:t>
      </w:r>
      <w:r w:rsidR="008D4F6B">
        <w:noBreakHyphen/>
      </w:r>
      <w:r w:rsidRPr="000177D7">
        <w:t>function in the other purposes function).</w:t>
      </w:r>
    </w:p>
    <w:p w14:paraId="51E02A48" w14:textId="5B6BEB03" w:rsidR="006E7F1E" w:rsidRDefault="00E32E1B" w:rsidP="006E7F1E">
      <w:pPr>
        <w:pStyle w:val="TableHeading"/>
        <w:rPr>
          <w:rFonts w:asciiTheme="minorHAnsi" w:eastAsiaTheme="minorHAnsi" w:hAnsiTheme="minorHAnsi" w:cstheme="minorBidi"/>
          <w:sz w:val="22"/>
          <w:szCs w:val="22"/>
          <w:lang w:eastAsia="en-US"/>
        </w:rPr>
      </w:pPr>
      <w:bookmarkStart w:id="47" w:name="_Toc117358174"/>
      <w:bookmarkStart w:id="48" w:name="_Toc4689184"/>
      <w:bookmarkEnd w:id="46"/>
      <w:r w:rsidRPr="00FB688F">
        <w:t>Table 6.4: Summary of expenses – general public services</w:t>
      </w:r>
      <w:bookmarkStart w:id="49" w:name="_1555606405"/>
      <w:bookmarkStart w:id="50" w:name="_1727774268"/>
      <w:bookmarkStart w:id="51" w:name="_1776946337"/>
      <w:bookmarkStart w:id="52" w:name="_1776946645"/>
      <w:bookmarkStart w:id="53" w:name="_1776946546"/>
      <w:bookmarkEnd w:id="49"/>
      <w:bookmarkEnd w:id="50"/>
      <w:bookmarkEnd w:id="51"/>
      <w:bookmarkEnd w:id="52"/>
      <w:bookmarkEnd w:id="53"/>
    </w:p>
    <w:tbl>
      <w:tblPr>
        <w:tblW w:w="5000" w:type="pct"/>
        <w:tblCellMar>
          <w:left w:w="0" w:type="dxa"/>
          <w:right w:w="28" w:type="dxa"/>
        </w:tblCellMar>
        <w:tblLook w:val="04A0" w:firstRow="1" w:lastRow="0" w:firstColumn="1" w:lastColumn="0" w:noHBand="0" w:noVBand="1"/>
      </w:tblPr>
      <w:tblGrid>
        <w:gridCol w:w="3414"/>
        <w:gridCol w:w="860"/>
        <w:gridCol w:w="859"/>
        <w:gridCol w:w="859"/>
        <w:gridCol w:w="859"/>
        <w:gridCol w:w="859"/>
      </w:tblGrid>
      <w:tr w:rsidR="006E7F1E" w:rsidRPr="006E7F1E" w14:paraId="39F7E61D" w14:textId="77777777" w:rsidTr="00095756">
        <w:trPr>
          <w:trHeight w:hRule="exact" w:val="225"/>
        </w:trPr>
        <w:tc>
          <w:tcPr>
            <w:tcW w:w="2214" w:type="pct"/>
            <w:tcBorders>
              <w:top w:val="single" w:sz="4" w:space="0" w:color="293F5B"/>
              <w:left w:val="nil"/>
              <w:bottom w:val="nil"/>
              <w:right w:val="nil"/>
            </w:tcBorders>
            <w:shd w:val="clear" w:color="000000" w:fill="FFFFFF"/>
            <w:noWrap/>
            <w:vAlign w:val="center"/>
            <w:hideMark/>
          </w:tcPr>
          <w:p w14:paraId="3B728B99" w14:textId="247C5BF2" w:rsidR="006E7F1E" w:rsidRPr="006E7F1E" w:rsidRDefault="006E7F1E" w:rsidP="006E7F1E">
            <w:pPr>
              <w:spacing w:before="0" w:after="0" w:line="240" w:lineRule="auto"/>
              <w:rPr>
                <w:rFonts w:ascii="Arial" w:hAnsi="Arial" w:cs="Arial"/>
                <w:b/>
                <w:bCs/>
                <w:color w:val="000000"/>
                <w:sz w:val="16"/>
                <w:szCs w:val="16"/>
              </w:rPr>
            </w:pPr>
            <w:r w:rsidRPr="006E7F1E">
              <w:rPr>
                <w:rFonts w:ascii="Arial" w:hAnsi="Arial" w:cs="Arial"/>
                <w:b/>
                <w:bCs/>
                <w:color w:val="000000"/>
                <w:sz w:val="16"/>
                <w:szCs w:val="16"/>
              </w:rPr>
              <w:t>Sub-function</w:t>
            </w:r>
          </w:p>
        </w:tc>
        <w:tc>
          <w:tcPr>
            <w:tcW w:w="2786" w:type="pct"/>
            <w:gridSpan w:val="5"/>
            <w:tcBorders>
              <w:top w:val="single" w:sz="4" w:space="0" w:color="293F5B"/>
              <w:left w:val="nil"/>
              <w:bottom w:val="single" w:sz="4" w:space="0" w:color="293F5B"/>
              <w:right w:val="nil"/>
            </w:tcBorders>
            <w:shd w:val="clear" w:color="000000" w:fill="FFFFFF"/>
            <w:noWrap/>
            <w:vAlign w:val="center"/>
            <w:hideMark/>
          </w:tcPr>
          <w:p w14:paraId="34624B84" w14:textId="77777777" w:rsidR="006E7F1E" w:rsidRPr="006E7F1E" w:rsidRDefault="006E7F1E" w:rsidP="006E7F1E">
            <w:pPr>
              <w:spacing w:before="0" w:after="0" w:line="240" w:lineRule="auto"/>
              <w:jc w:val="center"/>
              <w:rPr>
                <w:rFonts w:ascii="Arial" w:hAnsi="Arial" w:cs="Arial"/>
                <w:color w:val="000000"/>
                <w:sz w:val="16"/>
                <w:szCs w:val="16"/>
              </w:rPr>
            </w:pPr>
            <w:r w:rsidRPr="006E7F1E">
              <w:rPr>
                <w:rFonts w:ascii="Arial" w:hAnsi="Arial" w:cs="Arial"/>
                <w:color w:val="000000"/>
                <w:sz w:val="16"/>
                <w:szCs w:val="16"/>
              </w:rPr>
              <w:t>Estimates</w:t>
            </w:r>
          </w:p>
        </w:tc>
      </w:tr>
      <w:tr w:rsidR="006E7F1E" w:rsidRPr="006E7F1E" w14:paraId="537D3899" w14:textId="77777777" w:rsidTr="00095756">
        <w:trPr>
          <w:trHeight w:hRule="exact" w:val="225"/>
        </w:trPr>
        <w:tc>
          <w:tcPr>
            <w:tcW w:w="2214" w:type="pct"/>
            <w:tcBorders>
              <w:top w:val="nil"/>
              <w:left w:val="nil"/>
              <w:bottom w:val="nil"/>
              <w:right w:val="nil"/>
            </w:tcBorders>
            <w:shd w:val="clear" w:color="000000" w:fill="FFFFFF"/>
            <w:noWrap/>
            <w:vAlign w:val="bottom"/>
            <w:hideMark/>
          </w:tcPr>
          <w:p w14:paraId="7643B43C" w14:textId="77777777" w:rsidR="006E7F1E" w:rsidRPr="006E7F1E" w:rsidRDefault="006E7F1E" w:rsidP="006E7F1E">
            <w:pPr>
              <w:spacing w:before="0" w:after="0" w:line="240" w:lineRule="auto"/>
              <w:rPr>
                <w:rFonts w:ascii="Arial" w:hAnsi="Arial" w:cs="Arial"/>
                <w:color w:val="000000"/>
                <w:sz w:val="16"/>
                <w:szCs w:val="16"/>
              </w:rPr>
            </w:pPr>
            <w:r w:rsidRPr="006E7F1E">
              <w:rPr>
                <w:rFonts w:ascii="Arial" w:hAnsi="Arial" w:cs="Arial"/>
                <w:color w:val="000000"/>
                <w:sz w:val="16"/>
                <w:szCs w:val="16"/>
              </w:rPr>
              <w:t> </w:t>
            </w:r>
          </w:p>
        </w:tc>
        <w:tc>
          <w:tcPr>
            <w:tcW w:w="558" w:type="pct"/>
            <w:tcBorders>
              <w:top w:val="single" w:sz="4" w:space="0" w:color="293F5B"/>
              <w:left w:val="nil"/>
              <w:bottom w:val="nil"/>
              <w:right w:val="nil"/>
            </w:tcBorders>
            <w:shd w:val="clear" w:color="000000" w:fill="FFFFFF"/>
            <w:noWrap/>
            <w:vAlign w:val="center"/>
            <w:hideMark/>
          </w:tcPr>
          <w:p w14:paraId="1E664980" w14:textId="77777777" w:rsidR="006E7F1E" w:rsidRPr="006E7F1E" w:rsidRDefault="006E7F1E" w:rsidP="006E7F1E">
            <w:pPr>
              <w:spacing w:before="0" w:after="0" w:line="240" w:lineRule="auto"/>
              <w:jc w:val="right"/>
              <w:rPr>
                <w:rFonts w:ascii="Arial" w:hAnsi="Arial" w:cs="Arial"/>
                <w:sz w:val="16"/>
                <w:szCs w:val="16"/>
              </w:rPr>
            </w:pPr>
            <w:r w:rsidRPr="006E7F1E">
              <w:rPr>
                <w:rFonts w:ascii="Arial" w:hAnsi="Arial" w:cs="Arial"/>
                <w:sz w:val="16"/>
                <w:szCs w:val="16"/>
              </w:rPr>
              <w:t>2023-24</w:t>
            </w:r>
          </w:p>
        </w:tc>
        <w:tc>
          <w:tcPr>
            <w:tcW w:w="557" w:type="pct"/>
            <w:tcBorders>
              <w:top w:val="single" w:sz="4" w:space="0" w:color="293F5B"/>
              <w:left w:val="nil"/>
              <w:bottom w:val="nil"/>
              <w:right w:val="nil"/>
            </w:tcBorders>
            <w:shd w:val="clear" w:color="000000" w:fill="E6F2FF"/>
            <w:noWrap/>
            <w:vAlign w:val="center"/>
            <w:hideMark/>
          </w:tcPr>
          <w:p w14:paraId="551E75F6" w14:textId="77777777" w:rsidR="006E7F1E" w:rsidRPr="006E7F1E" w:rsidRDefault="006E7F1E" w:rsidP="006E7F1E">
            <w:pPr>
              <w:spacing w:before="0" w:after="0" w:line="240" w:lineRule="auto"/>
              <w:jc w:val="right"/>
              <w:rPr>
                <w:rFonts w:ascii="Arial" w:hAnsi="Arial" w:cs="Arial"/>
                <w:sz w:val="16"/>
                <w:szCs w:val="16"/>
              </w:rPr>
            </w:pPr>
            <w:r w:rsidRPr="006E7F1E">
              <w:rPr>
                <w:rFonts w:ascii="Arial" w:hAnsi="Arial" w:cs="Arial"/>
                <w:sz w:val="16"/>
                <w:szCs w:val="16"/>
              </w:rPr>
              <w:t>2024-25</w:t>
            </w:r>
          </w:p>
        </w:tc>
        <w:tc>
          <w:tcPr>
            <w:tcW w:w="557" w:type="pct"/>
            <w:tcBorders>
              <w:top w:val="single" w:sz="4" w:space="0" w:color="293F5B"/>
              <w:left w:val="nil"/>
              <w:bottom w:val="nil"/>
              <w:right w:val="nil"/>
            </w:tcBorders>
            <w:shd w:val="clear" w:color="000000" w:fill="FFFFFF"/>
            <w:noWrap/>
            <w:vAlign w:val="center"/>
            <w:hideMark/>
          </w:tcPr>
          <w:p w14:paraId="0CA03CA1" w14:textId="77777777" w:rsidR="006E7F1E" w:rsidRPr="006E7F1E" w:rsidRDefault="006E7F1E" w:rsidP="006E7F1E">
            <w:pPr>
              <w:spacing w:before="0" w:after="0" w:line="240" w:lineRule="auto"/>
              <w:jc w:val="right"/>
              <w:rPr>
                <w:rFonts w:ascii="Arial" w:hAnsi="Arial" w:cs="Arial"/>
                <w:sz w:val="16"/>
                <w:szCs w:val="16"/>
              </w:rPr>
            </w:pPr>
            <w:r w:rsidRPr="006E7F1E">
              <w:rPr>
                <w:rFonts w:ascii="Arial" w:hAnsi="Arial" w:cs="Arial"/>
                <w:sz w:val="16"/>
                <w:szCs w:val="16"/>
              </w:rPr>
              <w:t>2025-26</w:t>
            </w:r>
          </w:p>
        </w:tc>
        <w:tc>
          <w:tcPr>
            <w:tcW w:w="557" w:type="pct"/>
            <w:tcBorders>
              <w:top w:val="single" w:sz="4" w:space="0" w:color="293F5B"/>
              <w:left w:val="nil"/>
              <w:bottom w:val="nil"/>
              <w:right w:val="nil"/>
            </w:tcBorders>
            <w:shd w:val="clear" w:color="000000" w:fill="FFFFFF"/>
            <w:noWrap/>
            <w:vAlign w:val="center"/>
            <w:hideMark/>
          </w:tcPr>
          <w:p w14:paraId="7A42B34B" w14:textId="77777777" w:rsidR="006E7F1E" w:rsidRPr="006E7F1E" w:rsidRDefault="006E7F1E" w:rsidP="006E7F1E">
            <w:pPr>
              <w:spacing w:before="0" w:after="0" w:line="240" w:lineRule="auto"/>
              <w:jc w:val="right"/>
              <w:rPr>
                <w:rFonts w:ascii="Arial" w:hAnsi="Arial" w:cs="Arial"/>
                <w:sz w:val="16"/>
                <w:szCs w:val="16"/>
              </w:rPr>
            </w:pPr>
            <w:r w:rsidRPr="006E7F1E">
              <w:rPr>
                <w:rFonts w:ascii="Arial" w:hAnsi="Arial" w:cs="Arial"/>
                <w:sz w:val="16"/>
                <w:szCs w:val="16"/>
              </w:rPr>
              <w:t>2026-27</w:t>
            </w:r>
          </w:p>
        </w:tc>
        <w:tc>
          <w:tcPr>
            <w:tcW w:w="557" w:type="pct"/>
            <w:tcBorders>
              <w:top w:val="single" w:sz="4" w:space="0" w:color="293F5B"/>
              <w:left w:val="nil"/>
              <w:bottom w:val="nil"/>
              <w:right w:val="nil"/>
            </w:tcBorders>
            <w:shd w:val="clear" w:color="000000" w:fill="FFFFFF"/>
            <w:noWrap/>
            <w:vAlign w:val="center"/>
            <w:hideMark/>
          </w:tcPr>
          <w:p w14:paraId="6BE53709" w14:textId="77777777" w:rsidR="006E7F1E" w:rsidRPr="006E7F1E" w:rsidRDefault="006E7F1E" w:rsidP="006E7F1E">
            <w:pPr>
              <w:spacing w:before="0" w:after="0" w:line="240" w:lineRule="auto"/>
              <w:jc w:val="right"/>
              <w:rPr>
                <w:rFonts w:ascii="Arial" w:hAnsi="Arial" w:cs="Arial"/>
                <w:color w:val="000000"/>
                <w:sz w:val="16"/>
                <w:szCs w:val="16"/>
              </w:rPr>
            </w:pPr>
            <w:r w:rsidRPr="006E7F1E">
              <w:rPr>
                <w:rFonts w:ascii="Arial" w:hAnsi="Arial" w:cs="Arial"/>
                <w:color w:val="000000"/>
                <w:sz w:val="16"/>
                <w:szCs w:val="16"/>
              </w:rPr>
              <w:t>2027-28</w:t>
            </w:r>
          </w:p>
        </w:tc>
      </w:tr>
      <w:tr w:rsidR="006E7F1E" w:rsidRPr="006E7F1E" w14:paraId="6616EB17" w14:textId="77777777" w:rsidTr="00095756">
        <w:trPr>
          <w:trHeight w:hRule="exact" w:val="225"/>
        </w:trPr>
        <w:tc>
          <w:tcPr>
            <w:tcW w:w="2214" w:type="pct"/>
            <w:tcBorders>
              <w:top w:val="nil"/>
              <w:left w:val="nil"/>
              <w:bottom w:val="nil"/>
              <w:right w:val="nil"/>
            </w:tcBorders>
            <w:shd w:val="clear" w:color="000000" w:fill="FFFFFF"/>
            <w:noWrap/>
            <w:vAlign w:val="center"/>
            <w:hideMark/>
          </w:tcPr>
          <w:p w14:paraId="05F127D1" w14:textId="77777777" w:rsidR="006E7F1E" w:rsidRPr="006E7F1E" w:rsidRDefault="006E7F1E" w:rsidP="006E7F1E">
            <w:pPr>
              <w:spacing w:before="0" w:after="0" w:line="240" w:lineRule="auto"/>
              <w:rPr>
                <w:rFonts w:ascii="Arial" w:hAnsi="Arial" w:cs="Arial"/>
                <w:color w:val="000000"/>
                <w:sz w:val="16"/>
                <w:szCs w:val="16"/>
              </w:rPr>
            </w:pPr>
            <w:r w:rsidRPr="006E7F1E">
              <w:rPr>
                <w:rFonts w:ascii="Arial" w:hAnsi="Arial" w:cs="Arial"/>
                <w:color w:val="000000"/>
                <w:sz w:val="16"/>
                <w:szCs w:val="16"/>
              </w:rPr>
              <w:t> </w:t>
            </w:r>
          </w:p>
        </w:tc>
        <w:tc>
          <w:tcPr>
            <w:tcW w:w="558" w:type="pct"/>
            <w:tcBorders>
              <w:top w:val="nil"/>
              <w:left w:val="nil"/>
              <w:bottom w:val="single" w:sz="4" w:space="0" w:color="293F5B"/>
              <w:right w:val="nil"/>
            </w:tcBorders>
            <w:shd w:val="clear" w:color="000000" w:fill="FFFFFF"/>
            <w:noWrap/>
            <w:vAlign w:val="center"/>
            <w:hideMark/>
          </w:tcPr>
          <w:p w14:paraId="0F91356D" w14:textId="77777777" w:rsidR="006E7F1E" w:rsidRPr="006E7F1E" w:rsidRDefault="006E7F1E" w:rsidP="006E7F1E">
            <w:pPr>
              <w:spacing w:before="0" w:after="0" w:line="240" w:lineRule="auto"/>
              <w:jc w:val="right"/>
              <w:rPr>
                <w:rFonts w:ascii="Arial" w:hAnsi="Arial" w:cs="Arial"/>
                <w:color w:val="000000"/>
                <w:sz w:val="16"/>
                <w:szCs w:val="16"/>
              </w:rPr>
            </w:pPr>
            <w:r w:rsidRPr="006E7F1E">
              <w:rPr>
                <w:rFonts w:ascii="Arial" w:hAnsi="Arial" w:cs="Arial"/>
                <w:color w:val="000000"/>
                <w:sz w:val="16"/>
                <w:szCs w:val="16"/>
              </w:rPr>
              <w:t>$m</w:t>
            </w:r>
          </w:p>
        </w:tc>
        <w:tc>
          <w:tcPr>
            <w:tcW w:w="557" w:type="pct"/>
            <w:tcBorders>
              <w:top w:val="nil"/>
              <w:left w:val="nil"/>
              <w:bottom w:val="single" w:sz="4" w:space="0" w:color="293F5B"/>
              <w:right w:val="nil"/>
            </w:tcBorders>
            <w:shd w:val="clear" w:color="000000" w:fill="E6F2FF"/>
            <w:noWrap/>
            <w:vAlign w:val="center"/>
            <w:hideMark/>
          </w:tcPr>
          <w:p w14:paraId="50BB486D" w14:textId="77777777" w:rsidR="006E7F1E" w:rsidRPr="006E7F1E" w:rsidRDefault="006E7F1E" w:rsidP="006E7F1E">
            <w:pPr>
              <w:spacing w:before="0" w:after="0" w:line="240" w:lineRule="auto"/>
              <w:jc w:val="right"/>
              <w:rPr>
                <w:rFonts w:ascii="Arial" w:hAnsi="Arial" w:cs="Arial"/>
                <w:color w:val="000000"/>
                <w:sz w:val="16"/>
                <w:szCs w:val="16"/>
              </w:rPr>
            </w:pPr>
            <w:r w:rsidRPr="006E7F1E">
              <w:rPr>
                <w:rFonts w:ascii="Arial" w:hAnsi="Arial" w:cs="Arial"/>
                <w:color w:val="000000"/>
                <w:sz w:val="16"/>
                <w:szCs w:val="16"/>
              </w:rPr>
              <w:t>$m</w:t>
            </w:r>
          </w:p>
        </w:tc>
        <w:tc>
          <w:tcPr>
            <w:tcW w:w="557" w:type="pct"/>
            <w:tcBorders>
              <w:top w:val="nil"/>
              <w:left w:val="nil"/>
              <w:bottom w:val="single" w:sz="4" w:space="0" w:color="293F5B"/>
              <w:right w:val="nil"/>
            </w:tcBorders>
            <w:shd w:val="clear" w:color="000000" w:fill="FFFFFF"/>
            <w:noWrap/>
            <w:vAlign w:val="center"/>
            <w:hideMark/>
          </w:tcPr>
          <w:p w14:paraId="3BD64F6C" w14:textId="77777777" w:rsidR="006E7F1E" w:rsidRPr="006E7F1E" w:rsidRDefault="006E7F1E" w:rsidP="006E7F1E">
            <w:pPr>
              <w:spacing w:before="0" w:after="0" w:line="240" w:lineRule="auto"/>
              <w:jc w:val="right"/>
              <w:rPr>
                <w:rFonts w:ascii="Arial" w:hAnsi="Arial" w:cs="Arial"/>
                <w:color w:val="000000"/>
                <w:sz w:val="16"/>
                <w:szCs w:val="16"/>
              </w:rPr>
            </w:pPr>
            <w:r w:rsidRPr="006E7F1E">
              <w:rPr>
                <w:rFonts w:ascii="Arial" w:hAnsi="Arial" w:cs="Arial"/>
                <w:color w:val="000000"/>
                <w:sz w:val="16"/>
                <w:szCs w:val="16"/>
              </w:rPr>
              <w:t>$m</w:t>
            </w:r>
          </w:p>
        </w:tc>
        <w:tc>
          <w:tcPr>
            <w:tcW w:w="557" w:type="pct"/>
            <w:tcBorders>
              <w:top w:val="nil"/>
              <w:left w:val="nil"/>
              <w:bottom w:val="single" w:sz="4" w:space="0" w:color="293F5B"/>
              <w:right w:val="nil"/>
            </w:tcBorders>
            <w:shd w:val="clear" w:color="000000" w:fill="FFFFFF"/>
            <w:noWrap/>
            <w:vAlign w:val="center"/>
            <w:hideMark/>
          </w:tcPr>
          <w:p w14:paraId="27B1A333" w14:textId="77777777" w:rsidR="006E7F1E" w:rsidRPr="006E7F1E" w:rsidRDefault="006E7F1E" w:rsidP="006E7F1E">
            <w:pPr>
              <w:spacing w:before="0" w:after="0" w:line="240" w:lineRule="auto"/>
              <w:jc w:val="right"/>
              <w:rPr>
                <w:rFonts w:ascii="Arial" w:hAnsi="Arial" w:cs="Arial"/>
                <w:color w:val="000000"/>
                <w:sz w:val="16"/>
                <w:szCs w:val="16"/>
              </w:rPr>
            </w:pPr>
            <w:r w:rsidRPr="006E7F1E">
              <w:rPr>
                <w:rFonts w:ascii="Arial" w:hAnsi="Arial" w:cs="Arial"/>
                <w:color w:val="000000"/>
                <w:sz w:val="16"/>
                <w:szCs w:val="16"/>
              </w:rPr>
              <w:t>$m</w:t>
            </w:r>
          </w:p>
        </w:tc>
        <w:tc>
          <w:tcPr>
            <w:tcW w:w="557" w:type="pct"/>
            <w:tcBorders>
              <w:top w:val="nil"/>
              <w:left w:val="nil"/>
              <w:bottom w:val="single" w:sz="4" w:space="0" w:color="293F5B"/>
              <w:right w:val="nil"/>
            </w:tcBorders>
            <w:shd w:val="clear" w:color="000000" w:fill="FFFFFF"/>
            <w:noWrap/>
            <w:vAlign w:val="center"/>
            <w:hideMark/>
          </w:tcPr>
          <w:p w14:paraId="64CEA182" w14:textId="77777777" w:rsidR="006E7F1E" w:rsidRPr="006E7F1E" w:rsidRDefault="006E7F1E" w:rsidP="006E7F1E">
            <w:pPr>
              <w:spacing w:before="0" w:after="0" w:line="240" w:lineRule="auto"/>
              <w:jc w:val="right"/>
              <w:rPr>
                <w:rFonts w:ascii="Arial" w:hAnsi="Arial" w:cs="Arial"/>
                <w:color w:val="000000"/>
                <w:sz w:val="16"/>
                <w:szCs w:val="16"/>
              </w:rPr>
            </w:pPr>
            <w:r w:rsidRPr="006E7F1E">
              <w:rPr>
                <w:rFonts w:ascii="Arial" w:hAnsi="Arial" w:cs="Arial"/>
                <w:color w:val="000000"/>
                <w:sz w:val="16"/>
                <w:szCs w:val="16"/>
              </w:rPr>
              <w:t>$m</w:t>
            </w:r>
          </w:p>
        </w:tc>
      </w:tr>
      <w:tr w:rsidR="006E7F1E" w:rsidRPr="006E7F1E" w14:paraId="7496441D" w14:textId="77777777" w:rsidTr="00095756">
        <w:trPr>
          <w:trHeight w:hRule="exact" w:val="225"/>
        </w:trPr>
        <w:tc>
          <w:tcPr>
            <w:tcW w:w="2214" w:type="pct"/>
            <w:tcBorders>
              <w:top w:val="nil"/>
              <w:left w:val="nil"/>
              <w:bottom w:val="nil"/>
              <w:right w:val="nil"/>
            </w:tcBorders>
            <w:shd w:val="clear" w:color="000000" w:fill="FFFFFF"/>
            <w:noWrap/>
            <w:vAlign w:val="center"/>
            <w:hideMark/>
          </w:tcPr>
          <w:p w14:paraId="1845BCA8" w14:textId="77777777" w:rsidR="006E7F1E" w:rsidRPr="006E7F1E" w:rsidRDefault="006E7F1E" w:rsidP="006E7F1E">
            <w:pPr>
              <w:spacing w:before="0" w:after="0" w:line="240" w:lineRule="auto"/>
              <w:rPr>
                <w:rFonts w:ascii="Arial" w:hAnsi="Arial" w:cs="Arial"/>
                <w:color w:val="000000"/>
                <w:sz w:val="16"/>
                <w:szCs w:val="16"/>
              </w:rPr>
            </w:pPr>
            <w:r w:rsidRPr="006E7F1E">
              <w:rPr>
                <w:rFonts w:ascii="Arial" w:hAnsi="Arial" w:cs="Arial"/>
                <w:color w:val="000000"/>
                <w:sz w:val="16"/>
                <w:szCs w:val="16"/>
              </w:rPr>
              <w:t>Legislative and executive affairs</w:t>
            </w:r>
          </w:p>
        </w:tc>
        <w:tc>
          <w:tcPr>
            <w:tcW w:w="558" w:type="pct"/>
            <w:tcBorders>
              <w:top w:val="nil"/>
              <w:left w:val="nil"/>
              <w:bottom w:val="nil"/>
              <w:right w:val="nil"/>
            </w:tcBorders>
            <w:shd w:val="clear" w:color="000000" w:fill="FFFFFF"/>
            <w:noWrap/>
            <w:vAlign w:val="center"/>
            <w:hideMark/>
          </w:tcPr>
          <w:p w14:paraId="466330B4" w14:textId="77777777" w:rsidR="006E7F1E" w:rsidRPr="006E7F1E" w:rsidRDefault="006E7F1E" w:rsidP="006E7F1E">
            <w:pPr>
              <w:spacing w:before="0" w:after="0" w:line="240" w:lineRule="auto"/>
              <w:jc w:val="right"/>
              <w:rPr>
                <w:rFonts w:ascii="Arial" w:hAnsi="Arial" w:cs="Arial"/>
                <w:color w:val="000000"/>
                <w:sz w:val="16"/>
                <w:szCs w:val="16"/>
              </w:rPr>
            </w:pPr>
            <w:r w:rsidRPr="006E7F1E">
              <w:rPr>
                <w:rFonts w:ascii="Arial" w:hAnsi="Arial" w:cs="Arial"/>
                <w:color w:val="000000"/>
                <w:sz w:val="16"/>
                <w:szCs w:val="16"/>
              </w:rPr>
              <w:t>2,052</w:t>
            </w:r>
          </w:p>
        </w:tc>
        <w:tc>
          <w:tcPr>
            <w:tcW w:w="557" w:type="pct"/>
            <w:tcBorders>
              <w:top w:val="nil"/>
              <w:left w:val="nil"/>
              <w:bottom w:val="nil"/>
              <w:right w:val="nil"/>
            </w:tcBorders>
            <w:shd w:val="clear" w:color="000000" w:fill="E6F2FF"/>
            <w:noWrap/>
            <w:vAlign w:val="center"/>
            <w:hideMark/>
          </w:tcPr>
          <w:p w14:paraId="665041A7" w14:textId="77777777" w:rsidR="006E7F1E" w:rsidRPr="006E7F1E" w:rsidRDefault="006E7F1E" w:rsidP="006E7F1E">
            <w:pPr>
              <w:spacing w:before="0" w:after="0" w:line="240" w:lineRule="auto"/>
              <w:jc w:val="right"/>
              <w:rPr>
                <w:rFonts w:ascii="Arial" w:hAnsi="Arial" w:cs="Arial"/>
                <w:color w:val="000000"/>
                <w:sz w:val="16"/>
                <w:szCs w:val="16"/>
              </w:rPr>
            </w:pPr>
            <w:r w:rsidRPr="006E7F1E">
              <w:rPr>
                <w:rFonts w:ascii="Arial" w:hAnsi="Arial" w:cs="Arial"/>
                <w:color w:val="000000"/>
                <w:sz w:val="16"/>
                <w:szCs w:val="16"/>
              </w:rPr>
              <w:t>2,216</w:t>
            </w:r>
          </w:p>
        </w:tc>
        <w:tc>
          <w:tcPr>
            <w:tcW w:w="557" w:type="pct"/>
            <w:tcBorders>
              <w:top w:val="nil"/>
              <w:left w:val="nil"/>
              <w:bottom w:val="nil"/>
              <w:right w:val="nil"/>
            </w:tcBorders>
            <w:shd w:val="clear" w:color="000000" w:fill="FFFFFF"/>
            <w:noWrap/>
            <w:vAlign w:val="center"/>
            <w:hideMark/>
          </w:tcPr>
          <w:p w14:paraId="2FF3A2D3" w14:textId="77777777" w:rsidR="006E7F1E" w:rsidRPr="006E7F1E" w:rsidRDefault="006E7F1E" w:rsidP="006E7F1E">
            <w:pPr>
              <w:spacing w:before="0" w:after="0" w:line="240" w:lineRule="auto"/>
              <w:jc w:val="right"/>
              <w:rPr>
                <w:rFonts w:ascii="Arial" w:hAnsi="Arial" w:cs="Arial"/>
                <w:color w:val="000000"/>
                <w:sz w:val="16"/>
                <w:szCs w:val="16"/>
              </w:rPr>
            </w:pPr>
            <w:r w:rsidRPr="006E7F1E">
              <w:rPr>
                <w:rFonts w:ascii="Arial" w:hAnsi="Arial" w:cs="Arial"/>
                <w:color w:val="000000"/>
                <w:sz w:val="16"/>
                <w:szCs w:val="16"/>
              </w:rPr>
              <w:t>1,676</w:t>
            </w:r>
          </w:p>
        </w:tc>
        <w:tc>
          <w:tcPr>
            <w:tcW w:w="557" w:type="pct"/>
            <w:tcBorders>
              <w:top w:val="nil"/>
              <w:left w:val="nil"/>
              <w:bottom w:val="nil"/>
              <w:right w:val="nil"/>
            </w:tcBorders>
            <w:shd w:val="clear" w:color="000000" w:fill="FFFFFF"/>
            <w:noWrap/>
            <w:vAlign w:val="center"/>
            <w:hideMark/>
          </w:tcPr>
          <w:p w14:paraId="30BA357F" w14:textId="77777777" w:rsidR="006E7F1E" w:rsidRPr="006E7F1E" w:rsidRDefault="006E7F1E" w:rsidP="006E7F1E">
            <w:pPr>
              <w:spacing w:before="0" w:after="0" w:line="240" w:lineRule="auto"/>
              <w:jc w:val="right"/>
              <w:rPr>
                <w:rFonts w:ascii="Arial" w:hAnsi="Arial" w:cs="Arial"/>
                <w:color w:val="000000"/>
                <w:sz w:val="16"/>
                <w:szCs w:val="16"/>
              </w:rPr>
            </w:pPr>
            <w:r w:rsidRPr="006E7F1E">
              <w:rPr>
                <w:rFonts w:ascii="Arial" w:hAnsi="Arial" w:cs="Arial"/>
                <w:color w:val="000000"/>
                <w:sz w:val="16"/>
                <w:szCs w:val="16"/>
              </w:rPr>
              <w:t>1,633</w:t>
            </w:r>
          </w:p>
        </w:tc>
        <w:tc>
          <w:tcPr>
            <w:tcW w:w="557" w:type="pct"/>
            <w:tcBorders>
              <w:top w:val="nil"/>
              <w:left w:val="nil"/>
              <w:bottom w:val="nil"/>
              <w:right w:val="nil"/>
            </w:tcBorders>
            <w:shd w:val="clear" w:color="000000" w:fill="FFFFFF"/>
            <w:noWrap/>
            <w:vAlign w:val="center"/>
            <w:hideMark/>
          </w:tcPr>
          <w:p w14:paraId="72A30F7E" w14:textId="77777777" w:rsidR="006E7F1E" w:rsidRPr="006E7F1E" w:rsidRDefault="006E7F1E" w:rsidP="006E7F1E">
            <w:pPr>
              <w:spacing w:before="0" w:after="0" w:line="240" w:lineRule="auto"/>
              <w:jc w:val="right"/>
              <w:rPr>
                <w:rFonts w:ascii="Arial" w:hAnsi="Arial" w:cs="Arial"/>
                <w:color w:val="000000"/>
                <w:sz w:val="16"/>
                <w:szCs w:val="16"/>
              </w:rPr>
            </w:pPr>
            <w:r w:rsidRPr="006E7F1E">
              <w:rPr>
                <w:rFonts w:ascii="Arial" w:hAnsi="Arial" w:cs="Arial"/>
                <w:color w:val="000000"/>
                <w:sz w:val="16"/>
                <w:szCs w:val="16"/>
              </w:rPr>
              <w:t>1,840</w:t>
            </w:r>
          </w:p>
        </w:tc>
      </w:tr>
      <w:tr w:rsidR="006E7F1E" w:rsidRPr="006E7F1E" w14:paraId="1B47136F" w14:textId="77777777" w:rsidTr="00095756">
        <w:trPr>
          <w:trHeight w:hRule="exact" w:val="225"/>
        </w:trPr>
        <w:tc>
          <w:tcPr>
            <w:tcW w:w="2214" w:type="pct"/>
            <w:tcBorders>
              <w:top w:val="nil"/>
              <w:left w:val="nil"/>
              <w:bottom w:val="nil"/>
              <w:right w:val="nil"/>
            </w:tcBorders>
            <w:shd w:val="clear" w:color="000000" w:fill="FFFFFF"/>
            <w:noWrap/>
            <w:vAlign w:val="center"/>
            <w:hideMark/>
          </w:tcPr>
          <w:p w14:paraId="43C009BE" w14:textId="77777777" w:rsidR="006E7F1E" w:rsidRPr="006E7F1E" w:rsidRDefault="006E7F1E" w:rsidP="006E7F1E">
            <w:pPr>
              <w:spacing w:before="0" w:after="0" w:line="240" w:lineRule="auto"/>
              <w:rPr>
                <w:rFonts w:ascii="Arial" w:hAnsi="Arial" w:cs="Arial"/>
                <w:color w:val="000000"/>
                <w:sz w:val="16"/>
                <w:szCs w:val="16"/>
              </w:rPr>
            </w:pPr>
            <w:r w:rsidRPr="006E7F1E">
              <w:rPr>
                <w:rFonts w:ascii="Arial" w:hAnsi="Arial" w:cs="Arial"/>
                <w:color w:val="000000"/>
                <w:sz w:val="16"/>
                <w:szCs w:val="16"/>
              </w:rPr>
              <w:t>Financial and fiscal affairs</w:t>
            </w:r>
          </w:p>
        </w:tc>
        <w:tc>
          <w:tcPr>
            <w:tcW w:w="558" w:type="pct"/>
            <w:tcBorders>
              <w:top w:val="nil"/>
              <w:left w:val="nil"/>
              <w:bottom w:val="nil"/>
              <w:right w:val="nil"/>
            </w:tcBorders>
            <w:shd w:val="clear" w:color="000000" w:fill="FFFFFF"/>
            <w:noWrap/>
            <w:vAlign w:val="center"/>
            <w:hideMark/>
          </w:tcPr>
          <w:p w14:paraId="39428595" w14:textId="77777777" w:rsidR="006E7F1E" w:rsidRPr="006E7F1E" w:rsidRDefault="006E7F1E" w:rsidP="006E7F1E">
            <w:pPr>
              <w:spacing w:before="0" w:after="0" w:line="240" w:lineRule="auto"/>
              <w:jc w:val="right"/>
              <w:rPr>
                <w:rFonts w:ascii="Arial" w:hAnsi="Arial" w:cs="Arial"/>
                <w:color w:val="000000"/>
                <w:sz w:val="16"/>
                <w:szCs w:val="16"/>
              </w:rPr>
            </w:pPr>
            <w:r w:rsidRPr="006E7F1E">
              <w:rPr>
                <w:rFonts w:ascii="Arial" w:hAnsi="Arial" w:cs="Arial"/>
                <w:color w:val="000000"/>
                <w:sz w:val="16"/>
                <w:szCs w:val="16"/>
              </w:rPr>
              <w:t>10,378</w:t>
            </w:r>
          </w:p>
        </w:tc>
        <w:tc>
          <w:tcPr>
            <w:tcW w:w="557" w:type="pct"/>
            <w:tcBorders>
              <w:top w:val="nil"/>
              <w:left w:val="nil"/>
              <w:bottom w:val="nil"/>
              <w:right w:val="nil"/>
            </w:tcBorders>
            <w:shd w:val="clear" w:color="000000" w:fill="E6F2FF"/>
            <w:noWrap/>
            <w:vAlign w:val="center"/>
            <w:hideMark/>
          </w:tcPr>
          <w:p w14:paraId="480B6A83" w14:textId="77777777" w:rsidR="006E7F1E" w:rsidRPr="006E7F1E" w:rsidRDefault="006E7F1E" w:rsidP="006E7F1E">
            <w:pPr>
              <w:spacing w:before="0" w:after="0" w:line="240" w:lineRule="auto"/>
              <w:jc w:val="right"/>
              <w:rPr>
                <w:rFonts w:ascii="Arial" w:hAnsi="Arial" w:cs="Arial"/>
                <w:color w:val="000000"/>
                <w:sz w:val="16"/>
                <w:szCs w:val="16"/>
              </w:rPr>
            </w:pPr>
            <w:r w:rsidRPr="006E7F1E">
              <w:rPr>
                <w:rFonts w:ascii="Arial" w:hAnsi="Arial" w:cs="Arial"/>
                <w:color w:val="000000"/>
                <w:sz w:val="16"/>
                <w:szCs w:val="16"/>
              </w:rPr>
              <w:t>10,227</w:t>
            </w:r>
          </w:p>
        </w:tc>
        <w:tc>
          <w:tcPr>
            <w:tcW w:w="557" w:type="pct"/>
            <w:tcBorders>
              <w:top w:val="nil"/>
              <w:left w:val="nil"/>
              <w:bottom w:val="nil"/>
              <w:right w:val="nil"/>
            </w:tcBorders>
            <w:shd w:val="clear" w:color="000000" w:fill="FFFFFF"/>
            <w:noWrap/>
            <w:vAlign w:val="center"/>
            <w:hideMark/>
          </w:tcPr>
          <w:p w14:paraId="79020512" w14:textId="77777777" w:rsidR="006E7F1E" w:rsidRPr="006E7F1E" w:rsidRDefault="006E7F1E" w:rsidP="006E7F1E">
            <w:pPr>
              <w:spacing w:before="0" w:after="0" w:line="240" w:lineRule="auto"/>
              <w:jc w:val="right"/>
              <w:rPr>
                <w:rFonts w:ascii="Arial" w:hAnsi="Arial" w:cs="Arial"/>
                <w:color w:val="000000"/>
                <w:sz w:val="16"/>
                <w:szCs w:val="16"/>
              </w:rPr>
            </w:pPr>
            <w:r w:rsidRPr="006E7F1E">
              <w:rPr>
                <w:rFonts w:ascii="Arial" w:hAnsi="Arial" w:cs="Arial"/>
                <w:color w:val="000000"/>
                <w:sz w:val="16"/>
                <w:szCs w:val="16"/>
              </w:rPr>
              <w:t>10,070</w:t>
            </w:r>
          </w:p>
        </w:tc>
        <w:tc>
          <w:tcPr>
            <w:tcW w:w="557" w:type="pct"/>
            <w:tcBorders>
              <w:top w:val="nil"/>
              <w:left w:val="nil"/>
              <w:bottom w:val="nil"/>
              <w:right w:val="nil"/>
            </w:tcBorders>
            <w:shd w:val="clear" w:color="000000" w:fill="FFFFFF"/>
            <w:noWrap/>
            <w:vAlign w:val="center"/>
            <w:hideMark/>
          </w:tcPr>
          <w:p w14:paraId="5D896971" w14:textId="77777777" w:rsidR="006E7F1E" w:rsidRPr="006E7F1E" w:rsidRDefault="006E7F1E" w:rsidP="006E7F1E">
            <w:pPr>
              <w:spacing w:before="0" w:after="0" w:line="240" w:lineRule="auto"/>
              <w:jc w:val="right"/>
              <w:rPr>
                <w:rFonts w:ascii="Arial" w:hAnsi="Arial" w:cs="Arial"/>
                <w:color w:val="000000"/>
                <w:sz w:val="16"/>
                <w:szCs w:val="16"/>
              </w:rPr>
            </w:pPr>
            <w:r w:rsidRPr="006E7F1E">
              <w:rPr>
                <w:rFonts w:ascii="Arial" w:hAnsi="Arial" w:cs="Arial"/>
                <w:color w:val="000000"/>
                <w:sz w:val="16"/>
                <w:szCs w:val="16"/>
              </w:rPr>
              <w:t>10,081</w:t>
            </w:r>
          </w:p>
        </w:tc>
        <w:tc>
          <w:tcPr>
            <w:tcW w:w="557" w:type="pct"/>
            <w:tcBorders>
              <w:top w:val="nil"/>
              <w:left w:val="nil"/>
              <w:bottom w:val="nil"/>
              <w:right w:val="nil"/>
            </w:tcBorders>
            <w:shd w:val="clear" w:color="000000" w:fill="FFFFFF"/>
            <w:noWrap/>
            <w:vAlign w:val="center"/>
            <w:hideMark/>
          </w:tcPr>
          <w:p w14:paraId="7B9EEF16" w14:textId="77777777" w:rsidR="006E7F1E" w:rsidRPr="006E7F1E" w:rsidRDefault="006E7F1E" w:rsidP="006E7F1E">
            <w:pPr>
              <w:spacing w:before="0" w:after="0" w:line="240" w:lineRule="auto"/>
              <w:jc w:val="right"/>
              <w:rPr>
                <w:rFonts w:ascii="Arial" w:hAnsi="Arial" w:cs="Arial"/>
                <w:color w:val="000000"/>
                <w:sz w:val="16"/>
                <w:szCs w:val="16"/>
              </w:rPr>
            </w:pPr>
            <w:r w:rsidRPr="006E7F1E">
              <w:rPr>
                <w:rFonts w:ascii="Arial" w:hAnsi="Arial" w:cs="Arial"/>
                <w:color w:val="000000"/>
                <w:sz w:val="16"/>
                <w:szCs w:val="16"/>
              </w:rPr>
              <w:t>9,814</w:t>
            </w:r>
          </w:p>
        </w:tc>
      </w:tr>
      <w:tr w:rsidR="006E7F1E" w:rsidRPr="006E7F1E" w14:paraId="11F29DE4" w14:textId="77777777" w:rsidTr="00095756">
        <w:trPr>
          <w:trHeight w:hRule="exact" w:val="225"/>
        </w:trPr>
        <w:tc>
          <w:tcPr>
            <w:tcW w:w="2214" w:type="pct"/>
            <w:tcBorders>
              <w:top w:val="nil"/>
              <w:left w:val="nil"/>
              <w:bottom w:val="nil"/>
              <w:right w:val="nil"/>
            </w:tcBorders>
            <w:shd w:val="clear" w:color="000000" w:fill="FFFFFF"/>
            <w:noWrap/>
            <w:vAlign w:val="center"/>
            <w:hideMark/>
          </w:tcPr>
          <w:p w14:paraId="10C1474B" w14:textId="77777777" w:rsidR="006E7F1E" w:rsidRPr="006E7F1E" w:rsidRDefault="006E7F1E" w:rsidP="006E7F1E">
            <w:pPr>
              <w:spacing w:before="0" w:after="0" w:line="240" w:lineRule="auto"/>
              <w:rPr>
                <w:rFonts w:ascii="Arial" w:hAnsi="Arial" w:cs="Arial"/>
                <w:color w:val="000000"/>
                <w:sz w:val="16"/>
                <w:szCs w:val="16"/>
              </w:rPr>
            </w:pPr>
            <w:r w:rsidRPr="006E7F1E">
              <w:rPr>
                <w:rFonts w:ascii="Arial" w:hAnsi="Arial" w:cs="Arial"/>
                <w:color w:val="000000"/>
                <w:sz w:val="16"/>
                <w:szCs w:val="16"/>
              </w:rPr>
              <w:t>Foreign affairs and economic aid(a)</w:t>
            </w:r>
          </w:p>
        </w:tc>
        <w:tc>
          <w:tcPr>
            <w:tcW w:w="558" w:type="pct"/>
            <w:tcBorders>
              <w:top w:val="nil"/>
              <w:left w:val="nil"/>
              <w:bottom w:val="nil"/>
              <w:right w:val="nil"/>
            </w:tcBorders>
            <w:shd w:val="clear" w:color="000000" w:fill="FFFFFF"/>
            <w:noWrap/>
            <w:vAlign w:val="center"/>
            <w:hideMark/>
          </w:tcPr>
          <w:p w14:paraId="61D8C40A" w14:textId="77777777" w:rsidR="006E7F1E" w:rsidRPr="006E7F1E" w:rsidRDefault="006E7F1E" w:rsidP="006E7F1E">
            <w:pPr>
              <w:spacing w:before="0" w:after="0" w:line="240" w:lineRule="auto"/>
              <w:jc w:val="right"/>
              <w:rPr>
                <w:rFonts w:ascii="Arial" w:hAnsi="Arial" w:cs="Arial"/>
                <w:color w:val="000000"/>
                <w:sz w:val="16"/>
                <w:szCs w:val="16"/>
              </w:rPr>
            </w:pPr>
            <w:r w:rsidRPr="006E7F1E">
              <w:rPr>
                <w:rFonts w:ascii="Arial" w:hAnsi="Arial" w:cs="Arial"/>
                <w:color w:val="000000"/>
                <w:sz w:val="16"/>
                <w:szCs w:val="16"/>
              </w:rPr>
              <w:t>7,282</w:t>
            </w:r>
          </w:p>
        </w:tc>
        <w:tc>
          <w:tcPr>
            <w:tcW w:w="557" w:type="pct"/>
            <w:tcBorders>
              <w:top w:val="nil"/>
              <w:left w:val="nil"/>
              <w:bottom w:val="nil"/>
              <w:right w:val="nil"/>
            </w:tcBorders>
            <w:shd w:val="clear" w:color="000000" w:fill="E6F2FF"/>
            <w:noWrap/>
            <w:vAlign w:val="center"/>
            <w:hideMark/>
          </w:tcPr>
          <w:p w14:paraId="53E58B86" w14:textId="77777777" w:rsidR="006E7F1E" w:rsidRPr="006E7F1E" w:rsidRDefault="006E7F1E" w:rsidP="006E7F1E">
            <w:pPr>
              <w:spacing w:before="0" w:after="0" w:line="240" w:lineRule="auto"/>
              <w:jc w:val="right"/>
              <w:rPr>
                <w:rFonts w:ascii="Arial" w:hAnsi="Arial" w:cs="Arial"/>
                <w:color w:val="000000"/>
                <w:sz w:val="16"/>
                <w:szCs w:val="16"/>
              </w:rPr>
            </w:pPr>
            <w:r w:rsidRPr="006E7F1E">
              <w:rPr>
                <w:rFonts w:ascii="Arial" w:hAnsi="Arial" w:cs="Arial"/>
                <w:color w:val="000000"/>
                <w:sz w:val="16"/>
                <w:szCs w:val="16"/>
              </w:rPr>
              <w:t>8,730</w:t>
            </w:r>
          </w:p>
        </w:tc>
        <w:tc>
          <w:tcPr>
            <w:tcW w:w="557" w:type="pct"/>
            <w:tcBorders>
              <w:top w:val="nil"/>
              <w:left w:val="nil"/>
              <w:bottom w:val="nil"/>
              <w:right w:val="nil"/>
            </w:tcBorders>
            <w:shd w:val="clear" w:color="000000" w:fill="FFFFFF"/>
            <w:noWrap/>
            <w:vAlign w:val="center"/>
            <w:hideMark/>
          </w:tcPr>
          <w:p w14:paraId="28266FFE" w14:textId="77777777" w:rsidR="006E7F1E" w:rsidRPr="006E7F1E" w:rsidRDefault="006E7F1E" w:rsidP="006E7F1E">
            <w:pPr>
              <w:spacing w:before="0" w:after="0" w:line="240" w:lineRule="auto"/>
              <w:jc w:val="right"/>
              <w:rPr>
                <w:rFonts w:ascii="Arial" w:hAnsi="Arial" w:cs="Arial"/>
                <w:color w:val="000000"/>
                <w:sz w:val="16"/>
                <w:szCs w:val="16"/>
              </w:rPr>
            </w:pPr>
            <w:r w:rsidRPr="006E7F1E">
              <w:rPr>
                <w:rFonts w:ascii="Arial" w:hAnsi="Arial" w:cs="Arial"/>
                <w:color w:val="000000"/>
                <w:sz w:val="16"/>
                <w:szCs w:val="16"/>
              </w:rPr>
              <w:t>7,667</w:t>
            </w:r>
          </w:p>
        </w:tc>
        <w:tc>
          <w:tcPr>
            <w:tcW w:w="557" w:type="pct"/>
            <w:tcBorders>
              <w:top w:val="nil"/>
              <w:left w:val="nil"/>
              <w:bottom w:val="nil"/>
              <w:right w:val="nil"/>
            </w:tcBorders>
            <w:shd w:val="clear" w:color="000000" w:fill="FFFFFF"/>
            <w:noWrap/>
            <w:vAlign w:val="center"/>
            <w:hideMark/>
          </w:tcPr>
          <w:p w14:paraId="65A334B8" w14:textId="77777777" w:rsidR="006E7F1E" w:rsidRPr="006E7F1E" w:rsidRDefault="006E7F1E" w:rsidP="006E7F1E">
            <w:pPr>
              <w:spacing w:before="0" w:after="0" w:line="240" w:lineRule="auto"/>
              <w:jc w:val="right"/>
              <w:rPr>
                <w:rFonts w:ascii="Arial" w:hAnsi="Arial" w:cs="Arial"/>
                <w:color w:val="000000"/>
                <w:sz w:val="16"/>
                <w:szCs w:val="16"/>
              </w:rPr>
            </w:pPr>
            <w:r w:rsidRPr="006E7F1E">
              <w:rPr>
                <w:rFonts w:ascii="Arial" w:hAnsi="Arial" w:cs="Arial"/>
                <w:color w:val="000000"/>
                <w:sz w:val="16"/>
                <w:szCs w:val="16"/>
              </w:rPr>
              <w:t>8,105</w:t>
            </w:r>
          </w:p>
        </w:tc>
        <w:tc>
          <w:tcPr>
            <w:tcW w:w="557" w:type="pct"/>
            <w:tcBorders>
              <w:top w:val="nil"/>
              <w:left w:val="nil"/>
              <w:bottom w:val="nil"/>
              <w:right w:val="nil"/>
            </w:tcBorders>
            <w:shd w:val="clear" w:color="000000" w:fill="FFFFFF"/>
            <w:noWrap/>
            <w:vAlign w:val="center"/>
            <w:hideMark/>
          </w:tcPr>
          <w:p w14:paraId="412A61B1" w14:textId="77777777" w:rsidR="006E7F1E" w:rsidRPr="006E7F1E" w:rsidRDefault="006E7F1E" w:rsidP="006E7F1E">
            <w:pPr>
              <w:spacing w:before="0" w:after="0" w:line="240" w:lineRule="auto"/>
              <w:jc w:val="right"/>
              <w:rPr>
                <w:rFonts w:ascii="Arial" w:hAnsi="Arial" w:cs="Arial"/>
                <w:color w:val="000000"/>
                <w:sz w:val="16"/>
                <w:szCs w:val="16"/>
              </w:rPr>
            </w:pPr>
            <w:r w:rsidRPr="006E7F1E">
              <w:rPr>
                <w:rFonts w:ascii="Arial" w:hAnsi="Arial" w:cs="Arial"/>
                <w:color w:val="000000"/>
                <w:sz w:val="16"/>
                <w:szCs w:val="16"/>
              </w:rPr>
              <w:t>8,632</w:t>
            </w:r>
          </w:p>
        </w:tc>
      </w:tr>
      <w:tr w:rsidR="006E7F1E" w:rsidRPr="006E7F1E" w14:paraId="75F1EEA9" w14:textId="77777777" w:rsidTr="00095756">
        <w:trPr>
          <w:trHeight w:hRule="exact" w:val="225"/>
        </w:trPr>
        <w:tc>
          <w:tcPr>
            <w:tcW w:w="2214" w:type="pct"/>
            <w:tcBorders>
              <w:top w:val="nil"/>
              <w:left w:val="nil"/>
              <w:bottom w:val="nil"/>
              <w:right w:val="nil"/>
            </w:tcBorders>
            <w:shd w:val="clear" w:color="000000" w:fill="FFFFFF"/>
            <w:noWrap/>
            <w:vAlign w:val="center"/>
            <w:hideMark/>
          </w:tcPr>
          <w:p w14:paraId="239FFE75" w14:textId="77777777" w:rsidR="006E7F1E" w:rsidRPr="006E7F1E" w:rsidRDefault="006E7F1E" w:rsidP="006E7F1E">
            <w:pPr>
              <w:spacing w:before="0" w:after="0" w:line="240" w:lineRule="auto"/>
              <w:rPr>
                <w:rFonts w:ascii="Arial" w:hAnsi="Arial" w:cs="Arial"/>
                <w:color w:val="000000"/>
                <w:sz w:val="16"/>
                <w:szCs w:val="16"/>
              </w:rPr>
            </w:pPr>
            <w:r w:rsidRPr="006E7F1E">
              <w:rPr>
                <w:rFonts w:ascii="Arial" w:hAnsi="Arial" w:cs="Arial"/>
                <w:color w:val="000000"/>
                <w:sz w:val="16"/>
                <w:szCs w:val="16"/>
              </w:rPr>
              <w:t>General research(b)</w:t>
            </w:r>
          </w:p>
        </w:tc>
        <w:tc>
          <w:tcPr>
            <w:tcW w:w="558" w:type="pct"/>
            <w:tcBorders>
              <w:top w:val="nil"/>
              <w:left w:val="nil"/>
              <w:bottom w:val="nil"/>
              <w:right w:val="nil"/>
            </w:tcBorders>
            <w:shd w:val="clear" w:color="000000" w:fill="FFFFFF"/>
            <w:noWrap/>
            <w:vAlign w:val="center"/>
            <w:hideMark/>
          </w:tcPr>
          <w:p w14:paraId="4BF1A50C" w14:textId="77777777" w:rsidR="006E7F1E" w:rsidRPr="006E7F1E" w:rsidRDefault="006E7F1E" w:rsidP="006E7F1E">
            <w:pPr>
              <w:spacing w:before="0" w:after="0" w:line="240" w:lineRule="auto"/>
              <w:jc w:val="right"/>
              <w:rPr>
                <w:rFonts w:ascii="Arial" w:hAnsi="Arial" w:cs="Arial"/>
                <w:color w:val="000000"/>
                <w:sz w:val="16"/>
                <w:szCs w:val="16"/>
              </w:rPr>
            </w:pPr>
            <w:r w:rsidRPr="006E7F1E">
              <w:rPr>
                <w:rFonts w:ascii="Arial" w:hAnsi="Arial" w:cs="Arial"/>
                <w:color w:val="000000"/>
                <w:sz w:val="16"/>
                <w:szCs w:val="16"/>
              </w:rPr>
              <w:t>4,063</w:t>
            </w:r>
          </w:p>
        </w:tc>
        <w:tc>
          <w:tcPr>
            <w:tcW w:w="557" w:type="pct"/>
            <w:tcBorders>
              <w:top w:val="nil"/>
              <w:left w:val="nil"/>
              <w:bottom w:val="nil"/>
              <w:right w:val="nil"/>
            </w:tcBorders>
            <w:shd w:val="clear" w:color="000000" w:fill="E6F2FF"/>
            <w:noWrap/>
            <w:vAlign w:val="center"/>
            <w:hideMark/>
          </w:tcPr>
          <w:p w14:paraId="10558F56" w14:textId="77777777" w:rsidR="006E7F1E" w:rsidRPr="006E7F1E" w:rsidRDefault="006E7F1E" w:rsidP="006E7F1E">
            <w:pPr>
              <w:spacing w:before="0" w:after="0" w:line="240" w:lineRule="auto"/>
              <w:jc w:val="right"/>
              <w:rPr>
                <w:rFonts w:ascii="Arial" w:hAnsi="Arial" w:cs="Arial"/>
                <w:color w:val="000000"/>
                <w:sz w:val="16"/>
                <w:szCs w:val="16"/>
              </w:rPr>
            </w:pPr>
            <w:r w:rsidRPr="006E7F1E">
              <w:rPr>
                <w:rFonts w:ascii="Arial" w:hAnsi="Arial" w:cs="Arial"/>
                <w:color w:val="000000"/>
                <w:sz w:val="16"/>
                <w:szCs w:val="16"/>
              </w:rPr>
              <w:t>4,485</w:t>
            </w:r>
          </w:p>
        </w:tc>
        <w:tc>
          <w:tcPr>
            <w:tcW w:w="557" w:type="pct"/>
            <w:tcBorders>
              <w:top w:val="nil"/>
              <w:left w:val="nil"/>
              <w:bottom w:val="nil"/>
              <w:right w:val="nil"/>
            </w:tcBorders>
            <w:shd w:val="clear" w:color="000000" w:fill="FFFFFF"/>
            <w:noWrap/>
            <w:vAlign w:val="center"/>
            <w:hideMark/>
          </w:tcPr>
          <w:p w14:paraId="3D687EC7" w14:textId="77777777" w:rsidR="006E7F1E" w:rsidRPr="006E7F1E" w:rsidRDefault="006E7F1E" w:rsidP="006E7F1E">
            <w:pPr>
              <w:spacing w:before="0" w:after="0" w:line="240" w:lineRule="auto"/>
              <w:jc w:val="right"/>
              <w:rPr>
                <w:rFonts w:ascii="Arial" w:hAnsi="Arial" w:cs="Arial"/>
                <w:color w:val="000000"/>
                <w:sz w:val="16"/>
                <w:szCs w:val="16"/>
              </w:rPr>
            </w:pPr>
            <w:r w:rsidRPr="006E7F1E">
              <w:rPr>
                <w:rFonts w:ascii="Arial" w:hAnsi="Arial" w:cs="Arial"/>
                <w:color w:val="000000"/>
                <w:sz w:val="16"/>
                <w:szCs w:val="16"/>
              </w:rPr>
              <w:t>4,378</w:t>
            </w:r>
          </w:p>
        </w:tc>
        <w:tc>
          <w:tcPr>
            <w:tcW w:w="557" w:type="pct"/>
            <w:tcBorders>
              <w:top w:val="nil"/>
              <w:left w:val="nil"/>
              <w:bottom w:val="nil"/>
              <w:right w:val="nil"/>
            </w:tcBorders>
            <w:shd w:val="clear" w:color="000000" w:fill="FFFFFF"/>
            <w:noWrap/>
            <w:vAlign w:val="center"/>
            <w:hideMark/>
          </w:tcPr>
          <w:p w14:paraId="6CD47C65" w14:textId="77777777" w:rsidR="006E7F1E" w:rsidRPr="006E7F1E" w:rsidRDefault="006E7F1E" w:rsidP="006E7F1E">
            <w:pPr>
              <w:spacing w:before="0" w:after="0" w:line="240" w:lineRule="auto"/>
              <w:jc w:val="right"/>
              <w:rPr>
                <w:rFonts w:ascii="Arial" w:hAnsi="Arial" w:cs="Arial"/>
                <w:color w:val="000000"/>
                <w:sz w:val="16"/>
                <w:szCs w:val="16"/>
              </w:rPr>
            </w:pPr>
            <w:r w:rsidRPr="006E7F1E">
              <w:rPr>
                <w:rFonts w:ascii="Arial" w:hAnsi="Arial" w:cs="Arial"/>
                <w:color w:val="000000"/>
                <w:sz w:val="16"/>
                <w:szCs w:val="16"/>
              </w:rPr>
              <w:t>4,232</w:t>
            </w:r>
          </w:p>
        </w:tc>
        <w:tc>
          <w:tcPr>
            <w:tcW w:w="557" w:type="pct"/>
            <w:tcBorders>
              <w:top w:val="nil"/>
              <w:left w:val="nil"/>
              <w:bottom w:val="nil"/>
              <w:right w:val="nil"/>
            </w:tcBorders>
            <w:shd w:val="clear" w:color="000000" w:fill="FFFFFF"/>
            <w:noWrap/>
            <w:vAlign w:val="center"/>
            <w:hideMark/>
          </w:tcPr>
          <w:p w14:paraId="2EB5224F" w14:textId="77777777" w:rsidR="006E7F1E" w:rsidRPr="006E7F1E" w:rsidRDefault="006E7F1E" w:rsidP="006E7F1E">
            <w:pPr>
              <w:spacing w:before="0" w:after="0" w:line="240" w:lineRule="auto"/>
              <w:jc w:val="right"/>
              <w:rPr>
                <w:rFonts w:ascii="Arial" w:hAnsi="Arial" w:cs="Arial"/>
                <w:color w:val="000000"/>
                <w:sz w:val="16"/>
                <w:szCs w:val="16"/>
              </w:rPr>
            </w:pPr>
            <w:r w:rsidRPr="006E7F1E">
              <w:rPr>
                <w:rFonts w:ascii="Arial" w:hAnsi="Arial" w:cs="Arial"/>
                <w:color w:val="000000"/>
                <w:sz w:val="16"/>
                <w:szCs w:val="16"/>
              </w:rPr>
              <w:t>4,276</w:t>
            </w:r>
          </w:p>
        </w:tc>
      </w:tr>
      <w:tr w:rsidR="006E7F1E" w:rsidRPr="006E7F1E" w14:paraId="1BA97F8D" w14:textId="77777777" w:rsidTr="00095756">
        <w:trPr>
          <w:trHeight w:hRule="exact" w:val="225"/>
        </w:trPr>
        <w:tc>
          <w:tcPr>
            <w:tcW w:w="2214" w:type="pct"/>
            <w:tcBorders>
              <w:top w:val="nil"/>
              <w:left w:val="nil"/>
              <w:bottom w:val="nil"/>
              <w:right w:val="nil"/>
            </w:tcBorders>
            <w:shd w:val="clear" w:color="000000" w:fill="FFFFFF"/>
            <w:noWrap/>
            <w:vAlign w:val="center"/>
            <w:hideMark/>
          </w:tcPr>
          <w:p w14:paraId="5D5DD1EA" w14:textId="77777777" w:rsidR="006E7F1E" w:rsidRPr="006E7F1E" w:rsidRDefault="006E7F1E" w:rsidP="006E7F1E">
            <w:pPr>
              <w:spacing w:before="0" w:after="0" w:line="240" w:lineRule="auto"/>
              <w:rPr>
                <w:rFonts w:ascii="Arial" w:hAnsi="Arial" w:cs="Arial"/>
                <w:color w:val="000000"/>
                <w:sz w:val="16"/>
                <w:szCs w:val="16"/>
              </w:rPr>
            </w:pPr>
            <w:r w:rsidRPr="006E7F1E">
              <w:rPr>
                <w:rFonts w:ascii="Arial" w:hAnsi="Arial" w:cs="Arial"/>
                <w:color w:val="000000"/>
                <w:sz w:val="16"/>
                <w:szCs w:val="16"/>
              </w:rPr>
              <w:t>General services</w:t>
            </w:r>
          </w:p>
        </w:tc>
        <w:tc>
          <w:tcPr>
            <w:tcW w:w="558" w:type="pct"/>
            <w:tcBorders>
              <w:top w:val="nil"/>
              <w:left w:val="nil"/>
              <w:bottom w:val="nil"/>
              <w:right w:val="nil"/>
            </w:tcBorders>
            <w:shd w:val="clear" w:color="000000" w:fill="FFFFFF"/>
            <w:noWrap/>
            <w:vAlign w:val="center"/>
            <w:hideMark/>
          </w:tcPr>
          <w:p w14:paraId="734AD60C" w14:textId="77777777" w:rsidR="006E7F1E" w:rsidRPr="006E7F1E" w:rsidRDefault="006E7F1E" w:rsidP="006E7F1E">
            <w:pPr>
              <w:spacing w:before="0" w:after="0" w:line="240" w:lineRule="auto"/>
              <w:jc w:val="right"/>
              <w:rPr>
                <w:rFonts w:ascii="Arial" w:hAnsi="Arial" w:cs="Arial"/>
                <w:color w:val="000000"/>
                <w:sz w:val="16"/>
                <w:szCs w:val="16"/>
              </w:rPr>
            </w:pPr>
            <w:r w:rsidRPr="006E7F1E">
              <w:rPr>
                <w:rFonts w:ascii="Arial" w:hAnsi="Arial" w:cs="Arial"/>
                <w:color w:val="000000"/>
                <w:sz w:val="16"/>
                <w:szCs w:val="16"/>
              </w:rPr>
              <w:t>1,260</w:t>
            </w:r>
          </w:p>
        </w:tc>
        <w:tc>
          <w:tcPr>
            <w:tcW w:w="557" w:type="pct"/>
            <w:tcBorders>
              <w:top w:val="nil"/>
              <w:left w:val="nil"/>
              <w:bottom w:val="nil"/>
              <w:right w:val="nil"/>
            </w:tcBorders>
            <w:shd w:val="clear" w:color="000000" w:fill="E6F2FF"/>
            <w:noWrap/>
            <w:vAlign w:val="center"/>
            <w:hideMark/>
          </w:tcPr>
          <w:p w14:paraId="1902749C" w14:textId="77777777" w:rsidR="006E7F1E" w:rsidRPr="006E7F1E" w:rsidRDefault="006E7F1E" w:rsidP="006E7F1E">
            <w:pPr>
              <w:spacing w:before="0" w:after="0" w:line="240" w:lineRule="auto"/>
              <w:jc w:val="right"/>
              <w:rPr>
                <w:rFonts w:ascii="Arial" w:hAnsi="Arial" w:cs="Arial"/>
                <w:color w:val="000000"/>
                <w:sz w:val="16"/>
                <w:szCs w:val="16"/>
              </w:rPr>
            </w:pPr>
            <w:r w:rsidRPr="006E7F1E">
              <w:rPr>
                <w:rFonts w:ascii="Arial" w:hAnsi="Arial" w:cs="Arial"/>
                <w:color w:val="000000"/>
                <w:sz w:val="16"/>
                <w:szCs w:val="16"/>
              </w:rPr>
              <w:t>1,253</w:t>
            </w:r>
          </w:p>
        </w:tc>
        <w:tc>
          <w:tcPr>
            <w:tcW w:w="557" w:type="pct"/>
            <w:tcBorders>
              <w:top w:val="nil"/>
              <w:left w:val="nil"/>
              <w:bottom w:val="nil"/>
              <w:right w:val="nil"/>
            </w:tcBorders>
            <w:shd w:val="clear" w:color="000000" w:fill="FFFFFF"/>
            <w:noWrap/>
            <w:vAlign w:val="center"/>
            <w:hideMark/>
          </w:tcPr>
          <w:p w14:paraId="0E404E08" w14:textId="77777777" w:rsidR="006E7F1E" w:rsidRPr="006E7F1E" w:rsidRDefault="006E7F1E" w:rsidP="006E7F1E">
            <w:pPr>
              <w:spacing w:before="0" w:after="0" w:line="240" w:lineRule="auto"/>
              <w:jc w:val="right"/>
              <w:rPr>
                <w:rFonts w:ascii="Arial" w:hAnsi="Arial" w:cs="Arial"/>
                <w:color w:val="000000"/>
                <w:sz w:val="16"/>
                <w:szCs w:val="16"/>
              </w:rPr>
            </w:pPr>
            <w:r w:rsidRPr="006E7F1E">
              <w:rPr>
                <w:rFonts w:ascii="Arial" w:hAnsi="Arial" w:cs="Arial"/>
                <w:color w:val="000000"/>
                <w:sz w:val="16"/>
                <w:szCs w:val="16"/>
              </w:rPr>
              <w:t>1,221</w:t>
            </w:r>
          </w:p>
        </w:tc>
        <w:tc>
          <w:tcPr>
            <w:tcW w:w="557" w:type="pct"/>
            <w:tcBorders>
              <w:top w:val="nil"/>
              <w:left w:val="nil"/>
              <w:bottom w:val="nil"/>
              <w:right w:val="nil"/>
            </w:tcBorders>
            <w:shd w:val="clear" w:color="000000" w:fill="FFFFFF"/>
            <w:noWrap/>
            <w:vAlign w:val="center"/>
            <w:hideMark/>
          </w:tcPr>
          <w:p w14:paraId="53FE35B6" w14:textId="77777777" w:rsidR="006E7F1E" w:rsidRPr="006E7F1E" w:rsidRDefault="006E7F1E" w:rsidP="006E7F1E">
            <w:pPr>
              <w:spacing w:before="0" w:after="0" w:line="240" w:lineRule="auto"/>
              <w:jc w:val="right"/>
              <w:rPr>
                <w:rFonts w:ascii="Arial" w:hAnsi="Arial" w:cs="Arial"/>
                <w:color w:val="000000"/>
                <w:sz w:val="16"/>
                <w:szCs w:val="16"/>
              </w:rPr>
            </w:pPr>
            <w:r w:rsidRPr="006E7F1E">
              <w:rPr>
                <w:rFonts w:ascii="Arial" w:hAnsi="Arial" w:cs="Arial"/>
                <w:color w:val="000000"/>
                <w:sz w:val="16"/>
                <w:szCs w:val="16"/>
              </w:rPr>
              <w:t>1,235</w:t>
            </w:r>
          </w:p>
        </w:tc>
        <w:tc>
          <w:tcPr>
            <w:tcW w:w="557" w:type="pct"/>
            <w:tcBorders>
              <w:top w:val="nil"/>
              <w:left w:val="nil"/>
              <w:bottom w:val="nil"/>
              <w:right w:val="nil"/>
            </w:tcBorders>
            <w:shd w:val="clear" w:color="000000" w:fill="FFFFFF"/>
            <w:noWrap/>
            <w:vAlign w:val="center"/>
            <w:hideMark/>
          </w:tcPr>
          <w:p w14:paraId="5A5F78C8" w14:textId="77777777" w:rsidR="006E7F1E" w:rsidRPr="006E7F1E" w:rsidRDefault="006E7F1E" w:rsidP="006E7F1E">
            <w:pPr>
              <w:spacing w:before="0" w:after="0" w:line="240" w:lineRule="auto"/>
              <w:jc w:val="right"/>
              <w:rPr>
                <w:rFonts w:ascii="Arial" w:hAnsi="Arial" w:cs="Arial"/>
                <w:color w:val="000000"/>
                <w:sz w:val="16"/>
                <w:szCs w:val="16"/>
              </w:rPr>
            </w:pPr>
            <w:r w:rsidRPr="006E7F1E">
              <w:rPr>
                <w:rFonts w:ascii="Arial" w:hAnsi="Arial" w:cs="Arial"/>
                <w:color w:val="000000"/>
                <w:sz w:val="16"/>
                <w:szCs w:val="16"/>
              </w:rPr>
              <w:t>1,268</w:t>
            </w:r>
          </w:p>
        </w:tc>
      </w:tr>
      <w:tr w:rsidR="006E7F1E" w:rsidRPr="006E7F1E" w14:paraId="6167EA5D" w14:textId="77777777" w:rsidTr="00095756">
        <w:trPr>
          <w:trHeight w:hRule="exact" w:val="225"/>
        </w:trPr>
        <w:tc>
          <w:tcPr>
            <w:tcW w:w="2214" w:type="pct"/>
            <w:tcBorders>
              <w:top w:val="nil"/>
              <w:left w:val="nil"/>
              <w:bottom w:val="nil"/>
              <w:right w:val="nil"/>
            </w:tcBorders>
            <w:shd w:val="clear" w:color="000000" w:fill="FFFFFF"/>
            <w:noWrap/>
            <w:vAlign w:val="center"/>
            <w:hideMark/>
          </w:tcPr>
          <w:p w14:paraId="508F1778" w14:textId="77777777" w:rsidR="006E7F1E" w:rsidRPr="006E7F1E" w:rsidRDefault="006E7F1E" w:rsidP="006E7F1E">
            <w:pPr>
              <w:spacing w:before="0" w:after="0" w:line="240" w:lineRule="auto"/>
              <w:rPr>
                <w:rFonts w:ascii="Arial" w:hAnsi="Arial" w:cs="Arial"/>
                <w:color w:val="000000"/>
                <w:sz w:val="16"/>
                <w:szCs w:val="16"/>
              </w:rPr>
            </w:pPr>
            <w:r w:rsidRPr="006E7F1E">
              <w:rPr>
                <w:rFonts w:ascii="Arial" w:hAnsi="Arial" w:cs="Arial"/>
                <w:color w:val="000000"/>
                <w:sz w:val="16"/>
                <w:szCs w:val="16"/>
              </w:rPr>
              <w:t>Government superannuation benefits</w:t>
            </w:r>
          </w:p>
        </w:tc>
        <w:tc>
          <w:tcPr>
            <w:tcW w:w="558" w:type="pct"/>
            <w:tcBorders>
              <w:top w:val="nil"/>
              <w:left w:val="nil"/>
              <w:bottom w:val="nil"/>
              <w:right w:val="nil"/>
            </w:tcBorders>
            <w:shd w:val="clear" w:color="000000" w:fill="FFFFFF"/>
            <w:noWrap/>
            <w:vAlign w:val="center"/>
            <w:hideMark/>
          </w:tcPr>
          <w:p w14:paraId="1C8428DE" w14:textId="77777777" w:rsidR="006E7F1E" w:rsidRPr="006E7F1E" w:rsidRDefault="006E7F1E" w:rsidP="006E7F1E">
            <w:pPr>
              <w:spacing w:before="0" w:after="0" w:line="240" w:lineRule="auto"/>
              <w:jc w:val="right"/>
              <w:rPr>
                <w:rFonts w:ascii="Arial" w:hAnsi="Arial" w:cs="Arial"/>
                <w:color w:val="000000"/>
                <w:sz w:val="16"/>
                <w:szCs w:val="16"/>
              </w:rPr>
            </w:pPr>
            <w:r w:rsidRPr="006E7F1E">
              <w:rPr>
                <w:rFonts w:ascii="Arial" w:hAnsi="Arial" w:cs="Arial"/>
                <w:color w:val="000000"/>
                <w:sz w:val="16"/>
                <w:szCs w:val="16"/>
              </w:rPr>
              <w:t>6,407</w:t>
            </w:r>
          </w:p>
        </w:tc>
        <w:tc>
          <w:tcPr>
            <w:tcW w:w="557" w:type="pct"/>
            <w:tcBorders>
              <w:top w:val="nil"/>
              <w:left w:val="nil"/>
              <w:bottom w:val="nil"/>
              <w:right w:val="nil"/>
            </w:tcBorders>
            <w:shd w:val="clear" w:color="000000" w:fill="E6F2FF"/>
            <w:noWrap/>
            <w:vAlign w:val="center"/>
            <w:hideMark/>
          </w:tcPr>
          <w:p w14:paraId="15209110" w14:textId="77777777" w:rsidR="006E7F1E" w:rsidRPr="006E7F1E" w:rsidRDefault="006E7F1E" w:rsidP="006E7F1E">
            <w:pPr>
              <w:spacing w:before="0" w:after="0" w:line="240" w:lineRule="auto"/>
              <w:jc w:val="right"/>
              <w:rPr>
                <w:rFonts w:ascii="Arial" w:hAnsi="Arial" w:cs="Arial"/>
                <w:color w:val="000000"/>
                <w:sz w:val="16"/>
                <w:szCs w:val="16"/>
              </w:rPr>
            </w:pPr>
            <w:r w:rsidRPr="006E7F1E">
              <w:rPr>
                <w:rFonts w:ascii="Arial" w:hAnsi="Arial" w:cs="Arial"/>
                <w:color w:val="000000"/>
                <w:sz w:val="16"/>
                <w:szCs w:val="16"/>
              </w:rPr>
              <w:t>5,485</w:t>
            </w:r>
          </w:p>
        </w:tc>
        <w:tc>
          <w:tcPr>
            <w:tcW w:w="557" w:type="pct"/>
            <w:tcBorders>
              <w:top w:val="nil"/>
              <w:left w:val="nil"/>
              <w:bottom w:val="nil"/>
              <w:right w:val="nil"/>
            </w:tcBorders>
            <w:shd w:val="clear" w:color="000000" w:fill="FFFFFF"/>
            <w:noWrap/>
            <w:vAlign w:val="center"/>
            <w:hideMark/>
          </w:tcPr>
          <w:p w14:paraId="1D69C012" w14:textId="77777777" w:rsidR="006E7F1E" w:rsidRPr="006E7F1E" w:rsidRDefault="006E7F1E" w:rsidP="006E7F1E">
            <w:pPr>
              <w:spacing w:before="0" w:after="0" w:line="240" w:lineRule="auto"/>
              <w:jc w:val="right"/>
              <w:rPr>
                <w:rFonts w:ascii="Arial" w:hAnsi="Arial" w:cs="Arial"/>
                <w:color w:val="000000"/>
                <w:sz w:val="16"/>
                <w:szCs w:val="16"/>
              </w:rPr>
            </w:pPr>
            <w:r w:rsidRPr="006E7F1E">
              <w:rPr>
                <w:rFonts w:ascii="Arial" w:hAnsi="Arial" w:cs="Arial"/>
                <w:color w:val="000000"/>
                <w:sz w:val="16"/>
                <w:szCs w:val="16"/>
              </w:rPr>
              <w:t>5,584</w:t>
            </w:r>
          </w:p>
        </w:tc>
        <w:tc>
          <w:tcPr>
            <w:tcW w:w="557" w:type="pct"/>
            <w:tcBorders>
              <w:top w:val="nil"/>
              <w:left w:val="nil"/>
              <w:bottom w:val="nil"/>
              <w:right w:val="nil"/>
            </w:tcBorders>
            <w:shd w:val="clear" w:color="000000" w:fill="FFFFFF"/>
            <w:noWrap/>
            <w:vAlign w:val="center"/>
            <w:hideMark/>
          </w:tcPr>
          <w:p w14:paraId="7CFA4149" w14:textId="77777777" w:rsidR="006E7F1E" w:rsidRPr="006E7F1E" w:rsidRDefault="006E7F1E" w:rsidP="006E7F1E">
            <w:pPr>
              <w:spacing w:before="0" w:after="0" w:line="240" w:lineRule="auto"/>
              <w:jc w:val="right"/>
              <w:rPr>
                <w:rFonts w:ascii="Arial" w:hAnsi="Arial" w:cs="Arial"/>
                <w:color w:val="000000"/>
                <w:sz w:val="16"/>
                <w:szCs w:val="16"/>
              </w:rPr>
            </w:pPr>
            <w:r w:rsidRPr="006E7F1E">
              <w:rPr>
                <w:rFonts w:ascii="Arial" w:hAnsi="Arial" w:cs="Arial"/>
                <w:color w:val="000000"/>
                <w:sz w:val="16"/>
                <w:szCs w:val="16"/>
              </w:rPr>
              <w:t>5,782</w:t>
            </w:r>
          </w:p>
        </w:tc>
        <w:tc>
          <w:tcPr>
            <w:tcW w:w="557" w:type="pct"/>
            <w:tcBorders>
              <w:top w:val="nil"/>
              <w:left w:val="nil"/>
              <w:bottom w:val="nil"/>
              <w:right w:val="nil"/>
            </w:tcBorders>
            <w:shd w:val="clear" w:color="000000" w:fill="FFFFFF"/>
            <w:noWrap/>
            <w:vAlign w:val="center"/>
            <w:hideMark/>
          </w:tcPr>
          <w:p w14:paraId="27A78A0D" w14:textId="77777777" w:rsidR="006E7F1E" w:rsidRPr="006E7F1E" w:rsidRDefault="006E7F1E" w:rsidP="006E7F1E">
            <w:pPr>
              <w:spacing w:before="0" w:after="0" w:line="240" w:lineRule="auto"/>
              <w:jc w:val="right"/>
              <w:rPr>
                <w:rFonts w:ascii="Arial" w:hAnsi="Arial" w:cs="Arial"/>
                <w:color w:val="000000"/>
                <w:sz w:val="16"/>
                <w:szCs w:val="16"/>
              </w:rPr>
            </w:pPr>
            <w:r w:rsidRPr="006E7F1E">
              <w:rPr>
                <w:rFonts w:ascii="Arial" w:hAnsi="Arial" w:cs="Arial"/>
                <w:color w:val="000000"/>
                <w:sz w:val="16"/>
                <w:szCs w:val="16"/>
              </w:rPr>
              <w:t>6,008</w:t>
            </w:r>
          </w:p>
        </w:tc>
      </w:tr>
      <w:tr w:rsidR="006E7F1E" w:rsidRPr="006E7F1E" w14:paraId="56A75B86" w14:textId="77777777" w:rsidTr="00095756">
        <w:trPr>
          <w:trHeight w:hRule="exact" w:val="225"/>
        </w:trPr>
        <w:tc>
          <w:tcPr>
            <w:tcW w:w="2214" w:type="pct"/>
            <w:tcBorders>
              <w:top w:val="nil"/>
              <w:left w:val="nil"/>
              <w:bottom w:val="single" w:sz="4" w:space="0" w:color="293F5B"/>
              <w:right w:val="nil"/>
            </w:tcBorders>
            <w:shd w:val="clear" w:color="000000" w:fill="FFFFFF"/>
            <w:noWrap/>
            <w:vAlign w:val="center"/>
            <w:hideMark/>
          </w:tcPr>
          <w:p w14:paraId="6A96E339" w14:textId="77777777" w:rsidR="006E7F1E" w:rsidRPr="006E7F1E" w:rsidRDefault="006E7F1E" w:rsidP="006E7F1E">
            <w:pPr>
              <w:spacing w:before="0" w:after="0" w:line="240" w:lineRule="auto"/>
              <w:rPr>
                <w:rFonts w:ascii="Arial" w:hAnsi="Arial" w:cs="Arial"/>
                <w:b/>
                <w:bCs/>
                <w:color w:val="000000"/>
                <w:sz w:val="16"/>
                <w:szCs w:val="16"/>
              </w:rPr>
            </w:pPr>
            <w:r w:rsidRPr="006E7F1E">
              <w:rPr>
                <w:rFonts w:ascii="Arial" w:hAnsi="Arial" w:cs="Arial"/>
                <w:b/>
                <w:bCs/>
                <w:color w:val="000000"/>
                <w:sz w:val="16"/>
                <w:szCs w:val="16"/>
              </w:rPr>
              <w:t>Total general public services</w:t>
            </w:r>
          </w:p>
        </w:tc>
        <w:tc>
          <w:tcPr>
            <w:tcW w:w="558" w:type="pct"/>
            <w:tcBorders>
              <w:top w:val="single" w:sz="4" w:space="0" w:color="293F5B"/>
              <w:left w:val="nil"/>
              <w:bottom w:val="single" w:sz="4" w:space="0" w:color="293F5B"/>
              <w:right w:val="nil"/>
            </w:tcBorders>
            <w:shd w:val="clear" w:color="000000" w:fill="FFFFFF"/>
            <w:noWrap/>
            <w:vAlign w:val="center"/>
            <w:hideMark/>
          </w:tcPr>
          <w:p w14:paraId="3998020F" w14:textId="77777777" w:rsidR="006E7F1E" w:rsidRPr="006E7F1E" w:rsidRDefault="006E7F1E" w:rsidP="006E7F1E">
            <w:pPr>
              <w:spacing w:before="0" w:after="0" w:line="240" w:lineRule="auto"/>
              <w:jc w:val="right"/>
              <w:rPr>
                <w:rFonts w:ascii="Arial" w:hAnsi="Arial" w:cs="Arial"/>
                <w:b/>
                <w:bCs/>
                <w:color w:val="000000"/>
                <w:sz w:val="16"/>
                <w:szCs w:val="16"/>
              </w:rPr>
            </w:pPr>
            <w:r w:rsidRPr="006E7F1E">
              <w:rPr>
                <w:rFonts w:ascii="Arial" w:hAnsi="Arial" w:cs="Arial"/>
                <w:b/>
                <w:bCs/>
                <w:color w:val="000000"/>
                <w:sz w:val="16"/>
                <w:szCs w:val="16"/>
              </w:rPr>
              <w:t>31,442</w:t>
            </w:r>
          </w:p>
        </w:tc>
        <w:tc>
          <w:tcPr>
            <w:tcW w:w="557" w:type="pct"/>
            <w:tcBorders>
              <w:top w:val="single" w:sz="4" w:space="0" w:color="293F5B"/>
              <w:left w:val="nil"/>
              <w:bottom w:val="single" w:sz="4" w:space="0" w:color="293F5B"/>
              <w:right w:val="nil"/>
            </w:tcBorders>
            <w:shd w:val="clear" w:color="000000" w:fill="E6F2FF"/>
            <w:noWrap/>
            <w:vAlign w:val="center"/>
            <w:hideMark/>
          </w:tcPr>
          <w:p w14:paraId="1793D90F" w14:textId="77777777" w:rsidR="006E7F1E" w:rsidRPr="006E7F1E" w:rsidRDefault="006E7F1E" w:rsidP="006E7F1E">
            <w:pPr>
              <w:spacing w:before="0" w:after="0" w:line="240" w:lineRule="auto"/>
              <w:jc w:val="right"/>
              <w:rPr>
                <w:rFonts w:ascii="Arial" w:hAnsi="Arial" w:cs="Arial"/>
                <w:b/>
                <w:bCs/>
                <w:color w:val="000000"/>
                <w:sz w:val="16"/>
                <w:szCs w:val="16"/>
              </w:rPr>
            </w:pPr>
            <w:r w:rsidRPr="006E7F1E">
              <w:rPr>
                <w:rFonts w:ascii="Arial" w:hAnsi="Arial" w:cs="Arial"/>
                <w:b/>
                <w:bCs/>
                <w:color w:val="000000"/>
                <w:sz w:val="16"/>
                <w:szCs w:val="16"/>
              </w:rPr>
              <w:t>32,395</w:t>
            </w:r>
          </w:p>
        </w:tc>
        <w:tc>
          <w:tcPr>
            <w:tcW w:w="557" w:type="pct"/>
            <w:tcBorders>
              <w:top w:val="single" w:sz="4" w:space="0" w:color="293F5B"/>
              <w:left w:val="nil"/>
              <w:bottom w:val="single" w:sz="4" w:space="0" w:color="293F5B"/>
              <w:right w:val="nil"/>
            </w:tcBorders>
            <w:shd w:val="clear" w:color="000000" w:fill="FFFFFF"/>
            <w:noWrap/>
            <w:vAlign w:val="center"/>
            <w:hideMark/>
          </w:tcPr>
          <w:p w14:paraId="1DFAE599" w14:textId="77777777" w:rsidR="006E7F1E" w:rsidRPr="006E7F1E" w:rsidRDefault="006E7F1E" w:rsidP="006E7F1E">
            <w:pPr>
              <w:spacing w:before="0" w:after="0" w:line="240" w:lineRule="auto"/>
              <w:jc w:val="right"/>
              <w:rPr>
                <w:rFonts w:ascii="Arial" w:hAnsi="Arial" w:cs="Arial"/>
                <w:b/>
                <w:bCs/>
                <w:color w:val="000000"/>
                <w:sz w:val="16"/>
                <w:szCs w:val="16"/>
              </w:rPr>
            </w:pPr>
            <w:r w:rsidRPr="006E7F1E">
              <w:rPr>
                <w:rFonts w:ascii="Arial" w:hAnsi="Arial" w:cs="Arial"/>
                <w:b/>
                <w:bCs/>
                <w:color w:val="000000"/>
                <w:sz w:val="16"/>
                <w:szCs w:val="16"/>
              </w:rPr>
              <w:t>30,595</w:t>
            </w:r>
          </w:p>
        </w:tc>
        <w:tc>
          <w:tcPr>
            <w:tcW w:w="557" w:type="pct"/>
            <w:tcBorders>
              <w:top w:val="single" w:sz="4" w:space="0" w:color="293F5B"/>
              <w:left w:val="nil"/>
              <w:bottom w:val="single" w:sz="4" w:space="0" w:color="293F5B"/>
              <w:right w:val="nil"/>
            </w:tcBorders>
            <w:shd w:val="clear" w:color="000000" w:fill="FFFFFF"/>
            <w:noWrap/>
            <w:vAlign w:val="center"/>
            <w:hideMark/>
          </w:tcPr>
          <w:p w14:paraId="3D46ED8F" w14:textId="77777777" w:rsidR="006E7F1E" w:rsidRPr="006E7F1E" w:rsidRDefault="006E7F1E" w:rsidP="006E7F1E">
            <w:pPr>
              <w:spacing w:before="0" w:after="0" w:line="240" w:lineRule="auto"/>
              <w:jc w:val="right"/>
              <w:rPr>
                <w:rFonts w:ascii="Arial" w:hAnsi="Arial" w:cs="Arial"/>
                <w:b/>
                <w:bCs/>
                <w:color w:val="000000"/>
                <w:sz w:val="16"/>
                <w:szCs w:val="16"/>
              </w:rPr>
            </w:pPr>
            <w:r w:rsidRPr="006E7F1E">
              <w:rPr>
                <w:rFonts w:ascii="Arial" w:hAnsi="Arial" w:cs="Arial"/>
                <w:b/>
                <w:bCs/>
                <w:color w:val="000000"/>
                <w:sz w:val="16"/>
                <w:szCs w:val="16"/>
              </w:rPr>
              <w:t>31,068</w:t>
            </w:r>
          </w:p>
        </w:tc>
        <w:tc>
          <w:tcPr>
            <w:tcW w:w="557" w:type="pct"/>
            <w:tcBorders>
              <w:top w:val="single" w:sz="4" w:space="0" w:color="293F5B"/>
              <w:left w:val="nil"/>
              <w:bottom w:val="single" w:sz="4" w:space="0" w:color="293F5B"/>
              <w:right w:val="nil"/>
            </w:tcBorders>
            <w:shd w:val="clear" w:color="000000" w:fill="FFFFFF"/>
            <w:noWrap/>
            <w:vAlign w:val="center"/>
            <w:hideMark/>
          </w:tcPr>
          <w:p w14:paraId="65144BA8" w14:textId="77777777" w:rsidR="006E7F1E" w:rsidRPr="006E7F1E" w:rsidRDefault="006E7F1E" w:rsidP="006E7F1E">
            <w:pPr>
              <w:spacing w:before="0" w:after="0" w:line="240" w:lineRule="auto"/>
              <w:jc w:val="right"/>
              <w:rPr>
                <w:rFonts w:ascii="Arial" w:hAnsi="Arial" w:cs="Arial"/>
                <w:b/>
                <w:bCs/>
                <w:color w:val="000000"/>
                <w:sz w:val="16"/>
                <w:szCs w:val="16"/>
              </w:rPr>
            </w:pPr>
            <w:r w:rsidRPr="006E7F1E">
              <w:rPr>
                <w:rFonts w:ascii="Arial" w:hAnsi="Arial" w:cs="Arial"/>
                <w:b/>
                <w:bCs/>
                <w:color w:val="000000"/>
                <w:sz w:val="16"/>
                <w:szCs w:val="16"/>
              </w:rPr>
              <w:t>31,838</w:t>
            </w:r>
          </w:p>
        </w:tc>
      </w:tr>
    </w:tbl>
    <w:p w14:paraId="14A0EB6F" w14:textId="67A90D30" w:rsidR="00E32E1B" w:rsidRPr="00843729" w:rsidRDefault="00E32E1B" w:rsidP="00E87DDC">
      <w:pPr>
        <w:pStyle w:val="ChartandTableFootnoteAlpha"/>
        <w:numPr>
          <w:ilvl w:val="0"/>
          <w:numId w:val="31"/>
        </w:numPr>
      </w:pPr>
      <w:r w:rsidRPr="00843729">
        <w:t>A further breakdown of the foreign affairs and economic aid sub function is provided in Table 6.4.</w:t>
      </w:r>
      <w:r w:rsidR="00ED6D02">
        <w:t>1</w:t>
      </w:r>
      <w:r w:rsidRPr="00843729">
        <w:t>.</w:t>
      </w:r>
    </w:p>
    <w:p w14:paraId="7C74AC7B" w14:textId="2DC9E3E4" w:rsidR="00E32E1B" w:rsidRPr="00843729" w:rsidRDefault="00E32E1B" w:rsidP="00E87DDC">
      <w:pPr>
        <w:pStyle w:val="ChartandTableFootnoteAlpha"/>
        <w:numPr>
          <w:ilvl w:val="0"/>
          <w:numId w:val="31"/>
        </w:numPr>
      </w:pPr>
      <w:r w:rsidRPr="00843729">
        <w:t>A further breakdown of the general research sub function is provided in Table 6.4.</w:t>
      </w:r>
      <w:r w:rsidR="00ED6D02">
        <w:t>2</w:t>
      </w:r>
      <w:r w:rsidRPr="00843729">
        <w:t>.</w:t>
      </w:r>
    </w:p>
    <w:p w14:paraId="2309DC80" w14:textId="77777777" w:rsidR="00E32E1B" w:rsidRPr="000177D7" w:rsidRDefault="00E32E1B" w:rsidP="00F2334A">
      <w:pPr>
        <w:pStyle w:val="TableLine"/>
      </w:pPr>
    </w:p>
    <w:p w14:paraId="5EB1C313" w14:textId="0DABEC11" w:rsidR="00DD4B68" w:rsidRDefault="00DD4B68" w:rsidP="00F2334A">
      <w:r w:rsidRPr="000177D7">
        <w:t xml:space="preserve">Total </w:t>
      </w:r>
      <w:r w:rsidRPr="002B2804">
        <w:t>general public services</w:t>
      </w:r>
      <w:r w:rsidRPr="0021687D">
        <w:t xml:space="preserve"> expenses are estimated to </w:t>
      </w:r>
      <w:r>
        <w:t xml:space="preserve">decrease by </w:t>
      </w:r>
      <w:r w:rsidR="00446EC2">
        <w:t>1.7</w:t>
      </w:r>
      <w:r>
        <w:t xml:space="preserve"> </w:t>
      </w:r>
      <w:r w:rsidR="00B76600">
        <w:t xml:space="preserve">per cent </w:t>
      </w:r>
      <w:r w:rsidRPr="0021687D">
        <w:t>over the period</w:t>
      </w:r>
      <w:r>
        <w:t xml:space="preserve"> </w:t>
      </w:r>
      <w:r w:rsidR="004B18A7">
        <w:t xml:space="preserve">from </w:t>
      </w:r>
      <w:r>
        <w:t>2024–25 to 2027–28.</w:t>
      </w:r>
    </w:p>
    <w:p w14:paraId="6495925B" w14:textId="6D80805E" w:rsidR="00DD4B68" w:rsidRDefault="00DD4B68" w:rsidP="00F2334A">
      <w:r>
        <w:t>The</w:t>
      </w:r>
      <w:r w:rsidR="004B18A7">
        <w:t xml:space="preserve"> largest </w:t>
      </w:r>
      <w:r>
        <w:t xml:space="preserve">movement in expenses for the general public services function </w:t>
      </w:r>
      <w:r w:rsidR="004B18A7">
        <w:t xml:space="preserve">is an expected </w:t>
      </w:r>
      <w:r w:rsidR="003E7938" w:rsidRPr="00204B48">
        <w:t xml:space="preserve">increase for </w:t>
      </w:r>
      <w:r w:rsidR="003E7938" w:rsidRPr="00204B48">
        <w:rPr>
          <w:rStyle w:val="Strong"/>
        </w:rPr>
        <w:t>government superannuation benefits</w:t>
      </w:r>
      <w:r w:rsidR="00603726">
        <w:t>,</w:t>
      </w:r>
      <w:r w:rsidR="000A71A8">
        <w:t xml:space="preserve"> </w:t>
      </w:r>
      <w:r w:rsidR="00603726">
        <w:t xml:space="preserve">with other significant movements in </w:t>
      </w:r>
      <w:r w:rsidR="00A32DD8">
        <w:t xml:space="preserve">spending on </w:t>
      </w:r>
      <w:r w:rsidRPr="0087657A">
        <w:rPr>
          <w:rStyle w:val="Strong"/>
        </w:rPr>
        <w:t>legislative and executive affairs, general research</w:t>
      </w:r>
      <w:r w:rsidRPr="00204B48">
        <w:rPr>
          <w:rStyle w:val="Strong"/>
          <w:b w:val="0"/>
        </w:rPr>
        <w:t xml:space="preserve"> and</w:t>
      </w:r>
      <w:r w:rsidRPr="00204B48">
        <w:rPr>
          <w:rStyle w:val="Strong"/>
        </w:rPr>
        <w:t xml:space="preserve"> </w:t>
      </w:r>
      <w:r w:rsidR="00936761" w:rsidRPr="00936761">
        <w:rPr>
          <w:rStyle w:val="Strong"/>
        </w:rPr>
        <w:t>foreign affairs and economic aid</w:t>
      </w:r>
      <w:r w:rsidR="00C33728" w:rsidRPr="00F2334A">
        <w:t>.</w:t>
      </w:r>
      <w:r w:rsidR="00F2334A" w:rsidRPr="00F2334A">
        <w:t xml:space="preserve"> </w:t>
      </w:r>
      <w:r>
        <w:t>The remaining sub</w:t>
      </w:r>
      <w:r w:rsidR="008D4F6B">
        <w:noBreakHyphen/>
      </w:r>
      <w:r>
        <w:t>function</w:t>
      </w:r>
      <w:r w:rsidR="00C74AAD">
        <w:t>s</w:t>
      </w:r>
      <w:r>
        <w:t xml:space="preserve"> </w:t>
      </w:r>
      <w:r w:rsidRPr="00E379E4">
        <w:t>are</w:t>
      </w:r>
      <w:r>
        <w:t xml:space="preserve"> expected to remain broadly stable </w:t>
      </w:r>
      <w:r w:rsidR="00957B9D">
        <w:t>over the period 2024–25 to 2027–28</w:t>
      </w:r>
      <w:r>
        <w:t>.</w:t>
      </w:r>
    </w:p>
    <w:p w14:paraId="43FED964" w14:textId="7FB4C630" w:rsidR="00E006CE" w:rsidRPr="000177D7" w:rsidRDefault="00A32DD8" w:rsidP="00F2334A">
      <w:r w:rsidRPr="0087657A">
        <w:rPr>
          <w:rStyle w:val="Strong"/>
        </w:rPr>
        <w:t>L</w:t>
      </w:r>
      <w:r w:rsidR="00E006CE" w:rsidRPr="0087657A">
        <w:rPr>
          <w:rStyle w:val="Strong"/>
        </w:rPr>
        <w:t>egislative and executive affairs</w:t>
      </w:r>
      <w:r w:rsidR="00E006CE" w:rsidRPr="00002DB4">
        <w:rPr>
          <w:b/>
          <w:bCs/>
        </w:rPr>
        <w:t xml:space="preserve"> </w:t>
      </w:r>
      <w:r>
        <w:t xml:space="preserve">expenses </w:t>
      </w:r>
      <w:r w:rsidR="00E006CE" w:rsidRPr="00207C95">
        <w:t>largely reflect the</w:t>
      </w:r>
      <w:r w:rsidR="00E006CE">
        <w:t xml:space="preserve"> maintenance</w:t>
      </w:r>
      <w:r w:rsidR="00E006CE" w:rsidRPr="00C37B86">
        <w:t xml:space="preserve"> of parliamentary functions and personnel, and </w:t>
      </w:r>
      <w:r w:rsidR="00E006CE">
        <w:t>the expenditure profile of the Australian Electoral Commission. The decrease in expenses from 2024–25 reflects the reduction in estimated Australian Electoral Commission expenses following the federal election in 2024–25.</w:t>
      </w:r>
    </w:p>
    <w:p w14:paraId="591CA0D2" w14:textId="7743FCE4" w:rsidR="00DD4B68" w:rsidRPr="00026ECB" w:rsidRDefault="00A32DD8" w:rsidP="00F2334A">
      <w:r w:rsidRPr="00DB6423">
        <w:rPr>
          <w:rStyle w:val="Strong"/>
        </w:rPr>
        <w:lastRenderedPageBreak/>
        <w:t>Financial</w:t>
      </w:r>
      <w:r w:rsidR="00DD4B68" w:rsidRPr="00DB6423">
        <w:rPr>
          <w:rStyle w:val="Strong"/>
        </w:rPr>
        <w:t xml:space="preserve"> and fiscal affairs</w:t>
      </w:r>
      <w:r w:rsidR="00DD4B68" w:rsidRPr="00023401">
        <w:t xml:space="preserve"> </w:t>
      </w:r>
      <w:r>
        <w:t xml:space="preserve">expenses </w:t>
      </w:r>
      <w:r w:rsidR="00DD4B68" w:rsidRPr="00023401">
        <w:t xml:space="preserve">are expected to decrease, reflecting the termination of a number of </w:t>
      </w:r>
      <w:r w:rsidR="00DD4B68">
        <w:t>Australian Taxation Office</w:t>
      </w:r>
      <w:r w:rsidR="00381703">
        <w:t xml:space="preserve"> programs.</w:t>
      </w:r>
      <w:r w:rsidR="00DD4B68">
        <w:t xml:space="preserve"> In the 2024</w:t>
      </w:r>
      <w:r w:rsidR="00CD0B9F">
        <w:t>–</w:t>
      </w:r>
      <w:r w:rsidR="00DD4B68">
        <w:t xml:space="preserve">25 </w:t>
      </w:r>
      <w:r w:rsidR="00C33728">
        <w:t>B</w:t>
      </w:r>
      <w:r w:rsidR="00DD4B68">
        <w:t xml:space="preserve">udget, </w:t>
      </w:r>
      <w:r w:rsidR="00DD4B68" w:rsidRPr="001810AB">
        <w:t xml:space="preserve">the Government </w:t>
      </w:r>
      <w:r>
        <w:t xml:space="preserve">is </w:t>
      </w:r>
      <w:r w:rsidR="00DD4B68" w:rsidRPr="001810AB">
        <w:t>extend</w:t>
      </w:r>
      <w:r>
        <w:t>ing</w:t>
      </w:r>
      <w:r w:rsidR="00381703">
        <w:t xml:space="preserve"> several terminating</w:t>
      </w:r>
      <w:r w:rsidR="00DD4B68">
        <w:t xml:space="preserve"> ATO</w:t>
      </w:r>
      <w:r w:rsidR="00381703">
        <w:t xml:space="preserve"> </w:t>
      </w:r>
      <w:r w:rsidR="00DD4B68">
        <w:t xml:space="preserve">compliance programs, </w:t>
      </w:r>
      <w:r w:rsidR="0092332B">
        <w:t xml:space="preserve">to </w:t>
      </w:r>
      <w:r w:rsidR="00DD4B68">
        <w:t>ensur</w:t>
      </w:r>
      <w:r w:rsidR="0092332B">
        <w:t>e</w:t>
      </w:r>
      <w:r w:rsidR="00DD4B68">
        <w:t xml:space="preserve"> multinationals, businesses and individuals are paying the right amount of tax in Australia.</w:t>
      </w:r>
    </w:p>
    <w:p w14:paraId="59DD52D6" w14:textId="7BDCAB3E" w:rsidR="00E006CE" w:rsidRDefault="00A32DD8" w:rsidP="00F2334A">
      <w:r w:rsidRPr="00DB6423">
        <w:rPr>
          <w:rStyle w:val="Strong"/>
        </w:rPr>
        <w:t>F</w:t>
      </w:r>
      <w:r w:rsidR="00E006CE" w:rsidRPr="00DB6423">
        <w:rPr>
          <w:rStyle w:val="Strong"/>
        </w:rPr>
        <w:t>oreign affairs and economic aid</w:t>
      </w:r>
      <w:r w:rsidR="00E006CE" w:rsidRPr="00C37B86">
        <w:t xml:space="preserve"> </w:t>
      </w:r>
      <w:r>
        <w:t xml:space="preserve">expenses </w:t>
      </w:r>
      <w:r w:rsidR="00E006CE">
        <w:t xml:space="preserve">are expected to </w:t>
      </w:r>
      <w:r w:rsidR="00C74AAD">
        <w:t xml:space="preserve">fluctuate </w:t>
      </w:r>
      <w:r w:rsidR="00E006CE">
        <w:t xml:space="preserve">over the period from 2024–25 to 2027–28. </w:t>
      </w:r>
      <w:r w:rsidR="00AD1FC2">
        <w:t xml:space="preserve">This largely </w:t>
      </w:r>
      <w:r w:rsidR="00E006CE" w:rsidRPr="00C53E4D">
        <w:t>reflect</w:t>
      </w:r>
      <w:r w:rsidR="00AD1FC2">
        <w:t>s</w:t>
      </w:r>
      <w:r w:rsidR="00E006CE" w:rsidRPr="00C53E4D">
        <w:t xml:space="preserve"> the payment cycles of Australia</w:t>
      </w:r>
      <w:r w:rsidR="008D4F6B">
        <w:t>’</w:t>
      </w:r>
      <w:r w:rsidR="00E006CE" w:rsidRPr="00C53E4D">
        <w:t>s contributions under funding arrangements for multilateral funds, with a significant increase in expenses for Official Development Assistance in 2024–25, in line with previously agreed arrangements. </w:t>
      </w:r>
      <w:r w:rsidR="00E006CE" w:rsidRPr="00002DB4">
        <w:t>Government decisions</w:t>
      </w:r>
      <w:r w:rsidR="00E006CE">
        <w:t xml:space="preserve"> in the 2024</w:t>
      </w:r>
      <w:r w:rsidR="00C74AAD">
        <w:t>–</w:t>
      </w:r>
      <w:r w:rsidR="00E006CE">
        <w:t>25 Budget</w:t>
      </w:r>
      <w:r w:rsidR="00E006CE" w:rsidRPr="00002DB4">
        <w:t xml:space="preserve"> to continue and expand programs supporting Southeast Asia</w:t>
      </w:r>
      <w:r w:rsidR="00C74AAD">
        <w:t>,</w:t>
      </w:r>
      <w:r w:rsidR="00E006CE" w:rsidRPr="00002DB4">
        <w:t xml:space="preserve"> build on relationships</w:t>
      </w:r>
      <w:r w:rsidR="00E006CE" w:rsidRPr="0001007F">
        <w:t xml:space="preserve"> in the Pacific</w:t>
      </w:r>
      <w:r w:rsidR="00C74AAD">
        <w:t>,</w:t>
      </w:r>
      <w:r w:rsidR="00E006CE" w:rsidRPr="0001007F">
        <w:t xml:space="preserve"> </w:t>
      </w:r>
      <w:r w:rsidR="00E006CE">
        <w:t>and s</w:t>
      </w:r>
      <w:r w:rsidR="00E006CE" w:rsidRPr="0001007F">
        <w:t>trength</w:t>
      </w:r>
      <w:r w:rsidR="00E006CE">
        <w:t>ening the capability of the</w:t>
      </w:r>
      <w:r w:rsidR="00E006CE" w:rsidRPr="0001007F">
        <w:t xml:space="preserve"> Department of Foreign Affairs and Trade</w:t>
      </w:r>
      <w:r w:rsidR="00E006CE">
        <w:t>,</w:t>
      </w:r>
      <w:r w:rsidR="00E006CE" w:rsidRPr="0001007F">
        <w:t xml:space="preserve"> </w:t>
      </w:r>
      <w:r w:rsidR="00DE14C7">
        <w:t>are</w:t>
      </w:r>
      <w:r w:rsidR="00DE14C7" w:rsidRPr="0001007F">
        <w:t xml:space="preserve"> </w:t>
      </w:r>
      <w:r w:rsidR="00E006CE" w:rsidRPr="0001007F">
        <w:t xml:space="preserve">also </w:t>
      </w:r>
      <w:r w:rsidR="00DE14C7">
        <w:t xml:space="preserve">expected to </w:t>
      </w:r>
      <w:r w:rsidR="00E006CE" w:rsidRPr="0001007F">
        <w:t xml:space="preserve">contribute to growth in </w:t>
      </w:r>
      <w:r w:rsidR="00E006CE">
        <w:t xml:space="preserve">expenses </w:t>
      </w:r>
      <w:r w:rsidR="00E006CE" w:rsidRPr="0001007F">
        <w:t xml:space="preserve">across the </w:t>
      </w:r>
      <w:r w:rsidR="00E006CE">
        <w:t>period 202</w:t>
      </w:r>
      <w:r w:rsidR="00C74AAD">
        <w:t>5</w:t>
      </w:r>
      <w:r w:rsidR="00E006CE" w:rsidRPr="00C74AAD">
        <w:t>–</w:t>
      </w:r>
      <w:r w:rsidR="00E006CE">
        <w:t>2</w:t>
      </w:r>
      <w:r w:rsidR="00C74AAD">
        <w:t>6</w:t>
      </w:r>
      <w:r w:rsidR="00E006CE">
        <w:t xml:space="preserve"> to 2027</w:t>
      </w:r>
      <w:r w:rsidR="00E006CE" w:rsidRPr="00C74AAD">
        <w:t>–</w:t>
      </w:r>
      <w:r w:rsidR="00E006CE">
        <w:t>28.</w:t>
      </w:r>
    </w:p>
    <w:p w14:paraId="1ABFBC67" w14:textId="03A0994A" w:rsidR="00E006CE" w:rsidRDefault="00E006CE" w:rsidP="00F2334A">
      <w:r>
        <w:t>Table 6.4.</w:t>
      </w:r>
      <w:r w:rsidR="006020B3">
        <w:t>1</w:t>
      </w:r>
      <w:r>
        <w:t xml:space="preserve"> sets out the major components of the </w:t>
      </w:r>
      <w:r w:rsidRPr="0087049E">
        <w:rPr>
          <w:rStyle w:val="Strong"/>
        </w:rPr>
        <w:t>foreign affairs and economic aid</w:t>
      </w:r>
      <w:r>
        <w:rPr>
          <w:b/>
          <w:bCs/>
        </w:rPr>
        <w:t xml:space="preserve"> </w:t>
      </w:r>
      <w:r>
        <w:t>sub</w:t>
      </w:r>
      <w:r w:rsidR="008D4F6B">
        <w:noBreakHyphen/>
      </w:r>
      <w:r>
        <w:t>function.</w:t>
      </w:r>
    </w:p>
    <w:p w14:paraId="64CA8502" w14:textId="2299218E" w:rsidR="00D778AF" w:rsidRDefault="00E006CE" w:rsidP="00D778AF">
      <w:pPr>
        <w:pStyle w:val="TableHeading"/>
        <w:rPr>
          <w:rFonts w:asciiTheme="minorHAnsi" w:eastAsiaTheme="minorHAnsi" w:hAnsiTheme="minorHAnsi" w:cstheme="minorBidi"/>
          <w:sz w:val="22"/>
          <w:szCs w:val="22"/>
          <w:lang w:eastAsia="en-US"/>
        </w:rPr>
      </w:pPr>
      <w:r>
        <w:t>Table </w:t>
      </w:r>
      <w:r w:rsidRPr="000177D7">
        <w:t>6.4.</w:t>
      </w:r>
      <w:r w:rsidR="006020B3">
        <w:t>1</w:t>
      </w:r>
      <w:r w:rsidRPr="000177D7">
        <w:t>: Trends in the major components of</w:t>
      </w:r>
      <w:r>
        <w:t xml:space="preserve"> the</w:t>
      </w:r>
      <w:r w:rsidRPr="000177D7">
        <w:t xml:space="preserve"> foreign affairs and economic aid sub</w:t>
      </w:r>
      <w:r w:rsidR="008D4F6B">
        <w:noBreakHyphen/>
      </w:r>
      <w:r w:rsidRPr="000177D7">
        <w:t xml:space="preserve">function </w:t>
      </w:r>
      <w:r w:rsidRPr="003D0A79">
        <w:t>expense</w:t>
      </w:r>
    </w:p>
    <w:tbl>
      <w:tblPr>
        <w:tblW w:w="5000" w:type="pct"/>
        <w:tblCellMar>
          <w:left w:w="0" w:type="dxa"/>
          <w:right w:w="28" w:type="dxa"/>
        </w:tblCellMar>
        <w:tblLook w:val="04A0" w:firstRow="1" w:lastRow="0" w:firstColumn="1" w:lastColumn="0" w:noHBand="0" w:noVBand="1"/>
      </w:tblPr>
      <w:tblGrid>
        <w:gridCol w:w="3364"/>
        <w:gridCol w:w="110"/>
        <w:gridCol w:w="847"/>
        <w:gridCol w:w="847"/>
        <w:gridCol w:w="847"/>
        <w:gridCol w:w="847"/>
        <w:gridCol w:w="848"/>
      </w:tblGrid>
      <w:tr w:rsidR="00CC078D" w:rsidRPr="00D778AF" w14:paraId="6701E8EC" w14:textId="77777777" w:rsidTr="00D778AF">
        <w:trPr>
          <w:trHeight w:hRule="exact" w:val="20"/>
        </w:trPr>
        <w:tc>
          <w:tcPr>
            <w:tcW w:w="2182" w:type="pct"/>
            <w:tcBorders>
              <w:top w:val="nil"/>
              <w:left w:val="nil"/>
              <w:bottom w:val="single" w:sz="4" w:space="0" w:color="293F5B"/>
              <w:right w:val="nil"/>
            </w:tcBorders>
            <w:shd w:val="clear" w:color="000000" w:fill="FFFFFF"/>
            <w:noWrap/>
            <w:vAlign w:val="center"/>
            <w:hideMark/>
          </w:tcPr>
          <w:p w14:paraId="50B02E02" w14:textId="29EF84E8" w:rsidR="00D778AF" w:rsidRPr="00D778AF" w:rsidRDefault="00D778AF" w:rsidP="00D778AF">
            <w:pPr>
              <w:spacing w:before="0" w:after="0" w:line="240" w:lineRule="auto"/>
              <w:rPr>
                <w:rFonts w:ascii="Arial" w:hAnsi="Arial" w:cs="Arial"/>
                <w:b/>
                <w:bCs/>
                <w:color w:val="000000"/>
                <w:sz w:val="16"/>
                <w:szCs w:val="16"/>
              </w:rPr>
            </w:pPr>
            <w:r w:rsidRPr="00D778AF">
              <w:rPr>
                <w:rFonts w:ascii="Arial" w:hAnsi="Arial" w:cs="Arial"/>
                <w:b/>
                <w:bCs/>
                <w:color w:val="000000"/>
                <w:sz w:val="16"/>
                <w:szCs w:val="16"/>
              </w:rPr>
              <w:t> </w:t>
            </w:r>
          </w:p>
        </w:tc>
        <w:tc>
          <w:tcPr>
            <w:tcW w:w="72" w:type="pct"/>
            <w:tcBorders>
              <w:top w:val="nil"/>
              <w:left w:val="nil"/>
              <w:bottom w:val="single" w:sz="4" w:space="0" w:color="293F5B"/>
              <w:right w:val="nil"/>
            </w:tcBorders>
            <w:shd w:val="clear" w:color="000000" w:fill="FFFFFF"/>
            <w:noWrap/>
            <w:vAlign w:val="center"/>
            <w:hideMark/>
          </w:tcPr>
          <w:p w14:paraId="11E1DAFF" w14:textId="77777777" w:rsidR="00D778AF" w:rsidRPr="00D778AF" w:rsidRDefault="00D778AF" w:rsidP="00D778AF">
            <w:pPr>
              <w:spacing w:before="0" w:after="0" w:line="240" w:lineRule="auto"/>
              <w:rPr>
                <w:rFonts w:ascii="Arial" w:hAnsi="Arial" w:cs="Arial"/>
                <w:b/>
                <w:bCs/>
                <w:color w:val="000000"/>
                <w:sz w:val="16"/>
                <w:szCs w:val="16"/>
              </w:rPr>
            </w:pPr>
            <w:r w:rsidRPr="00D778AF">
              <w:rPr>
                <w:rFonts w:ascii="Arial" w:hAnsi="Arial" w:cs="Arial"/>
                <w:b/>
                <w:bCs/>
                <w:color w:val="000000"/>
                <w:sz w:val="16"/>
                <w:szCs w:val="16"/>
              </w:rPr>
              <w:t> </w:t>
            </w:r>
          </w:p>
        </w:tc>
        <w:tc>
          <w:tcPr>
            <w:tcW w:w="549" w:type="pct"/>
            <w:tcBorders>
              <w:top w:val="nil"/>
              <w:left w:val="nil"/>
              <w:bottom w:val="single" w:sz="4" w:space="0" w:color="293F5B"/>
              <w:right w:val="nil"/>
            </w:tcBorders>
            <w:shd w:val="clear" w:color="000000" w:fill="FFFFFF"/>
            <w:noWrap/>
            <w:vAlign w:val="center"/>
            <w:hideMark/>
          </w:tcPr>
          <w:p w14:paraId="209B1B11" w14:textId="77777777" w:rsidR="00D778AF" w:rsidRPr="00D778AF" w:rsidRDefault="00D778AF" w:rsidP="00D778AF">
            <w:pPr>
              <w:spacing w:before="0" w:after="0" w:line="240" w:lineRule="auto"/>
              <w:rPr>
                <w:rFonts w:ascii="Arial" w:hAnsi="Arial" w:cs="Arial"/>
                <w:color w:val="000000"/>
                <w:sz w:val="16"/>
                <w:szCs w:val="16"/>
              </w:rPr>
            </w:pPr>
            <w:r w:rsidRPr="00D778AF">
              <w:rPr>
                <w:rFonts w:ascii="Arial" w:hAnsi="Arial" w:cs="Arial"/>
                <w:color w:val="000000"/>
                <w:sz w:val="16"/>
                <w:szCs w:val="16"/>
              </w:rPr>
              <w:t> </w:t>
            </w:r>
          </w:p>
        </w:tc>
        <w:tc>
          <w:tcPr>
            <w:tcW w:w="549" w:type="pct"/>
            <w:tcBorders>
              <w:top w:val="nil"/>
              <w:left w:val="nil"/>
              <w:bottom w:val="single" w:sz="4" w:space="0" w:color="293F5B"/>
              <w:right w:val="nil"/>
            </w:tcBorders>
            <w:shd w:val="clear" w:color="000000" w:fill="FFFFFF"/>
            <w:noWrap/>
            <w:vAlign w:val="center"/>
            <w:hideMark/>
          </w:tcPr>
          <w:p w14:paraId="796A1804" w14:textId="77777777" w:rsidR="00D778AF" w:rsidRPr="00D778AF" w:rsidRDefault="00D778AF" w:rsidP="00D778AF">
            <w:pPr>
              <w:spacing w:before="0" w:after="0" w:line="240" w:lineRule="auto"/>
              <w:rPr>
                <w:rFonts w:ascii="Arial" w:hAnsi="Arial" w:cs="Arial"/>
                <w:color w:val="000000"/>
                <w:sz w:val="16"/>
                <w:szCs w:val="16"/>
              </w:rPr>
            </w:pPr>
            <w:r w:rsidRPr="00D778AF">
              <w:rPr>
                <w:rFonts w:ascii="Arial" w:hAnsi="Arial" w:cs="Arial"/>
                <w:color w:val="000000"/>
                <w:sz w:val="16"/>
                <w:szCs w:val="16"/>
              </w:rPr>
              <w:t> </w:t>
            </w:r>
          </w:p>
        </w:tc>
        <w:tc>
          <w:tcPr>
            <w:tcW w:w="549" w:type="pct"/>
            <w:tcBorders>
              <w:top w:val="nil"/>
              <w:left w:val="nil"/>
              <w:bottom w:val="single" w:sz="4" w:space="0" w:color="293F5B"/>
              <w:right w:val="nil"/>
            </w:tcBorders>
            <w:shd w:val="clear" w:color="000000" w:fill="FFFFFF"/>
            <w:noWrap/>
            <w:vAlign w:val="center"/>
            <w:hideMark/>
          </w:tcPr>
          <w:p w14:paraId="76283E2C" w14:textId="77777777" w:rsidR="00D778AF" w:rsidRPr="00D778AF" w:rsidRDefault="00D778AF" w:rsidP="00D778AF">
            <w:pPr>
              <w:spacing w:before="0" w:after="0" w:line="240" w:lineRule="auto"/>
              <w:rPr>
                <w:rFonts w:ascii="Arial" w:hAnsi="Arial" w:cs="Arial"/>
                <w:color w:val="000000"/>
                <w:sz w:val="16"/>
                <w:szCs w:val="16"/>
              </w:rPr>
            </w:pPr>
            <w:r w:rsidRPr="00D778AF">
              <w:rPr>
                <w:rFonts w:ascii="Arial" w:hAnsi="Arial" w:cs="Arial"/>
                <w:color w:val="000000"/>
                <w:sz w:val="16"/>
                <w:szCs w:val="16"/>
              </w:rPr>
              <w:t> </w:t>
            </w:r>
          </w:p>
        </w:tc>
        <w:tc>
          <w:tcPr>
            <w:tcW w:w="549" w:type="pct"/>
            <w:tcBorders>
              <w:top w:val="nil"/>
              <w:left w:val="nil"/>
              <w:bottom w:val="single" w:sz="4" w:space="0" w:color="293F5B"/>
              <w:right w:val="nil"/>
            </w:tcBorders>
            <w:shd w:val="clear" w:color="000000" w:fill="FFFFFF"/>
            <w:noWrap/>
            <w:vAlign w:val="center"/>
            <w:hideMark/>
          </w:tcPr>
          <w:p w14:paraId="00E60D68" w14:textId="77777777" w:rsidR="00D778AF" w:rsidRPr="00D778AF" w:rsidRDefault="00D778AF" w:rsidP="00D778AF">
            <w:pPr>
              <w:spacing w:before="0" w:after="0" w:line="240" w:lineRule="auto"/>
              <w:rPr>
                <w:rFonts w:ascii="Arial" w:hAnsi="Arial" w:cs="Arial"/>
                <w:color w:val="000000"/>
                <w:sz w:val="16"/>
                <w:szCs w:val="16"/>
              </w:rPr>
            </w:pPr>
            <w:r w:rsidRPr="00D778AF">
              <w:rPr>
                <w:rFonts w:ascii="Arial" w:hAnsi="Arial" w:cs="Arial"/>
                <w:color w:val="000000"/>
                <w:sz w:val="16"/>
                <w:szCs w:val="16"/>
              </w:rPr>
              <w:t> </w:t>
            </w:r>
          </w:p>
        </w:tc>
        <w:tc>
          <w:tcPr>
            <w:tcW w:w="549" w:type="pct"/>
            <w:tcBorders>
              <w:top w:val="nil"/>
              <w:left w:val="nil"/>
              <w:bottom w:val="single" w:sz="4" w:space="0" w:color="293F5B"/>
              <w:right w:val="nil"/>
            </w:tcBorders>
            <w:shd w:val="clear" w:color="000000" w:fill="FFFFFF"/>
            <w:noWrap/>
            <w:vAlign w:val="center"/>
            <w:hideMark/>
          </w:tcPr>
          <w:p w14:paraId="149D0628" w14:textId="77777777" w:rsidR="00D778AF" w:rsidRPr="00D778AF" w:rsidRDefault="00D778AF" w:rsidP="00D778AF">
            <w:pPr>
              <w:spacing w:before="0" w:after="0" w:line="240" w:lineRule="auto"/>
              <w:rPr>
                <w:rFonts w:ascii="Arial" w:hAnsi="Arial" w:cs="Arial"/>
                <w:color w:val="000000"/>
                <w:sz w:val="16"/>
                <w:szCs w:val="16"/>
              </w:rPr>
            </w:pPr>
            <w:r w:rsidRPr="00D778AF">
              <w:rPr>
                <w:rFonts w:ascii="Arial" w:hAnsi="Arial" w:cs="Arial"/>
                <w:color w:val="000000"/>
                <w:sz w:val="16"/>
                <w:szCs w:val="16"/>
              </w:rPr>
              <w:t> </w:t>
            </w:r>
          </w:p>
        </w:tc>
      </w:tr>
      <w:tr w:rsidR="00CC078D" w:rsidRPr="00D778AF" w14:paraId="31666750" w14:textId="77777777" w:rsidTr="003D0A79">
        <w:trPr>
          <w:trHeight w:hRule="exact" w:val="225"/>
        </w:trPr>
        <w:tc>
          <w:tcPr>
            <w:tcW w:w="2182" w:type="pct"/>
            <w:tcBorders>
              <w:top w:val="nil"/>
              <w:left w:val="nil"/>
              <w:bottom w:val="nil"/>
              <w:right w:val="nil"/>
            </w:tcBorders>
            <w:shd w:val="clear" w:color="000000" w:fill="FFFFFF"/>
            <w:noWrap/>
            <w:vAlign w:val="center"/>
            <w:hideMark/>
          </w:tcPr>
          <w:p w14:paraId="4F519A82" w14:textId="77777777" w:rsidR="00D778AF" w:rsidRPr="00D778AF" w:rsidRDefault="00D778AF" w:rsidP="00D778AF">
            <w:pPr>
              <w:spacing w:before="0" w:after="0" w:line="240" w:lineRule="auto"/>
              <w:rPr>
                <w:rFonts w:ascii="Arial" w:hAnsi="Arial" w:cs="Arial"/>
                <w:b/>
                <w:bCs/>
                <w:color w:val="000000"/>
                <w:sz w:val="16"/>
                <w:szCs w:val="16"/>
              </w:rPr>
            </w:pPr>
            <w:r w:rsidRPr="00D778AF">
              <w:rPr>
                <w:rFonts w:ascii="Arial" w:hAnsi="Arial" w:cs="Arial"/>
                <w:b/>
                <w:bCs/>
                <w:color w:val="000000"/>
                <w:sz w:val="16"/>
                <w:szCs w:val="16"/>
              </w:rPr>
              <w:t>Component(a)</w:t>
            </w:r>
          </w:p>
        </w:tc>
        <w:tc>
          <w:tcPr>
            <w:tcW w:w="72" w:type="pct"/>
            <w:tcBorders>
              <w:top w:val="nil"/>
              <w:left w:val="nil"/>
              <w:bottom w:val="nil"/>
              <w:right w:val="nil"/>
            </w:tcBorders>
            <w:shd w:val="clear" w:color="000000" w:fill="FFFFFF"/>
            <w:noWrap/>
            <w:vAlign w:val="center"/>
            <w:hideMark/>
          </w:tcPr>
          <w:p w14:paraId="08A15D9F" w14:textId="77777777" w:rsidR="00D778AF" w:rsidRPr="00D778AF" w:rsidRDefault="00D778AF" w:rsidP="00D778AF">
            <w:pPr>
              <w:spacing w:before="0" w:after="0" w:line="240" w:lineRule="auto"/>
              <w:rPr>
                <w:rFonts w:ascii="Arial" w:hAnsi="Arial" w:cs="Arial"/>
                <w:color w:val="000000"/>
                <w:sz w:val="16"/>
                <w:szCs w:val="16"/>
              </w:rPr>
            </w:pPr>
            <w:r w:rsidRPr="00D778AF">
              <w:rPr>
                <w:rFonts w:ascii="Arial" w:hAnsi="Arial" w:cs="Arial"/>
                <w:color w:val="000000"/>
                <w:sz w:val="16"/>
                <w:szCs w:val="16"/>
              </w:rPr>
              <w:t> </w:t>
            </w:r>
          </w:p>
        </w:tc>
        <w:tc>
          <w:tcPr>
            <w:tcW w:w="2747" w:type="pct"/>
            <w:gridSpan w:val="5"/>
            <w:tcBorders>
              <w:top w:val="single" w:sz="4" w:space="0" w:color="293F5B"/>
              <w:left w:val="nil"/>
              <w:bottom w:val="single" w:sz="4" w:space="0" w:color="293F5B"/>
              <w:right w:val="nil"/>
            </w:tcBorders>
            <w:shd w:val="clear" w:color="000000" w:fill="FFFFFF"/>
            <w:noWrap/>
            <w:vAlign w:val="center"/>
            <w:hideMark/>
          </w:tcPr>
          <w:p w14:paraId="319161EC" w14:textId="77777777" w:rsidR="00D778AF" w:rsidRPr="00D778AF" w:rsidRDefault="00D778AF" w:rsidP="00D778AF">
            <w:pPr>
              <w:spacing w:before="0" w:after="0" w:line="240" w:lineRule="auto"/>
              <w:jc w:val="center"/>
              <w:rPr>
                <w:rFonts w:ascii="Arial" w:hAnsi="Arial" w:cs="Arial"/>
                <w:color w:val="000000"/>
                <w:sz w:val="16"/>
                <w:szCs w:val="16"/>
              </w:rPr>
            </w:pPr>
            <w:r w:rsidRPr="00D778AF">
              <w:rPr>
                <w:rFonts w:ascii="Arial" w:hAnsi="Arial" w:cs="Arial"/>
                <w:color w:val="000000"/>
                <w:sz w:val="16"/>
                <w:szCs w:val="16"/>
              </w:rPr>
              <w:t>Estimates</w:t>
            </w:r>
          </w:p>
        </w:tc>
      </w:tr>
      <w:tr w:rsidR="00CC078D" w:rsidRPr="00D778AF" w14:paraId="6DB63AA8" w14:textId="77777777" w:rsidTr="00D778AF">
        <w:trPr>
          <w:trHeight w:hRule="exact" w:val="225"/>
        </w:trPr>
        <w:tc>
          <w:tcPr>
            <w:tcW w:w="2182" w:type="pct"/>
            <w:tcBorders>
              <w:top w:val="nil"/>
              <w:left w:val="nil"/>
              <w:bottom w:val="nil"/>
              <w:right w:val="nil"/>
            </w:tcBorders>
            <w:shd w:val="clear" w:color="000000" w:fill="FFFFFF"/>
            <w:noWrap/>
            <w:vAlign w:val="bottom"/>
            <w:hideMark/>
          </w:tcPr>
          <w:p w14:paraId="409633F7" w14:textId="77777777" w:rsidR="00D778AF" w:rsidRPr="00D778AF" w:rsidRDefault="00D778AF" w:rsidP="00D778AF">
            <w:pPr>
              <w:spacing w:before="0" w:after="0" w:line="240" w:lineRule="auto"/>
              <w:rPr>
                <w:rFonts w:ascii="Arial" w:hAnsi="Arial" w:cs="Arial"/>
                <w:color w:val="000000"/>
                <w:sz w:val="16"/>
                <w:szCs w:val="16"/>
              </w:rPr>
            </w:pPr>
            <w:r w:rsidRPr="00D778AF">
              <w:rPr>
                <w:rFonts w:ascii="Arial" w:hAnsi="Arial" w:cs="Arial"/>
                <w:color w:val="000000"/>
                <w:sz w:val="16"/>
                <w:szCs w:val="16"/>
              </w:rPr>
              <w:t> </w:t>
            </w:r>
          </w:p>
        </w:tc>
        <w:tc>
          <w:tcPr>
            <w:tcW w:w="72" w:type="pct"/>
            <w:tcBorders>
              <w:top w:val="nil"/>
              <w:left w:val="nil"/>
              <w:bottom w:val="nil"/>
              <w:right w:val="nil"/>
            </w:tcBorders>
            <w:shd w:val="clear" w:color="000000" w:fill="FFFFFF"/>
            <w:noWrap/>
            <w:vAlign w:val="center"/>
            <w:hideMark/>
          </w:tcPr>
          <w:p w14:paraId="5D5464A5" w14:textId="77777777" w:rsidR="00D778AF" w:rsidRPr="00D778AF" w:rsidRDefault="00D778AF" w:rsidP="00D778AF">
            <w:pPr>
              <w:spacing w:before="0" w:after="0" w:line="240" w:lineRule="auto"/>
              <w:jc w:val="right"/>
              <w:rPr>
                <w:rFonts w:ascii="Arial" w:hAnsi="Arial" w:cs="Arial"/>
                <w:sz w:val="16"/>
                <w:szCs w:val="16"/>
              </w:rPr>
            </w:pPr>
            <w:r w:rsidRPr="00D778AF">
              <w:rPr>
                <w:rFonts w:ascii="Arial" w:hAnsi="Arial" w:cs="Arial"/>
                <w:sz w:val="16"/>
                <w:szCs w:val="16"/>
              </w:rPr>
              <w:t> </w:t>
            </w:r>
          </w:p>
        </w:tc>
        <w:tc>
          <w:tcPr>
            <w:tcW w:w="549" w:type="pct"/>
            <w:tcBorders>
              <w:top w:val="single" w:sz="4" w:space="0" w:color="293F5B"/>
              <w:left w:val="nil"/>
              <w:bottom w:val="nil"/>
              <w:right w:val="nil"/>
            </w:tcBorders>
            <w:shd w:val="clear" w:color="000000" w:fill="FFFFFF"/>
            <w:noWrap/>
            <w:vAlign w:val="center"/>
            <w:hideMark/>
          </w:tcPr>
          <w:p w14:paraId="09A5E696" w14:textId="78AD13EF" w:rsidR="00D778AF" w:rsidRPr="00D778AF" w:rsidRDefault="00D778AF" w:rsidP="00D778AF">
            <w:pPr>
              <w:spacing w:before="0" w:after="0" w:line="240" w:lineRule="auto"/>
              <w:jc w:val="right"/>
              <w:rPr>
                <w:rFonts w:ascii="Arial" w:hAnsi="Arial" w:cs="Arial"/>
                <w:sz w:val="16"/>
                <w:szCs w:val="16"/>
              </w:rPr>
            </w:pPr>
            <w:r w:rsidRPr="00D778AF">
              <w:rPr>
                <w:rFonts w:ascii="Arial" w:hAnsi="Arial" w:cs="Arial"/>
                <w:sz w:val="16"/>
                <w:szCs w:val="16"/>
              </w:rPr>
              <w:t>2023</w:t>
            </w:r>
            <w:r w:rsidR="008D4F6B">
              <w:rPr>
                <w:rFonts w:ascii="Arial" w:hAnsi="Arial" w:cs="Arial"/>
                <w:sz w:val="16"/>
                <w:szCs w:val="16"/>
              </w:rPr>
              <w:noBreakHyphen/>
            </w:r>
            <w:r w:rsidRPr="00D778AF">
              <w:rPr>
                <w:rFonts w:ascii="Arial" w:hAnsi="Arial" w:cs="Arial"/>
                <w:sz w:val="16"/>
                <w:szCs w:val="16"/>
              </w:rPr>
              <w:t>24</w:t>
            </w:r>
          </w:p>
        </w:tc>
        <w:tc>
          <w:tcPr>
            <w:tcW w:w="549" w:type="pct"/>
            <w:tcBorders>
              <w:top w:val="single" w:sz="4" w:space="0" w:color="293F5B"/>
              <w:left w:val="nil"/>
              <w:bottom w:val="nil"/>
              <w:right w:val="nil"/>
            </w:tcBorders>
            <w:shd w:val="clear" w:color="000000" w:fill="E6F2FF"/>
            <w:noWrap/>
            <w:vAlign w:val="center"/>
            <w:hideMark/>
          </w:tcPr>
          <w:p w14:paraId="3C8BB766" w14:textId="6CBB0D4F" w:rsidR="00D778AF" w:rsidRPr="00D778AF" w:rsidRDefault="00D778AF" w:rsidP="00D778AF">
            <w:pPr>
              <w:spacing w:before="0" w:after="0" w:line="240" w:lineRule="auto"/>
              <w:jc w:val="right"/>
              <w:rPr>
                <w:rFonts w:ascii="Arial" w:hAnsi="Arial" w:cs="Arial"/>
                <w:sz w:val="16"/>
                <w:szCs w:val="16"/>
              </w:rPr>
            </w:pPr>
            <w:r w:rsidRPr="00D778AF">
              <w:rPr>
                <w:rFonts w:ascii="Arial" w:hAnsi="Arial" w:cs="Arial"/>
                <w:sz w:val="16"/>
                <w:szCs w:val="16"/>
              </w:rPr>
              <w:t>2024</w:t>
            </w:r>
            <w:r w:rsidR="008D4F6B">
              <w:rPr>
                <w:rFonts w:ascii="Arial" w:hAnsi="Arial" w:cs="Arial"/>
                <w:sz w:val="16"/>
                <w:szCs w:val="16"/>
              </w:rPr>
              <w:noBreakHyphen/>
            </w:r>
            <w:r w:rsidRPr="00D778AF">
              <w:rPr>
                <w:rFonts w:ascii="Arial" w:hAnsi="Arial" w:cs="Arial"/>
                <w:sz w:val="16"/>
                <w:szCs w:val="16"/>
              </w:rPr>
              <w:t>25</w:t>
            </w:r>
          </w:p>
        </w:tc>
        <w:tc>
          <w:tcPr>
            <w:tcW w:w="549" w:type="pct"/>
            <w:tcBorders>
              <w:top w:val="single" w:sz="4" w:space="0" w:color="293F5B"/>
              <w:left w:val="nil"/>
              <w:bottom w:val="nil"/>
              <w:right w:val="nil"/>
            </w:tcBorders>
            <w:shd w:val="clear" w:color="000000" w:fill="FFFFFF"/>
            <w:noWrap/>
            <w:vAlign w:val="center"/>
            <w:hideMark/>
          </w:tcPr>
          <w:p w14:paraId="570792A7" w14:textId="495BF189" w:rsidR="00D778AF" w:rsidRPr="00D778AF" w:rsidRDefault="00D778AF" w:rsidP="00D778AF">
            <w:pPr>
              <w:spacing w:before="0" w:after="0" w:line="240" w:lineRule="auto"/>
              <w:jc w:val="right"/>
              <w:rPr>
                <w:rFonts w:ascii="Arial" w:hAnsi="Arial" w:cs="Arial"/>
                <w:sz w:val="16"/>
                <w:szCs w:val="16"/>
              </w:rPr>
            </w:pPr>
            <w:r w:rsidRPr="00D778AF">
              <w:rPr>
                <w:rFonts w:ascii="Arial" w:hAnsi="Arial" w:cs="Arial"/>
                <w:sz w:val="16"/>
                <w:szCs w:val="16"/>
              </w:rPr>
              <w:t>2025</w:t>
            </w:r>
            <w:r w:rsidR="008D4F6B">
              <w:rPr>
                <w:rFonts w:ascii="Arial" w:hAnsi="Arial" w:cs="Arial"/>
                <w:sz w:val="16"/>
                <w:szCs w:val="16"/>
              </w:rPr>
              <w:noBreakHyphen/>
            </w:r>
            <w:r w:rsidRPr="00D778AF">
              <w:rPr>
                <w:rFonts w:ascii="Arial" w:hAnsi="Arial" w:cs="Arial"/>
                <w:sz w:val="16"/>
                <w:szCs w:val="16"/>
              </w:rPr>
              <w:t>26</w:t>
            </w:r>
          </w:p>
        </w:tc>
        <w:tc>
          <w:tcPr>
            <w:tcW w:w="549" w:type="pct"/>
            <w:tcBorders>
              <w:top w:val="single" w:sz="4" w:space="0" w:color="293F5B"/>
              <w:left w:val="nil"/>
              <w:bottom w:val="nil"/>
              <w:right w:val="nil"/>
            </w:tcBorders>
            <w:shd w:val="clear" w:color="000000" w:fill="FFFFFF"/>
            <w:noWrap/>
            <w:vAlign w:val="center"/>
            <w:hideMark/>
          </w:tcPr>
          <w:p w14:paraId="5891FF43" w14:textId="33ADC982" w:rsidR="00D778AF" w:rsidRPr="00D778AF" w:rsidRDefault="00D778AF" w:rsidP="00D778AF">
            <w:pPr>
              <w:spacing w:before="0" w:after="0" w:line="240" w:lineRule="auto"/>
              <w:jc w:val="right"/>
              <w:rPr>
                <w:rFonts w:ascii="Arial" w:hAnsi="Arial" w:cs="Arial"/>
                <w:sz w:val="16"/>
                <w:szCs w:val="16"/>
              </w:rPr>
            </w:pPr>
            <w:r w:rsidRPr="00D778AF">
              <w:rPr>
                <w:rFonts w:ascii="Arial" w:hAnsi="Arial" w:cs="Arial"/>
                <w:sz w:val="16"/>
                <w:szCs w:val="16"/>
              </w:rPr>
              <w:t>2026</w:t>
            </w:r>
            <w:r w:rsidR="008D4F6B">
              <w:rPr>
                <w:rFonts w:ascii="Arial" w:hAnsi="Arial" w:cs="Arial"/>
                <w:sz w:val="16"/>
                <w:szCs w:val="16"/>
              </w:rPr>
              <w:noBreakHyphen/>
            </w:r>
            <w:r w:rsidRPr="00D778AF">
              <w:rPr>
                <w:rFonts w:ascii="Arial" w:hAnsi="Arial" w:cs="Arial"/>
                <w:sz w:val="16"/>
                <w:szCs w:val="16"/>
              </w:rPr>
              <w:t>27</w:t>
            </w:r>
          </w:p>
        </w:tc>
        <w:tc>
          <w:tcPr>
            <w:tcW w:w="549" w:type="pct"/>
            <w:tcBorders>
              <w:top w:val="single" w:sz="4" w:space="0" w:color="293F5B"/>
              <w:left w:val="nil"/>
              <w:bottom w:val="nil"/>
              <w:right w:val="nil"/>
            </w:tcBorders>
            <w:shd w:val="clear" w:color="000000" w:fill="FFFFFF"/>
            <w:noWrap/>
            <w:vAlign w:val="center"/>
            <w:hideMark/>
          </w:tcPr>
          <w:p w14:paraId="73FA8B13" w14:textId="1A01F2D3" w:rsidR="00D778AF" w:rsidRPr="00D778AF" w:rsidRDefault="00D778AF" w:rsidP="00D778AF">
            <w:pPr>
              <w:spacing w:before="0" w:after="0" w:line="240" w:lineRule="auto"/>
              <w:jc w:val="right"/>
              <w:rPr>
                <w:rFonts w:ascii="Arial" w:hAnsi="Arial" w:cs="Arial"/>
                <w:color w:val="000000"/>
                <w:sz w:val="16"/>
                <w:szCs w:val="16"/>
              </w:rPr>
            </w:pPr>
            <w:r w:rsidRPr="00D778AF">
              <w:rPr>
                <w:rFonts w:ascii="Arial" w:hAnsi="Arial" w:cs="Arial"/>
                <w:color w:val="000000"/>
                <w:sz w:val="16"/>
                <w:szCs w:val="16"/>
              </w:rPr>
              <w:t>2027</w:t>
            </w:r>
            <w:r w:rsidR="008D4F6B">
              <w:rPr>
                <w:rFonts w:ascii="Arial" w:hAnsi="Arial" w:cs="Arial"/>
                <w:color w:val="000000"/>
                <w:sz w:val="16"/>
                <w:szCs w:val="16"/>
              </w:rPr>
              <w:noBreakHyphen/>
            </w:r>
            <w:r w:rsidRPr="00D778AF">
              <w:rPr>
                <w:rFonts w:ascii="Arial" w:hAnsi="Arial" w:cs="Arial"/>
                <w:color w:val="000000"/>
                <w:sz w:val="16"/>
                <w:szCs w:val="16"/>
              </w:rPr>
              <w:t>28</w:t>
            </w:r>
          </w:p>
        </w:tc>
      </w:tr>
      <w:tr w:rsidR="00CC078D" w:rsidRPr="00D778AF" w14:paraId="3A31F908" w14:textId="77777777" w:rsidTr="00D778AF">
        <w:trPr>
          <w:trHeight w:hRule="exact" w:val="225"/>
        </w:trPr>
        <w:tc>
          <w:tcPr>
            <w:tcW w:w="2182" w:type="pct"/>
            <w:tcBorders>
              <w:top w:val="nil"/>
              <w:left w:val="nil"/>
              <w:bottom w:val="nil"/>
              <w:right w:val="nil"/>
            </w:tcBorders>
            <w:shd w:val="clear" w:color="000000" w:fill="FFFFFF"/>
            <w:noWrap/>
            <w:vAlign w:val="center"/>
            <w:hideMark/>
          </w:tcPr>
          <w:p w14:paraId="02F52876" w14:textId="77777777" w:rsidR="00D778AF" w:rsidRPr="00D778AF" w:rsidRDefault="00D778AF" w:rsidP="00D778AF">
            <w:pPr>
              <w:spacing w:before="0" w:after="0" w:line="240" w:lineRule="auto"/>
              <w:rPr>
                <w:rFonts w:ascii="Arial" w:hAnsi="Arial" w:cs="Arial"/>
                <w:color w:val="000000"/>
                <w:sz w:val="16"/>
                <w:szCs w:val="16"/>
              </w:rPr>
            </w:pPr>
            <w:r w:rsidRPr="00D778AF">
              <w:rPr>
                <w:rFonts w:ascii="Arial" w:hAnsi="Arial" w:cs="Arial"/>
                <w:color w:val="000000"/>
                <w:sz w:val="16"/>
                <w:szCs w:val="16"/>
              </w:rPr>
              <w:t> </w:t>
            </w:r>
          </w:p>
        </w:tc>
        <w:tc>
          <w:tcPr>
            <w:tcW w:w="72" w:type="pct"/>
            <w:tcBorders>
              <w:top w:val="nil"/>
              <w:left w:val="nil"/>
              <w:bottom w:val="nil"/>
              <w:right w:val="nil"/>
            </w:tcBorders>
            <w:shd w:val="clear" w:color="000000" w:fill="FFFFFF"/>
            <w:noWrap/>
            <w:vAlign w:val="center"/>
            <w:hideMark/>
          </w:tcPr>
          <w:p w14:paraId="121DD9DD" w14:textId="77777777" w:rsidR="00D778AF" w:rsidRPr="00D778AF" w:rsidRDefault="00D778AF" w:rsidP="00D778AF">
            <w:pPr>
              <w:spacing w:before="0" w:after="0" w:line="240" w:lineRule="auto"/>
              <w:jc w:val="right"/>
              <w:rPr>
                <w:rFonts w:ascii="Arial" w:hAnsi="Arial" w:cs="Arial"/>
                <w:color w:val="000000"/>
                <w:sz w:val="16"/>
                <w:szCs w:val="16"/>
              </w:rPr>
            </w:pPr>
            <w:r w:rsidRPr="00D778AF">
              <w:rPr>
                <w:rFonts w:ascii="Arial" w:hAnsi="Arial" w:cs="Arial"/>
                <w:color w:val="000000"/>
                <w:sz w:val="16"/>
                <w:szCs w:val="16"/>
              </w:rPr>
              <w:t> </w:t>
            </w:r>
          </w:p>
        </w:tc>
        <w:tc>
          <w:tcPr>
            <w:tcW w:w="549" w:type="pct"/>
            <w:tcBorders>
              <w:top w:val="nil"/>
              <w:left w:val="nil"/>
              <w:bottom w:val="single" w:sz="4" w:space="0" w:color="293F5B"/>
              <w:right w:val="nil"/>
            </w:tcBorders>
            <w:shd w:val="clear" w:color="000000" w:fill="FFFFFF"/>
            <w:noWrap/>
            <w:vAlign w:val="center"/>
            <w:hideMark/>
          </w:tcPr>
          <w:p w14:paraId="1E3BA019" w14:textId="77777777" w:rsidR="00D778AF" w:rsidRPr="00D778AF" w:rsidRDefault="00D778AF" w:rsidP="00D778AF">
            <w:pPr>
              <w:spacing w:before="0" w:after="0" w:line="240" w:lineRule="auto"/>
              <w:jc w:val="right"/>
              <w:rPr>
                <w:rFonts w:ascii="Arial" w:hAnsi="Arial" w:cs="Arial"/>
                <w:color w:val="000000"/>
                <w:sz w:val="16"/>
                <w:szCs w:val="16"/>
              </w:rPr>
            </w:pPr>
            <w:r w:rsidRPr="00D778AF">
              <w:rPr>
                <w:rFonts w:ascii="Arial" w:hAnsi="Arial" w:cs="Arial"/>
                <w:color w:val="000000"/>
                <w:sz w:val="16"/>
                <w:szCs w:val="16"/>
              </w:rPr>
              <w:t>$m</w:t>
            </w:r>
          </w:p>
        </w:tc>
        <w:tc>
          <w:tcPr>
            <w:tcW w:w="549" w:type="pct"/>
            <w:tcBorders>
              <w:top w:val="nil"/>
              <w:left w:val="nil"/>
              <w:bottom w:val="single" w:sz="4" w:space="0" w:color="293F5B"/>
              <w:right w:val="nil"/>
            </w:tcBorders>
            <w:shd w:val="clear" w:color="000000" w:fill="E6F2FF"/>
            <w:noWrap/>
            <w:vAlign w:val="center"/>
            <w:hideMark/>
          </w:tcPr>
          <w:p w14:paraId="70799B06" w14:textId="77777777" w:rsidR="00D778AF" w:rsidRPr="00D778AF" w:rsidRDefault="00D778AF" w:rsidP="00D778AF">
            <w:pPr>
              <w:spacing w:before="0" w:after="0" w:line="240" w:lineRule="auto"/>
              <w:jc w:val="right"/>
              <w:rPr>
                <w:rFonts w:ascii="Arial" w:hAnsi="Arial" w:cs="Arial"/>
                <w:color w:val="000000"/>
                <w:sz w:val="16"/>
                <w:szCs w:val="16"/>
              </w:rPr>
            </w:pPr>
            <w:r w:rsidRPr="00D778AF">
              <w:rPr>
                <w:rFonts w:ascii="Arial" w:hAnsi="Arial" w:cs="Arial"/>
                <w:color w:val="000000"/>
                <w:sz w:val="16"/>
                <w:szCs w:val="16"/>
              </w:rPr>
              <w:t>$m</w:t>
            </w:r>
          </w:p>
        </w:tc>
        <w:tc>
          <w:tcPr>
            <w:tcW w:w="549" w:type="pct"/>
            <w:tcBorders>
              <w:top w:val="nil"/>
              <w:left w:val="nil"/>
              <w:bottom w:val="single" w:sz="4" w:space="0" w:color="293F5B"/>
              <w:right w:val="nil"/>
            </w:tcBorders>
            <w:shd w:val="clear" w:color="000000" w:fill="FFFFFF"/>
            <w:noWrap/>
            <w:vAlign w:val="center"/>
            <w:hideMark/>
          </w:tcPr>
          <w:p w14:paraId="043D1B03" w14:textId="77777777" w:rsidR="00D778AF" w:rsidRPr="00D778AF" w:rsidRDefault="00D778AF" w:rsidP="00D778AF">
            <w:pPr>
              <w:spacing w:before="0" w:after="0" w:line="240" w:lineRule="auto"/>
              <w:jc w:val="right"/>
              <w:rPr>
                <w:rFonts w:ascii="Arial" w:hAnsi="Arial" w:cs="Arial"/>
                <w:color w:val="000000"/>
                <w:sz w:val="16"/>
                <w:szCs w:val="16"/>
              </w:rPr>
            </w:pPr>
            <w:r w:rsidRPr="00D778AF">
              <w:rPr>
                <w:rFonts w:ascii="Arial" w:hAnsi="Arial" w:cs="Arial"/>
                <w:color w:val="000000"/>
                <w:sz w:val="16"/>
                <w:szCs w:val="16"/>
              </w:rPr>
              <w:t>$m</w:t>
            </w:r>
          </w:p>
        </w:tc>
        <w:tc>
          <w:tcPr>
            <w:tcW w:w="549" w:type="pct"/>
            <w:tcBorders>
              <w:top w:val="nil"/>
              <w:left w:val="nil"/>
              <w:bottom w:val="single" w:sz="4" w:space="0" w:color="293F5B"/>
              <w:right w:val="nil"/>
            </w:tcBorders>
            <w:shd w:val="clear" w:color="000000" w:fill="FFFFFF"/>
            <w:noWrap/>
            <w:vAlign w:val="center"/>
            <w:hideMark/>
          </w:tcPr>
          <w:p w14:paraId="3741EFDF" w14:textId="77777777" w:rsidR="00D778AF" w:rsidRPr="00D778AF" w:rsidRDefault="00D778AF" w:rsidP="00D778AF">
            <w:pPr>
              <w:spacing w:before="0" w:after="0" w:line="240" w:lineRule="auto"/>
              <w:jc w:val="right"/>
              <w:rPr>
                <w:rFonts w:ascii="Arial" w:hAnsi="Arial" w:cs="Arial"/>
                <w:color w:val="000000"/>
                <w:sz w:val="16"/>
                <w:szCs w:val="16"/>
              </w:rPr>
            </w:pPr>
            <w:r w:rsidRPr="00D778AF">
              <w:rPr>
                <w:rFonts w:ascii="Arial" w:hAnsi="Arial" w:cs="Arial"/>
                <w:color w:val="000000"/>
                <w:sz w:val="16"/>
                <w:szCs w:val="16"/>
              </w:rPr>
              <w:t>$m</w:t>
            </w:r>
          </w:p>
        </w:tc>
        <w:tc>
          <w:tcPr>
            <w:tcW w:w="549" w:type="pct"/>
            <w:tcBorders>
              <w:top w:val="nil"/>
              <w:left w:val="nil"/>
              <w:bottom w:val="single" w:sz="4" w:space="0" w:color="293F5B"/>
              <w:right w:val="nil"/>
            </w:tcBorders>
            <w:shd w:val="clear" w:color="000000" w:fill="FFFFFF"/>
            <w:noWrap/>
            <w:vAlign w:val="center"/>
            <w:hideMark/>
          </w:tcPr>
          <w:p w14:paraId="779C172C" w14:textId="77777777" w:rsidR="00D778AF" w:rsidRPr="00D778AF" w:rsidRDefault="00D778AF" w:rsidP="00D778AF">
            <w:pPr>
              <w:spacing w:before="0" w:after="0" w:line="240" w:lineRule="auto"/>
              <w:jc w:val="right"/>
              <w:rPr>
                <w:rFonts w:ascii="Arial" w:hAnsi="Arial" w:cs="Arial"/>
                <w:color w:val="000000"/>
                <w:sz w:val="16"/>
                <w:szCs w:val="16"/>
              </w:rPr>
            </w:pPr>
            <w:r w:rsidRPr="00D778AF">
              <w:rPr>
                <w:rFonts w:ascii="Arial" w:hAnsi="Arial" w:cs="Arial"/>
                <w:color w:val="000000"/>
                <w:sz w:val="16"/>
                <w:szCs w:val="16"/>
              </w:rPr>
              <w:t>$m</w:t>
            </w:r>
          </w:p>
        </w:tc>
      </w:tr>
      <w:tr w:rsidR="00CC078D" w:rsidRPr="00D778AF" w14:paraId="3FB2E6C4" w14:textId="77777777" w:rsidTr="00D778AF">
        <w:trPr>
          <w:trHeight w:hRule="exact" w:val="225"/>
        </w:trPr>
        <w:tc>
          <w:tcPr>
            <w:tcW w:w="2182" w:type="pct"/>
            <w:tcBorders>
              <w:top w:val="nil"/>
              <w:left w:val="nil"/>
              <w:bottom w:val="nil"/>
              <w:right w:val="nil"/>
            </w:tcBorders>
            <w:shd w:val="clear" w:color="000000" w:fill="FFFFFF"/>
            <w:noWrap/>
            <w:vAlign w:val="center"/>
            <w:hideMark/>
          </w:tcPr>
          <w:p w14:paraId="2A2B8019" w14:textId="77777777" w:rsidR="00D778AF" w:rsidRPr="00D778AF" w:rsidRDefault="00D778AF" w:rsidP="00D778AF">
            <w:pPr>
              <w:spacing w:before="0" w:after="0" w:line="240" w:lineRule="auto"/>
              <w:rPr>
                <w:rFonts w:ascii="Arial" w:hAnsi="Arial" w:cs="Arial"/>
                <w:color w:val="000000"/>
                <w:sz w:val="16"/>
                <w:szCs w:val="16"/>
              </w:rPr>
            </w:pPr>
            <w:r w:rsidRPr="00D778AF">
              <w:rPr>
                <w:rFonts w:ascii="Arial" w:hAnsi="Arial" w:cs="Arial"/>
                <w:color w:val="000000"/>
                <w:sz w:val="16"/>
                <w:szCs w:val="16"/>
              </w:rPr>
              <w:t>Foreign aid(b)</w:t>
            </w:r>
          </w:p>
        </w:tc>
        <w:tc>
          <w:tcPr>
            <w:tcW w:w="72" w:type="pct"/>
            <w:tcBorders>
              <w:top w:val="nil"/>
              <w:left w:val="nil"/>
              <w:bottom w:val="nil"/>
              <w:right w:val="nil"/>
            </w:tcBorders>
            <w:shd w:val="clear" w:color="000000" w:fill="FFFFFF"/>
            <w:noWrap/>
            <w:vAlign w:val="center"/>
            <w:hideMark/>
          </w:tcPr>
          <w:p w14:paraId="61DE10E7" w14:textId="77777777" w:rsidR="00D778AF" w:rsidRPr="00D778AF" w:rsidRDefault="00D778AF" w:rsidP="00D778AF">
            <w:pPr>
              <w:spacing w:before="0" w:after="0" w:line="240" w:lineRule="auto"/>
              <w:rPr>
                <w:rFonts w:ascii="Arial" w:hAnsi="Arial" w:cs="Arial"/>
                <w:color w:val="000000"/>
                <w:sz w:val="16"/>
                <w:szCs w:val="16"/>
              </w:rPr>
            </w:pPr>
            <w:r w:rsidRPr="00D778AF">
              <w:rPr>
                <w:rFonts w:ascii="Arial" w:hAnsi="Arial" w:cs="Arial"/>
                <w:color w:val="000000"/>
                <w:sz w:val="16"/>
                <w:szCs w:val="16"/>
              </w:rPr>
              <w:t> </w:t>
            </w:r>
          </w:p>
        </w:tc>
        <w:tc>
          <w:tcPr>
            <w:tcW w:w="549" w:type="pct"/>
            <w:tcBorders>
              <w:top w:val="nil"/>
              <w:left w:val="nil"/>
              <w:bottom w:val="nil"/>
              <w:right w:val="nil"/>
            </w:tcBorders>
            <w:shd w:val="clear" w:color="000000" w:fill="FFFFFF"/>
            <w:noWrap/>
            <w:vAlign w:val="center"/>
            <w:hideMark/>
          </w:tcPr>
          <w:p w14:paraId="1F3B553F" w14:textId="77777777" w:rsidR="00D778AF" w:rsidRPr="00D778AF" w:rsidRDefault="00D778AF" w:rsidP="00D778AF">
            <w:pPr>
              <w:spacing w:before="0" w:after="0" w:line="240" w:lineRule="auto"/>
              <w:jc w:val="right"/>
              <w:rPr>
                <w:rFonts w:ascii="Arial" w:hAnsi="Arial" w:cs="Arial"/>
                <w:color w:val="000000"/>
                <w:sz w:val="16"/>
                <w:szCs w:val="16"/>
              </w:rPr>
            </w:pPr>
            <w:r w:rsidRPr="00D778AF">
              <w:rPr>
                <w:rFonts w:ascii="Arial" w:hAnsi="Arial" w:cs="Arial"/>
                <w:color w:val="000000"/>
                <w:sz w:val="16"/>
                <w:szCs w:val="16"/>
              </w:rPr>
              <w:t>4,080</w:t>
            </w:r>
          </w:p>
        </w:tc>
        <w:tc>
          <w:tcPr>
            <w:tcW w:w="549" w:type="pct"/>
            <w:tcBorders>
              <w:top w:val="nil"/>
              <w:left w:val="nil"/>
              <w:bottom w:val="nil"/>
              <w:right w:val="nil"/>
            </w:tcBorders>
            <w:shd w:val="clear" w:color="000000" w:fill="E6F2FF"/>
            <w:noWrap/>
            <w:vAlign w:val="center"/>
            <w:hideMark/>
          </w:tcPr>
          <w:p w14:paraId="424217DF" w14:textId="77777777" w:rsidR="00D778AF" w:rsidRPr="00D778AF" w:rsidRDefault="00D778AF" w:rsidP="00D778AF">
            <w:pPr>
              <w:spacing w:before="0" w:after="0" w:line="240" w:lineRule="auto"/>
              <w:jc w:val="right"/>
              <w:rPr>
                <w:rFonts w:ascii="Arial" w:hAnsi="Arial" w:cs="Arial"/>
                <w:color w:val="000000"/>
                <w:sz w:val="16"/>
                <w:szCs w:val="16"/>
              </w:rPr>
            </w:pPr>
            <w:r w:rsidRPr="00D778AF">
              <w:rPr>
                <w:rFonts w:ascii="Arial" w:hAnsi="Arial" w:cs="Arial"/>
                <w:color w:val="000000"/>
                <w:sz w:val="16"/>
                <w:szCs w:val="16"/>
              </w:rPr>
              <w:t>5,222</w:t>
            </w:r>
          </w:p>
        </w:tc>
        <w:tc>
          <w:tcPr>
            <w:tcW w:w="549" w:type="pct"/>
            <w:tcBorders>
              <w:top w:val="nil"/>
              <w:left w:val="nil"/>
              <w:bottom w:val="nil"/>
              <w:right w:val="nil"/>
            </w:tcBorders>
            <w:shd w:val="clear" w:color="000000" w:fill="FFFFFF"/>
            <w:noWrap/>
            <w:vAlign w:val="center"/>
            <w:hideMark/>
          </w:tcPr>
          <w:p w14:paraId="7C9A9283" w14:textId="77777777" w:rsidR="00D778AF" w:rsidRPr="00D778AF" w:rsidRDefault="00D778AF" w:rsidP="00D778AF">
            <w:pPr>
              <w:spacing w:before="0" w:after="0" w:line="240" w:lineRule="auto"/>
              <w:jc w:val="right"/>
              <w:rPr>
                <w:rFonts w:ascii="Arial" w:hAnsi="Arial" w:cs="Arial"/>
                <w:color w:val="000000"/>
                <w:sz w:val="16"/>
                <w:szCs w:val="16"/>
              </w:rPr>
            </w:pPr>
            <w:r w:rsidRPr="00D778AF">
              <w:rPr>
                <w:rFonts w:ascii="Arial" w:hAnsi="Arial" w:cs="Arial"/>
                <w:color w:val="000000"/>
                <w:sz w:val="16"/>
                <w:szCs w:val="16"/>
              </w:rPr>
              <w:t>4,229</w:t>
            </w:r>
          </w:p>
        </w:tc>
        <w:tc>
          <w:tcPr>
            <w:tcW w:w="549" w:type="pct"/>
            <w:tcBorders>
              <w:top w:val="nil"/>
              <w:left w:val="nil"/>
              <w:bottom w:val="nil"/>
              <w:right w:val="nil"/>
            </w:tcBorders>
            <w:shd w:val="clear" w:color="000000" w:fill="FFFFFF"/>
            <w:noWrap/>
            <w:vAlign w:val="center"/>
            <w:hideMark/>
          </w:tcPr>
          <w:p w14:paraId="50F396E3" w14:textId="77777777" w:rsidR="00D778AF" w:rsidRPr="00D778AF" w:rsidRDefault="00D778AF" w:rsidP="00D778AF">
            <w:pPr>
              <w:spacing w:before="0" w:after="0" w:line="240" w:lineRule="auto"/>
              <w:jc w:val="right"/>
              <w:rPr>
                <w:rFonts w:ascii="Arial" w:hAnsi="Arial" w:cs="Arial"/>
                <w:color w:val="000000"/>
                <w:sz w:val="16"/>
                <w:szCs w:val="16"/>
              </w:rPr>
            </w:pPr>
            <w:r w:rsidRPr="00D778AF">
              <w:rPr>
                <w:rFonts w:ascii="Arial" w:hAnsi="Arial" w:cs="Arial"/>
                <w:color w:val="000000"/>
                <w:sz w:val="16"/>
                <w:szCs w:val="16"/>
              </w:rPr>
              <w:t>4,531</w:t>
            </w:r>
          </w:p>
        </w:tc>
        <w:tc>
          <w:tcPr>
            <w:tcW w:w="549" w:type="pct"/>
            <w:tcBorders>
              <w:top w:val="nil"/>
              <w:left w:val="nil"/>
              <w:bottom w:val="nil"/>
              <w:right w:val="nil"/>
            </w:tcBorders>
            <w:shd w:val="clear" w:color="000000" w:fill="FFFFFF"/>
            <w:noWrap/>
            <w:vAlign w:val="center"/>
            <w:hideMark/>
          </w:tcPr>
          <w:p w14:paraId="2BF06080" w14:textId="77777777" w:rsidR="00D778AF" w:rsidRPr="00D778AF" w:rsidRDefault="00D778AF" w:rsidP="00D778AF">
            <w:pPr>
              <w:spacing w:before="0" w:after="0" w:line="240" w:lineRule="auto"/>
              <w:jc w:val="right"/>
              <w:rPr>
                <w:rFonts w:ascii="Arial" w:hAnsi="Arial" w:cs="Arial"/>
                <w:color w:val="000000"/>
                <w:sz w:val="16"/>
                <w:szCs w:val="16"/>
              </w:rPr>
            </w:pPr>
            <w:r w:rsidRPr="00D778AF">
              <w:rPr>
                <w:rFonts w:ascii="Arial" w:hAnsi="Arial" w:cs="Arial"/>
                <w:color w:val="000000"/>
                <w:sz w:val="16"/>
                <w:szCs w:val="16"/>
              </w:rPr>
              <w:t>5,080</w:t>
            </w:r>
          </w:p>
        </w:tc>
      </w:tr>
      <w:tr w:rsidR="00CC078D" w:rsidRPr="00D778AF" w14:paraId="24661C89" w14:textId="77777777" w:rsidTr="00D778AF">
        <w:trPr>
          <w:trHeight w:hRule="exact" w:val="225"/>
        </w:trPr>
        <w:tc>
          <w:tcPr>
            <w:tcW w:w="2182" w:type="pct"/>
            <w:tcBorders>
              <w:top w:val="nil"/>
              <w:left w:val="nil"/>
              <w:bottom w:val="nil"/>
              <w:right w:val="nil"/>
            </w:tcBorders>
            <w:shd w:val="clear" w:color="000000" w:fill="FFFFFF"/>
            <w:noWrap/>
            <w:vAlign w:val="center"/>
            <w:hideMark/>
          </w:tcPr>
          <w:p w14:paraId="4D4BC5FE" w14:textId="77777777" w:rsidR="00D778AF" w:rsidRPr="00D778AF" w:rsidRDefault="00D778AF" w:rsidP="00D778AF">
            <w:pPr>
              <w:spacing w:before="0" w:after="0" w:line="240" w:lineRule="auto"/>
              <w:rPr>
                <w:rFonts w:ascii="Arial" w:hAnsi="Arial" w:cs="Arial"/>
                <w:color w:val="000000"/>
                <w:sz w:val="16"/>
                <w:szCs w:val="16"/>
              </w:rPr>
            </w:pPr>
            <w:r w:rsidRPr="00D778AF">
              <w:rPr>
                <w:rFonts w:ascii="Arial" w:hAnsi="Arial" w:cs="Arial"/>
                <w:color w:val="000000"/>
                <w:sz w:val="16"/>
                <w:szCs w:val="16"/>
              </w:rPr>
              <w:t>Diplomacy(c)</w:t>
            </w:r>
          </w:p>
        </w:tc>
        <w:tc>
          <w:tcPr>
            <w:tcW w:w="72" w:type="pct"/>
            <w:tcBorders>
              <w:top w:val="nil"/>
              <w:left w:val="nil"/>
              <w:bottom w:val="nil"/>
              <w:right w:val="nil"/>
            </w:tcBorders>
            <w:shd w:val="clear" w:color="000000" w:fill="FFFFFF"/>
            <w:noWrap/>
            <w:vAlign w:val="center"/>
            <w:hideMark/>
          </w:tcPr>
          <w:p w14:paraId="6EF7847A" w14:textId="77777777" w:rsidR="00D778AF" w:rsidRPr="00D778AF" w:rsidRDefault="00D778AF" w:rsidP="00D778AF">
            <w:pPr>
              <w:spacing w:before="0" w:after="0" w:line="240" w:lineRule="auto"/>
              <w:rPr>
                <w:rFonts w:ascii="Arial" w:hAnsi="Arial" w:cs="Arial"/>
                <w:color w:val="000000"/>
                <w:sz w:val="16"/>
                <w:szCs w:val="16"/>
              </w:rPr>
            </w:pPr>
            <w:r w:rsidRPr="00D778AF">
              <w:rPr>
                <w:rFonts w:ascii="Arial" w:hAnsi="Arial" w:cs="Arial"/>
                <w:color w:val="000000"/>
                <w:sz w:val="16"/>
                <w:szCs w:val="16"/>
              </w:rPr>
              <w:t> </w:t>
            </w:r>
          </w:p>
        </w:tc>
        <w:tc>
          <w:tcPr>
            <w:tcW w:w="549" w:type="pct"/>
            <w:tcBorders>
              <w:top w:val="nil"/>
              <w:left w:val="nil"/>
              <w:bottom w:val="nil"/>
              <w:right w:val="nil"/>
            </w:tcBorders>
            <w:shd w:val="clear" w:color="000000" w:fill="FFFFFF"/>
            <w:noWrap/>
            <w:vAlign w:val="center"/>
            <w:hideMark/>
          </w:tcPr>
          <w:p w14:paraId="28A2290B" w14:textId="77777777" w:rsidR="00D778AF" w:rsidRPr="00D778AF" w:rsidRDefault="00D778AF" w:rsidP="00D778AF">
            <w:pPr>
              <w:spacing w:before="0" w:after="0" w:line="240" w:lineRule="auto"/>
              <w:jc w:val="right"/>
              <w:rPr>
                <w:rFonts w:ascii="Arial" w:hAnsi="Arial" w:cs="Arial"/>
                <w:color w:val="000000"/>
                <w:sz w:val="16"/>
                <w:szCs w:val="16"/>
              </w:rPr>
            </w:pPr>
            <w:r w:rsidRPr="00D778AF">
              <w:rPr>
                <w:rFonts w:ascii="Arial" w:hAnsi="Arial" w:cs="Arial"/>
                <w:color w:val="000000"/>
                <w:sz w:val="16"/>
                <w:szCs w:val="16"/>
              </w:rPr>
              <w:t>1,494</w:t>
            </w:r>
          </w:p>
        </w:tc>
        <w:tc>
          <w:tcPr>
            <w:tcW w:w="549" w:type="pct"/>
            <w:tcBorders>
              <w:top w:val="nil"/>
              <w:left w:val="nil"/>
              <w:bottom w:val="nil"/>
              <w:right w:val="nil"/>
            </w:tcBorders>
            <w:shd w:val="clear" w:color="000000" w:fill="E6F2FF"/>
            <w:noWrap/>
            <w:vAlign w:val="center"/>
            <w:hideMark/>
          </w:tcPr>
          <w:p w14:paraId="700D540C" w14:textId="77777777" w:rsidR="00D778AF" w:rsidRPr="00D778AF" w:rsidRDefault="00D778AF" w:rsidP="00D778AF">
            <w:pPr>
              <w:spacing w:before="0" w:after="0" w:line="240" w:lineRule="auto"/>
              <w:jc w:val="right"/>
              <w:rPr>
                <w:rFonts w:ascii="Arial" w:hAnsi="Arial" w:cs="Arial"/>
                <w:color w:val="000000"/>
                <w:sz w:val="16"/>
                <w:szCs w:val="16"/>
              </w:rPr>
            </w:pPr>
            <w:r w:rsidRPr="00D778AF">
              <w:rPr>
                <w:rFonts w:ascii="Arial" w:hAnsi="Arial" w:cs="Arial"/>
                <w:color w:val="000000"/>
                <w:sz w:val="16"/>
                <w:szCs w:val="16"/>
              </w:rPr>
              <w:t>1,645</w:t>
            </w:r>
          </w:p>
        </w:tc>
        <w:tc>
          <w:tcPr>
            <w:tcW w:w="549" w:type="pct"/>
            <w:tcBorders>
              <w:top w:val="nil"/>
              <w:left w:val="nil"/>
              <w:bottom w:val="nil"/>
              <w:right w:val="nil"/>
            </w:tcBorders>
            <w:shd w:val="clear" w:color="000000" w:fill="FFFFFF"/>
            <w:noWrap/>
            <w:vAlign w:val="center"/>
            <w:hideMark/>
          </w:tcPr>
          <w:p w14:paraId="4A5E5462" w14:textId="77777777" w:rsidR="00D778AF" w:rsidRPr="00D778AF" w:rsidRDefault="00D778AF" w:rsidP="00D778AF">
            <w:pPr>
              <w:spacing w:before="0" w:after="0" w:line="240" w:lineRule="auto"/>
              <w:jc w:val="right"/>
              <w:rPr>
                <w:rFonts w:ascii="Arial" w:hAnsi="Arial" w:cs="Arial"/>
                <w:color w:val="000000"/>
                <w:sz w:val="16"/>
                <w:szCs w:val="16"/>
              </w:rPr>
            </w:pPr>
            <w:r w:rsidRPr="00D778AF">
              <w:rPr>
                <w:rFonts w:ascii="Arial" w:hAnsi="Arial" w:cs="Arial"/>
                <w:color w:val="000000"/>
                <w:sz w:val="16"/>
                <w:szCs w:val="16"/>
              </w:rPr>
              <w:t>1,689</w:t>
            </w:r>
          </w:p>
        </w:tc>
        <w:tc>
          <w:tcPr>
            <w:tcW w:w="549" w:type="pct"/>
            <w:tcBorders>
              <w:top w:val="nil"/>
              <w:left w:val="nil"/>
              <w:bottom w:val="nil"/>
              <w:right w:val="nil"/>
            </w:tcBorders>
            <w:shd w:val="clear" w:color="000000" w:fill="FFFFFF"/>
            <w:noWrap/>
            <w:vAlign w:val="center"/>
            <w:hideMark/>
          </w:tcPr>
          <w:p w14:paraId="1FD80F8A" w14:textId="77777777" w:rsidR="00D778AF" w:rsidRPr="00D778AF" w:rsidRDefault="00D778AF" w:rsidP="00D778AF">
            <w:pPr>
              <w:spacing w:before="0" w:after="0" w:line="240" w:lineRule="auto"/>
              <w:jc w:val="right"/>
              <w:rPr>
                <w:rFonts w:ascii="Arial" w:hAnsi="Arial" w:cs="Arial"/>
                <w:color w:val="000000"/>
                <w:sz w:val="16"/>
                <w:szCs w:val="16"/>
              </w:rPr>
            </w:pPr>
            <w:r w:rsidRPr="00D778AF">
              <w:rPr>
                <w:rFonts w:ascii="Arial" w:hAnsi="Arial" w:cs="Arial"/>
                <w:color w:val="000000"/>
                <w:sz w:val="16"/>
                <w:szCs w:val="16"/>
              </w:rPr>
              <w:t>1,725</w:t>
            </w:r>
          </w:p>
        </w:tc>
        <w:tc>
          <w:tcPr>
            <w:tcW w:w="549" w:type="pct"/>
            <w:tcBorders>
              <w:top w:val="nil"/>
              <w:left w:val="nil"/>
              <w:bottom w:val="nil"/>
              <w:right w:val="nil"/>
            </w:tcBorders>
            <w:shd w:val="clear" w:color="000000" w:fill="FFFFFF"/>
            <w:noWrap/>
            <w:vAlign w:val="center"/>
            <w:hideMark/>
          </w:tcPr>
          <w:p w14:paraId="3ED8F61A" w14:textId="77777777" w:rsidR="00D778AF" w:rsidRPr="00D778AF" w:rsidRDefault="00D778AF" w:rsidP="00D778AF">
            <w:pPr>
              <w:spacing w:before="0" w:after="0" w:line="240" w:lineRule="auto"/>
              <w:jc w:val="right"/>
              <w:rPr>
                <w:rFonts w:ascii="Arial" w:hAnsi="Arial" w:cs="Arial"/>
                <w:color w:val="000000"/>
                <w:sz w:val="16"/>
                <w:szCs w:val="16"/>
              </w:rPr>
            </w:pPr>
            <w:r w:rsidRPr="00D778AF">
              <w:rPr>
                <w:rFonts w:ascii="Arial" w:hAnsi="Arial" w:cs="Arial"/>
                <w:color w:val="000000"/>
                <w:sz w:val="16"/>
                <w:szCs w:val="16"/>
              </w:rPr>
              <w:t>1,733</w:t>
            </w:r>
          </w:p>
        </w:tc>
      </w:tr>
      <w:tr w:rsidR="00CC078D" w:rsidRPr="00D778AF" w14:paraId="551F1043" w14:textId="77777777" w:rsidTr="00D778AF">
        <w:trPr>
          <w:trHeight w:hRule="exact" w:val="225"/>
        </w:trPr>
        <w:tc>
          <w:tcPr>
            <w:tcW w:w="2182" w:type="pct"/>
            <w:tcBorders>
              <w:top w:val="nil"/>
              <w:left w:val="nil"/>
              <w:bottom w:val="nil"/>
              <w:right w:val="nil"/>
            </w:tcBorders>
            <w:shd w:val="clear" w:color="000000" w:fill="FFFFFF"/>
            <w:noWrap/>
            <w:vAlign w:val="center"/>
            <w:hideMark/>
          </w:tcPr>
          <w:p w14:paraId="7C618C7B" w14:textId="77777777" w:rsidR="00D778AF" w:rsidRPr="00D778AF" w:rsidRDefault="00D778AF" w:rsidP="00D778AF">
            <w:pPr>
              <w:spacing w:before="0" w:after="0" w:line="240" w:lineRule="auto"/>
              <w:rPr>
                <w:rFonts w:ascii="Arial" w:hAnsi="Arial" w:cs="Arial"/>
                <w:color w:val="000000"/>
                <w:sz w:val="16"/>
                <w:szCs w:val="16"/>
              </w:rPr>
            </w:pPr>
            <w:r w:rsidRPr="00D778AF">
              <w:rPr>
                <w:rFonts w:ascii="Arial" w:hAnsi="Arial" w:cs="Arial"/>
                <w:color w:val="000000"/>
                <w:sz w:val="16"/>
                <w:szCs w:val="16"/>
              </w:rPr>
              <w:t>Payments to international organisations</w:t>
            </w:r>
          </w:p>
        </w:tc>
        <w:tc>
          <w:tcPr>
            <w:tcW w:w="72" w:type="pct"/>
            <w:tcBorders>
              <w:top w:val="nil"/>
              <w:left w:val="nil"/>
              <w:bottom w:val="nil"/>
              <w:right w:val="nil"/>
            </w:tcBorders>
            <w:shd w:val="clear" w:color="000000" w:fill="FFFFFF"/>
            <w:noWrap/>
            <w:vAlign w:val="center"/>
            <w:hideMark/>
          </w:tcPr>
          <w:p w14:paraId="45574D49" w14:textId="77777777" w:rsidR="00D778AF" w:rsidRPr="00D778AF" w:rsidRDefault="00D778AF" w:rsidP="00D778AF">
            <w:pPr>
              <w:spacing w:before="0" w:after="0" w:line="240" w:lineRule="auto"/>
              <w:rPr>
                <w:rFonts w:ascii="Arial" w:hAnsi="Arial" w:cs="Arial"/>
                <w:color w:val="000000"/>
                <w:sz w:val="16"/>
                <w:szCs w:val="16"/>
              </w:rPr>
            </w:pPr>
            <w:r w:rsidRPr="00D778AF">
              <w:rPr>
                <w:rFonts w:ascii="Arial" w:hAnsi="Arial" w:cs="Arial"/>
                <w:color w:val="000000"/>
                <w:sz w:val="16"/>
                <w:szCs w:val="16"/>
              </w:rPr>
              <w:t> </w:t>
            </w:r>
          </w:p>
        </w:tc>
        <w:tc>
          <w:tcPr>
            <w:tcW w:w="549" w:type="pct"/>
            <w:tcBorders>
              <w:top w:val="nil"/>
              <w:left w:val="nil"/>
              <w:bottom w:val="nil"/>
              <w:right w:val="nil"/>
            </w:tcBorders>
            <w:shd w:val="clear" w:color="000000" w:fill="FFFFFF"/>
            <w:noWrap/>
            <w:vAlign w:val="center"/>
            <w:hideMark/>
          </w:tcPr>
          <w:p w14:paraId="413CB413" w14:textId="77777777" w:rsidR="00D778AF" w:rsidRPr="00D778AF" w:rsidRDefault="00D778AF" w:rsidP="00D778AF">
            <w:pPr>
              <w:spacing w:before="0" w:after="0" w:line="240" w:lineRule="auto"/>
              <w:jc w:val="right"/>
              <w:rPr>
                <w:rFonts w:ascii="Arial" w:hAnsi="Arial" w:cs="Arial"/>
                <w:color w:val="000000"/>
                <w:sz w:val="16"/>
                <w:szCs w:val="16"/>
              </w:rPr>
            </w:pPr>
            <w:r w:rsidRPr="00D778AF">
              <w:rPr>
                <w:rFonts w:ascii="Arial" w:hAnsi="Arial" w:cs="Arial"/>
                <w:color w:val="000000"/>
                <w:sz w:val="16"/>
                <w:szCs w:val="16"/>
              </w:rPr>
              <w:t>459</w:t>
            </w:r>
          </w:p>
        </w:tc>
        <w:tc>
          <w:tcPr>
            <w:tcW w:w="549" w:type="pct"/>
            <w:tcBorders>
              <w:top w:val="nil"/>
              <w:left w:val="nil"/>
              <w:bottom w:val="nil"/>
              <w:right w:val="nil"/>
            </w:tcBorders>
            <w:shd w:val="clear" w:color="000000" w:fill="E6F2FF"/>
            <w:noWrap/>
            <w:vAlign w:val="center"/>
            <w:hideMark/>
          </w:tcPr>
          <w:p w14:paraId="50D50C7A" w14:textId="77777777" w:rsidR="00D778AF" w:rsidRPr="00D778AF" w:rsidRDefault="00D778AF" w:rsidP="00D778AF">
            <w:pPr>
              <w:spacing w:before="0" w:after="0" w:line="240" w:lineRule="auto"/>
              <w:jc w:val="right"/>
              <w:rPr>
                <w:rFonts w:ascii="Arial" w:hAnsi="Arial" w:cs="Arial"/>
                <w:color w:val="000000"/>
                <w:sz w:val="16"/>
                <w:szCs w:val="16"/>
              </w:rPr>
            </w:pPr>
            <w:r w:rsidRPr="00D778AF">
              <w:rPr>
                <w:rFonts w:ascii="Arial" w:hAnsi="Arial" w:cs="Arial"/>
                <w:color w:val="000000"/>
                <w:sz w:val="16"/>
                <w:szCs w:val="16"/>
              </w:rPr>
              <w:t>460</w:t>
            </w:r>
          </w:p>
        </w:tc>
        <w:tc>
          <w:tcPr>
            <w:tcW w:w="549" w:type="pct"/>
            <w:tcBorders>
              <w:top w:val="nil"/>
              <w:left w:val="nil"/>
              <w:bottom w:val="nil"/>
              <w:right w:val="nil"/>
            </w:tcBorders>
            <w:shd w:val="clear" w:color="000000" w:fill="FFFFFF"/>
            <w:noWrap/>
            <w:vAlign w:val="center"/>
            <w:hideMark/>
          </w:tcPr>
          <w:p w14:paraId="184C7A6A" w14:textId="77777777" w:rsidR="00D778AF" w:rsidRPr="00D778AF" w:rsidRDefault="00D778AF" w:rsidP="00D778AF">
            <w:pPr>
              <w:spacing w:before="0" w:after="0" w:line="240" w:lineRule="auto"/>
              <w:jc w:val="right"/>
              <w:rPr>
                <w:rFonts w:ascii="Arial" w:hAnsi="Arial" w:cs="Arial"/>
                <w:color w:val="000000"/>
                <w:sz w:val="16"/>
                <w:szCs w:val="16"/>
              </w:rPr>
            </w:pPr>
            <w:r w:rsidRPr="00D778AF">
              <w:rPr>
                <w:rFonts w:ascii="Arial" w:hAnsi="Arial" w:cs="Arial"/>
                <w:color w:val="000000"/>
                <w:sz w:val="16"/>
                <w:szCs w:val="16"/>
              </w:rPr>
              <w:t>460</w:t>
            </w:r>
          </w:p>
        </w:tc>
        <w:tc>
          <w:tcPr>
            <w:tcW w:w="549" w:type="pct"/>
            <w:tcBorders>
              <w:top w:val="nil"/>
              <w:left w:val="nil"/>
              <w:bottom w:val="nil"/>
              <w:right w:val="nil"/>
            </w:tcBorders>
            <w:shd w:val="clear" w:color="000000" w:fill="FFFFFF"/>
            <w:noWrap/>
            <w:vAlign w:val="center"/>
            <w:hideMark/>
          </w:tcPr>
          <w:p w14:paraId="49010308" w14:textId="77777777" w:rsidR="00D778AF" w:rsidRPr="00D778AF" w:rsidRDefault="00D778AF" w:rsidP="00D778AF">
            <w:pPr>
              <w:spacing w:before="0" w:after="0" w:line="240" w:lineRule="auto"/>
              <w:jc w:val="right"/>
              <w:rPr>
                <w:rFonts w:ascii="Arial" w:hAnsi="Arial" w:cs="Arial"/>
                <w:color w:val="000000"/>
                <w:sz w:val="16"/>
                <w:szCs w:val="16"/>
              </w:rPr>
            </w:pPr>
            <w:r w:rsidRPr="00D778AF">
              <w:rPr>
                <w:rFonts w:ascii="Arial" w:hAnsi="Arial" w:cs="Arial"/>
                <w:color w:val="000000"/>
                <w:sz w:val="16"/>
                <w:szCs w:val="16"/>
              </w:rPr>
              <w:t>460</w:t>
            </w:r>
          </w:p>
        </w:tc>
        <w:tc>
          <w:tcPr>
            <w:tcW w:w="549" w:type="pct"/>
            <w:tcBorders>
              <w:top w:val="nil"/>
              <w:left w:val="nil"/>
              <w:bottom w:val="nil"/>
              <w:right w:val="nil"/>
            </w:tcBorders>
            <w:shd w:val="clear" w:color="000000" w:fill="FFFFFF"/>
            <w:noWrap/>
            <w:vAlign w:val="center"/>
            <w:hideMark/>
          </w:tcPr>
          <w:p w14:paraId="46DE3188" w14:textId="77777777" w:rsidR="00D778AF" w:rsidRPr="00D778AF" w:rsidRDefault="00D778AF" w:rsidP="00D778AF">
            <w:pPr>
              <w:spacing w:before="0" w:after="0" w:line="240" w:lineRule="auto"/>
              <w:jc w:val="right"/>
              <w:rPr>
                <w:rFonts w:ascii="Arial" w:hAnsi="Arial" w:cs="Arial"/>
                <w:color w:val="000000"/>
                <w:sz w:val="16"/>
                <w:szCs w:val="16"/>
              </w:rPr>
            </w:pPr>
            <w:r w:rsidRPr="00D778AF">
              <w:rPr>
                <w:rFonts w:ascii="Arial" w:hAnsi="Arial" w:cs="Arial"/>
                <w:color w:val="000000"/>
                <w:sz w:val="16"/>
                <w:szCs w:val="16"/>
              </w:rPr>
              <w:t>460</w:t>
            </w:r>
          </w:p>
        </w:tc>
      </w:tr>
      <w:tr w:rsidR="00CC078D" w:rsidRPr="00D778AF" w14:paraId="4185924E" w14:textId="77777777" w:rsidTr="00D778AF">
        <w:trPr>
          <w:trHeight w:hRule="exact" w:val="225"/>
        </w:trPr>
        <w:tc>
          <w:tcPr>
            <w:tcW w:w="2182" w:type="pct"/>
            <w:tcBorders>
              <w:top w:val="nil"/>
              <w:left w:val="nil"/>
              <w:bottom w:val="nil"/>
              <w:right w:val="nil"/>
            </w:tcBorders>
            <w:shd w:val="clear" w:color="000000" w:fill="FFFFFF"/>
            <w:noWrap/>
            <w:vAlign w:val="center"/>
            <w:hideMark/>
          </w:tcPr>
          <w:p w14:paraId="23BFBCB9" w14:textId="77777777" w:rsidR="00D778AF" w:rsidRPr="00D778AF" w:rsidRDefault="00D778AF" w:rsidP="00D778AF">
            <w:pPr>
              <w:spacing w:before="0" w:after="0" w:line="240" w:lineRule="auto"/>
              <w:rPr>
                <w:rFonts w:ascii="Arial" w:hAnsi="Arial" w:cs="Arial"/>
                <w:color w:val="000000"/>
                <w:sz w:val="16"/>
                <w:szCs w:val="16"/>
              </w:rPr>
            </w:pPr>
            <w:r w:rsidRPr="00D778AF">
              <w:rPr>
                <w:rFonts w:ascii="Arial" w:hAnsi="Arial" w:cs="Arial"/>
                <w:color w:val="000000"/>
                <w:sz w:val="16"/>
                <w:szCs w:val="16"/>
              </w:rPr>
              <w:t>Passport services</w:t>
            </w:r>
          </w:p>
        </w:tc>
        <w:tc>
          <w:tcPr>
            <w:tcW w:w="72" w:type="pct"/>
            <w:tcBorders>
              <w:top w:val="nil"/>
              <w:left w:val="nil"/>
              <w:bottom w:val="nil"/>
              <w:right w:val="nil"/>
            </w:tcBorders>
            <w:shd w:val="clear" w:color="000000" w:fill="FFFFFF"/>
            <w:noWrap/>
            <w:vAlign w:val="center"/>
            <w:hideMark/>
          </w:tcPr>
          <w:p w14:paraId="0DB7CBA5" w14:textId="77777777" w:rsidR="00D778AF" w:rsidRPr="00D778AF" w:rsidRDefault="00D778AF" w:rsidP="00D778AF">
            <w:pPr>
              <w:spacing w:before="0" w:after="0" w:line="240" w:lineRule="auto"/>
              <w:rPr>
                <w:rFonts w:ascii="Arial" w:hAnsi="Arial" w:cs="Arial"/>
                <w:color w:val="000000"/>
                <w:sz w:val="16"/>
                <w:szCs w:val="16"/>
              </w:rPr>
            </w:pPr>
            <w:r w:rsidRPr="00D778AF">
              <w:rPr>
                <w:rFonts w:ascii="Arial" w:hAnsi="Arial" w:cs="Arial"/>
                <w:color w:val="000000"/>
                <w:sz w:val="16"/>
                <w:szCs w:val="16"/>
              </w:rPr>
              <w:t> </w:t>
            </w:r>
          </w:p>
        </w:tc>
        <w:tc>
          <w:tcPr>
            <w:tcW w:w="549" w:type="pct"/>
            <w:tcBorders>
              <w:top w:val="nil"/>
              <w:left w:val="nil"/>
              <w:bottom w:val="nil"/>
              <w:right w:val="nil"/>
            </w:tcBorders>
            <w:shd w:val="clear" w:color="000000" w:fill="FFFFFF"/>
            <w:noWrap/>
            <w:vAlign w:val="center"/>
            <w:hideMark/>
          </w:tcPr>
          <w:p w14:paraId="5F0C2286" w14:textId="77777777" w:rsidR="00D778AF" w:rsidRPr="00D778AF" w:rsidRDefault="00D778AF" w:rsidP="00D778AF">
            <w:pPr>
              <w:spacing w:before="0" w:after="0" w:line="240" w:lineRule="auto"/>
              <w:jc w:val="right"/>
              <w:rPr>
                <w:rFonts w:ascii="Arial" w:hAnsi="Arial" w:cs="Arial"/>
                <w:color w:val="000000"/>
                <w:sz w:val="16"/>
                <w:szCs w:val="16"/>
              </w:rPr>
            </w:pPr>
            <w:r w:rsidRPr="00D778AF">
              <w:rPr>
                <w:rFonts w:ascii="Arial" w:hAnsi="Arial" w:cs="Arial"/>
                <w:color w:val="000000"/>
                <w:sz w:val="16"/>
                <w:szCs w:val="16"/>
              </w:rPr>
              <w:t>390</w:t>
            </w:r>
          </w:p>
        </w:tc>
        <w:tc>
          <w:tcPr>
            <w:tcW w:w="549" w:type="pct"/>
            <w:tcBorders>
              <w:top w:val="nil"/>
              <w:left w:val="nil"/>
              <w:bottom w:val="nil"/>
              <w:right w:val="nil"/>
            </w:tcBorders>
            <w:shd w:val="clear" w:color="000000" w:fill="E6F2FF"/>
            <w:noWrap/>
            <w:vAlign w:val="center"/>
            <w:hideMark/>
          </w:tcPr>
          <w:p w14:paraId="6F95679D" w14:textId="77777777" w:rsidR="00D778AF" w:rsidRPr="00D778AF" w:rsidRDefault="00D778AF" w:rsidP="00D778AF">
            <w:pPr>
              <w:spacing w:before="0" w:after="0" w:line="240" w:lineRule="auto"/>
              <w:jc w:val="right"/>
              <w:rPr>
                <w:rFonts w:ascii="Arial" w:hAnsi="Arial" w:cs="Arial"/>
                <w:color w:val="000000"/>
                <w:sz w:val="16"/>
                <w:szCs w:val="16"/>
              </w:rPr>
            </w:pPr>
            <w:r w:rsidRPr="00D778AF">
              <w:rPr>
                <w:rFonts w:ascii="Arial" w:hAnsi="Arial" w:cs="Arial"/>
                <w:color w:val="000000"/>
                <w:sz w:val="16"/>
                <w:szCs w:val="16"/>
              </w:rPr>
              <w:t>394</w:t>
            </w:r>
          </w:p>
        </w:tc>
        <w:tc>
          <w:tcPr>
            <w:tcW w:w="549" w:type="pct"/>
            <w:tcBorders>
              <w:top w:val="nil"/>
              <w:left w:val="nil"/>
              <w:bottom w:val="nil"/>
              <w:right w:val="nil"/>
            </w:tcBorders>
            <w:shd w:val="clear" w:color="000000" w:fill="FFFFFF"/>
            <w:noWrap/>
            <w:vAlign w:val="center"/>
            <w:hideMark/>
          </w:tcPr>
          <w:p w14:paraId="51B4D251" w14:textId="77777777" w:rsidR="00D778AF" w:rsidRPr="00D778AF" w:rsidRDefault="00D778AF" w:rsidP="00D778AF">
            <w:pPr>
              <w:spacing w:before="0" w:after="0" w:line="240" w:lineRule="auto"/>
              <w:jc w:val="right"/>
              <w:rPr>
                <w:rFonts w:ascii="Arial" w:hAnsi="Arial" w:cs="Arial"/>
                <w:color w:val="000000"/>
                <w:sz w:val="16"/>
                <w:szCs w:val="16"/>
              </w:rPr>
            </w:pPr>
            <w:r w:rsidRPr="00D778AF">
              <w:rPr>
                <w:rFonts w:ascii="Arial" w:hAnsi="Arial" w:cs="Arial"/>
                <w:color w:val="000000"/>
                <w:sz w:val="16"/>
                <w:szCs w:val="16"/>
              </w:rPr>
              <w:t>307</w:t>
            </w:r>
          </w:p>
        </w:tc>
        <w:tc>
          <w:tcPr>
            <w:tcW w:w="549" w:type="pct"/>
            <w:tcBorders>
              <w:top w:val="nil"/>
              <w:left w:val="nil"/>
              <w:bottom w:val="nil"/>
              <w:right w:val="nil"/>
            </w:tcBorders>
            <w:shd w:val="clear" w:color="000000" w:fill="FFFFFF"/>
            <w:noWrap/>
            <w:vAlign w:val="center"/>
            <w:hideMark/>
          </w:tcPr>
          <w:p w14:paraId="20F55701" w14:textId="77777777" w:rsidR="00D778AF" w:rsidRPr="00D778AF" w:rsidRDefault="00D778AF" w:rsidP="00D778AF">
            <w:pPr>
              <w:spacing w:before="0" w:after="0" w:line="240" w:lineRule="auto"/>
              <w:jc w:val="right"/>
              <w:rPr>
                <w:rFonts w:ascii="Arial" w:hAnsi="Arial" w:cs="Arial"/>
                <w:color w:val="000000"/>
                <w:sz w:val="16"/>
                <w:szCs w:val="16"/>
              </w:rPr>
            </w:pPr>
            <w:r w:rsidRPr="00D778AF">
              <w:rPr>
                <w:rFonts w:ascii="Arial" w:hAnsi="Arial" w:cs="Arial"/>
                <w:color w:val="000000"/>
                <w:sz w:val="16"/>
                <w:szCs w:val="16"/>
              </w:rPr>
              <w:t>351</w:t>
            </w:r>
          </w:p>
        </w:tc>
        <w:tc>
          <w:tcPr>
            <w:tcW w:w="549" w:type="pct"/>
            <w:tcBorders>
              <w:top w:val="nil"/>
              <w:left w:val="nil"/>
              <w:bottom w:val="nil"/>
              <w:right w:val="nil"/>
            </w:tcBorders>
            <w:shd w:val="clear" w:color="000000" w:fill="FFFFFF"/>
            <w:noWrap/>
            <w:vAlign w:val="center"/>
            <w:hideMark/>
          </w:tcPr>
          <w:p w14:paraId="7F177237" w14:textId="77777777" w:rsidR="00D778AF" w:rsidRPr="00D778AF" w:rsidRDefault="00D778AF" w:rsidP="00D778AF">
            <w:pPr>
              <w:spacing w:before="0" w:after="0" w:line="240" w:lineRule="auto"/>
              <w:jc w:val="right"/>
              <w:rPr>
                <w:rFonts w:ascii="Arial" w:hAnsi="Arial" w:cs="Arial"/>
                <w:color w:val="000000"/>
                <w:sz w:val="16"/>
                <w:szCs w:val="16"/>
              </w:rPr>
            </w:pPr>
            <w:r w:rsidRPr="00D778AF">
              <w:rPr>
                <w:rFonts w:ascii="Arial" w:hAnsi="Arial" w:cs="Arial"/>
                <w:color w:val="000000"/>
                <w:sz w:val="16"/>
                <w:szCs w:val="16"/>
              </w:rPr>
              <w:t>350</w:t>
            </w:r>
          </w:p>
        </w:tc>
      </w:tr>
      <w:tr w:rsidR="00CC078D" w:rsidRPr="00D778AF" w14:paraId="1371C1F1" w14:textId="77777777" w:rsidTr="00D778AF">
        <w:trPr>
          <w:trHeight w:hRule="exact" w:val="225"/>
        </w:trPr>
        <w:tc>
          <w:tcPr>
            <w:tcW w:w="2182" w:type="pct"/>
            <w:tcBorders>
              <w:top w:val="nil"/>
              <w:left w:val="nil"/>
              <w:bottom w:val="nil"/>
              <w:right w:val="nil"/>
            </w:tcBorders>
            <w:shd w:val="clear" w:color="000000" w:fill="FFFFFF"/>
            <w:noWrap/>
            <w:vAlign w:val="center"/>
            <w:hideMark/>
          </w:tcPr>
          <w:p w14:paraId="3C4A8A96" w14:textId="77777777" w:rsidR="00D778AF" w:rsidRPr="00D778AF" w:rsidRDefault="00D778AF" w:rsidP="00D778AF">
            <w:pPr>
              <w:spacing w:before="0" w:after="0" w:line="240" w:lineRule="auto"/>
              <w:rPr>
                <w:rFonts w:ascii="Arial" w:hAnsi="Arial" w:cs="Arial"/>
                <w:color w:val="000000"/>
                <w:sz w:val="16"/>
                <w:szCs w:val="16"/>
              </w:rPr>
            </w:pPr>
            <w:r w:rsidRPr="00D778AF">
              <w:rPr>
                <w:rFonts w:ascii="Arial" w:hAnsi="Arial" w:cs="Arial"/>
                <w:color w:val="000000"/>
                <w:sz w:val="16"/>
                <w:szCs w:val="16"/>
              </w:rPr>
              <w:t>International police assistance</w:t>
            </w:r>
          </w:p>
        </w:tc>
        <w:tc>
          <w:tcPr>
            <w:tcW w:w="72" w:type="pct"/>
            <w:tcBorders>
              <w:top w:val="nil"/>
              <w:left w:val="nil"/>
              <w:bottom w:val="nil"/>
              <w:right w:val="nil"/>
            </w:tcBorders>
            <w:shd w:val="clear" w:color="000000" w:fill="FFFFFF"/>
            <w:noWrap/>
            <w:vAlign w:val="center"/>
            <w:hideMark/>
          </w:tcPr>
          <w:p w14:paraId="12B36494" w14:textId="77777777" w:rsidR="00D778AF" w:rsidRPr="00D778AF" w:rsidRDefault="00D778AF" w:rsidP="00D778AF">
            <w:pPr>
              <w:spacing w:before="0" w:after="0" w:line="240" w:lineRule="auto"/>
              <w:rPr>
                <w:rFonts w:ascii="Arial" w:hAnsi="Arial" w:cs="Arial"/>
                <w:color w:val="000000"/>
                <w:sz w:val="16"/>
                <w:szCs w:val="16"/>
              </w:rPr>
            </w:pPr>
            <w:r w:rsidRPr="00D778AF">
              <w:rPr>
                <w:rFonts w:ascii="Arial" w:hAnsi="Arial" w:cs="Arial"/>
                <w:color w:val="000000"/>
                <w:sz w:val="16"/>
                <w:szCs w:val="16"/>
              </w:rPr>
              <w:t> </w:t>
            </w:r>
          </w:p>
        </w:tc>
        <w:tc>
          <w:tcPr>
            <w:tcW w:w="549" w:type="pct"/>
            <w:tcBorders>
              <w:top w:val="nil"/>
              <w:left w:val="nil"/>
              <w:bottom w:val="nil"/>
              <w:right w:val="nil"/>
            </w:tcBorders>
            <w:shd w:val="clear" w:color="000000" w:fill="FFFFFF"/>
            <w:noWrap/>
            <w:vAlign w:val="center"/>
            <w:hideMark/>
          </w:tcPr>
          <w:p w14:paraId="07262B34" w14:textId="77777777" w:rsidR="00D778AF" w:rsidRPr="00D778AF" w:rsidRDefault="00D778AF" w:rsidP="00D778AF">
            <w:pPr>
              <w:spacing w:before="0" w:after="0" w:line="240" w:lineRule="auto"/>
              <w:jc w:val="right"/>
              <w:rPr>
                <w:rFonts w:ascii="Arial" w:hAnsi="Arial" w:cs="Arial"/>
                <w:color w:val="000000"/>
                <w:sz w:val="16"/>
                <w:szCs w:val="16"/>
              </w:rPr>
            </w:pPr>
            <w:r w:rsidRPr="00D778AF">
              <w:rPr>
                <w:rFonts w:ascii="Arial" w:hAnsi="Arial" w:cs="Arial"/>
                <w:color w:val="000000"/>
                <w:sz w:val="16"/>
                <w:szCs w:val="16"/>
              </w:rPr>
              <w:t>259</w:t>
            </w:r>
          </w:p>
        </w:tc>
        <w:tc>
          <w:tcPr>
            <w:tcW w:w="549" w:type="pct"/>
            <w:tcBorders>
              <w:top w:val="nil"/>
              <w:left w:val="nil"/>
              <w:bottom w:val="nil"/>
              <w:right w:val="nil"/>
            </w:tcBorders>
            <w:shd w:val="clear" w:color="000000" w:fill="E6F2FF"/>
            <w:noWrap/>
            <w:vAlign w:val="center"/>
            <w:hideMark/>
          </w:tcPr>
          <w:p w14:paraId="5E542E86" w14:textId="77777777" w:rsidR="00D778AF" w:rsidRPr="00D778AF" w:rsidRDefault="00D778AF" w:rsidP="00D778AF">
            <w:pPr>
              <w:spacing w:before="0" w:after="0" w:line="240" w:lineRule="auto"/>
              <w:jc w:val="right"/>
              <w:rPr>
                <w:rFonts w:ascii="Arial" w:hAnsi="Arial" w:cs="Arial"/>
                <w:color w:val="000000"/>
                <w:sz w:val="16"/>
                <w:szCs w:val="16"/>
              </w:rPr>
            </w:pPr>
            <w:r w:rsidRPr="00D778AF">
              <w:rPr>
                <w:rFonts w:ascii="Arial" w:hAnsi="Arial" w:cs="Arial"/>
                <w:color w:val="000000"/>
                <w:sz w:val="16"/>
                <w:szCs w:val="16"/>
              </w:rPr>
              <w:t>280</w:t>
            </w:r>
          </w:p>
        </w:tc>
        <w:tc>
          <w:tcPr>
            <w:tcW w:w="549" w:type="pct"/>
            <w:tcBorders>
              <w:top w:val="nil"/>
              <w:left w:val="nil"/>
              <w:bottom w:val="nil"/>
              <w:right w:val="nil"/>
            </w:tcBorders>
            <w:shd w:val="clear" w:color="000000" w:fill="FFFFFF"/>
            <w:noWrap/>
            <w:vAlign w:val="center"/>
            <w:hideMark/>
          </w:tcPr>
          <w:p w14:paraId="5E89B334" w14:textId="77777777" w:rsidR="00D778AF" w:rsidRPr="00D778AF" w:rsidRDefault="00D778AF" w:rsidP="00D778AF">
            <w:pPr>
              <w:spacing w:before="0" w:after="0" w:line="240" w:lineRule="auto"/>
              <w:jc w:val="right"/>
              <w:rPr>
                <w:rFonts w:ascii="Arial" w:hAnsi="Arial" w:cs="Arial"/>
                <w:color w:val="000000"/>
                <w:sz w:val="16"/>
                <w:szCs w:val="16"/>
              </w:rPr>
            </w:pPr>
            <w:r w:rsidRPr="00D778AF">
              <w:rPr>
                <w:rFonts w:ascii="Arial" w:hAnsi="Arial" w:cs="Arial"/>
                <w:color w:val="000000"/>
                <w:sz w:val="16"/>
                <w:szCs w:val="16"/>
              </w:rPr>
              <w:t>281</w:t>
            </w:r>
          </w:p>
        </w:tc>
        <w:tc>
          <w:tcPr>
            <w:tcW w:w="549" w:type="pct"/>
            <w:tcBorders>
              <w:top w:val="nil"/>
              <w:left w:val="nil"/>
              <w:bottom w:val="nil"/>
              <w:right w:val="nil"/>
            </w:tcBorders>
            <w:shd w:val="clear" w:color="000000" w:fill="FFFFFF"/>
            <w:noWrap/>
            <w:vAlign w:val="center"/>
            <w:hideMark/>
          </w:tcPr>
          <w:p w14:paraId="63ACBAA3" w14:textId="77777777" w:rsidR="00D778AF" w:rsidRPr="00D778AF" w:rsidRDefault="00D778AF" w:rsidP="00D778AF">
            <w:pPr>
              <w:spacing w:before="0" w:after="0" w:line="240" w:lineRule="auto"/>
              <w:jc w:val="right"/>
              <w:rPr>
                <w:rFonts w:ascii="Arial" w:hAnsi="Arial" w:cs="Arial"/>
                <w:color w:val="000000"/>
                <w:sz w:val="16"/>
                <w:szCs w:val="16"/>
              </w:rPr>
            </w:pPr>
            <w:r w:rsidRPr="00D778AF">
              <w:rPr>
                <w:rFonts w:ascii="Arial" w:hAnsi="Arial" w:cs="Arial"/>
                <w:color w:val="000000"/>
                <w:sz w:val="16"/>
                <w:szCs w:val="16"/>
              </w:rPr>
              <w:t>300</w:t>
            </w:r>
          </w:p>
        </w:tc>
        <w:tc>
          <w:tcPr>
            <w:tcW w:w="549" w:type="pct"/>
            <w:tcBorders>
              <w:top w:val="nil"/>
              <w:left w:val="nil"/>
              <w:bottom w:val="nil"/>
              <w:right w:val="nil"/>
            </w:tcBorders>
            <w:shd w:val="clear" w:color="000000" w:fill="FFFFFF"/>
            <w:noWrap/>
            <w:vAlign w:val="center"/>
            <w:hideMark/>
          </w:tcPr>
          <w:p w14:paraId="7480FCDE" w14:textId="77777777" w:rsidR="00D778AF" w:rsidRPr="00D778AF" w:rsidRDefault="00D778AF" w:rsidP="00D778AF">
            <w:pPr>
              <w:spacing w:before="0" w:after="0" w:line="240" w:lineRule="auto"/>
              <w:jc w:val="right"/>
              <w:rPr>
                <w:rFonts w:ascii="Arial" w:hAnsi="Arial" w:cs="Arial"/>
                <w:color w:val="000000"/>
                <w:sz w:val="16"/>
                <w:szCs w:val="16"/>
              </w:rPr>
            </w:pPr>
            <w:r w:rsidRPr="00D778AF">
              <w:rPr>
                <w:rFonts w:ascii="Arial" w:hAnsi="Arial" w:cs="Arial"/>
                <w:color w:val="000000"/>
                <w:sz w:val="16"/>
                <w:szCs w:val="16"/>
              </w:rPr>
              <w:t>322</w:t>
            </w:r>
          </w:p>
        </w:tc>
      </w:tr>
      <w:tr w:rsidR="00CC078D" w:rsidRPr="00D778AF" w14:paraId="4C579354" w14:textId="77777777" w:rsidTr="00D778AF">
        <w:trPr>
          <w:trHeight w:hRule="exact" w:val="225"/>
        </w:trPr>
        <w:tc>
          <w:tcPr>
            <w:tcW w:w="2182" w:type="pct"/>
            <w:tcBorders>
              <w:top w:val="nil"/>
              <w:left w:val="nil"/>
              <w:bottom w:val="nil"/>
              <w:right w:val="nil"/>
            </w:tcBorders>
            <w:shd w:val="clear" w:color="000000" w:fill="FFFFFF"/>
            <w:noWrap/>
            <w:vAlign w:val="center"/>
            <w:hideMark/>
          </w:tcPr>
          <w:p w14:paraId="0E2A069B" w14:textId="77777777" w:rsidR="00D778AF" w:rsidRPr="00D778AF" w:rsidRDefault="00D778AF" w:rsidP="00D778AF">
            <w:pPr>
              <w:spacing w:before="0" w:after="0" w:line="240" w:lineRule="auto"/>
              <w:rPr>
                <w:rFonts w:ascii="Arial" w:hAnsi="Arial" w:cs="Arial"/>
                <w:color w:val="000000"/>
                <w:sz w:val="16"/>
                <w:szCs w:val="16"/>
              </w:rPr>
            </w:pPr>
            <w:r w:rsidRPr="00D778AF">
              <w:rPr>
                <w:rFonts w:ascii="Arial" w:hAnsi="Arial" w:cs="Arial"/>
                <w:color w:val="000000"/>
                <w:sz w:val="16"/>
                <w:szCs w:val="16"/>
              </w:rPr>
              <w:t>International agriculture research and</w:t>
            </w:r>
          </w:p>
        </w:tc>
        <w:tc>
          <w:tcPr>
            <w:tcW w:w="72" w:type="pct"/>
            <w:tcBorders>
              <w:top w:val="nil"/>
              <w:left w:val="nil"/>
              <w:bottom w:val="nil"/>
              <w:right w:val="nil"/>
            </w:tcBorders>
            <w:shd w:val="clear" w:color="000000" w:fill="FFFFFF"/>
            <w:noWrap/>
            <w:vAlign w:val="center"/>
            <w:hideMark/>
          </w:tcPr>
          <w:p w14:paraId="7D4C29CB" w14:textId="77777777" w:rsidR="00D778AF" w:rsidRPr="00D778AF" w:rsidRDefault="00D778AF" w:rsidP="00D778AF">
            <w:pPr>
              <w:spacing w:before="0" w:after="0" w:line="240" w:lineRule="auto"/>
              <w:rPr>
                <w:rFonts w:ascii="Arial" w:hAnsi="Arial" w:cs="Arial"/>
                <w:color w:val="000000"/>
                <w:sz w:val="16"/>
                <w:szCs w:val="16"/>
              </w:rPr>
            </w:pPr>
            <w:r w:rsidRPr="00D778AF">
              <w:rPr>
                <w:rFonts w:ascii="Arial" w:hAnsi="Arial" w:cs="Arial"/>
                <w:color w:val="000000"/>
                <w:sz w:val="16"/>
                <w:szCs w:val="16"/>
              </w:rPr>
              <w:t> </w:t>
            </w:r>
          </w:p>
        </w:tc>
        <w:tc>
          <w:tcPr>
            <w:tcW w:w="549" w:type="pct"/>
            <w:tcBorders>
              <w:top w:val="nil"/>
              <w:left w:val="nil"/>
              <w:bottom w:val="nil"/>
              <w:right w:val="nil"/>
            </w:tcBorders>
            <w:shd w:val="clear" w:color="000000" w:fill="FFFFFF"/>
            <w:noWrap/>
            <w:vAlign w:val="center"/>
            <w:hideMark/>
          </w:tcPr>
          <w:p w14:paraId="6DEC4781" w14:textId="77777777" w:rsidR="00D778AF" w:rsidRPr="00D778AF" w:rsidRDefault="00D778AF" w:rsidP="00D778AF">
            <w:pPr>
              <w:spacing w:before="0" w:after="0" w:line="240" w:lineRule="auto"/>
              <w:rPr>
                <w:rFonts w:ascii="Arial" w:hAnsi="Arial" w:cs="Arial"/>
                <w:color w:val="000000"/>
                <w:sz w:val="16"/>
                <w:szCs w:val="16"/>
              </w:rPr>
            </w:pPr>
            <w:r w:rsidRPr="00D778AF">
              <w:rPr>
                <w:rFonts w:ascii="Arial" w:hAnsi="Arial" w:cs="Arial"/>
                <w:color w:val="000000"/>
                <w:sz w:val="16"/>
                <w:szCs w:val="16"/>
              </w:rPr>
              <w:t> </w:t>
            </w:r>
          </w:p>
        </w:tc>
        <w:tc>
          <w:tcPr>
            <w:tcW w:w="549" w:type="pct"/>
            <w:tcBorders>
              <w:top w:val="nil"/>
              <w:left w:val="nil"/>
              <w:bottom w:val="nil"/>
              <w:right w:val="nil"/>
            </w:tcBorders>
            <w:shd w:val="clear" w:color="000000" w:fill="E6F2FF"/>
            <w:noWrap/>
            <w:vAlign w:val="center"/>
            <w:hideMark/>
          </w:tcPr>
          <w:p w14:paraId="1C801C52" w14:textId="77777777" w:rsidR="00D778AF" w:rsidRPr="00D778AF" w:rsidRDefault="00D778AF" w:rsidP="00D778AF">
            <w:pPr>
              <w:spacing w:before="0" w:after="0" w:line="240" w:lineRule="auto"/>
              <w:rPr>
                <w:rFonts w:ascii="Arial" w:hAnsi="Arial" w:cs="Arial"/>
                <w:color w:val="000000"/>
                <w:sz w:val="16"/>
                <w:szCs w:val="16"/>
              </w:rPr>
            </w:pPr>
            <w:r w:rsidRPr="00D778AF">
              <w:rPr>
                <w:rFonts w:ascii="Arial" w:hAnsi="Arial" w:cs="Arial"/>
                <w:color w:val="000000"/>
                <w:sz w:val="16"/>
                <w:szCs w:val="16"/>
              </w:rPr>
              <w:t> </w:t>
            </w:r>
          </w:p>
        </w:tc>
        <w:tc>
          <w:tcPr>
            <w:tcW w:w="549" w:type="pct"/>
            <w:tcBorders>
              <w:top w:val="nil"/>
              <w:left w:val="nil"/>
              <w:bottom w:val="nil"/>
              <w:right w:val="nil"/>
            </w:tcBorders>
            <w:shd w:val="clear" w:color="000000" w:fill="FFFFFF"/>
            <w:noWrap/>
            <w:vAlign w:val="center"/>
            <w:hideMark/>
          </w:tcPr>
          <w:p w14:paraId="79CB4463" w14:textId="77777777" w:rsidR="00D778AF" w:rsidRPr="00D778AF" w:rsidRDefault="00D778AF" w:rsidP="00D778AF">
            <w:pPr>
              <w:spacing w:before="0" w:after="0" w:line="240" w:lineRule="auto"/>
              <w:rPr>
                <w:rFonts w:ascii="Arial" w:hAnsi="Arial" w:cs="Arial"/>
                <w:color w:val="000000"/>
                <w:sz w:val="16"/>
                <w:szCs w:val="16"/>
              </w:rPr>
            </w:pPr>
            <w:r w:rsidRPr="00D778AF">
              <w:rPr>
                <w:rFonts w:ascii="Arial" w:hAnsi="Arial" w:cs="Arial"/>
                <w:color w:val="000000"/>
                <w:sz w:val="16"/>
                <w:szCs w:val="16"/>
              </w:rPr>
              <w:t> </w:t>
            </w:r>
          </w:p>
        </w:tc>
        <w:tc>
          <w:tcPr>
            <w:tcW w:w="549" w:type="pct"/>
            <w:tcBorders>
              <w:top w:val="nil"/>
              <w:left w:val="nil"/>
              <w:bottom w:val="nil"/>
              <w:right w:val="nil"/>
            </w:tcBorders>
            <w:shd w:val="clear" w:color="000000" w:fill="FFFFFF"/>
            <w:noWrap/>
            <w:vAlign w:val="center"/>
            <w:hideMark/>
          </w:tcPr>
          <w:p w14:paraId="060B7890" w14:textId="77777777" w:rsidR="00D778AF" w:rsidRPr="00D778AF" w:rsidRDefault="00D778AF" w:rsidP="00D778AF">
            <w:pPr>
              <w:spacing w:before="0" w:after="0" w:line="240" w:lineRule="auto"/>
              <w:rPr>
                <w:rFonts w:ascii="Arial" w:hAnsi="Arial" w:cs="Arial"/>
                <w:color w:val="000000"/>
                <w:sz w:val="16"/>
                <w:szCs w:val="16"/>
              </w:rPr>
            </w:pPr>
            <w:r w:rsidRPr="00D778AF">
              <w:rPr>
                <w:rFonts w:ascii="Arial" w:hAnsi="Arial" w:cs="Arial"/>
                <w:color w:val="000000"/>
                <w:sz w:val="16"/>
                <w:szCs w:val="16"/>
              </w:rPr>
              <w:t> </w:t>
            </w:r>
          </w:p>
        </w:tc>
        <w:tc>
          <w:tcPr>
            <w:tcW w:w="549" w:type="pct"/>
            <w:tcBorders>
              <w:top w:val="nil"/>
              <w:left w:val="nil"/>
              <w:bottom w:val="nil"/>
              <w:right w:val="nil"/>
            </w:tcBorders>
            <w:shd w:val="clear" w:color="000000" w:fill="FFFFFF"/>
            <w:noWrap/>
            <w:vAlign w:val="center"/>
            <w:hideMark/>
          </w:tcPr>
          <w:p w14:paraId="011CE3B0" w14:textId="77777777" w:rsidR="00D778AF" w:rsidRPr="00D778AF" w:rsidRDefault="00D778AF" w:rsidP="00D778AF">
            <w:pPr>
              <w:spacing w:before="0" w:after="0" w:line="240" w:lineRule="auto"/>
              <w:rPr>
                <w:rFonts w:ascii="Arial" w:hAnsi="Arial" w:cs="Arial"/>
                <w:color w:val="000000"/>
                <w:sz w:val="16"/>
                <w:szCs w:val="16"/>
              </w:rPr>
            </w:pPr>
            <w:r w:rsidRPr="00D778AF">
              <w:rPr>
                <w:rFonts w:ascii="Arial" w:hAnsi="Arial" w:cs="Arial"/>
                <w:color w:val="000000"/>
                <w:sz w:val="16"/>
                <w:szCs w:val="16"/>
              </w:rPr>
              <w:t> </w:t>
            </w:r>
          </w:p>
        </w:tc>
      </w:tr>
      <w:tr w:rsidR="00CC078D" w:rsidRPr="00D778AF" w14:paraId="1DF3996E" w14:textId="77777777" w:rsidTr="00D778AF">
        <w:trPr>
          <w:trHeight w:hRule="exact" w:val="225"/>
        </w:trPr>
        <w:tc>
          <w:tcPr>
            <w:tcW w:w="2182" w:type="pct"/>
            <w:tcBorders>
              <w:top w:val="nil"/>
              <w:left w:val="nil"/>
              <w:bottom w:val="nil"/>
              <w:right w:val="nil"/>
            </w:tcBorders>
            <w:shd w:val="clear" w:color="000000" w:fill="FFFFFF"/>
            <w:noWrap/>
            <w:vAlign w:val="center"/>
            <w:hideMark/>
          </w:tcPr>
          <w:p w14:paraId="56BBE6CA" w14:textId="77777777" w:rsidR="00D778AF" w:rsidRPr="00D778AF" w:rsidRDefault="00D778AF" w:rsidP="00D778AF">
            <w:pPr>
              <w:spacing w:before="0" w:after="0" w:line="240" w:lineRule="auto"/>
              <w:ind w:left="170"/>
              <w:rPr>
                <w:rFonts w:ascii="Arial" w:hAnsi="Arial" w:cs="Arial"/>
                <w:color w:val="000000"/>
                <w:sz w:val="16"/>
                <w:szCs w:val="16"/>
              </w:rPr>
            </w:pPr>
            <w:r w:rsidRPr="00D778AF">
              <w:rPr>
                <w:rFonts w:ascii="Arial" w:hAnsi="Arial" w:cs="Arial"/>
                <w:color w:val="000000"/>
                <w:sz w:val="16"/>
                <w:szCs w:val="16"/>
              </w:rPr>
              <w:t>development</w:t>
            </w:r>
          </w:p>
        </w:tc>
        <w:tc>
          <w:tcPr>
            <w:tcW w:w="72" w:type="pct"/>
            <w:tcBorders>
              <w:top w:val="nil"/>
              <w:left w:val="nil"/>
              <w:bottom w:val="nil"/>
              <w:right w:val="nil"/>
            </w:tcBorders>
            <w:shd w:val="clear" w:color="000000" w:fill="FFFFFF"/>
            <w:noWrap/>
            <w:vAlign w:val="center"/>
            <w:hideMark/>
          </w:tcPr>
          <w:p w14:paraId="0191C08F" w14:textId="77777777" w:rsidR="00D778AF" w:rsidRPr="00D778AF" w:rsidRDefault="00D778AF" w:rsidP="00D778AF">
            <w:pPr>
              <w:spacing w:before="0" w:after="0" w:line="240" w:lineRule="auto"/>
              <w:rPr>
                <w:rFonts w:ascii="Arial" w:hAnsi="Arial" w:cs="Arial"/>
                <w:color w:val="000000"/>
                <w:sz w:val="16"/>
                <w:szCs w:val="16"/>
              </w:rPr>
            </w:pPr>
            <w:r w:rsidRPr="00D778AF">
              <w:rPr>
                <w:rFonts w:ascii="Arial" w:hAnsi="Arial" w:cs="Arial"/>
                <w:color w:val="000000"/>
                <w:sz w:val="16"/>
                <w:szCs w:val="16"/>
              </w:rPr>
              <w:t> </w:t>
            </w:r>
          </w:p>
        </w:tc>
        <w:tc>
          <w:tcPr>
            <w:tcW w:w="549" w:type="pct"/>
            <w:tcBorders>
              <w:top w:val="nil"/>
              <w:left w:val="nil"/>
              <w:bottom w:val="nil"/>
              <w:right w:val="nil"/>
            </w:tcBorders>
            <w:shd w:val="clear" w:color="000000" w:fill="FFFFFF"/>
            <w:noWrap/>
            <w:vAlign w:val="center"/>
            <w:hideMark/>
          </w:tcPr>
          <w:p w14:paraId="4F94D403" w14:textId="77777777" w:rsidR="00D778AF" w:rsidRPr="00D778AF" w:rsidRDefault="00D778AF" w:rsidP="00D778AF">
            <w:pPr>
              <w:spacing w:before="0" w:after="0" w:line="240" w:lineRule="auto"/>
              <w:jc w:val="right"/>
              <w:rPr>
                <w:rFonts w:ascii="Arial" w:hAnsi="Arial" w:cs="Arial"/>
                <w:color w:val="000000"/>
                <w:sz w:val="16"/>
                <w:szCs w:val="16"/>
              </w:rPr>
            </w:pPr>
            <w:r w:rsidRPr="00D778AF">
              <w:rPr>
                <w:rFonts w:ascii="Arial" w:hAnsi="Arial" w:cs="Arial"/>
                <w:color w:val="000000"/>
                <w:sz w:val="16"/>
                <w:szCs w:val="16"/>
              </w:rPr>
              <w:t>127</w:t>
            </w:r>
          </w:p>
        </w:tc>
        <w:tc>
          <w:tcPr>
            <w:tcW w:w="549" w:type="pct"/>
            <w:tcBorders>
              <w:top w:val="nil"/>
              <w:left w:val="nil"/>
              <w:bottom w:val="nil"/>
              <w:right w:val="nil"/>
            </w:tcBorders>
            <w:shd w:val="clear" w:color="000000" w:fill="E6F2FF"/>
            <w:noWrap/>
            <w:vAlign w:val="center"/>
            <w:hideMark/>
          </w:tcPr>
          <w:p w14:paraId="1B965B6C" w14:textId="77777777" w:rsidR="00D778AF" w:rsidRPr="00D778AF" w:rsidRDefault="00D778AF" w:rsidP="00D778AF">
            <w:pPr>
              <w:spacing w:before="0" w:after="0" w:line="240" w:lineRule="auto"/>
              <w:jc w:val="right"/>
              <w:rPr>
                <w:rFonts w:ascii="Arial" w:hAnsi="Arial" w:cs="Arial"/>
                <w:color w:val="000000"/>
                <w:sz w:val="16"/>
                <w:szCs w:val="16"/>
              </w:rPr>
            </w:pPr>
            <w:r w:rsidRPr="00D778AF">
              <w:rPr>
                <w:rFonts w:ascii="Arial" w:hAnsi="Arial" w:cs="Arial"/>
                <w:color w:val="000000"/>
                <w:sz w:val="16"/>
                <w:szCs w:val="16"/>
              </w:rPr>
              <w:t>129</w:t>
            </w:r>
          </w:p>
        </w:tc>
        <w:tc>
          <w:tcPr>
            <w:tcW w:w="549" w:type="pct"/>
            <w:tcBorders>
              <w:top w:val="nil"/>
              <w:left w:val="nil"/>
              <w:bottom w:val="nil"/>
              <w:right w:val="nil"/>
            </w:tcBorders>
            <w:shd w:val="clear" w:color="000000" w:fill="FFFFFF"/>
            <w:noWrap/>
            <w:vAlign w:val="center"/>
            <w:hideMark/>
          </w:tcPr>
          <w:p w14:paraId="723E057D" w14:textId="77777777" w:rsidR="00D778AF" w:rsidRPr="00D778AF" w:rsidRDefault="00D778AF" w:rsidP="00D778AF">
            <w:pPr>
              <w:spacing w:before="0" w:after="0" w:line="240" w:lineRule="auto"/>
              <w:jc w:val="right"/>
              <w:rPr>
                <w:rFonts w:ascii="Arial" w:hAnsi="Arial" w:cs="Arial"/>
                <w:color w:val="000000"/>
                <w:sz w:val="16"/>
                <w:szCs w:val="16"/>
              </w:rPr>
            </w:pPr>
            <w:r w:rsidRPr="00D778AF">
              <w:rPr>
                <w:rFonts w:ascii="Arial" w:hAnsi="Arial" w:cs="Arial"/>
                <w:color w:val="000000"/>
                <w:sz w:val="16"/>
                <w:szCs w:val="16"/>
              </w:rPr>
              <w:t>126</w:t>
            </w:r>
          </w:p>
        </w:tc>
        <w:tc>
          <w:tcPr>
            <w:tcW w:w="549" w:type="pct"/>
            <w:tcBorders>
              <w:top w:val="nil"/>
              <w:left w:val="nil"/>
              <w:bottom w:val="nil"/>
              <w:right w:val="nil"/>
            </w:tcBorders>
            <w:shd w:val="clear" w:color="000000" w:fill="FFFFFF"/>
            <w:noWrap/>
            <w:vAlign w:val="center"/>
            <w:hideMark/>
          </w:tcPr>
          <w:p w14:paraId="506582A5" w14:textId="77777777" w:rsidR="00D778AF" w:rsidRPr="00D778AF" w:rsidRDefault="00D778AF" w:rsidP="00D778AF">
            <w:pPr>
              <w:spacing w:before="0" w:after="0" w:line="240" w:lineRule="auto"/>
              <w:jc w:val="right"/>
              <w:rPr>
                <w:rFonts w:ascii="Arial" w:hAnsi="Arial" w:cs="Arial"/>
                <w:color w:val="000000"/>
                <w:sz w:val="16"/>
                <w:szCs w:val="16"/>
              </w:rPr>
            </w:pPr>
            <w:r w:rsidRPr="00D778AF">
              <w:rPr>
                <w:rFonts w:ascii="Arial" w:hAnsi="Arial" w:cs="Arial"/>
                <w:color w:val="000000"/>
                <w:sz w:val="16"/>
                <w:szCs w:val="16"/>
              </w:rPr>
              <w:t>129</w:t>
            </w:r>
          </w:p>
        </w:tc>
        <w:tc>
          <w:tcPr>
            <w:tcW w:w="549" w:type="pct"/>
            <w:tcBorders>
              <w:top w:val="nil"/>
              <w:left w:val="nil"/>
              <w:bottom w:val="nil"/>
              <w:right w:val="nil"/>
            </w:tcBorders>
            <w:shd w:val="clear" w:color="000000" w:fill="FFFFFF"/>
            <w:noWrap/>
            <w:vAlign w:val="center"/>
            <w:hideMark/>
          </w:tcPr>
          <w:p w14:paraId="6151E60E" w14:textId="77777777" w:rsidR="00D778AF" w:rsidRPr="00D778AF" w:rsidRDefault="00D778AF" w:rsidP="00D778AF">
            <w:pPr>
              <w:spacing w:before="0" w:after="0" w:line="240" w:lineRule="auto"/>
              <w:jc w:val="right"/>
              <w:rPr>
                <w:rFonts w:ascii="Arial" w:hAnsi="Arial" w:cs="Arial"/>
                <w:color w:val="000000"/>
                <w:sz w:val="16"/>
                <w:szCs w:val="16"/>
              </w:rPr>
            </w:pPr>
            <w:r w:rsidRPr="00D778AF">
              <w:rPr>
                <w:rFonts w:ascii="Arial" w:hAnsi="Arial" w:cs="Arial"/>
                <w:color w:val="000000"/>
                <w:sz w:val="16"/>
                <w:szCs w:val="16"/>
              </w:rPr>
              <w:t>132</w:t>
            </w:r>
          </w:p>
        </w:tc>
      </w:tr>
      <w:tr w:rsidR="00CC078D" w:rsidRPr="00D778AF" w14:paraId="5D055970" w14:textId="77777777" w:rsidTr="00D778AF">
        <w:trPr>
          <w:trHeight w:hRule="exact" w:val="225"/>
        </w:trPr>
        <w:tc>
          <w:tcPr>
            <w:tcW w:w="2182" w:type="pct"/>
            <w:tcBorders>
              <w:top w:val="nil"/>
              <w:left w:val="nil"/>
              <w:bottom w:val="nil"/>
              <w:right w:val="nil"/>
            </w:tcBorders>
            <w:shd w:val="clear" w:color="000000" w:fill="FFFFFF"/>
            <w:noWrap/>
            <w:vAlign w:val="center"/>
            <w:hideMark/>
          </w:tcPr>
          <w:p w14:paraId="2551CB7B" w14:textId="77777777" w:rsidR="00D778AF" w:rsidRPr="00D778AF" w:rsidRDefault="00D778AF" w:rsidP="00D778AF">
            <w:pPr>
              <w:spacing w:before="0" w:after="0" w:line="240" w:lineRule="auto"/>
              <w:rPr>
                <w:rFonts w:ascii="Arial" w:hAnsi="Arial" w:cs="Arial"/>
                <w:color w:val="000000"/>
                <w:sz w:val="16"/>
                <w:szCs w:val="16"/>
              </w:rPr>
            </w:pPr>
            <w:r w:rsidRPr="00D778AF">
              <w:rPr>
                <w:rFonts w:ascii="Arial" w:hAnsi="Arial" w:cs="Arial"/>
                <w:color w:val="000000"/>
                <w:sz w:val="16"/>
                <w:szCs w:val="16"/>
              </w:rPr>
              <w:t>Consular services</w:t>
            </w:r>
          </w:p>
        </w:tc>
        <w:tc>
          <w:tcPr>
            <w:tcW w:w="72" w:type="pct"/>
            <w:tcBorders>
              <w:top w:val="nil"/>
              <w:left w:val="nil"/>
              <w:bottom w:val="nil"/>
              <w:right w:val="nil"/>
            </w:tcBorders>
            <w:shd w:val="clear" w:color="000000" w:fill="FFFFFF"/>
            <w:noWrap/>
            <w:vAlign w:val="center"/>
            <w:hideMark/>
          </w:tcPr>
          <w:p w14:paraId="4DF80234" w14:textId="77777777" w:rsidR="00D778AF" w:rsidRPr="00D778AF" w:rsidRDefault="00D778AF" w:rsidP="00D778AF">
            <w:pPr>
              <w:spacing w:before="0" w:after="0" w:line="240" w:lineRule="auto"/>
              <w:rPr>
                <w:rFonts w:ascii="Arial" w:hAnsi="Arial" w:cs="Arial"/>
                <w:color w:val="000000"/>
                <w:sz w:val="16"/>
                <w:szCs w:val="16"/>
              </w:rPr>
            </w:pPr>
            <w:r w:rsidRPr="00D778AF">
              <w:rPr>
                <w:rFonts w:ascii="Arial" w:hAnsi="Arial" w:cs="Arial"/>
                <w:color w:val="000000"/>
                <w:sz w:val="16"/>
                <w:szCs w:val="16"/>
              </w:rPr>
              <w:t> </w:t>
            </w:r>
          </w:p>
        </w:tc>
        <w:tc>
          <w:tcPr>
            <w:tcW w:w="549" w:type="pct"/>
            <w:tcBorders>
              <w:top w:val="nil"/>
              <w:left w:val="nil"/>
              <w:bottom w:val="nil"/>
              <w:right w:val="nil"/>
            </w:tcBorders>
            <w:shd w:val="clear" w:color="000000" w:fill="FFFFFF"/>
            <w:noWrap/>
            <w:vAlign w:val="center"/>
            <w:hideMark/>
          </w:tcPr>
          <w:p w14:paraId="3E795A89" w14:textId="77777777" w:rsidR="00D778AF" w:rsidRPr="00D778AF" w:rsidRDefault="00D778AF" w:rsidP="00D778AF">
            <w:pPr>
              <w:spacing w:before="0" w:after="0" w:line="240" w:lineRule="auto"/>
              <w:jc w:val="right"/>
              <w:rPr>
                <w:rFonts w:ascii="Arial" w:hAnsi="Arial" w:cs="Arial"/>
                <w:color w:val="000000"/>
                <w:sz w:val="16"/>
                <w:szCs w:val="16"/>
              </w:rPr>
            </w:pPr>
            <w:r w:rsidRPr="00D778AF">
              <w:rPr>
                <w:rFonts w:ascii="Arial" w:hAnsi="Arial" w:cs="Arial"/>
                <w:color w:val="000000"/>
                <w:sz w:val="16"/>
                <w:szCs w:val="16"/>
              </w:rPr>
              <w:t>146</w:t>
            </w:r>
          </w:p>
        </w:tc>
        <w:tc>
          <w:tcPr>
            <w:tcW w:w="549" w:type="pct"/>
            <w:tcBorders>
              <w:top w:val="nil"/>
              <w:left w:val="nil"/>
              <w:bottom w:val="nil"/>
              <w:right w:val="nil"/>
            </w:tcBorders>
            <w:shd w:val="clear" w:color="000000" w:fill="E6F2FF"/>
            <w:noWrap/>
            <w:vAlign w:val="center"/>
            <w:hideMark/>
          </w:tcPr>
          <w:p w14:paraId="509304D9" w14:textId="77777777" w:rsidR="00D778AF" w:rsidRPr="00D778AF" w:rsidRDefault="00D778AF" w:rsidP="00D778AF">
            <w:pPr>
              <w:spacing w:before="0" w:after="0" w:line="240" w:lineRule="auto"/>
              <w:jc w:val="right"/>
              <w:rPr>
                <w:rFonts w:ascii="Arial" w:hAnsi="Arial" w:cs="Arial"/>
                <w:color w:val="000000"/>
                <w:sz w:val="16"/>
                <w:szCs w:val="16"/>
              </w:rPr>
            </w:pPr>
            <w:r w:rsidRPr="00D778AF">
              <w:rPr>
                <w:rFonts w:ascii="Arial" w:hAnsi="Arial" w:cs="Arial"/>
                <w:color w:val="000000"/>
                <w:sz w:val="16"/>
                <w:szCs w:val="16"/>
              </w:rPr>
              <w:t>160</w:t>
            </w:r>
          </w:p>
        </w:tc>
        <w:tc>
          <w:tcPr>
            <w:tcW w:w="549" w:type="pct"/>
            <w:tcBorders>
              <w:top w:val="nil"/>
              <w:left w:val="nil"/>
              <w:bottom w:val="nil"/>
              <w:right w:val="nil"/>
            </w:tcBorders>
            <w:shd w:val="clear" w:color="000000" w:fill="FFFFFF"/>
            <w:noWrap/>
            <w:vAlign w:val="center"/>
            <w:hideMark/>
          </w:tcPr>
          <w:p w14:paraId="332DD2D2" w14:textId="77777777" w:rsidR="00D778AF" w:rsidRPr="00D778AF" w:rsidRDefault="00D778AF" w:rsidP="00D778AF">
            <w:pPr>
              <w:spacing w:before="0" w:after="0" w:line="240" w:lineRule="auto"/>
              <w:jc w:val="right"/>
              <w:rPr>
                <w:rFonts w:ascii="Arial" w:hAnsi="Arial" w:cs="Arial"/>
                <w:color w:val="000000"/>
                <w:sz w:val="16"/>
                <w:szCs w:val="16"/>
              </w:rPr>
            </w:pPr>
            <w:r w:rsidRPr="00D778AF">
              <w:rPr>
                <w:rFonts w:ascii="Arial" w:hAnsi="Arial" w:cs="Arial"/>
                <w:color w:val="000000"/>
                <w:sz w:val="16"/>
                <w:szCs w:val="16"/>
              </w:rPr>
              <w:t>145</w:t>
            </w:r>
          </w:p>
        </w:tc>
        <w:tc>
          <w:tcPr>
            <w:tcW w:w="549" w:type="pct"/>
            <w:tcBorders>
              <w:top w:val="nil"/>
              <w:left w:val="nil"/>
              <w:bottom w:val="nil"/>
              <w:right w:val="nil"/>
            </w:tcBorders>
            <w:shd w:val="clear" w:color="000000" w:fill="FFFFFF"/>
            <w:noWrap/>
            <w:vAlign w:val="center"/>
            <w:hideMark/>
          </w:tcPr>
          <w:p w14:paraId="7FFDA1E5" w14:textId="77777777" w:rsidR="00D778AF" w:rsidRPr="00D778AF" w:rsidRDefault="00D778AF" w:rsidP="00D778AF">
            <w:pPr>
              <w:spacing w:before="0" w:after="0" w:line="240" w:lineRule="auto"/>
              <w:jc w:val="right"/>
              <w:rPr>
                <w:rFonts w:ascii="Arial" w:hAnsi="Arial" w:cs="Arial"/>
                <w:color w:val="000000"/>
                <w:sz w:val="16"/>
                <w:szCs w:val="16"/>
              </w:rPr>
            </w:pPr>
            <w:r w:rsidRPr="00D778AF">
              <w:rPr>
                <w:rFonts w:ascii="Arial" w:hAnsi="Arial" w:cs="Arial"/>
                <w:color w:val="000000"/>
                <w:sz w:val="16"/>
                <w:szCs w:val="16"/>
              </w:rPr>
              <w:t>151</w:t>
            </w:r>
          </w:p>
        </w:tc>
        <w:tc>
          <w:tcPr>
            <w:tcW w:w="549" w:type="pct"/>
            <w:tcBorders>
              <w:top w:val="nil"/>
              <w:left w:val="nil"/>
              <w:bottom w:val="nil"/>
              <w:right w:val="nil"/>
            </w:tcBorders>
            <w:shd w:val="clear" w:color="000000" w:fill="FFFFFF"/>
            <w:noWrap/>
            <w:vAlign w:val="center"/>
            <w:hideMark/>
          </w:tcPr>
          <w:p w14:paraId="4038C5B4" w14:textId="77777777" w:rsidR="00D778AF" w:rsidRPr="00D778AF" w:rsidRDefault="00D778AF" w:rsidP="00D778AF">
            <w:pPr>
              <w:spacing w:before="0" w:after="0" w:line="240" w:lineRule="auto"/>
              <w:jc w:val="right"/>
              <w:rPr>
                <w:rFonts w:ascii="Arial" w:hAnsi="Arial" w:cs="Arial"/>
                <w:color w:val="000000"/>
                <w:sz w:val="16"/>
                <w:szCs w:val="16"/>
              </w:rPr>
            </w:pPr>
            <w:r w:rsidRPr="00D778AF">
              <w:rPr>
                <w:rFonts w:ascii="Arial" w:hAnsi="Arial" w:cs="Arial"/>
                <w:color w:val="000000"/>
                <w:sz w:val="16"/>
                <w:szCs w:val="16"/>
              </w:rPr>
              <w:t>151</w:t>
            </w:r>
          </w:p>
        </w:tc>
      </w:tr>
      <w:tr w:rsidR="00CC078D" w:rsidRPr="00D778AF" w14:paraId="444252A4" w14:textId="77777777" w:rsidTr="00D778AF">
        <w:trPr>
          <w:trHeight w:hRule="exact" w:val="225"/>
        </w:trPr>
        <w:tc>
          <w:tcPr>
            <w:tcW w:w="2182" w:type="pct"/>
            <w:tcBorders>
              <w:top w:val="nil"/>
              <w:left w:val="nil"/>
              <w:bottom w:val="nil"/>
              <w:right w:val="nil"/>
            </w:tcBorders>
            <w:shd w:val="clear" w:color="000000" w:fill="FFFFFF"/>
            <w:noWrap/>
            <w:vAlign w:val="center"/>
            <w:hideMark/>
          </w:tcPr>
          <w:p w14:paraId="31450FBB" w14:textId="77777777" w:rsidR="00D778AF" w:rsidRPr="00D778AF" w:rsidRDefault="00D778AF" w:rsidP="00D778AF">
            <w:pPr>
              <w:spacing w:before="0" w:after="0" w:line="240" w:lineRule="auto"/>
              <w:rPr>
                <w:rFonts w:ascii="Arial" w:hAnsi="Arial" w:cs="Arial"/>
                <w:color w:val="000000"/>
                <w:sz w:val="16"/>
                <w:szCs w:val="16"/>
              </w:rPr>
            </w:pPr>
            <w:r w:rsidRPr="00D778AF">
              <w:rPr>
                <w:rFonts w:ascii="Arial" w:hAnsi="Arial" w:cs="Arial"/>
                <w:color w:val="000000"/>
                <w:sz w:val="16"/>
                <w:szCs w:val="16"/>
              </w:rPr>
              <w:t>Finance and insurance services for</w:t>
            </w:r>
          </w:p>
        </w:tc>
        <w:tc>
          <w:tcPr>
            <w:tcW w:w="72" w:type="pct"/>
            <w:tcBorders>
              <w:top w:val="nil"/>
              <w:left w:val="nil"/>
              <w:bottom w:val="nil"/>
              <w:right w:val="nil"/>
            </w:tcBorders>
            <w:shd w:val="clear" w:color="000000" w:fill="FFFFFF"/>
            <w:noWrap/>
            <w:vAlign w:val="center"/>
            <w:hideMark/>
          </w:tcPr>
          <w:p w14:paraId="41793DF1" w14:textId="77777777" w:rsidR="00D778AF" w:rsidRPr="00D778AF" w:rsidRDefault="00D778AF" w:rsidP="00D778AF">
            <w:pPr>
              <w:spacing w:before="0" w:after="0" w:line="240" w:lineRule="auto"/>
              <w:rPr>
                <w:rFonts w:ascii="Arial" w:hAnsi="Arial" w:cs="Arial"/>
                <w:color w:val="000000"/>
                <w:sz w:val="16"/>
                <w:szCs w:val="16"/>
              </w:rPr>
            </w:pPr>
            <w:r w:rsidRPr="00D778AF">
              <w:rPr>
                <w:rFonts w:ascii="Arial" w:hAnsi="Arial" w:cs="Arial"/>
                <w:color w:val="000000"/>
                <w:sz w:val="16"/>
                <w:szCs w:val="16"/>
              </w:rPr>
              <w:t> </w:t>
            </w:r>
          </w:p>
        </w:tc>
        <w:tc>
          <w:tcPr>
            <w:tcW w:w="549" w:type="pct"/>
            <w:tcBorders>
              <w:top w:val="nil"/>
              <w:left w:val="nil"/>
              <w:bottom w:val="nil"/>
              <w:right w:val="nil"/>
            </w:tcBorders>
            <w:shd w:val="clear" w:color="000000" w:fill="FFFFFF"/>
            <w:noWrap/>
            <w:vAlign w:val="center"/>
            <w:hideMark/>
          </w:tcPr>
          <w:p w14:paraId="634A2B8D" w14:textId="77777777" w:rsidR="00D778AF" w:rsidRPr="00D778AF" w:rsidRDefault="00D778AF" w:rsidP="00D778AF">
            <w:pPr>
              <w:spacing w:before="0" w:after="0" w:line="240" w:lineRule="auto"/>
              <w:rPr>
                <w:rFonts w:ascii="Arial" w:hAnsi="Arial" w:cs="Arial"/>
                <w:color w:val="000000"/>
                <w:sz w:val="16"/>
                <w:szCs w:val="16"/>
              </w:rPr>
            </w:pPr>
            <w:r w:rsidRPr="00D778AF">
              <w:rPr>
                <w:rFonts w:ascii="Arial" w:hAnsi="Arial" w:cs="Arial"/>
                <w:color w:val="000000"/>
                <w:sz w:val="16"/>
                <w:szCs w:val="16"/>
              </w:rPr>
              <w:t> </w:t>
            </w:r>
          </w:p>
        </w:tc>
        <w:tc>
          <w:tcPr>
            <w:tcW w:w="549" w:type="pct"/>
            <w:tcBorders>
              <w:top w:val="nil"/>
              <w:left w:val="nil"/>
              <w:bottom w:val="nil"/>
              <w:right w:val="nil"/>
            </w:tcBorders>
            <w:shd w:val="clear" w:color="000000" w:fill="E6F2FF"/>
            <w:noWrap/>
            <w:vAlign w:val="center"/>
            <w:hideMark/>
          </w:tcPr>
          <w:p w14:paraId="2F75BABB" w14:textId="77777777" w:rsidR="00D778AF" w:rsidRPr="00D778AF" w:rsidRDefault="00D778AF" w:rsidP="00D778AF">
            <w:pPr>
              <w:spacing w:before="0" w:after="0" w:line="240" w:lineRule="auto"/>
              <w:rPr>
                <w:rFonts w:ascii="Arial" w:hAnsi="Arial" w:cs="Arial"/>
                <w:color w:val="000000"/>
                <w:sz w:val="16"/>
                <w:szCs w:val="16"/>
              </w:rPr>
            </w:pPr>
            <w:r w:rsidRPr="00D778AF">
              <w:rPr>
                <w:rFonts w:ascii="Arial" w:hAnsi="Arial" w:cs="Arial"/>
                <w:color w:val="000000"/>
                <w:sz w:val="16"/>
                <w:szCs w:val="16"/>
              </w:rPr>
              <w:t> </w:t>
            </w:r>
          </w:p>
        </w:tc>
        <w:tc>
          <w:tcPr>
            <w:tcW w:w="549" w:type="pct"/>
            <w:tcBorders>
              <w:top w:val="nil"/>
              <w:left w:val="nil"/>
              <w:bottom w:val="nil"/>
              <w:right w:val="nil"/>
            </w:tcBorders>
            <w:shd w:val="clear" w:color="000000" w:fill="FFFFFF"/>
            <w:noWrap/>
            <w:vAlign w:val="center"/>
            <w:hideMark/>
          </w:tcPr>
          <w:p w14:paraId="52897119" w14:textId="77777777" w:rsidR="00D778AF" w:rsidRPr="00D778AF" w:rsidRDefault="00D778AF" w:rsidP="00D778AF">
            <w:pPr>
              <w:spacing w:before="0" w:after="0" w:line="240" w:lineRule="auto"/>
              <w:rPr>
                <w:rFonts w:ascii="Arial" w:hAnsi="Arial" w:cs="Arial"/>
                <w:color w:val="000000"/>
                <w:sz w:val="16"/>
                <w:szCs w:val="16"/>
              </w:rPr>
            </w:pPr>
            <w:r w:rsidRPr="00D778AF">
              <w:rPr>
                <w:rFonts w:ascii="Arial" w:hAnsi="Arial" w:cs="Arial"/>
                <w:color w:val="000000"/>
                <w:sz w:val="16"/>
                <w:szCs w:val="16"/>
              </w:rPr>
              <w:t> </w:t>
            </w:r>
          </w:p>
        </w:tc>
        <w:tc>
          <w:tcPr>
            <w:tcW w:w="549" w:type="pct"/>
            <w:tcBorders>
              <w:top w:val="nil"/>
              <w:left w:val="nil"/>
              <w:bottom w:val="nil"/>
              <w:right w:val="nil"/>
            </w:tcBorders>
            <w:shd w:val="clear" w:color="000000" w:fill="FFFFFF"/>
            <w:noWrap/>
            <w:vAlign w:val="center"/>
            <w:hideMark/>
          </w:tcPr>
          <w:p w14:paraId="7DC4ABC3" w14:textId="77777777" w:rsidR="00D778AF" w:rsidRPr="00D778AF" w:rsidRDefault="00D778AF" w:rsidP="00D778AF">
            <w:pPr>
              <w:spacing w:before="0" w:after="0" w:line="240" w:lineRule="auto"/>
              <w:rPr>
                <w:rFonts w:ascii="Arial" w:hAnsi="Arial" w:cs="Arial"/>
                <w:color w:val="000000"/>
                <w:sz w:val="16"/>
                <w:szCs w:val="16"/>
              </w:rPr>
            </w:pPr>
            <w:r w:rsidRPr="00D778AF">
              <w:rPr>
                <w:rFonts w:ascii="Arial" w:hAnsi="Arial" w:cs="Arial"/>
                <w:color w:val="000000"/>
                <w:sz w:val="16"/>
                <w:szCs w:val="16"/>
              </w:rPr>
              <w:t> </w:t>
            </w:r>
          </w:p>
        </w:tc>
        <w:tc>
          <w:tcPr>
            <w:tcW w:w="549" w:type="pct"/>
            <w:tcBorders>
              <w:top w:val="nil"/>
              <w:left w:val="nil"/>
              <w:bottom w:val="nil"/>
              <w:right w:val="nil"/>
            </w:tcBorders>
            <w:shd w:val="clear" w:color="000000" w:fill="FFFFFF"/>
            <w:noWrap/>
            <w:vAlign w:val="center"/>
            <w:hideMark/>
          </w:tcPr>
          <w:p w14:paraId="7CFE5651" w14:textId="77777777" w:rsidR="00D778AF" w:rsidRPr="00D778AF" w:rsidRDefault="00D778AF" w:rsidP="00D778AF">
            <w:pPr>
              <w:spacing w:before="0" w:after="0" w:line="240" w:lineRule="auto"/>
              <w:rPr>
                <w:rFonts w:ascii="Arial" w:hAnsi="Arial" w:cs="Arial"/>
                <w:color w:val="000000"/>
                <w:sz w:val="16"/>
                <w:szCs w:val="16"/>
              </w:rPr>
            </w:pPr>
            <w:r w:rsidRPr="00D778AF">
              <w:rPr>
                <w:rFonts w:ascii="Arial" w:hAnsi="Arial" w:cs="Arial"/>
                <w:color w:val="000000"/>
                <w:sz w:val="16"/>
                <w:szCs w:val="16"/>
              </w:rPr>
              <w:t> </w:t>
            </w:r>
          </w:p>
        </w:tc>
      </w:tr>
      <w:tr w:rsidR="00CC078D" w:rsidRPr="00D778AF" w14:paraId="14117254" w14:textId="77777777" w:rsidTr="00D778AF">
        <w:trPr>
          <w:trHeight w:hRule="exact" w:val="225"/>
        </w:trPr>
        <w:tc>
          <w:tcPr>
            <w:tcW w:w="2182" w:type="pct"/>
            <w:tcBorders>
              <w:top w:val="nil"/>
              <w:left w:val="nil"/>
              <w:bottom w:val="nil"/>
              <w:right w:val="nil"/>
            </w:tcBorders>
            <w:shd w:val="clear" w:color="000000" w:fill="FFFFFF"/>
            <w:noWrap/>
            <w:vAlign w:val="center"/>
            <w:hideMark/>
          </w:tcPr>
          <w:p w14:paraId="3F69491A" w14:textId="77777777" w:rsidR="00D778AF" w:rsidRPr="00D778AF" w:rsidRDefault="00D778AF" w:rsidP="00D778AF">
            <w:pPr>
              <w:spacing w:before="0" w:after="0" w:line="240" w:lineRule="auto"/>
              <w:ind w:left="170"/>
              <w:rPr>
                <w:rFonts w:ascii="Arial" w:hAnsi="Arial" w:cs="Arial"/>
                <w:color w:val="000000"/>
                <w:sz w:val="16"/>
                <w:szCs w:val="16"/>
              </w:rPr>
            </w:pPr>
            <w:r w:rsidRPr="00D778AF">
              <w:rPr>
                <w:rFonts w:ascii="Arial" w:hAnsi="Arial" w:cs="Arial"/>
                <w:color w:val="000000"/>
                <w:sz w:val="16"/>
                <w:szCs w:val="16"/>
              </w:rPr>
              <w:t>Australian exporters and investors</w:t>
            </w:r>
          </w:p>
        </w:tc>
        <w:tc>
          <w:tcPr>
            <w:tcW w:w="72" w:type="pct"/>
            <w:tcBorders>
              <w:top w:val="nil"/>
              <w:left w:val="nil"/>
              <w:bottom w:val="nil"/>
              <w:right w:val="nil"/>
            </w:tcBorders>
            <w:shd w:val="clear" w:color="000000" w:fill="FFFFFF"/>
            <w:noWrap/>
            <w:vAlign w:val="center"/>
            <w:hideMark/>
          </w:tcPr>
          <w:p w14:paraId="45263706" w14:textId="77777777" w:rsidR="00D778AF" w:rsidRPr="00D778AF" w:rsidRDefault="00D778AF" w:rsidP="00D778AF">
            <w:pPr>
              <w:spacing w:before="0" w:after="0" w:line="240" w:lineRule="auto"/>
              <w:rPr>
                <w:rFonts w:ascii="Arial" w:hAnsi="Arial" w:cs="Arial"/>
                <w:color w:val="000000"/>
                <w:sz w:val="16"/>
                <w:szCs w:val="16"/>
              </w:rPr>
            </w:pPr>
            <w:r w:rsidRPr="00D778AF">
              <w:rPr>
                <w:rFonts w:ascii="Arial" w:hAnsi="Arial" w:cs="Arial"/>
                <w:color w:val="000000"/>
                <w:sz w:val="16"/>
                <w:szCs w:val="16"/>
              </w:rPr>
              <w:t> </w:t>
            </w:r>
          </w:p>
        </w:tc>
        <w:tc>
          <w:tcPr>
            <w:tcW w:w="549" w:type="pct"/>
            <w:tcBorders>
              <w:top w:val="nil"/>
              <w:left w:val="nil"/>
              <w:bottom w:val="nil"/>
              <w:right w:val="nil"/>
            </w:tcBorders>
            <w:shd w:val="clear" w:color="000000" w:fill="FFFFFF"/>
            <w:noWrap/>
            <w:vAlign w:val="center"/>
            <w:hideMark/>
          </w:tcPr>
          <w:p w14:paraId="6619AD14" w14:textId="77777777" w:rsidR="00D778AF" w:rsidRPr="00D778AF" w:rsidRDefault="00D778AF" w:rsidP="00D778AF">
            <w:pPr>
              <w:spacing w:before="0" w:after="0" w:line="240" w:lineRule="auto"/>
              <w:jc w:val="right"/>
              <w:rPr>
                <w:rFonts w:ascii="Arial" w:hAnsi="Arial" w:cs="Arial"/>
                <w:color w:val="000000"/>
                <w:sz w:val="16"/>
                <w:szCs w:val="16"/>
              </w:rPr>
            </w:pPr>
            <w:r w:rsidRPr="00D778AF">
              <w:rPr>
                <w:rFonts w:ascii="Arial" w:hAnsi="Arial" w:cs="Arial"/>
                <w:color w:val="000000"/>
                <w:sz w:val="16"/>
                <w:szCs w:val="16"/>
              </w:rPr>
              <w:t>171</w:t>
            </w:r>
          </w:p>
        </w:tc>
        <w:tc>
          <w:tcPr>
            <w:tcW w:w="549" w:type="pct"/>
            <w:tcBorders>
              <w:top w:val="nil"/>
              <w:left w:val="nil"/>
              <w:bottom w:val="nil"/>
              <w:right w:val="nil"/>
            </w:tcBorders>
            <w:shd w:val="clear" w:color="000000" w:fill="E6F2FF"/>
            <w:noWrap/>
            <w:vAlign w:val="center"/>
            <w:hideMark/>
          </w:tcPr>
          <w:p w14:paraId="0211D88C" w14:textId="77777777" w:rsidR="00D778AF" w:rsidRPr="00D778AF" w:rsidRDefault="00D778AF" w:rsidP="00D778AF">
            <w:pPr>
              <w:spacing w:before="0" w:after="0" w:line="240" w:lineRule="auto"/>
              <w:jc w:val="right"/>
              <w:rPr>
                <w:rFonts w:ascii="Arial" w:hAnsi="Arial" w:cs="Arial"/>
                <w:color w:val="000000"/>
                <w:sz w:val="16"/>
                <w:szCs w:val="16"/>
              </w:rPr>
            </w:pPr>
            <w:r w:rsidRPr="00D778AF">
              <w:rPr>
                <w:rFonts w:ascii="Arial" w:hAnsi="Arial" w:cs="Arial"/>
                <w:color w:val="000000"/>
                <w:sz w:val="16"/>
                <w:szCs w:val="16"/>
              </w:rPr>
              <w:t>258</w:t>
            </w:r>
          </w:p>
        </w:tc>
        <w:tc>
          <w:tcPr>
            <w:tcW w:w="549" w:type="pct"/>
            <w:tcBorders>
              <w:top w:val="nil"/>
              <w:left w:val="nil"/>
              <w:bottom w:val="nil"/>
              <w:right w:val="nil"/>
            </w:tcBorders>
            <w:shd w:val="clear" w:color="000000" w:fill="FFFFFF"/>
            <w:noWrap/>
            <w:vAlign w:val="center"/>
            <w:hideMark/>
          </w:tcPr>
          <w:p w14:paraId="01AD2524" w14:textId="77777777" w:rsidR="00D778AF" w:rsidRPr="00D778AF" w:rsidRDefault="00D778AF" w:rsidP="00D778AF">
            <w:pPr>
              <w:spacing w:before="0" w:after="0" w:line="240" w:lineRule="auto"/>
              <w:jc w:val="right"/>
              <w:rPr>
                <w:rFonts w:ascii="Arial" w:hAnsi="Arial" w:cs="Arial"/>
                <w:color w:val="000000"/>
                <w:sz w:val="16"/>
                <w:szCs w:val="16"/>
              </w:rPr>
            </w:pPr>
            <w:r w:rsidRPr="00D778AF">
              <w:rPr>
                <w:rFonts w:ascii="Arial" w:hAnsi="Arial" w:cs="Arial"/>
                <w:color w:val="000000"/>
                <w:sz w:val="16"/>
                <w:szCs w:val="16"/>
              </w:rPr>
              <w:t>245</w:t>
            </w:r>
          </w:p>
        </w:tc>
        <w:tc>
          <w:tcPr>
            <w:tcW w:w="549" w:type="pct"/>
            <w:tcBorders>
              <w:top w:val="nil"/>
              <w:left w:val="nil"/>
              <w:bottom w:val="nil"/>
              <w:right w:val="nil"/>
            </w:tcBorders>
            <w:shd w:val="clear" w:color="000000" w:fill="FFFFFF"/>
            <w:noWrap/>
            <w:vAlign w:val="center"/>
            <w:hideMark/>
          </w:tcPr>
          <w:p w14:paraId="6A7684FC" w14:textId="77777777" w:rsidR="00D778AF" w:rsidRPr="00D778AF" w:rsidRDefault="00D778AF" w:rsidP="00D778AF">
            <w:pPr>
              <w:spacing w:before="0" w:after="0" w:line="240" w:lineRule="auto"/>
              <w:jc w:val="right"/>
              <w:rPr>
                <w:rFonts w:ascii="Arial" w:hAnsi="Arial" w:cs="Arial"/>
                <w:color w:val="000000"/>
                <w:sz w:val="16"/>
                <w:szCs w:val="16"/>
              </w:rPr>
            </w:pPr>
            <w:r w:rsidRPr="00D778AF">
              <w:rPr>
                <w:rFonts w:ascii="Arial" w:hAnsi="Arial" w:cs="Arial"/>
                <w:color w:val="000000"/>
                <w:sz w:val="16"/>
                <w:szCs w:val="16"/>
              </w:rPr>
              <w:t>293</w:t>
            </w:r>
          </w:p>
        </w:tc>
        <w:tc>
          <w:tcPr>
            <w:tcW w:w="549" w:type="pct"/>
            <w:tcBorders>
              <w:top w:val="nil"/>
              <w:left w:val="nil"/>
              <w:bottom w:val="nil"/>
              <w:right w:val="nil"/>
            </w:tcBorders>
            <w:shd w:val="clear" w:color="000000" w:fill="FFFFFF"/>
            <w:noWrap/>
            <w:vAlign w:val="center"/>
            <w:hideMark/>
          </w:tcPr>
          <w:p w14:paraId="5FD89D25" w14:textId="77777777" w:rsidR="00D778AF" w:rsidRPr="00D778AF" w:rsidRDefault="00D778AF" w:rsidP="00D778AF">
            <w:pPr>
              <w:spacing w:before="0" w:after="0" w:line="240" w:lineRule="auto"/>
              <w:jc w:val="right"/>
              <w:rPr>
                <w:rFonts w:ascii="Arial" w:hAnsi="Arial" w:cs="Arial"/>
                <w:color w:val="000000"/>
                <w:sz w:val="16"/>
                <w:szCs w:val="16"/>
              </w:rPr>
            </w:pPr>
            <w:r w:rsidRPr="00D778AF">
              <w:rPr>
                <w:rFonts w:ascii="Arial" w:hAnsi="Arial" w:cs="Arial"/>
                <w:color w:val="000000"/>
                <w:sz w:val="16"/>
                <w:szCs w:val="16"/>
              </w:rPr>
              <w:t>257</w:t>
            </w:r>
          </w:p>
        </w:tc>
      </w:tr>
      <w:tr w:rsidR="00CC078D" w:rsidRPr="00D778AF" w14:paraId="3D149BC5" w14:textId="77777777" w:rsidTr="00D778AF">
        <w:trPr>
          <w:trHeight w:hRule="exact" w:val="225"/>
        </w:trPr>
        <w:tc>
          <w:tcPr>
            <w:tcW w:w="2182" w:type="pct"/>
            <w:tcBorders>
              <w:top w:val="nil"/>
              <w:left w:val="nil"/>
              <w:bottom w:val="nil"/>
              <w:right w:val="nil"/>
            </w:tcBorders>
            <w:shd w:val="clear" w:color="000000" w:fill="FFFFFF"/>
            <w:noWrap/>
            <w:vAlign w:val="center"/>
            <w:hideMark/>
          </w:tcPr>
          <w:p w14:paraId="7C5BCAD7" w14:textId="77777777" w:rsidR="00D778AF" w:rsidRPr="00D778AF" w:rsidRDefault="00D778AF" w:rsidP="00D778AF">
            <w:pPr>
              <w:spacing w:before="0" w:after="0" w:line="240" w:lineRule="auto"/>
              <w:rPr>
                <w:rFonts w:ascii="Arial" w:hAnsi="Arial" w:cs="Arial"/>
                <w:color w:val="000000"/>
                <w:sz w:val="16"/>
                <w:szCs w:val="16"/>
              </w:rPr>
            </w:pPr>
            <w:r w:rsidRPr="00D778AF">
              <w:rPr>
                <w:rFonts w:ascii="Arial" w:hAnsi="Arial" w:cs="Arial"/>
                <w:color w:val="000000"/>
                <w:sz w:val="16"/>
                <w:szCs w:val="16"/>
              </w:rPr>
              <w:t>Other</w:t>
            </w:r>
          </w:p>
        </w:tc>
        <w:tc>
          <w:tcPr>
            <w:tcW w:w="72" w:type="pct"/>
            <w:tcBorders>
              <w:top w:val="nil"/>
              <w:left w:val="nil"/>
              <w:bottom w:val="nil"/>
              <w:right w:val="nil"/>
            </w:tcBorders>
            <w:shd w:val="clear" w:color="000000" w:fill="FFFFFF"/>
            <w:noWrap/>
            <w:vAlign w:val="center"/>
            <w:hideMark/>
          </w:tcPr>
          <w:p w14:paraId="6881A180" w14:textId="77777777" w:rsidR="00D778AF" w:rsidRPr="00D778AF" w:rsidRDefault="00D778AF" w:rsidP="00D778AF">
            <w:pPr>
              <w:spacing w:before="0" w:after="0" w:line="240" w:lineRule="auto"/>
              <w:rPr>
                <w:rFonts w:ascii="Arial" w:hAnsi="Arial" w:cs="Arial"/>
                <w:color w:val="000000"/>
                <w:sz w:val="16"/>
                <w:szCs w:val="16"/>
              </w:rPr>
            </w:pPr>
            <w:r w:rsidRPr="00D778AF">
              <w:rPr>
                <w:rFonts w:ascii="Arial" w:hAnsi="Arial" w:cs="Arial"/>
                <w:color w:val="000000"/>
                <w:sz w:val="16"/>
                <w:szCs w:val="16"/>
              </w:rPr>
              <w:t> </w:t>
            </w:r>
          </w:p>
        </w:tc>
        <w:tc>
          <w:tcPr>
            <w:tcW w:w="549" w:type="pct"/>
            <w:tcBorders>
              <w:top w:val="nil"/>
              <w:left w:val="nil"/>
              <w:bottom w:val="single" w:sz="4" w:space="0" w:color="293F5B"/>
              <w:right w:val="nil"/>
            </w:tcBorders>
            <w:shd w:val="clear" w:color="000000" w:fill="FFFFFF"/>
            <w:noWrap/>
            <w:vAlign w:val="center"/>
            <w:hideMark/>
          </w:tcPr>
          <w:p w14:paraId="501D8E08" w14:textId="77777777" w:rsidR="00D778AF" w:rsidRPr="00D778AF" w:rsidRDefault="00D778AF" w:rsidP="00D778AF">
            <w:pPr>
              <w:spacing w:before="0" w:after="0" w:line="240" w:lineRule="auto"/>
              <w:jc w:val="right"/>
              <w:rPr>
                <w:rFonts w:ascii="Arial" w:hAnsi="Arial" w:cs="Arial"/>
                <w:color w:val="000000"/>
                <w:sz w:val="16"/>
                <w:szCs w:val="16"/>
              </w:rPr>
            </w:pPr>
            <w:r w:rsidRPr="00D778AF">
              <w:rPr>
                <w:rFonts w:ascii="Arial" w:hAnsi="Arial" w:cs="Arial"/>
                <w:color w:val="000000"/>
                <w:sz w:val="16"/>
                <w:szCs w:val="16"/>
              </w:rPr>
              <w:t>156</w:t>
            </w:r>
          </w:p>
        </w:tc>
        <w:tc>
          <w:tcPr>
            <w:tcW w:w="549" w:type="pct"/>
            <w:tcBorders>
              <w:top w:val="nil"/>
              <w:left w:val="nil"/>
              <w:bottom w:val="single" w:sz="4" w:space="0" w:color="293F5B"/>
              <w:right w:val="nil"/>
            </w:tcBorders>
            <w:shd w:val="clear" w:color="000000" w:fill="E6F2FF"/>
            <w:noWrap/>
            <w:vAlign w:val="center"/>
            <w:hideMark/>
          </w:tcPr>
          <w:p w14:paraId="18DE9D47" w14:textId="77777777" w:rsidR="00D778AF" w:rsidRPr="00D778AF" w:rsidRDefault="00D778AF" w:rsidP="00D778AF">
            <w:pPr>
              <w:spacing w:before="0" w:after="0" w:line="240" w:lineRule="auto"/>
              <w:jc w:val="right"/>
              <w:rPr>
                <w:rFonts w:ascii="Arial" w:hAnsi="Arial" w:cs="Arial"/>
                <w:color w:val="000000"/>
                <w:sz w:val="16"/>
                <w:szCs w:val="16"/>
              </w:rPr>
            </w:pPr>
            <w:r w:rsidRPr="00D778AF">
              <w:rPr>
                <w:rFonts w:ascii="Arial" w:hAnsi="Arial" w:cs="Arial"/>
                <w:color w:val="000000"/>
                <w:sz w:val="16"/>
                <w:szCs w:val="16"/>
              </w:rPr>
              <w:t>183</w:t>
            </w:r>
          </w:p>
        </w:tc>
        <w:tc>
          <w:tcPr>
            <w:tcW w:w="549" w:type="pct"/>
            <w:tcBorders>
              <w:top w:val="nil"/>
              <w:left w:val="nil"/>
              <w:bottom w:val="single" w:sz="4" w:space="0" w:color="293F5B"/>
              <w:right w:val="nil"/>
            </w:tcBorders>
            <w:shd w:val="clear" w:color="000000" w:fill="FFFFFF"/>
            <w:noWrap/>
            <w:vAlign w:val="center"/>
            <w:hideMark/>
          </w:tcPr>
          <w:p w14:paraId="2F447480" w14:textId="77777777" w:rsidR="00D778AF" w:rsidRPr="00D778AF" w:rsidRDefault="00D778AF" w:rsidP="00D778AF">
            <w:pPr>
              <w:spacing w:before="0" w:after="0" w:line="240" w:lineRule="auto"/>
              <w:jc w:val="right"/>
              <w:rPr>
                <w:rFonts w:ascii="Arial" w:hAnsi="Arial" w:cs="Arial"/>
                <w:color w:val="000000"/>
                <w:sz w:val="16"/>
                <w:szCs w:val="16"/>
              </w:rPr>
            </w:pPr>
            <w:r w:rsidRPr="00D778AF">
              <w:rPr>
                <w:rFonts w:ascii="Arial" w:hAnsi="Arial" w:cs="Arial"/>
                <w:color w:val="000000"/>
                <w:sz w:val="16"/>
                <w:szCs w:val="16"/>
              </w:rPr>
              <w:t>184</w:t>
            </w:r>
          </w:p>
        </w:tc>
        <w:tc>
          <w:tcPr>
            <w:tcW w:w="549" w:type="pct"/>
            <w:tcBorders>
              <w:top w:val="nil"/>
              <w:left w:val="nil"/>
              <w:bottom w:val="single" w:sz="4" w:space="0" w:color="293F5B"/>
              <w:right w:val="nil"/>
            </w:tcBorders>
            <w:shd w:val="clear" w:color="000000" w:fill="FFFFFF"/>
            <w:noWrap/>
            <w:vAlign w:val="center"/>
            <w:hideMark/>
          </w:tcPr>
          <w:p w14:paraId="703625D1" w14:textId="77777777" w:rsidR="00D778AF" w:rsidRPr="00D778AF" w:rsidRDefault="00D778AF" w:rsidP="00D778AF">
            <w:pPr>
              <w:spacing w:before="0" w:after="0" w:line="240" w:lineRule="auto"/>
              <w:jc w:val="right"/>
              <w:rPr>
                <w:rFonts w:ascii="Arial" w:hAnsi="Arial" w:cs="Arial"/>
                <w:color w:val="000000"/>
                <w:sz w:val="16"/>
                <w:szCs w:val="16"/>
              </w:rPr>
            </w:pPr>
            <w:r w:rsidRPr="00D778AF">
              <w:rPr>
                <w:rFonts w:ascii="Arial" w:hAnsi="Arial" w:cs="Arial"/>
                <w:color w:val="000000"/>
                <w:sz w:val="16"/>
                <w:szCs w:val="16"/>
              </w:rPr>
              <w:t>164</w:t>
            </w:r>
          </w:p>
        </w:tc>
        <w:tc>
          <w:tcPr>
            <w:tcW w:w="549" w:type="pct"/>
            <w:tcBorders>
              <w:top w:val="nil"/>
              <w:left w:val="nil"/>
              <w:bottom w:val="single" w:sz="4" w:space="0" w:color="293F5B"/>
              <w:right w:val="nil"/>
            </w:tcBorders>
            <w:shd w:val="clear" w:color="000000" w:fill="FFFFFF"/>
            <w:noWrap/>
            <w:vAlign w:val="center"/>
            <w:hideMark/>
          </w:tcPr>
          <w:p w14:paraId="6855C287" w14:textId="77777777" w:rsidR="00D778AF" w:rsidRPr="00D778AF" w:rsidRDefault="00D778AF" w:rsidP="00D778AF">
            <w:pPr>
              <w:spacing w:before="0" w:after="0" w:line="240" w:lineRule="auto"/>
              <w:jc w:val="right"/>
              <w:rPr>
                <w:rFonts w:ascii="Arial" w:hAnsi="Arial" w:cs="Arial"/>
                <w:color w:val="000000"/>
                <w:sz w:val="16"/>
                <w:szCs w:val="16"/>
              </w:rPr>
            </w:pPr>
            <w:r w:rsidRPr="00D778AF">
              <w:rPr>
                <w:rFonts w:ascii="Arial" w:hAnsi="Arial" w:cs="Arial"/>
                <w:color w:val="000000"/>
                <w:sz w:val="16"/>
                <w:szCs w:val="16"/>
              </w:rPr>
              <w:t>146</w:t>
            </w:r>
          </w:p>
        </w:tc>
      </w:tr>
      <w:tr w:rsidR="00CC078D" w:rsidRPr="00D778AF" w14:paraId="1983B5C9" w14:textId="77777777" w:rsidTr="003D0A79">
        <w:trPr>
          <w:trHeight w:hRule="exact" w:val="225"/>
        </w:trPr>
        <w:tc>
          <w:tcPr>
            <w:tcW w:w="2182" w:type="pct"/>
            <w:tcBorders>
              <w:top w:val="nil"/>
              <w:left w:val="nil"/>
              <w:bottom w:val="single" w:sz="4" w:space="0" w:color="293F5B"/>
              <w:right w:val="nil"/>
            </w:tcBorders>
            <w:shd w:val="clear" w:color="000000" w:fill="FFFFFF"/>
            <w:noWrap/>
            <w:vAlign w:val="center"/>
            <w:hideMark/>
          </w:tcPr>
          <w:p w14:paraId="5AA8AF87" w14:textId="77777777" w:rsidR="00D778AF" w:rsidRPr="00D778AF" w:rsidRDefault="00D778AF" w:rsidP="00D778AF">
            <w:pPr>
              <w:spacing w:before="0" w:after="0" w:line="240" w:lineRule="auto"/>
              <w:rPr>
                <w:rFonts w:ascii="Arial" w:hAnsi="Arial" w:cs="Arial"/>
                <w:b/>
                <w:bCs/>
                <w:color w:val="000000"/>
                <w:sz w:val="16"/>
                <w:szCs w:val="16"/>
              </w:rPr>
            </w:pPr>
            <w:r w:rsidRPr="00D778AF">
              <w:rPr>
                <w:rFonts w:ascii="Arial" w:hAnsi="Arial" w:cs="Arial"/>
                <w:b/>
                <w:bCs/>
                <w:color w:val="000000"/>
                <w:sz w:val="16"/>
                <w:szCs w:val="16"/>
              </w:rPr>
              <w:t>Total</w:t>
            </w:r>
          </w:p>
        </w:tc>
        <w:tc>
          <w:tcPr>
            <w:tcW w:w="72" w:type="pct"/>
            <w:tcBorders>
              <w:top w:val="nil"/>
              <w:left w:val="nil"/>
              <w:bottom w:val="single" w:sz="4" w:space="0" w:color="293F5B"/>
              <w:right w:val="nil"/>
            </w:tcBorders>
            <w:shd w:val="clear" w:color="000000" w:fill="FFFFFF"/>
            <w:noWrap/>
            <w:vAlign w:val="center"/>
            <w:hideMark/>
          </w:tcPr>
          <w:p w14:paraId="1462BB84" w14:textId="77777777" w:rsidR="00D778AF" w:rsidRPr="00D778AF" w:rsidRDefault="00D778AF" w:rsidP="00D778AF">
            <w:pPr>
              <w:spacing w:before="0" w:after="0" w:line="240" w:lineRule="auto"/>
              <w:rPr>
                <w:rFonts w:ascii="Arial" w:hAnsi="Arial" w:cs="Arial"/>
                <w:b/>
                <w:bCs/>
                <w:color w:val="000000"/>
                <w:sz w:val="16"/>
                <w:szCs w:val="16"/>
              </w:rPr>
            </w:pPr>
            <w:r w:rsidRPr="00D778AF">
              <w:rPr>
                <w:rFonts w:ascii="Arial" w:hAnsi="Arial" w:cs="Arial"/>
                <w:b/>
                <w:bCs/>
                <w:color w:val="000000"/>
                <w:sz w:val="16"/>
                <w:szCs w:val="16"/>
              </w:rPr>
              <w:t> </w:t>
            </w:r>
          </w:p>
        </w:tc>
        <w:tc>
          <w:tcPr>
            <w:tcW w:w="549" w:type="pct"/>
            <w:tcBorders>
              <w:top w:val="single" w:sz="4" w:space="0" w:color="293F5B"/>
              <w:left w:val="nil"/>
              <w:bottom w:val="single" w:sz="4" w:space="0" w:color="293F5B"/>
              <w:right w:val="nil"/>
            </w:tcBorders>
            <w:shd w:val="clear" w:color="000000" w:fill="FFFFFF"/>
            <w:noWrap/>
            <w:vAlign w:val="center"/>
            <w:hideMark/>
          </w:tcPr>
          <w:p w14:paraId="2AC078E4" w14:textId="77777777" w:rsidR="00D778AF" w:rsidRPr="00D778AF" w:rsidRDefault="00D778AF" w:rsidP="00D778AF">
            <w:pPr>
              <w:spacing w:before="0" w:after="0" w:line="240" w:lineRule="auto"/>
              <w:jc w:val="right"/>
              <w:rPr>
                <w:rFonts w:ascii="Arial" w:hAnsi="Arial" w:cs="Arial"/>
                <w:b/>
                <w:bCs/>
                <w:color w:val="000000"/>
                <w:sz w:val="16"/>
                <w:szCs w:val="16"/>
              </w:rPr>
            </w:pPr>
            <w:r w:rsidRPr="00D778AF">
              <w:rPr>
                <w:rFonts w:ascii="Arial" w:hAnsi="Arial" w:cs="Arial"/>
                <w:b/>
                <w:bCs/>
                <w:color w:val="000000"/>
                <w:sz w:val="16"/>
                <w:szCs w:val="16"/>
              </w:rPr>
              <w:t>7,282</w:t>
            </w:r>
          </w:p>
        </w:tc>
        <w:tc>
          <w:tcPr>
            <w:tcW w:w="549" w:type="pct"/>
            <w:tcBorders>
              <w:top w:val="single" w:sz="4" w:space="0" w:color="293F5B"/>
              <w:left w:val="nil"/>
              <w:bottom w:val="single" w:sz="4" w:space="0" w:color="293F5B"/>
              <w:right w:val="nil"/>
            </w:tcBorders>
            <w:shd w:val="clear" w:color="000000" w:fill="E6F2FF"/>
            <w:noWrap/>
            <w:vAlign w:val="center"/>
            <w:hideMark/>
          </w:tcPr>
          <w:p w14:paraId="34EA96AD" w14:textId="77777777" w:rsidR="00D778AF" w:rsidRPr="00D778AF" w:rsidRDefault="00D778AF" w:rsidP="00D778AF">
            <w:pPr>
              <w:spacing w:before="0" w:after="0" w:line="240" w:lineRule="auto"/>
              <w:jc w:val="right"/>
              <w:rPr>
                <w:rFonts w:ascii="Arial" w:hAnsi="Arial" w:cs="Arial"/>
                <w:b/>
                <w:bCs/>
                <w:color w:val="000000"/>
                <w:sz w:val="16"/>
                <w:szCs w:val="16"/>
              </w:rPr>
            </w:pPr>
            <w:r w:rsidRPr="00D778AF">
              <w:rPr>
                <w:rFonts w:ascii="Arial" w:hAnsi="Arial" w:cs="Arial"/>
                <w:b/>
                <w:bCs/>
                <w:color w:val="000000"/>
                <w:sz w:val="16"/>
                <w:szCs w:val="16"/>
              </w:rPr>
              <w:t>8,730</w:t>
            </w:r>
          </w:p>
        </w:tc>
        <w:tc>
          <w:tcPr>
            <w:tcW w:w="549" w:type="pct"/>
            <w:tcBorders>
              <w:top w:val="single" w:sz="4" w:space="0" w:color="293F5B"/>
              <w:left w:val="nil"/>
              <w:bottom w:val="single" w:sz="4" w:space="0" w:color="293F5B"/>
              <w:right w:val="nil"/>
            </w:tcBorders>
            <w:shd w:val="clear" w:color="000000" w:fill="FFFFFF"/>
            <w:noWrap/>
            <w:vAlign w:val="center"/>
            <w:hideMark/>
          </w:tcPr>
          <w:p w14:paraId="26A32824" w14:textId="77777777" w:rsidR="00D778AF" w:rsidRPr="00D778AF" w:rsidRDefault="00D778AF" w:rsidP="00D778AF">
            <w:pPr>
              <w:spacing w:before="0" w:after="0" w:line="240" w:lineRule="auto"/>
              <w:jc w:val="right"/>
              <w:rPr>
                <w:rFonts w:ascii="Arial" w:hAnsi="Arial" w:cs="Arial"/>
                <w:b/>
                <w:bCs/>
                <w:color w:val="000000"/>
                <w:sz w:val="16"/>
                <w:szCs w:val="16"/>
              </w:rPr>
            </w:pPr>
            <w:r w:rsidRPr="00D778AF">
              <w:rPr>
                <w:rFonts w:ascii="Arial" w:hAnsi="Arial" w:cs="Arial"/>
                <w:b/>
                <w:bCs/>
                <w:color w:val="000000"/>
                <w:sz w:val="16"/>
                <w:szCs w:val="16"/>
              </w:rPr>
              <w:t>7,667</w:t>
            </w:r>
          </w:p>
        </w:tc>
        <w:tc>
          <w:tcPr>
            <w:tcW w:w="549" w:type="pct"/>
            <w:tcBorders>
              <w:top w:val="single" w:sz="4" w:space="0" w:color="293F5B"/>
              <w:left w:val="nil"/>
              <w:bottom w:val="single" w:sz="4" w:space="0" w:color="293F5B"/>
              <w:right w:val="nil"/>
            </w:tcBorders>
            <w:shd w:val="clear" w:color="000000" w:fill="FFFFFF"/>
            <w:noWrap/>
            <w:vAlign w:val="center"/>
            <w:hideMark/>
          </w:tcPr>
          <w:p w14:paraId="5C47B6E2" w14:textId="77777777" w:rsidR="00D778AF" w:rsidRPr="00D778AF" w:rsidRDefault="00D778AF" w:rsidP="00D778AF">
            <w:pPr>
              <w:spacing w:before="0" w:after="0" w:line="240" w:lineRule="auto"/>
              <w:jc w:val="right"/>
              <w:rPr>
                <w:rFonts w:ascii="Arial" w:hAnsi="Arial" w:cs="Arial"/>
                <w:b/>
                <w:bCs/>
                <w:color w:val="000000"/>
                <w:sz w:val="16"/>
                <w:szCs w:val="16"/>
              </w:rPr>
            </w:pPr>
            <w:r w:rsidRPr="00D778AF">
              <w:rPr>
                <w:rFonts w:ascii="Arial" w:hAnsi="Arial" w:cs="Arial"/>
                <w:b/>
                <w:bCs/>
                <w:color w:val="000000"/>
                <w:sz w:val="16"/>
                <w:szCs w:val="16"/>
              </w:rPr>
              <w:t>8,105</w:t>
            </w:r>
          </w:p>
        </w:tc>
        <w:tc>
          <w:tcPr>
            <w:tcW w:w="549" w:type="pct"/>
            <w:tcBorders>
              <w:top w:val="single" w:sz="4" w:space="0" w:color="293F5B"/>
              <w:left w:val="nil"/>
              <w:bottom w:val="single" w:sz="4" w:space="0" w:color="293F5B"/>
              <w:right w:val="nil"/>
            </w:tcBorders>
            <w:shd w:val="clear" w:color="000000" w:fill="FFFFFF"/>
            <w:noWrap/>
            <w:vAlign w:val="center"/>
            <w:hideMark/>
          </w:tcPr>
          <w:p w14:paraId="463FD2B8" w14:textId="77777777" w:rsidR="00D778AF" w:rsidRPr="00D778AF" w:rsidRDefault="00D778AF" w:rsidP="00D778AF">
            <w:pPr>
              <w:spacing w:before="0" w:after="0" w:line="240" w:lineRule="auto"/>
              <w:jc w:val="right"/>
              <w:rPr>
                <w:rFonts w:ascii="Arial" w:hAnsi="Arial" w:cs="Arial"/>
                <w:b/>
                <w:bCs/>
                <w:color w:val="000000"/>
                <w:sz w:val="16"/>
                <w:szCs w:val="16"/>
              </w:rPr>
            </w:pPr>
            <w:r w:rsidRPr="00D778AF">
              <w:rPr>
                <w:rFonts w:ascii="Arial" w:hAnsi="Arial" w:cs="Arial"/>
                <w:b/>
                <w:bCs/>
                <w:color w:val="000000"/>
                <w:sz w:val="16"/>
                <w:szCs w:val="16"/>
              </w:rPr>
              <w:t>8,632</w:t>
            </w:r>
          </w:p>
        </w:tc>
      </w:tr>
    </w:tbl>
    <w:p w14:paraId="1D4B91FA" w14:textId="112DBC2F" w:rsidR="00C74AAD" w:rsidRDefault="00E006CE" w:rsidP="00E87DDC">
      <w:pPr>
        <w:pStyle w:val="ChartandTableFootnoteAlpha"/>
        <w:numPr>
          <w:ilvl w:val="0"/>
          <w:numId w:val="7"/>
        </w:numPr>
      </w:pPr>
      <w:r w:rsidRPr="000177D7">
        <w:t>The entry for each component includes eliminations for inter</w:t>
      </w:r>
      <w:r w:rsidR="008D4F6B">
        <w:noBreakHyphen/>
      </w:r>
      <w:r w:rsidRPr="000177D7">
        <w:t>agency transactions within that component.</w:t>
      </w:r>
    </w:p>
    <w:p w14:paraId="0D838755" w14:textId="0669CFE6" w:rsidR="00AD1FC2" w:rsidRDefault="00E006CE" w:rsidP="00E87DDC">
      <w:pPr>
        <w:pStyle w:val="ChartandTableFootnoteAlpha"/>
        <w:numPr>
          <w:ilvl w:val="0"/>
          <w:numId w:val="7"/>
        </w:numPr>
      </w:pPr>
      <w:r w:rsidRPr="000177D7">
        <w:t>The foreign aid figures reflect aid spending by the Department of Foreign Affairs and Trade in accrual terms. This differs from the international measure of aid reporting, Official Development Assistance (ODA), which is in cash terms. Aid spending by other entities is usually reflected in other sub</w:t>
      </w:r>
      <w:r w:rsidR="008D4F6B">
        <w:noBreakHyphen/>
      </w:r>
      <w:r w:rsidRPr="000177D7">
        <w:t>functions</w:t>
      </w:r>
      <w:r w:rsidR="00AD1FC2">
        <w:t>.</w:t>
      </w:r>
    </w:p>
    <w:p w14:paraId="7F5567B3" w14:textId="7D43BE68" w:rsidR="00AD1FC2" w:rsidRPr="00AD1FC2" w:rsidRDefault="00AD1FC2" w:rsidP="00E87DDC">
      <w:pPr>
        <w:pStyle w:val="ChartandTableFootnoteAlpha"/>
        <w:numPr>
          <w:ilvl w:val="0"/>
          <w:numId w:val="7"/>
        </w:numPr>
      </w:pPr>
      <w:r>
        <w:t>Diplomacy includes departmental expenditure for the Department of Foreign Affairs and Trade</w:t>
      </w:r>
      <w:r w:rsidR="008D4F6B">
        <w:t>’</w:t>
      </w:r>
      <w:r>
        <w:t xml:space="preserve">s operations, security and IT, overseas property and international climate change engagement. </w:t>
      </w:r>
    </w:p>
    <w:p w14:paraId="7AAE44E1" w14:textId="77777777" w:rsidR="00C74AAD" w:rsidRPr="000177D7" w:rsidRDefault="00C74AAD" w:rsidP="00F2334A">
      <w:pPr>
        <w:pStyle w:val="TableLine"/>
      </w:pPr>
    </w:p>
    <w:p w14:paraId="4B2CF2E8" w14:textId="2A03119A" w:rsidR="009D7C23" w:rsidRDefault="005F7A06" w:rsidP="00F2334A">
      <w:r w:rsidRPr="00101960">
        <w:rPr>
          <w:rStyle w:val="Strong"/>
        </w:rPr>
        <w:t>G</w:t>
      </w:r>
      <w:r w:rsidR="00DD4B68" w:rsidRPr="00101960">
        <w:rPr>
          <w:rStyle w:val="Strong"/>
        </w:rPr>
        <w:t>eneral research</w:t>
      </w:r>
      <w:r w:rsidR="00DD4B68" w:rsidRPr="2C1AA52E">
        <w:rPr>
          <w:szCs w:val="19"/>
        </w:rPr>
        <w:t xml:space="preserve"> </w:t>
      </w:r>
      <w:r>
        <w:rPr>
          <w:szCs w:val="19"/>
        </w:rPr>
        <w:t>expenses</w:t>
      </w:r>
      <w:r w:rsidR="00DD4B68" w:rsidRPr="2C1AA52E">
        <w:rPr>
          <w:szCs w:val="19"/>
        </w:rPr>
        <w:t xml:space="preserve"> are expected to decrease over the period 2024–25 to 2027</w:t>
      </w:r>
      <w:r w:rsidR="00DD4B68">
        <w:rPr>
          <w:szCs w:val="19"/>
        </w:rPr>
        <w:t>–</w:t>
      </w:r>
      <w:r w:rsidR="00DD4B68" w:rsidRPr="2C1AA52E">
        <w:rPr>
          <w:szCs w:val="19"/>
        </w:rPr>
        <w:t>28</w:t>
      </w:r>
      <w:r w:rsidR="00C74AAD">
        <w:rPr>
          <w:szCs w:val="19"/>
        </w:rPr>
        <w:t>,</w:t>
      </w:r>
      <w:r w:rsidR="00DD4B68" w:rsidRPr="2C1AA52E">
        <w:rPr>
          <w:szCs w:val="19"/>
        </w:rPr>
        <w:t xml:space="preserve"> attributable to fluctuations in funding allocated to research infrastructure programs, and </w:t>
      </w:r>
      <w:r w:rsidR="00AD1FC2">
        <w:rPr>
          <w:szCs w:val="19"/>
        </w:rPr>
        <w:t xml:space="preserve">the </w:t>
      </w:r>
      <w:r w:rsidR="00DD4B68" w:rsidRPr="2C1AA52E">
        <w:rPr>
          <w:szCs w:val="19"/>
        </w:rPr>
        <w:t>reprioritisation of funding to realign investment with Government priorities in the Industry portfolio.</w:t>
      </w:r>
    </w:p>
    <w:p w14:paraId="558C4768" w14:textId="26594EB3" w:rsidR="00DD4B68" w:rsidRDefault="00DD4B68" w:rsidP="00F2334A">
      <w:r w:rsidRPr="00F8401A">
        <w:t>Table 6.4.</w:t>
      </w:r>
      <w:r w:rsidR="006020B3">
        <w:t>2</w:t>
      </w:r>
      <w:r w:rsidRPr="00F8401A">
        <w:t xml:space="preserve"> sets out the major components of the </w:t>
      </w:r>
      <w:r w:rsidRPr="00101960">
        <w:rPr>
          <w:rStyle w:val="Strong"/>
        </w:rPr>
        <w:t>general research</w:t>
      </w:r>
      <w:r w:rsidRPr="00F8401A">
        <w:t xml:space="preserve"> sub</w:t>
      </w:r>
      <w:r w:rsidR="008D4F6B">
        <w:noBreakHyphen/>
      </w:r>
      <w:r w:rsidRPr="00F8401A">
        <w:t>function.</w:t>
      </w:r>
    </w:p>
    <w:p w14:paraId="56D6CF18" w14:textId="387C3C9A" w:rsidR="00704CBB" w:rsidRDefault="00930FAB" w:rsidP="00704CBB">
      <w:pPr>
        <w:pStyle w:val="TableHeading"/>
        <w:rPr>
          <w:rFonts w:asciiTheme="minorHAnsi" w:eastAsiaTheme="minorHAnsi" w:hAnsiTheme="minorHAnsi" w:cstheme="minorBidi"/>
          <w:sz w:val="22"/>
          <w:szCs w:val="22"/>
          <w:lang w:eastAsia="en-US"/>
        </w:rPr>
      </w:pPr>
      <w:r>
        <w:lastRenderedPageBreak/>
        <w:t>Table </w:t>
      </w:r>
      <w:r w:rsidRPr="000177D7">
        <w:t>6.4.</w:t>
      </w:r>
      <w:r w:rsidR="006020B3">
        <w:t>2</w:t>
      </w:r>
      <w:r w:rsidRPr="000177D7">
        <w:t>: Trends in the major components of general research sub</w:t>
      </w:r>
      <w:r w:rsidR="008D4F6B">
        <w:noBreakHyphen/>
      </w:r>
      <w:r w:rsidRPr="000177D7">
        <w:t xml:space="preserve">function </w:t>
      </w:r>
      <w:r w:rsidRPr="00BC1B29">
        <w:t>expense</w:t>
      </w:r>
    </w:p>
    <w:tbl>
      <w:tblPr>
        <w:tblW w:w="5000" w:type="pct"/>
        <w:tblCellMar>
          <w:left w:w="0" w:type="dxa"/>
          <w:right w:w="28" w:type="dxa"/>
        </w:tblCellMar>
        <w:tblLook w:val="04A0" w:firstRow="1" w:lastRow="0" w:firstColumn="1" w:lastColumn="0" w:noHBand="0" w:noVBand="1"/>
      </w:tblPr>
      <w:tblGrid>
        <w:gridCol w:w="3366"/>
        <w:gridCol w:w="105"/>
        <w:gridCol w:w="848"/>
        <w:gridCol w:w="848"/>
        <w:gridCol w:w="848"/>
        <w:gridCol w:w="848"/>
        <w:gridCol w:w="847"/>
      </w:tblGrid>
      <w:tr w:rsidR="00704CBB" w:rsidRPr="00704CBB" w14:paraId="37177147" w14:textId="77777777" w:rsidTr="00704CBB">
        <w:trPr>
          <w:trHeight w:hRule="exact" w:val="20"/>
        </w:trPr>
        <w:tc>
          <w:tcPr>
            <w:tcW w:w="2183" w:type="pct"/>
            <w:tcBorders>
              <w:top w:val="nil"/>
              <w:left w:val="nil"/>
              <w:bottom w:val="single" w:sz="4" w:space="0" w:color="293F5B"/>
              <w:right w:val="nil"/>
            </w:tcBorders>
            <w:shd w:val="clear" w:color="000000" w:fill="FFFFFF"/>
            <w:noWrap/>
            <w:vAlign w:val="center"/>
            <w:hideMark/>
          </w:tcPr>
          <w:p w14:paraId="0120AD6E" w14:textId="7D9BA35B" w:rsidR="00704CBB" w:rsidRPr="00704CBB" w:rsidRDefault="00704CBB" w:rsidP="00704CBB">
            <w:pPr>
              <w:spacing w:before="0" w:after="0" w:line="240" w:lineRule="auto"/>
              <w:rPr>
                <w:rFonts w:ascii="Arial" w:hAnsi="Arial" w:cs="Arial"/>
                <w:b/>
                <w:bCs/>
                <w:color w:val="000000"/>
                <w:sz w:val="16"/>
                <w:szCs w:val="16"/>
              </w:rPr>
            </w:pPr>
            <w:r w:rsidRPr="00704CBB">
              <w:rPr>
                <w:rFonts w:ascii="Arial" w:hAnsi="Arial" w:cs="Arial"/>
                <w:b/>
                <w:bCs/>
                <w:color w:val="000000"/>
                <w:sz w:val="16"/>
                <w:szCs w:val="16"/>
              </w:rPr>
              <w:t> </w:t>
            </w:r>
          </w:p>
        </w:tc>
        <w:tc>
          <w:tcPr>
            <w:tcW w:w="68" w:type="pct"/>
            <w:tcBorders>
              <w:top w:val="nil"/>
              <w:left w:val="nil"/>
              <w:bottom w:val="single" w:sz="4" w:space="0" w:color="293F5B"/>
              <w:right w:val="nil"/>
            </w:tcBorders>
            <w:shd w:val="clear" w:color="000000" w:fill="FFFFFF"/>
            <w:noWrap/>
            <w:vAlign w:val="center"/>
            <w:hideMark/>
          </w:tcPr>
          <w:p w14:paraId="5DA9F840" w14:textId="77777777" w:rsidR="00704CBB" w:rsidRPr="00704CBB" w:rsidRDefault="00704CBB" w:rsidP="00704CBB">
            <w:pPr>
              <w:spacing w:before="0" w:after="0" w:line="240" w:lineRule="auto"/>
              <w:rPr>
                <w:rFonts w:ascii="Arial" w:hAnsi="Arial" w:cs="Arial"/>
                <w:b/>
                <w:bCs/>
                <w:color w:val="000000"/>
                <w:sz w:val="16"/>
                <w:szCs w:val="16"/>
              </w:rPr>
            </w:pPr>
            <w:r w:rsidRPr="00704CBB">
              <w:rPr>
                <w:rFonts w:ascii="Arial" w:hAnsi="Arial" w:cs="Arial"/>
                <w:b/>
                <w:bCs/>
                <w:color w:val="000000"/>
                <w:sz w:val="16"/>
                <w:szCs w:val="16"/>
              </w:rPr>
              <w:t> </w:t>
            </w:r>
          </w:p>
        </w:tc>
        <w:tc>
          <w:tcPr>
            <w:tcW w:w="550" w:type="pct"/>
            <w:tcBorders>
              <w:top w:val="nil"/>
              <w:left w:val="nil"/>
              <w:bottom w:val="single" w:sz="4" w:space="0" w:color="293F5B"/>
              <w:right w:val="nil"/>
            </w:tcBorders>
            <w:shd w:val="clear" w:color="000000" w:fill="FFFFFF"/>
            <w:noWrap/>
            <w:vAlign w:val="center"/>
            <w:hideMark/>
          </w:tcPr>
          <w:p w14:paraId="5CA59E4B" w14:textId="77777777" w:rsidR="00704CBB" w:rsidRPr="00704CBB" w:rsidRDefault="00704CBB" w:rsidP="00704CBB">
            <w:pPr>
              <w:spacing w:before="0" w:after="0" w:line="240" w:lineRule="auto"/>
              <w:rPr>
                <w:rFonts w:ascii="Arial" w:hAnsi="Arial" w:cs="Arial"/>
                <w:color w:val="000000"/>
                <w:sz w:val="16"/>
                <w:szCs w:val="16"/>
              </w:rPr>
            </w:pPr>
            <w:r w:rsidRPr="00704CBB">
              <w:rPr>
                <w:rFonts w:ascii="Arial" w:hAnsi="Arial" w:cs="Arial"/>
                <w:color w:val="000000"/>
                <w:sz w:val="16"/>
                <w:szCs w:val="16"/>
              </w:rPr>
              <w:t> </w:t>
            </w:r>
          </w:p>
        </w:tc>
        <w:tc>
          <w:tcPr>
            <w:tcW w:w="550" w:type="pct"/>
            <w:tcBorders>
              <w:top w:val="nil"/>
              <w:left w:val="nil"/>
              <w:bottom w:val="single" w:sz="4" w:space="0" w:color="293F5B"/>
              <w:right w:val="nil"/>
            </w:tcBorders>
            <w:shd w:val="clear" w:color="000000" w:fill="FFFFFF"/>
            <w:noWrap/>
            <w:vAlign w:val="center"/>
            <w:hideMark/>
          </w:tcPr>
          <w:p w14:paraId="58B68FE4" w14:textId="77777777" w:rsidR="00704CBB" w:rsidRPr="00704CBB" w:rsidRDefault="00704CBB" w:rsidP="00704CBB">
            <w:pPr>
              <w:spacing w:before="0" w:after="0" w:line="240" w:lineRule="auto"/>
              <w:rPr>
                <w:rFonts w:ascii="Arial" w:hAnsi="Arial" w:cs="Arial"/>
                <w:color w:val="000000"/>
                <w:sz w:val="16"/>
                <w:szCs w:val="16"/>
              </w:rPr>
            </w:pPr>
            <w:r w:rsidRPr="00704CBB">
              <w:rPr>
                <w:rFonts w:ascii="Arial" w:hAnsi="Arial" w:cs="Arial"/>
                <w:color w:val="000000"/>
                <w:sz w:val="16"/>
                <w:szCs w:val="16"/>
              </w:rPr>
              <w:t> </w:t>
            </w:r>
          </w:p>
        </w:tc>
        <w:tc>
          <w:tcPr>
            <w:tcW w:w="550" w:type="pct"/>
            <w:tcBorders>
              <w:top w:val="nil"/>
              <w:left w:val="nil"/>
              <w:bottom w:val="single" w:sz="4" w:space="0" w:color="293F5B"/>
              <w:right w:val="nil"/>
            </w:tcBorders>
            <w:shd w:val="clear" w:color="000000" w:fill="FFFFFF"/>
            <w:noWrap/>
            <w:vAlign w:val="center"/>
            <w:hideMark/>
          </w:tcPr>
          <w:p w14:paraId="6EBB0633" w14:textId="77777777" w:rsidR="00704CBB" w:rsidRPr="00704CBB" w:rsidRDefault="00704CBB" w:rsidP="00704CBB">
            <w:pPr>
              <w:spacing w:before="0" w:after="0" w:line="240" w:lineRule="auto"/>
              <w:rPr>
                <w:rFonts w:ascii="Arial" w:hAnsi="Arial" w:cs="Arial"/>
                <w:color w:val="000000"/>
                <w:sz w:val="16"/>
                <w:szCs w:val="16"/>
              </w:rPr>
            </w:pPr>
            <w:r w:rsidRPr="00704CBB">
              <w:rPr>
                <w:rFonts w:ascii="Arial" w:hAnsi="Arial" w:cs="Arial"/>
                <w:color w:val="000000"/>
                <w:sz w:val="16"/>
                <w:szCs w:val="16"/>
              </w:rPr>
              <w:t> </w:t>
            </w:r>
          </w:p>
        </w:tc>
        <w:tc>
          <w:tcPr>
            <w:tcW w:w="550" w:type="pct"/>
            <w:tcBorders>
              <w:top w:val="nil"/>
              <w:left w:val="nil"/>
              <w:bottom w:val="single" w:sz="4" w:space="0" w:color="293F5B"/>
              <w:right w:val="nil"/>
            </w:tcBorders>
            <w:shd w:val="clear" w:color="000000" w:fill="FFFFFF"/>
            <w:noWrap/>
            <w:vAlign w:val="center"/>
            <w:hideMark/>
          </w:tcPr>
          <w:p w14:paraId="17E9D3B5" w14:textId="77777777" w:rsidR="00704CBB" w:rsidRPr="00704CBB" w:rsidRDefault="00704CBB" w:rsidP="00704CBB">
            <w:pPr>
              <w:spacing w:before="0" w:after="0" w:line="240" w:lineRule="auto"/>
              <w:rPr>
                <w:rFonts w:ascii="Arial" w:hAnsi="Arial" w:cs="Arial"/>
                <w:color w:val="000000"/>
                <w:sz w:val="16"/>
                <w:szCs w:val="16"/>
              </w:rPr>
            </w:pPr>
            <w:r w:rsidRPr="00704CBB">
              <w:rPr>
                <w:rFonts w:ascii="Arial" w:hAnsi="Arial" w:cs="Arial"/>
                <w:color w:val="000000"/>
                <w:sz w:val="16"/>
                <w:szCs w:val="16"/>
              </w:rPr>
              <w:t> </w:t>
            </w:r>
          </w:p>
        </w:tc>
        <w:tc>
          <w:tcPr>
            <w:tcW w:w="550" w:type="pct"/>
            <w:tcBorders>
              <w:top w:val="nil"/>
              <w:left w:val="nil"/>
              <w:bottom w:val="single" w:sz="4" w:space="0" w:color="293F5B"/>
              <w:right w:val="nil"/>
            </w:tcBorders>
            <w:shd w:val="clear" w:color="000000" w:fill="FFFFFF"/>
            <w:noWrap/>
            <w:vAlign w:val="center"/>
            <w:hideMark/>
          </w:tcPr>
          <w:p w14:paraId="006B7FEE" w14:textId="77777777" w:rsidR="00704CBB" w:rsidRPr="00704CBB" w:rsidRDefault="00704CBB" w:rsidP="00704CBB">
            <w:pPr>
              <w:spacing w:before="0" w:after="0" w:line="240" w:lineRule="auto"/>
              <w:rPr>
                <w:rFonts w:ascii="Arial" w:hAnsi="Arial" w:cs="Arial"/>
                <w:color w:val="000000"/>
                <w:sz w:val="16"/>
                <w:szCs w:val="16"/>
              </w:rPr>
            </w:pPr>
            <w:r w:rsidRPr="00704CBB">
              <w:rPr>
                <w:rFonts w:ascii="Arial" w:hAnsi="Arial" w:cs="Arial"/>
                <w:color w:val="000000"/>
                <w:sz w:val="16"/>
                <w:szCs w:val="16"/>
              </w:rPr>
              <w:t> </w:t>
            </w:r>
          </w:p>
        </w:tc>
      </w:tr>
      <w:tr w:rsidR="00704CBB" w:rsidRPr="00704CBB" w14:paraId="242A97CA" w14:textId="77777777" w:rsidTr="00BC1B29">
        <w:trPr>
          <w:trHeight w:hRule="exact" w:val="226"/>
        </w:trPr>
        <w:tc>
          <w:tcPr>
            <w:tcW w:w="2183" w:type="pct"/>
            <w:tcBorders>
              <w:top w:val="nil"/>
              <w:left w:val="nil"/>
              <w:bottom w:val="nil"/>
              <w:right w:val="nil"/>
            </w:tcBorders>
            <w:shd w:val="clear" w:color="000000" w:fill="FFFFFF"/>
            <w:noWrap/>
            <w:vAlign w:val="center"/>
            <w:hideMark/>
          </w:tcPr>
          <w:p w14:paraId="196183E4" w14:textId="77777777" w:rsidR="00704CBB" w:rsidRPr="00704CBB" w:rsidRDefault="00704CBB" w:rsidP="00704CBB">
            <w:pPr>
              <w:spacing w:before="0" w:after="0" w:line="240" w:lineRule="auto"/>
              <w:rPr>
                <w:rFonts w:ascii="Arial" w:hAnsi="Arial" w:cs="Arial"/>
                <w:b/>
                <w:bCs/>
                <w:color w:val="000000"/>
                <w:sz w:val="16"/>
                <w:szCs w:val="16"/>
              </w:rPr>
            </w:pPr>
            <w:r w:rsidRPr="00704CBB">
              <w:rPr>
                <w:rFonts w:ascii="Arial" w:hAnsi="Arial" w:cs="Arial"/>
                <w:b/>
                <w:bCs/>
                <w:color w:val="000000"/>
                <w:sz w:val="16"/>
                <w:szCs w:val="16"/>
              </w:rPr>
              <w:t>Component(a)</w:t>
            </w:r>
          </w:p>
        </w:tc>
        <w:tc>
          <w:tcPr>
            <w:tcW w:w="68" w:type="pct"/>
            <w:tcBorders>
              <w:top w:val="nil"/>
              <w:left w:val="nil"/>
              <w:bottom w:val="nil"/>
              <w:right w:val="nil"/>
            </w:tcBorders>
            <w:shd w:val="clear" w:color="000000" w:fill="FFFFFF"/>
            <w:noWrap/>
            <w:vAlign w:val="center"/>
            <w:hideMark/>
          </w:tcPr>
          <w:p w14:paraId="4D0D91A0" w14:textId="77777777" w:rsidR="00704CBB" w:rsidRPr="00704CBB" w:rsidRDefault="00704CBB" w:rsidP="00704CBB">
            <w:pPr>
              <w:spacing w:before="0" w:after="0" w:line="240" w:lineRule="auto"/>
              <w:rPr>
                <w:rFonts w:ascii="Arial" w:hAnsi="Arial" w:cs="Arial"/>
                <w:color w:val="000000"/>
                <w:sz w:val="16"/>
                <w:szCs w:val="16"/>
              </w:rPr>
            </w:pPr>
            <w:r w:rsidRPr="00704CBB">
              <w:rPr>
                <w:rFonts w:ascii="Arial" w:hAnsi="Arial" w:cs="Arial"/>
                <w:color w:val="000000"/>
                <w:sz w:val="16"/>
                <w:szCs w:val="16"/>
              </w:rPr>
              <w:t> </w:t>
            </w:r>
          </w:p>
        </w:tc>
        <w:tc>
          <w:tcPr>
            <w:tcW w:w="2748" w:type="pct"/>
            <w:gridSpan w:val="5"/>
            <w:tcBorders>
              <w:top w:val="single" w:sz="4" w:space="0" w:color="293F5B"/>
              <w:left w:val="nil"/>
              <w:bottom w:val="single" w:sz="4" w:space="0" w:color="293F5B"/>
              <w:right w:val="nil"/>
            </w:tcBorders>
            <w:shd w:val="clear" w:color="000000" w:fill="FFFFFF"/>
            <w:noWrap/>
            <w:vAlign w:val="center"/>
            <w:hideMark/>
          </w:tcPr>
          <w:p w14:paraId="1C989220" w14:textId="77777777" w:rsidR="00704CBB" w:rsidRPr="00704CBB" w:rsidRDefault="00704CBB" w:rsidP="00704CBB">
            <w:pPr>
              <w:spacing w:before="0" w:after="0" w:line="240" w:lineRule="auto"/>
              <w:jc w:val="center"/>
              <w:rPr>
                <w:rFonts w:ascii="Arial" w:hAnsi="Arial" w:cs="Arial"/>
                <w:color w:val="000000"/>
                <w:sz w:val="16"/>
                <w:szCs w:val="16"/>
              </w:rPr>
            </w:pPr>
            <w:r w:rsidRPr="00704CBB">
              <w:rPr>
                <w:rFonts w:ascii="Arial" w:hAnsi="Arial" w:cs="Arial"/>
                <w:color w:val="000000"/>
                <w:sz w:val="16"/>
                <w:szCs w:val="16"/>
              </w:rPr>
              <w:t>Estimates</w:t>
            </w:r>
          </w:p>
        </w:tc>
      </w:tr>
      <w:tr w:rsidR="00704CBB" w:rsidRPr="00704CBB" w14:paraId="642FB214" w14:textId="77777777" w:rsidTr="00704CBB">
        <w:trPr>
          <w:trHeight w:hRule="exact" w:val="226"/>
        </w:trPr>
        <w:tc>
          <w:tcPr>
            <w:tcW w:w="2183" w:type="pct"/>
            <w:tcBorders>
              <w:top w:val="nil"/>
              <w:left w:val="nil"/>
              <w:bottom w:val="nil"/>
              <w:right w:val="nil"/>
            </w:tcBorders>
            <w:shd w:val="clear" w:color="000000" w:fill="FFFFFF"/>
            <w:noWrap/>
            <w:vAlign w:val="bottom"/>
            <w:hideMark/>
          </w:tcPr>
          <w:p w14:paraId="110DE2C6" w14:textId="77777777" w:rsidR="00704CBB" w:rsidRPr="00704CBB" w:rsidRDefault="00704CBB" w:rsidP="00704CBB">
            <w:pPr>
              <w:spacing w:before="0" w:after="0" w:line="240" w:lineRule="auto"/>
              <w:rPr>
                <w:rFonts w:ascii="Arial" w:hAnsi="Arial" w:cs="Arial"/>
                <w:color w:val="000000"/>
                <w:sz w:val="16"/>
                <w:szCs w:val="16"/>
              </w:rPr>
            </w:pPr>
            <w:r w:rsidRPr="00704CBB">
              <w:rPr>
                <w:rFonts w:ascii="Arial" w:hAnsi="Arial" w:cs="Arial"/>
                <w:color w:val="000000"/>
                <w:sz w:val="16"/>
                <w:szCs w:val="16"/>
              </w:rPr>
              <w:t> </w:t>
            </w:r>
          </w:p>
        </w:tc>
        <w:tc>
          <w:tcPr>
            <w:tcW w:w="68" w:type="pct"/>
            <w:tcBorders>
              <w:top w:val="nil"/>
              <w:left w:val="nil"/>
              <w:bottom w:val="nil"/>
              <w:right w:val="nil"/>
            </w:tcBorders>
            <w:shd w:val="clear" w:color="000000" w:fill="FFFFFF"/>
            <w:noWrap/>
            <w:vAlign w:val="center"/>
            <w:hideMark/>
          </w:tcPr>
          <w:p w14:paraId="5CC176DB" w14:textId="77777777" w:rsidR="00704CBB" w:rsidRPr="00704CBB" w:rsidRDefault="00704CBB" w:rsidP="00704CBB">
            <w:pPr>
              <w:spacing w:before="0" w:after="0" w:line="240" w:lineRule="auto"/>
              <w:jc w:val="right"/>
              <w:rPr>
                <w:rFonts w:ascii="Arial" w:hAnsi="Arial" w:cs="Arial"/>
                <w:sz w:val="16"/>
                <w:szCs w:val="16"/>
              </w:rPr>
            </w:pPr>
            <w:r w:rsidRPr="00704CBB">
              <w:rPr>
                <w:rFonts w:ascii="Arial" w:hAnsi="Arial" w:cs="Arial"/>
                <w:sz w:val="16"/>
                <w:szCs w:val="16"/>
              </w:rPr>
              <w:t> </w:t>
            </w:r>
          </w:p>
        </w:tc>
        <w:tc>
          <w:tcPr>
            <w:tcW w:w="550" w:type="pct"/>
            <w:tcBorders>
              <w:top w:val="single" w:sz="4" w:space="0" w:color="293F5B"/>
              <w:left w:val="nil"/>
              <w:bottom w:val="nil"/>
              <w:right w:val="nil"/>
            </w:tcBorders>
            <w:shd w:val="clear" w:color="000000" w:fill="FFFFFF"/>
            <w:noWrap/>
            <w:vAlign w:val="center"/>
            <w:hideMark/>
          </w:tcPr>
          <w:p w14:paraId="04F9A0DB" w14:textId="5AF7FC82" w:rsidR="00704CBB" w:rsidRPr="00704CBB" w:rsidRDefault="00704CBB" w:rsidP="00704CBB">
            <w:pPr>
              <w:spacing w:before="0" w:after="0" w:line="240" w:lineRule="auto"/>
              <w:jc w:val="right"/>
              <w:rPr>
                <w:rFonts w:ascii="Arial" w:hAnsi="Arial" w:cs="Arial"/>
                <w:sz w:val="16"/>
                <w:szCs w:val="16"/>
              </w:rPr>
            </w:pPr>
            <w:r w:rsidRPr="00704CBB">
              <w:rPr>
                <w:rFonts w:ascii="Arial" w:hAnsi="Arial" w:cs="Arial"/>
                <w:sz w:val="16"/>
                <w:szCs w:val="16"/>
              </w:rPr>
              <w:t>2023</w:t>
            </w:r>
            <w:r w:rsidR="008D4F6B">
              <w:rPr>
                <w:rFonts w:ascii="Arial" w:hAnsi="Arial" w:cs="Arial"/>
                <w:sz w:val="16"/>
                <w:szCs w:val="16"/>
              </w:rPr>
              <w:noBreakHyphen/>
            </w:r>
            <w:r w:rsidRPr="00704CBB">
              <w:rPr>
                <w:rFonts w:ascii="Arial" w:hAnsi="Arial" w:cs="Arial"/>
                <w:sz w:val="16"/>
                <w:szCs w:val="16"/>
              </w:rPr>
              <w:t>24</w:t>
            </w:r>
          </w:p>
        </w:tc>
        <w:tc>
          <w:tcPr>
            <w:tcW w:w="550" w:type="pct"/>
            <w:tcBorders>
              <w:top w:val="single" w:sz="4" w:space="0" w:color="293F5B"/>
              <w:left w:val="nil"/>
              <w:bottom w:val="nil"/>
              <w:right w:val="nil"/>
            </w:tcBorders>
            <w:shd w:val="clear" w:color="000000" w:fill="E6F2FF"/>
            <w:noWrap/>
            <w:vAlign w:val="center"/>
            <w:hideMark/>
          </w:tcPr>
          <w:p w14:paraId="779C973F" w14:textId="4C2F4CAE" w:rsidR="00704CBB" w:rsidRPr="00704CBB" w:rsidRDefault="00704CBB" w:rsidP="00704CBB">
            <w:pPr>
              <w:spacing w:before="0" w:after="0" w:line="240" w:lineRule="auto"/>
              <w:jc w:val="right"/>
              <w:rPr>
                <w:rFonts w:ascii="Arial" w:hAnsi="Arial" w:cs="Arial"/>
                <w:sz w:val="16"/>
                <w:szCs w:val="16"/>
              </w:rPr>
            </w:pPr>
            <w:r w:rsidRPr="00704CBB">
              <w:rPr>
                <w:rFonts w:ascii="Arial" w:hAnsi="Arial" w:cs="Arial"/>
                <w:sz w:val="16"/>
                <w:szCs w:val="16"/>
              </w:rPr>
              <w:t>2024</w:t>
            </w:r>
            <w:r w:rsidR="008D4F6B">
              <w:rPr>
                <w:rFonts w:ascii="Arial" w:hAnsi="Arial" w:cs="Arial"/>
                <w:sz w:val="16"/>
                <w:szCs w:val="16"/>
              </w:rPr>
              <w:noBreakHyphen/>
            </w:r>
            <w:r w:rsidRPr="00704CBB">
              <w:rPr>
                <w:rFonts w:ascii="Arial" w:hAnsi="Arial" w:cs="Arial"/>
                <w:sz w:val="16"/>
                <w:szCs w:val="16"/>
              </w:rPr>
              <w:t>25</w:t>
            </w:r>
          </w:p>
        </w:tc>
        <w:tc>
          <w:tcPr>
            <w:tcW w:w="550" w:type="pct"/>
            <w:tcBorders>
              <w:top w:val="single" w:sz="4" w:space="0" w:color="293F5B"/>
              <w:left w:val="nil"/>
              <w:bottom w:val="nil"/>
              <w:right w:val="nil"/>
            </w:tcBorders>
            <w:shd w:val="clear" w:color="000000" w:fill="FFFFFF"/>
            <w:noWrap/>
            <w:vAlign w:val="center"/>
            <w:hideMark/>
          </w:tcPr>
          <w:p w14:paraId="4D6333BD" w14:textId="2D8EA131" w:rsidR="00704CBB" w:rsidRPr="00704CBB" w:rsidRDefault="00704CBB" w:rsidP="00704CBB">
            <w:pPr>
              <w:spacing w:before="0" w:after="0" w:line="240" w:lineRule="auto"/>
              <w:jc w:val="right"/>
              <w:rPr>
                <w:rFonts w:ascii="Arial" w:hAnsi="Arial" w:cs="Arial"/>
                <w:sz w:val="16"/>
                <w:szCs w:val="16"/>
              </w:rPr>
            </w:pPr>
            <w:r w:rsidRPr="00704CBB">
              <w:rPr>
                <w:rFonts w:ascii="Arial" w:hAnsi="Arial" w:cs="Arial"/>
                <w:sz w:val="16"/>
                <w:szCs w:val="16"/>
              </w:rPr>
              <w:t>2025</w:t>
            </w:r>
            <w:r w:rsidR="008D4F6B">
              <w:rPr>
                <w:rFonts w:ascii="Arial" w:hAnsi="Arial" w:cs="Arial"/>
                <w:sz w:val="16"/>
                <w:szCs w:val="16"/>
              </w:rPr>
              <w:noBreakHyphen/>
            </w:r>
            <w:r w:rsidRPr="00704CBB">
              <w:rPr>
                <w:rFonts w:ascii="Arial" w:hAnsi="Arial" w:cs="Arial"/>
                <w:sz w:val="16"/>
                <w:szCs w:val="16"/>
              </w:rPr>
              <w:t>26</w:t>
            </w:r>
          </w:p>
        </w:tc>
        <w:tc>
          <w:tcPr>
            <w:tcW w:w="550" w:type="pct"/>
            <w:tcBorders>
              <w:top w:val="single" w:sz="4" w:space="0" w:color="293F5B"/>
              <w:left w:val="nil"/>
              <w:bottom w:val="nil"/>
              <w:right w:val="nil"/>
            </w:tcBorders>
            <w:shd w:val="clear" w:color="000000" w:fill="FFFFFF"/>
            <w:noWrap/>
            <w:vAlign w:val="center"/>
            <w:hideMark/>
          </w:tcPr>
          <w:p w14:paraId="71C4AA35" w14:textId="20306B8C" w:rsidR="00704CBB" w:rsidRPr="00704CBB" w:rsidRDefault="00704CBB" w:rsidP="00704CBB">
            <w:pPr>
              <w:spacing w:before="0" w:after="0" w:line="240" w:lineRule="auto"/>
              <w:jc w:val="right"/>
              <w:rPr>
                <w:rFonts w:ascii="Arial" w:hAnsi="Arial" w:cs="Arial"/>
                <w:sz w:val="16"/>
                <w:szCs w:val="16"/>
              </w:rPr>
            </w:pPr>
            <w:r w:rsidRPr="00704CBB">
              <w:rPr>
                <w:rFonts w:ascii="Arial" w:hAnsi="Arial" w:cs="Arial"/>
                <w:sz w:val="16"/>
                <w:szCs w:val="16"/>
              </w:rPr>
              <w:t>2026</w:t>
            </w:r>
            <w:r w:rsidR="008D4F6B">
              <w:rPr>
                <w:rFonts w:ascii="Arial" w:hAnsi="Arial" w:cs="Arial"/>
                <w:sz w:val="16"/>
                <w:szCs w:val="16"/>
              </w:rPr>
              <w:noBreakHyphen/>
            </w:r>
            <w:r w:rsidRPr="00704CBB">
              <w:rPr>
                <w:rFonts w:ascii="Arial" w:hAnsi="Arial" w:cs="Arial"/>
                <w:sz w:val="16"/>
                <w:szCs w:val="16"/>
              </w:rPr>
              <w:t>27</w:t>
            </w:r>
          </w:p>
        </w:tc>
        <w:tc>
          <w:tcPr>
            <w:tcW w:w="550" w:type="pct"/>
            <w:tcBorders>
              <w:top w:val="single" w:sz="4" w:space="0" w:color="293F5B"/>
              <w:left w:val="nil"/>
              <w:bottom w:val="nil"/>
              <w:right w:val="nil"/>
            </w:tcBorders>
            <w:shd w:val="clear" w:color="000000" w:fill="FFFFFF"/>
            <w:noWrap/>
            <w:vAlign w:val="center"/>
            <w:hideMark/>
          </w:tcPr>
          <w:p w14:paraId="20C29736" w14:textId="532F4B41" w:rsidR="00704CBB" w:rsidRPr="00704CBB" w:rsidRDefault="00704CBB" w:rsidP="00704CBB">
            <w:pPr>
              <w:spacing w:before="0" w:after="0" w:line="240" w:lineRule="auto"/>
              <w:jc w:val="right"/>
              <w:rPr>
                <w:rFonts w:ascii="Arial" w:hAnsi="Arial" w:cs="Arial"/>
                <w:color w:val="000000"/>
                <w:sz w:val="16"/>
                <w:szCs w:val="16"/>
              </w:rPr>
            </w:pPr>
            <w:r w:rsidRPr="00704CBB">
              <w:rPr>
                <w:rFonts w:ascii="Arial" w:hAnsi="Arial" w:cs="Arial"/>
                <w:color w:val="000000"/>
                <w:sz w:val="16"/>
                <w:szCs w:val="16"/>
              </w:rPr>
              <w:t>2027</w:t>
            </w:r>
            <w:r w:rsidR="008D4F6B">
              <w:rPr>
                <w:rFonts w:ascii="Arial" w:hAnsi="Arial" w:cs="Arial"/>
                <w:color w:val="000000"/>
                <w:sz w:val="16"/>
                <w:szCs w:val="16"/>
              </w:rPr>
              <w:noBreakHyphen/>
            </w:r>
            <w:r w:rsidRPr="00704CBB">
              <w:rPr>
                <w:rFonts w:ascii="Arial" w:hAnsi="Arial" w:cs="Arial"/>
                <w:color w:val="000000"/>
                <w:sz w:val="16"/>
                <w:szCs w:val="16"/>
              </w:rPr>
              <w:t>28</w:t>
            </w:r>
          </w:p>
        </w:tc>
      </w:tr>
      <w:tr w:rsidR="00704CBB" w:rsidRPr="00704CBB" w14:paraId="048E192D" w14:textId="77777777" w:rsidTr="00704CBB">
        <w:trPr>
          <w:trHeight w:hRule="exact" w:val="226"/>
        </w:trPr>
        <w:tc>
          <w:tcPr>
            <w:tcW w:w="2183" w:type="pct"/>
            <w:tcBorders>
              <w:top w:val="nil"/>
              <w:left w:val="nil"/>
              <w:bottom w:val="nil"/>
              <w:right w:val="nil"/>
            </w:tcBorders>
            <w:shd w:val="clear" w:color="000000" w:fill="FFFFFF"/>
            <w:noWrap/>
            <w:vAlign w:val="center"/>
            <w:hideMark/>
          </w:tcPr>
          <w:p w14:paraId="14CFA3B4" w14:textId="77777777" w:rsidR="00704CBB" w:rsidRPr="00704CBB" w:rsidRDefault="00704CBB" w:rsidP="00704CBB">
            <w:pPr>
              <w:spacing w:before="0" w:after="0" w:line="240" w:lineRule="auto"/>
              <w:rPr>
                <w:rFonts w:ascii="Arial" w:hAnsi="Arial" w:cs="Arial"/>
                <w:color w:val="000000"/>
                <w:sz w:val="16"/>
                <w:szCs w:val="16"/>
              </w:rPr>
            </w:pPr>
            <w:r w:rsidRPr="00704CBB">
              <w:rPr>
                <w:rFonts w:ascii="Arial" w:hAnsi="Arial" w:cs="Arial"/>
                <w:color w:val="000000"/>
                <w:sz w:val="16"/>
                <w:szCs w:val="16"/>
              </w:rPr>
              <w:t> </w:t>
            </w:r>
          </w:p>
        </w:tc>
        <w:tc>
          <w:tcPr>
            <w:tcW w:w="68" w:type="pct"/>
            <w:tcBorders>
              <w:top w:val="nil"/>
              <w:left w:val="nil"/>
              <w:bottom w:val="nil"/>
              <w:right w:val="nil"/>
            </w:tcBorders>
            <w:shd w:val="clear" w:color="000000" w:fill="FFFFFF"/>
            <w:noWrap/>
            <w:vAlign w:val="center"/>
            <w:hideMark/>
          </w:tcPr>
          <w:p w14:paraId="7CC7DC38" w14:textId="77777777" w:rsidR="00704CBB" w:rsidRPr="00704CBB" w:rsidRDefault="00704CBB" w:rsidP="00704CBB">
            <w:pPr>
              <w:spacing w:before="0" w:after="0" w:line="240" w:lineRule="auto"/>
              <w:jc w:val="right"/>
              <w:rPr>
                <w:rFonts w:ascii="Arial" w:hAnsi="Arial" w:cs="Arial"/>
                <w:color w:val="000000"/>
                <w:sz w:val="16"/>
                <w:szCs w:val="16"/>
              </w:rPr>
            </w:pPr>
            <w:r w:rsidRPr="00704CBB">
              <w:rPr>
                <w:rFonts w:ascii="Arial" w:hAnsi="Arial" w:cs="Arial"/>
                <w:color w:val="000000"/>
                <w:sz w:val="16"/>
                <w:szCs w:val="16"/>
              </w:rPr>
              <w:t> </w:t>
            </w:r>
          </w:p>
        </w:tc>
        <w:tc>
          <w:tcPr>
            <w:tcW w:w="550" w:type="pct"/>
            <w:tcBorders>
              <w:top w:val="nil"/>
              <w:left w:val="nil"/>
              <w:bottom w:val="single" w:sz="4" w:space="0" w:color="293F5B"/>
              <w:right w:val="nil"/>
            </w:tcBorders>
            <w:shd w:val="clear" w:color="000000" w:fill="FFFFFF"/>
            <w:noWrap/>
            <w:vAlign w:val="center"/>
            <w:hideMark/>
          </w:tcPr>
          <w:p w14:paraId="1A585A84" w14:textId="77777777" w:rsidR="00704CBB" w:rsidRPr="00704CBB" w:rsidRDefault="00704CBB" w:rsidP="00704CBB">
            <w:pPr>
              <w:spacing w:before="0" w:after="0" w:line="240" w:lineRule="auto"/>
              <w:jc w:val="right"/>
              <w:rPr>
                <w:rFonts w:ascii="Arial" w:hAnsi="Arial" w:cs="Arial"/>
                <w:color w:val="000000"/>
                <w:sz w:val="16"/>
                <w:szCs w:val="16"/>
              </w:rPr>
            </w:pPr>
            <w:r w:rsidRPr="00704CBB">
              <w:rPr>
                <w:rFonts w:ascii="Arial" w:hAnsi="Arial" w:cs="Arial"/>
                <w:color w:val="000000"/>
                <w:sz w:val="16"/>
                <w:szCs w:val="16"/>
              </w:rPr>
              <w:t>$m</w:t>
            </w:r>
          </w:p>
        </w:tc>
        <w:tc>
          <w:tcPr>
            <w:tcW w:w="550" w:type="pct"/>
            <w:tcBorders>
              <w:top w:val="nil"/>
              <w:left w:val="nil"/>
              <w:bottom w:val="single" w:sz="4" w:space="0" w:color="293F5B"/>
              <w:right w:val="nil"/>
            </w:tcBorders>
            <w:shd w:val="clear" w:color="000000" w:fill="E6F2FF"/>
            <w:noWrap/>
            <w:vAlign w:val="center"/>
            <w:hideMark/>
          </w:tcPr>
          <w:p w14:paraId="4A952B55" w14:textId="77777777" w:rsidR="00704CBB" w:rsidRPr="00704CBB" w:rsidRDefault="00704CBB" w:rsidP="00704CBB">
            <w:pPr>
              <w:spacing w:before="0" w:after="0" w:line="240" w:lineRule="auto"/>
              <w:jc w:val="right"/>
              <w:rPr>
                <w:rFonts w:ascii="Arial" w:hAnsi="Arial" w:cs="Arial"/>
                <w:color w:val="000000"/>
                <w:sz w:val="16"/>
                <w:szCs w:val="16"/>
              </w:rPr>
            </w:pPr>
            <w:r w:rsidRPr="00704CBB">
              <w:rPr>
                <w:rFonts w:ascii="Arial" w:hAnsi="Arial" w:cs="Arial"/>
                <w:color w:val="000000"/>
                <w:sz w:val="16"/>
                <w:szCs w:val="16"/>
              </w:rPr>
              <w:t>$m</w:t>
            </w:r>
          </w:p>
        </w:tc>
        <w:tc>
          <w:tcPr>
            <w:tcW w:w="550" w:type="pct"/>
            <w:tcBorders>
              <w:top w:val="nil"/>
              <w:left w:val="nil"/>
              <w:bottom w:val="single" w:sz="4" w:space="0" w:color="293F5B"/>
              <w:right w:val="nil"/>
            </w:tcBorders>
            <w:shd w:val="clear" w:color="000000" w:fill="FFFFFF"/>
            <w:noWrap/>
            <w:vAlign w:val="center"/>
            <w:hideMark/>
          </w:tcPr>
          <w:p w14:paraId="57AC2A41" w14:textId="77777777" w:rsidR="00704CBB" w:rsidRPr="00704CBB" w:rsidRDefault="00704CBB" w:rsidP="00704CBB">
            <w:pPr>
              <w:spacing w:before="0" w:after="0" w:line="240" w:lineRule="auto"/>
              <w:jc w:val="right"/>
              <w:rPr>
                <w:rFonts w:ascii="Arial" w:hAnsi="Arial" w:cs="Arial"/>
                <w:color w:val="000000"/>
                <w:sz w:val="16"/>
                <w:szCs w:val="16"/>
              </w:rPr>
            </w:pPr>
            <w:r w:rsidRPr="00704CBB">
              <w:rPr>
                <w:rFonts w:ascii="Arial" w:hAnsi="Arial" w:cs="Arial"/>
                <w:color w:val="000000"/>
                <w:sz w:val="16"/>
                <w:szCs w:val="16"/>
              </w:rPr>
              <w:t>$m</w:t>
            </w:r>
          </w:p>
        </w:tc>
        <w:tc>
          <w:tcPr>
            <w:tcW w:w="550" w:type="pct"/>
            <w:tcBorders>
              <w:top w:val="nil"/>
              <w:left w:val="nil"/>
              <w:bottom w:val="single" w:sz="4" w:space="0" w:color="293F5B"/>
              <w:right w:val="nil"/>
            </w:tcBorders>
            <w:shd w:val="clear" w:color="000000" w:fill="FFFFFF"/>
            <w:noWrap/>
            <w:vAlign w:val="center"/>
            <w:hideMark/>
          </w:tcPr>
          <w:p w14:paraId="02DDD94E" w14:textId="77777777" w:rsidR="00704CBB" w:rsidRPr="00704CBB" w:rsidRDefault="00704CBB" w:rsidP="00704CBB">
            <w:pPr>
              <w:spacing w:before="0" w:after="0" w:line="240" w:lineRule="auto"/>
              <w:jc w:val="right"/>
              <w:rPr>
                <w:rFonts w:ascii="Arial" w:hAnsi="Arial" w:cs="Arial"/>
                <w:color w:val="000000"/>
                <w:sz w:val="16"/>
                <w:szCs w:val="16"/>
              </w:rPr>
            </w:pPr>
            <w:r w:rsidRPr="00704CBB">
              <w:rPr>
                <w:rFonts w:ascii="Arial" w:hAnsi="Arial" w:cs="Arial"/>
                <w:color w:val="000000"/>
                <w:sz w:val="16"/>
                <w:szCs w:val="16"/>
              </w:rPr>
              <w:t>$m</w:t>
            </w:r>
          </w:p>
        </w:tc>
        <w:tc>
          <w:tcPr>
            <w:tcW w:w="550" w:type="pct"/>
            <w:tcBorders>
              <w:top w:val="nil"/>
              <w:left w:val="nil"/>
              <w:bottom w:val="single" w:sz="4" w:space="0" w:color="293F5B"/>
              <w:right w:val="nil"/>
            </w:tcBorders>
            <w:shd w:val="clear" w:color="000000" w:fill="FFFFFF"/>
            <w:noWrap/>
            <w:vAlign w:val="center"/>
            <w:hideMark/>
          </w:tcPr>
          <w:p w14:paraId="13E64913" w14:textId="77777777" w:rsidR="00704CBB" w:rsidRPr="00704CBB" w:rsidRDefault="00704CBB" w:rsidP="00704CBB">
            <w:pPr>
              <w:spacing w:before="0" w:after="0" w:line="240" w:lineRule="auto"/>
              <w:jc w:val="right"/>
              <w:rPr>
                <w:rFonts w:ascii="Arial" w:hAnsi="Arial" w:cs="Arial"/>
                <w:color w:val="000000"/>
                <w:sz w:val="16"/>
                <w:szCs w:val="16"/>
              </w:rPr>
            </w:pPr>
            <w:r w:rsidRPr="00704CBB">
              <w:rPr>
                <w:rFonts w:ascii="Arial" w:hAnsi="Arial" w:cs="Arial"/>
                <w:color w:val="000000"/>
                <w:sz w:val="16"/>
                <w:szCs w:val="16"/>
              </w:rPr>
              <w:t>$m</w:t>
            </w:r>
          </w:p>
        </w:tc>
      </w:tr>
      <w:tr w:rsidR="00704CBB" w:rsidRPr="00704CBB" w14:paraId="63F11C2A" w14:textId="77777777" w:rsidTr="00704CBB">
        <w:trPr>
          <w:trHeight w:hRule="exact" w:val="226"/>
        </w:trPr>
        <w:tc>
          <w:tcPr>
            <w:tcW w:w="2183" w:type="pct"/>
            <w:tcBorders>
              <w:top w:val="nil"/>
              <w:left w:val="nil"/>
              <w:bottom w:val="nil"/>
              <w:right w:val="nil"/>
            </w:tcBorders>
            <w:shd w:val="clear" w:color="000000" w:fill="FFFFFF"/>
            <w:noWrap/>
            <w:vAlign w:val="center"/>
            <w:hideMark/>
          </w:tcPr>
          <w:p w14:paraId="5A689176" w14:textId="77777777" w:rsidR="00704CBB" w:rsidRPr="00704CBB" w:rsidRDefault="00704CBB" w:rsidP="00704CBB">
            <w:pPr>
              <w:spacing w:before="0" w:after="0" w:line="240" w:lineRule="auto"/>
              <w:rPr>
                <w:rFonts w:ascii="Arial" w:hAnsi="Arial" w:cs="Arial"/>
                <w:color w:val="000000"/>
                <w:sz w:val="16"/>
                <w:szCs w:val="16"/>
              </w:rPr>
            </w:pPr>
            <w:r w:rsidRPr="00704CBB">
              <w:rPr>
                <w:rFonts w:ascii="Arial" w:hAnsi="Arial" w:cs="Arial"/>
                <w:color w:val="000000"/>
                <w:sz w:val="16"/>
                <w:szCs w:val="16"/>
              </w:rPr>
              <w:t>Research – science services and</w:t>
            </w:r>
          </w:p>
        </w:tc>
        <w:tc>
          <w:tcPr>
            <w:tcW w:w="68" w:type="pct"/>
            <w:tcBorders>
              <w:top w:val="nil"/>
              <w:left w:val="nil"/>
              <w:bottom w:val="nil"/>
              <w:right w:val="nil"/>
            </w:tcBorders>
            <w:shd w:val="clear" w:color="000000" w:fill="FFFFFF"/>
            <w:noWrap/>
            <w:vAlign w:val="center"/>
            <w:hideMark/>
          </w:tcPr>
          <w:p w14:paraId="78A14BF5" w14:textId="77777777" w:rsidR="00704CBB" w:rsidRPr="00704CBB" w:rsidRDefault="00704CBB" w:rsidP="00704CBB">
            <w:pPr>
              <w:spacing w:before="0" w:after="0" w:line="240" w:lineRule="auto"/>
              <w:rPr>
                <w:rFonts w:ascii="Arial" w:hAnsi="Arial" w:cs="Arial"/>
                <w:color w:val="000000"/>
                <w:sz w:val="16"/>
                <w:szCs w:val="16"/>
              </w:rPr>
            </w:pPr>
            <w:r w:rsidRPr="00704CBB">
              <w:rPr>
                <w:rFonts w:ascii="Arial" w:hAnsi="Arial" w:cs="Arial"/>
                <w:color w:val="000000"/>
                <w:sz w:val="16"/>
                <w:szCs w:val="16"/>
              </w:rPr>
              <w:t> </w:t>
            </w:r>
          </w:p>
        </w:tc>
        <w:tc>
          <w:tcPr>
            <w:tcW w:w="550" w:type="pct"/>
            <w:tcBorders>
              <w:top w:val="nil"/>
              <w:left w:val="nil"/>
              <w:bottom w:val="nil"/>
              <w:right w:val="nil"/>
            </w:tcBorders>
            <w:shd w:val="clear" w:color="000000" w:fill="FFFFFF"/>
            <w:noWrap/>
            <w:vAlign w:val="center"/>
            <w:hideMark/>
          </w:tcPr>
          <w:p w14:paraId="5EEBEC04" w14:textId="77777777" w:rsidR="00704CBB" w:rsidRPr="00704CBB" w:rsidRDefault="00704CBB" w:rsidP="00704CBB">
            <w:pPr>
              <w:spacing w:before="0" w:after="0" w:line="240" w:lineRule="auto"/>
              <w:rPr>
                <w:rFonts w:ascii="Arial" w:hAnsi="Arial" w:cs="Arial"/>
                <w:color w:val="000000"/>
                <w:sz w:val="16"/>
                <w:szCs w:val="16"/>
              </w:rPr>
            </w:pPr>
            <w:r w:rsidRPr="00704CBB">
              <w:rPr>
                <w:rFonts w:ascii="Arial" w:hAnsi="Arial" w:cs="Arial"/>
                <w:color w:val="000000"/>
                <w:sz w:val="16"/>
                <w:szCs w:val="16"/>
              </w:rPr>
              <w:t> </w:t>
            </w:r>
          </w:p>
        </w:tc>
        <w:tc>
          <w:tcPr>
            <w:tcW w:w="550" w:type="pct"/>
            <w:tcBorders>
              <w:top w:val="nil"/>
              <w:left w:val="nil"/>
              <w:bottom w:val="nil"/>
              <w:right w:val="nil"/>
            </w:tcBorders>
            <w:shd w:val="clear" w:color="000000" w:fill="E6F2FF"/>
            <w:noWrap/>
            <w:vAlign w:val="center"/>
            <w:hideMark/>
          </w:tcPr>
          <w:p w14:paraId="1BCA3297" w14:textId="77777777" w:rsidR="00704CBB" w:rsidRPr="00704CBB" w:rsidRDefault="00704CBB" w:rsidP="00704CBB">
            <w:pPr>
              <w:spacing w:before="0" w:after="0" w:line="240" w:lineRule="auto"/>
              <w:rPr>
                <w:rFonts w:ascii="Arial" w:hAnsi="Arial" w:cs="Arial"/>
                <w:color w:val="000000"/>
                <w:sz w:val="16"/>
                <w:szCs w:val="16"/>
              </w:rPr>
            </w:pPr>
            <w:r w:rsidRPr="00704CBB">
              <w:rPr>
                <w:rFonts w:ascii="Arial" w:hAnsi="Arial" w:cs="Arial"/>
                <w:color w:val="000000"/>
                <w:sz w:val="16"/>
                <w:szCs w:val="16"/>
              </w:rPr>
              <w:t> </w:t>
            </w:r>
          </w:p>
        </w:tc>
        <w:tc>
          <w:tcPr>
            <w:tcW w:w="550" w:type="pct"/>
            <w:tcBorders>
              <w:top w:val="nil"/>
              <w:left w:val="nil"/>
              <w:bottom w:val="nil"/>
              <w:right w:val="nil"/>
            </w:tcBorders>
            <w:shd w:val="clear" w:color="000000" w:fill="FFFFFF"/>
            <w:noWrap/>
            <w:vAlign w:val="center"/>
            <w:hideMark/>
          </w:tcPr>
          <w:p w14:paraId="37039C3A" w14:textId="77777777" w:rsidR="00704CBB" w:rsidRPr="00704CBB" w:rsidRDefault="00704CBB" w:rsidP="00704CBB">
            <w:pPr>
              <w:spacing w:before="0" w:after="0" w:line="240" w:lineRule="auto"/>
              <w:rPr>
                <w:rFonts w:ascii="Arial" w:hAnsi="Arial" w:cs="Arial"/>
                <w:color w:val="000000"/>
                <w:sz w:val="16"/>
                <w:szCs w:val="16"/>
              </w:rPr>
            </w:pPr>
            <w:r w:rsidRPr="00704CBB">
              <w:rPr>
                <w:rFonts w:ascii="Arial" w:hAnsi="Arial" w:cs="Arial"/>
                <w:color w:val="000000"/>
                <w:sz w:val="16"/>
                <w:szCs w:val="16"/>
              </w:rPr>
              <w:t> </w:t>
            </w:r>
          </w:p>
        </w:tc>
        <w:tc>
          <w:tcPr>
            <w:tcW w:w="550" w:type="pct"/>
            <w:tcBorders>
              <w:top w:val="nil"/>
              <w:left w:val="nil"/>
              <w:bottom w:val="nil"/>
              <w:right w:val="nil"/>
            </w:tcBorders>
            <w:shd w:val="clear" w:color="000000" w:fill="FFFFFF"/>
            <w:noWrap/>
            <w:vAlign w:val="center"/>
            <w:hideMark/>
          </w:tcPr>
          <w:p w14:paraId="208D40F4" w14:textId="77777777" w:rsidR="00704CBB" w:rsidRPr="00704CBB" w:rsidRDefault="00704CBB" w:rsidP="00704CBB">
            <w:pPr>
              <w:spacing w:before="0" w:after="0" w:line="240" w:lineRule="auto"/>
              <w:rPr>
                <w:rFonts w:ascii="Arial" w:hAnsi="Arial" w:cs="Arial"/>
                <w:color w:val="000000"/>
                <w:sz w:val="16"/>
                <w:szCs w:val="16"/>
              </w:rPr>
            </w:pPr>
            <w:r w:rsidRPr="00704CBB">
              <w:rPr>
                <w:rFonts w:ascii="Arial" w:hAnsi="Arial" w:cs="Arial"/>
                <w:color w:val="000000"/>
                <w:sz w:val="16"/>
                <w:szCs w:val="16"/>
              </w:rPr>
              <w:t> </w:t>
            </w:r>
          </w:p>
        </w:tc>
        <w:tc>
          <w:tcPr>
            <w:tcW w:w="550" w:type="pct"/>
            <w:tcBorders>
              <w:top w:val="nil"/>
              <w:left w:val="nil"/>
              <w:bottom w:val="nil"/>
              <w:right w:val="nil"/>
            </w:tcBorders>
            <w:shd w:val="clear" w:color="000000" w:fill="FFFFFF"/>
            <w:noWrap/>
            <w:vAlign w:val="center"/>
            <w:hideMark/>
          </w:tcPr>
          <w:p w14:paraId="660188FC" w14:textId="77777777" w:rsidR="00704CBB" w:rsidRPr="00704CBB" w:rsidRDefault="00704CBB" w:rsidP="00704CBB">
            <w:pPr>
              <w:spacing w:before="0" w:after="0" w:line="240" w:lineRule="auto"/>
              <w:rPr>
                <w:rFonts w:ascii="Arial" w:hAnsi="Arial" w:cs="Arial"/>
                <w:color w:val="000000"/>
                <w:sz w:val="16"/>
                <w:szCs w:val="16"/>
              </w:rPr>
            </w:pPr>
            <w:r w:rsidRPr="00704CBB">
              <w:rPr>
                <w:rFonts w:ascii="Arial" w:hAnsi="Arial" w:cs="Arial"/>
                <w:color w:val="000000"/>
                <w:sz w:val="16"/>
                <w:szCs w:val="16"/>
              </w:rPr>
              <w:t> </w:t>
            </w:r>
          </w:p>
        </w:tc>
      </w:tr>
      <w:tr w:rsidR="00704CBB" w:rsidRPr="00704CBB" w14:paraId="6FE69239" w14:textId="77777777" w:rsidTr="00704CBB">
        <w:trPr>
          <w:trHeight w:hRule="exact" w:val="226"/>
        </w:trPr>
        <w:tc>
          <w:tcPr>
            <w:tcW w:w="2183" w:type="pct"/>
            <w:tcBorders>
              <w:top w:val="nil"/>
              <w:left w:val="nil"/>
              <w:bottom w:val="nil"/>
              <w:right w:val="nil"/>
            </w:tcBorders>
            <w:shd w:val="clear" w:color="000000" w:fill="FFFFFF"/>
            <w:noWrap/>
            <w:vAlign w:val="center"/>
            <w:hideMark/>
          </w:tcPr>
          <w:p w14:paraId="33D25153" w14:textId="77777777" w:rsidR="00704CBB" w:rsidRPr="00704CBB" w:rsidRDefault="00704CBB" w:rsidP="00704CBB">
            <w:pPr>
              <w:spacing w:before="0" w:after="0" w:line="240" w:lineRule="auto"/>
              <w:ind w:left="170"/>
              <w:rPr>
                <w:rFonts w:ascii="Arial" w:hAnsi="Arial" w:cs="Arial"/>
                <w:color w:val="000000"/>
                <w:sz w:val="16"/>
                <w:szCs w:val="16"/>
              </w:rPr>
            </w:pPr>
            <w:r w:rsidRPr="00704CBB">
              <w:rPr>
                <w:rFonts w:ascii="Arial" w:hAnsi="Arial" w:cs="Arial"/>
                <w:color w:val="000000"/>
                <w:sz w:val="16"/>
                <w:szCs w:val="16"/>
              </w:rPr>
              <w:t>innovation fund</w:t>
            </w:r>
          </w:p>
        </w:tc>
        <w:tc>
          <w:tcPr>
            <w:tcW w:w="68" w:type="pct"/>
            <w:tcBorders>
              <w:top w:val="nil"/>
              <w:left w:val="nil"/>
              <w:bottom w:val="nil"/>
              <w:right w:val="nil"/>
            </w:tcBorders>
            <w:shd w:val="clear" w:color="000000" w:fill="FFFFFF"/>
            <w:noWrap/>
            <w:vAlign w:val="center"/>
            <w:hideMark/>
          </w:tcPr>
          <w:p w14:paraId="26869D5E" w14:textId="77777777" w:rsidR="00704CBB" w:rsidRPr="00704CBB" w:rsidRDefault="00704CBB" w:rsidP="00704CBB">
            <w:pPr>
              <w:spacing w:before="0" w:after="0" w:line="240" w:lineRule="auto"/>
              <w:rPr>
                <w:rFonts w:ascii="Arial" w:hAnsi="Arial" w:cs="Arial"/>
                <w:color w:val="000000"/>
                <w:sz w:val="16"/>
                <w:szCs w:val="16"/>
              </w:rPr>
            </w:pPr>
            <w:r w:rsidRPr="00704CBB">
              <w:rPr>
                <w:rFonts w:ascii="Arial" w:hAnsi="Arial" w:cs="Arial"/>
                <w:color w:val="000000"/>
                <w:sz w:val="16"/>
                <w:szCs w:val="16"/>
              </w:rPr>
              <w:t> </w:t>
            </w:r>
          </w:p>
        </w:tc>
        <w:tc>
          <w:tcPr>
            <w:tcW w:w="550" w:type="pct"/>
            <w:tcBorders>
              <w:top w:val="nil"/>
              <w:left w:val="nil"/>
              <w:bottom w:val="nil"/>
              <w:right w:val="nil"/>
            </w:tcBorders>
            <w:shd w:val="clear" w:color="000000" w:fill="FFFFFF"/>
            <w:noWrap/>
            <w:vAlign w:val="center"/>
            <w:hideMark/>
          </w:tcPr>
          <w:p w14:paraId="154FEC2D" w14:textId="77777777" w:rsidR="00704CBB" w:rsidRPr="00704CBB" w:rsidRDefault="00704CBB" w:rsidP="00704CBB">
            <w:pPr>
              <w:spacing w:before="0" w:after="0" w:line="240" w:lineRule="auto"/>
              <w:jc w:val="right"/>
              <w:rPr>
                <w:rFonts w:ascii="Arial" w:hAnsi="Arial" w:cs="Arial"/>
                <w:color w:val="000000"/>
                <w:sz w:val="16"/>
                <w:szCs w:val="16"/>
              </w:rPr>
            </w:pPr>
            <w:r w:rsidRPr="00704CBB">
              <w:rPr>
                <w:rFonts w:ascii="Arial" w:hAnsi="Arial" w:cs="Arial"/>
                <w:color w:val="000000"/>
                <w:sz w:val="16"/>
                <w:szCs w:val="16"/>
              </w:rPr>
              <w:t>1,620</w:t>
            </w:r>
          </w:p>
        </w:tc>
        <w:tc>
          <w:tcPr>
            <w:tcW w:w="550" w:type="pct"/>
            <w:tcBorders>
              <w:top w:val="nil"/>
              <w:left w:val="nil"/>
              <w:bottom w:val="nil"/>
              <w:right w:val="nil"/>
            </w:tcBorders>
            <w:shd w:val="clear" w:color="000000" w:fill="E6F2FF"/>
            <w:noWrap/>
            <w:vAlign w:val="center"/>
            <w:hideMark/>
          </w:tcPr>
          <w:p w14:paraId="362449B3" w14:textId="77777777" w:rsidR="00704CBB" w:rsidRPr="00704CBB" w:rsidRDefault="00704CBB" w:rsidP="00704CBB">
            <w:pPr>
              <w:spacing w:before="0" w:after="0" w:line="240" w:lineRule="auto"/>
              <w:jc w:val="right"/>
              <w:rPr>
                <w:rFonts w:ascii="Arial" w:hAnsi="Arial" w:cs="Arial"/>
                <w:color w:val="000000"/>
                <w:sz w:val="16"/>
                <w:szCs w:val="16"/>
              </w:rPr>
            </w:pPr>
            <w:r w:rsidRPr="00704CBB">
              <w:rPr>
                <w:rFonts w:ascii="Arial" w:hAnsi="Arial" w:cs="Arial"/>
                <w:color w:val="000000"/>
                <w:sz w:val="16"/>
                <w:szCs w:val="16"/>
              </w:rPr>
              <w:t>1,537</w:t>
            </w:r>
          </w:p>
        </w:tc>
        <w:tc>
          <w:tcPr>
            <w:tcW w:w="550" w:type="pct"/>
            <w:tcBorders>
              <w:top w:val="nil"/>
              <w:left w:val="nil"/>
              <w:bottom w:val="nil"/>
              <w:right w:val="nil"/>
            </w:tcBorders>
            <w:shd w:val="clear" w:color="000000" w:fill="FFFFFF"/>
            <w:noWrap/>
            <w:vAlign w:val="center"/>
            <w:hideMark/>
          </w:tcPr>
          <w:p w14:paraId="292C1937" w14:textId="77777777" w:rsidR="00704CBB" w:rsidRPr="00704CBB" w:rsidRDefault="00704CBB" w:rsidP="00704CBB">
            <w:pPr>
              <w:spacing w:before="0" w:after="0" w:line="240" w:lineRule="auto"/>
              <w:jc w:val="right"/>
              <w:rPr>
                <w:rFonts w:ascii="Arial" w:hAnsi="Arial" w:cs="Arial"/>
                <w:color w:val="000000"/>
                <w:sz w:val="16"/>
                <w:szCs w:val="16"/>
              </w:rPr>
            </w:pPr>
            <w:r w:rsidRPr="00704CBB">
              <w:rPr>
                <w:rFonts w:ascii="Arial" w:hAnsi="Arial" w:cs="Arial"/>
                <w:color w:val="000000"/>
                <w:sz w:val="16"/>
                <w:szCs w:val="16"/>
              </w:rPr>
              <w:t>1,563</w:t>
            </w:r>
          </w:p>
        </w:tc>
        <w:tc>
          <w:tcPr>
            <w:tcW w:w="550" w:type="pct"/>
            <w:tcBorders>
              <w:top w:val="nil"/>
              <w:left w:val="nil"/>
              <w:bottom w:val="nil"/>
              <w:right w:val="nil"/>
            </w:tcBorders>
            <w:shd w:val="clear" w:color="000000" w:fill="FFFFFF"/>
            <w:noWrap/>
            <w:vAlign w:val="center"/>
            <w:hideMark/>
          </w:tcPr>
          <w:p w14:paraId="1BD02DDF" w14:textId="77777777" w:rsidR="00704CBB" w:rsidRPr="00704CBB" w:rsidRDefault="00704CBB" w:rsidP="00704CBB">
            <w:pPr>
              <w:spacing w:before="0" w:after="0" w:line="240" w:lineRule="auto"/>
              <w:jc w:val="right"/>
              <w:rPr>
                <w:rFonts w:ascii="Arial" w:hAnsi="Arial" w:cs="Arial"/>
                <w:color w:val="000000"/>
                <w:sz w:val="16"/>
                <w:szCs w:val="16"/>
              </w:rPr>
            </w:pPr>
            <w:r w:rsidRPr="00704CBB">
              <w:rPr>
                <w:rFonts w:ascii="Arial" w:hAnsi="Arial" w:cs="Arial"/>
                <w:color w:val="000000"/>
                <w:sz w:val="16"/>
                <w:szCs w:val="16"/>
              </w:rPr>
              <w:t>1,575</w:t>
            </w:r>
          </w:p>
        </w:tc>
        <w:tc>
          <w:tcPr>
            <w:tcW w:w="550" w:type="pct"/>
            <w:tcBorders>
              <w:top w:val="nil"/>
              <w:left w:val="nil"/>
              <w:bottom w:val="nil"/>
              <w:right w:val="nil"/>
            </w:tcBorders>
            <w:shd w:val="clear" w:color="000000" w:fill="FFFFFF"/>
            <w:noWrap/>
            <w:vAlign w:val="center"/>
            <w:hideMark/>
          </w:tcPr>
          <w:p w14:paraId="1C7C8427" w14:textId="77777777" w:rsidR="00704CBB" w:rsidRPr="00704CBB" w:rsidRDefault="00704CBB" w:rsidP="00704CBB">
            <w:pPr>
              <w:spacing w:before="0" w:after="0" w:line="240" w:lineRule="auto"/>
              <w:jc w:val="right"/>
              <w:rPr>
                <w:rFonts w:ascii="Arial" w:hAnsi="Arial" w:cs="Arial"/>
                <w:color w:val="000000"/>
                <w:sz w:val="16"/>
                <w:szCs w:val="16"/>
              </w:rPr>
            </w:pPr>
            <w:r w:rsidRPr="00704CBB">
              <w:rPr>
                <w:rFonts w:ascii="Arial" w:hAnsi="Arial" w:cs="Arial"/>
                <w:color w:val="000000"/>
                <w:sz w:val="16"/>
                <w:szCs w:val="16"/>
              </w:rPr>
              <w:t>1,575</w:t>
            </w:r>
          </w:p>
        </w:tc>
      </w:tr>
      <w:tr w:rsidR="00704CBB" w:rsidRPr="00704CBB" w14:paraId="7D9FA458" w14:textId="77777777" w:rsidTr="00704CBB">
        <w:trPr>
          <w:trHeight w:hRule="exact" w:val="226"/>
        </w:trPr>
        <w:tc>
          <w:tcPr>
            <w:tcW w:w="2183" w:type="pct"/>
            <w:tcBorders>
              <w:top w:val="nil"/>
              <w:left w:val="nil"/>
              <w:bottom w:val="nil"/>
              <w:right w:val="nil"/>
            </w:tcBorders>
            <w:shd w:val="clear" w:color="000000" w:fill="FFFFFF"/>
            <w:noWrap/>
            <w:vAlign w:val="center"/>
            <w:hideMark/>
          </w:tcPr>
          <w:p w14:paraId="7B848E8A" w14:textId="77777777" w:rsidR="00704CBB" w:rsidRPr="00704CBB" w:rsidRDefault="00704CBB" w:rsidP="00704CBB">
            <w:pPr>
              <w:spacing w:before="0" w:after="0" w:line="240" w:lineRule="auto"/>
              <w:rPr>
                <w:rFonts w:ascii="Arial" w:hAnsi="Arial" w:cs="Arial"/>
                <w:color w:val="000000"/>
                <w:sz w:val="16"/>
                <w:szCs w:val="16"/>
              </w:rPr>
            </w:pPr>
            <w:r w:rsidRPr="00704CBB">
              <w:rPr>
                <w:rFonts w:ascii="Arial" w:hAnsi="Arial" w:cs="Arial"/>
                <w:color w:val="000000"/>
                <w:sz w:val="16"/>
                <w:szCs w:val="16"/>
              </w:rPr>
              <w:t>Discovery – research and research</w:t>
            </w:r>
          </w:p>
        </w:tc>
        <w:tc>
          <w:tcPr>
            <w:tcW w:w="68" w:type="pct"/>
            <w:tcBorders>
              <w:top w:val="nil"/>
              <w:left w:val="nil"/>
              <w:bottom w:val="nil"/>
              <w:right w:val="nil"/>
            </w:tcBorders>
            <w:shd w:val="clear" w:color="000000" w:fill="FFFFFF"/>
            <w:noWrap/>
            <w:vAlign w:val="center"/>
            <w:hideMark/>
          </w:tcPr>
          <w:p w14:paraId="275D2B76" w14:textId="77777777" w:rsidR="00704CBB" w:rsidRPr="00704CBB" w:rsidRDefault="00704CBB" w:rsidP="00704CBB">
            <w:pPr>
              <w:spacing w:before="0" w:after="0" w:line="240" w:lineRule="auto"/>
              <w:rPr>
                <w:rFonts w:ascii="Arial" w:hAnsi="Arial" w:cs="Arial"/>
                <w:color w:val="000000"/>
                <w:sz w:val="16"/>
                <w:szCs w:val="16"/>
              </w:rPr>
            </w:pPr>
            <w:r w:rsidRPr="00704CBB">
              <w:rPr>
                <w:rFonts w:ascii="Arial" w:hAnsi="Arial" w:cs="Arial"/>
                <w:color w:val="000000"/>
                <w:sz w:val="16"/>
                <w:szCs w:val="16"/>
              </w:rPr>
              <w:t> </w:t>
            </w:r>
          </w:p>
        </w:tc>
        <w:tc>
          <w:tcPr>
            <w:tcW w:w="550" w:type="pct"/>
            <w:tcBorders>
              <w:top w:val="nil"/>
              <w:left w:val="nil"/>
              <w:bottom w:val="nil"/>
              <w:right w:val="nil"/>
            </w:tcBorders>
            <w:shd w:val="clear" w:color="000000" w:fill="FFFFFF"/>
            <w:noWrap/>
            <w:vAlign w:val="center"/>
            <w:hideMark/>
          </w:tcPr>
          <w:p w14:paraId="3C5913ED" w14:textId="77777777" w:rsidR="00704CBB" w:rsidRPr="00704CBB" w:rsidRDefault="00704CBB" w:rsidP="00704CBB">
            <w:pPr>
              <w:spacing w:before="0" w:after="0" w:line="240" w:lineRule="auto"/>
              <w:rPr>
                <w:rFonts w:ascii="Arial" w:hAnsi="Arial" w:cs="Arial"/>
                <w:color w:val="000000"/>
                <w:sz w:val="16"/>
                <w:szCs w:val="16"/>
              </w:rPr>
            </w:pPr>
            <w:r w:rsidRPr="00704CBB">
              <w:rPr>
                <w:rFonts w:ascii="Arial" w:hAnsi="Arial" w:cs="Arial"/>
                <w:color w:val="000000"/>
                <w:sz w:val="16"/>
                <w:szCs w:val="16"/>
              </w:rPr>
              <w:t> </w:t>
            </w:r>
          </w:p>
        </w:tc>
        <w:tc>
          <w:tcPr>
            <w:tcW w:w="550" w:type="pct"/>
            <w:tcBorders>
              <w:top w:val="nil"/>
              <w:left w:val="nil"/>
              <w:bottom w:val="nil"/>
              <w:right w:val="nil"/>
            </w:tcBorders>
            <w:shd w:val="clear" w:color="000000" w:fill="E6F2FF"/>
            <w:noWrap/>
            <w:vAlign w:val="center"/>
            <w:hideMark/>
          </w:tcPr>
          <w:p w14:paraId="405E3E91" w14:textId="77777777" w:rsidR="00704CBB" w:rsidRPr="00704CBB" w:rsidRDefault="00704CBB" w:rsidP="00704CBB">
            <w:pPr>
              <w:spacing w:before="0" w:after="0" w:line="240" w:lineRule="auto"/>
              <w:rPr>
                <w:rFonts w:ascii="Arial" w:hAnsi="Arial" w:cs="Arial"/>
                <w:color w:val="000000"/>
                <w:sz w:val="16"/>
                <w:szCs w:val="16"/>
              </w:rPr>
            </w:pPr>
            <w:r w:rsidRPr="00704CBB">
              <w:rPr>
                <w:rFonts w:ascii="Arial" w:hAnsi="Arial" w:cs="Arial"/>
                <w:color w:val="000000"/>
                <w:sz w:val="16"/>
                <w:szCs w:val="16"/>
              </w:rPr>
              <w:t> </w:t>
            </w:r>
          </w:p>
        </w:tc>
        <w:tc>
          <w:tcPr>
            <w:tcW w:w="550" w:type="pct"/>
            <w:tcBorders>
              <w:top w:val="nil"/>
              <w:left w:val="nil"/>
              <w:bottom w:val="nil"/>
              <w:right w:val="nil"/>
            </w:tcBorders>
            <w:shd w:val="clear" w:color="000000" w:fill="FFFFFF"/>
            <w:noWrap/>
            <w:vAlign w:val="center"/>
            <w:hideMark/>
          </w:tcPr>
          <w:p w14:paraId="7A9327D9" w14:textId="77777777" w:rsidR="00704CBB" w:rsidRPr="00704CBB" w:rsidRDefault="00704CBB" w:rsidP="00704CBB">
            <w:pPr>
              <w:spacing w:before="0" w:after="0" w:line="240" w:lineRule="auto"/>
              <w:rPr>
                <w:rFonts w:ascii="Arial" w:hAnsi="Arial" w:cs="Arial"/>
                <w:color w:val="000000"/>
                <w:sz w:val="16"/>
                <w:szCs w:val="16"/>
              </w:rPr>
            </w:pPr>
            <w:r w:rsidRPr="00704CBB">
              <w:rPr>
                <w:rFonts w:ascii="Arial" w:hAnsi="Arial" w:cs="Arial"/>
                <w:color w:val="000000"/>
                <w:sz w:val="16"/>
                <w:szCs w:val="16"/>
              </w:rPr>
              <w:t> </w:t>
            </w:r>
          </w:p>
        </w:tc>
        <w:tc>
          <w:tcPr>
            <w:tcW w:w="550" w:type="pct"/>
            <w:tcBorders>
              <w:top w:val="nil"/>
              <w:left w:val="nil"/>
              <w:bottom w:val="nil"/>
              <w:right w:val="nil"/>
            </w:tcBorders>
            <w:shd w:val="clear" w:color="000000" w:fill="FFFFFF"/>
            <w:noWrap/>
            <w:vAlign w:val="center"/>
            <w:hideMark/>
          </w:tcPr>
          <w:p w14:paraId="7A6CB49A" w14:textId="77777777" w:rsidR="00704CBB" w:rsidRPr="00704CBB" w:rsidRDefault="00704CBB" w:rsidP="00704CBB">
            <w:pPr>
              <w:spacing w:before="0" w:after="0" w:line="240" w:lineRule="auto"/>
              <w:rPr>
                <w:rFonts w:ascii="Arial" w:hAnsi="Arial" w:cs="Arial"/>
                <w:color w:val="000000"/>
                <w:sz w:val="16"/>
                <w:szCs w:val="16"/>
              </w:rPr>
            </w:pPr>
            <w:r w:rsidRPr="00704CBB">
              <w:rPr>
                <w:rFonts w:ascii="Arial" w:hAnsi="Arial" w:cs="Arial"/>
                <w:color w:val="000000"/>
                <w:sz w:val="16"/>
                <w:szCs w:val="16"/>
              </w:rPr>
              <w:t> </w:t>
            </w:r>
          </w:p>
        </w:tc>
        <w:tc>
          <w:tcPr>
            <w:tcW w:w="550" w:type="pct"/>
            <w:tcBorders>
              <w:top w:val="nil"/>
              <w:left w:val="nil"/>
              <w:bottom w:val="nil"/>
              <w:right w:val="nil"/>
            </w:tcBorders>
            <w:shd w:val="clear" w:color="000000" w:fill="FFFFFF"/>
            <w:noWrap/>
            <w:vAlign w:val="center"/>
            <w:hideMark/>
          </w:tcPr>
          <w:p w14:paraId="3759730E" w14:textId="77777777" w:rsidR="00704CBB" w:rsidRPr="00704CBB" w:rsidRDefault="00704CBB" w:rsidP="00704CBB">
            <w:pPr>
              <w:spacing w:before="0" w:after="0" w:line="240" w:lineRule="auto"/>
              <w:rPr>
                <w:rFonts w:ascii="Arial" w:hAnsi="Arial" w:cs="Arial"/>
                <w:color w:val="000000"/>
                <w:sz w:val="16"/>
                <w:szCs w:val="16"/>
              </w:rPr>
            </w:pPr>
            <w:r w:rsidRPr="00704CBB">
              <w:rPr>
                <w:rFonts w:ascii="Arial" w:hAnsi="Arial" w:cs="Arial"/>
                <w:color w:val="000000"/>
                <w:sz w:val="16"/>
                <w:szCs w:val="16"/>
              </w:rPr>
              <w:t> </w:t>
            </w:r>
          </w:p>
        </w:tc>
      </w:tr>
      <w:tr w:rsidR="00704CBB" w:rsidRPr="00704CBB" w14:paraId="60D0E7EA" w14:textId="77777777" w:rsidTr="00704CBB">
        <w:trPr>
          <w:trHeight w:hRule="exact" w:val="226"/>
        </w:trPr>
        <w:tc>
          <w:tcPr>
            <w:tcW w:w="2183" w:type="pct"/>
            <w:tcBorders>
              <w:top w:val="nil"/>
              <w:left w:val="nil"/>
              <w:bottom w:val="nil"/>
              <w:right w:val="nil"/>
            </w:tcBorders>
            <w:shd w:val="clear" w:color="000000" w:fill="FFFFFF"/>
            <w:noWrap/>
            <w:vAlign w:val="center"/>
            <w:hideMark/>
          </w:tcPr>
          <w:p w14:paraId="7070B003" w14:textId="77777777" w:rsidR="00704CBB" w:rsidRPr="00704CBB" w:rsidRDefault="00704CBB" w:rsidP="00704CBB">
            <w:pPr>
              <w:spacing w:before="0" w:after="0" w:line="240" w:lineRule="auto"/>
              <w:ind w:left="170"/>
              <w:rPr>
                <w:rFonts w:ascii="Arial" w:hAnsi="Arial" w:cs="Arial"/>
                <w:color w:val="000000"/>
                <w:sz w:val="16"/>
                <w:szCs w:val="16"/>
              </w:rPr>
            </w:pPr>
            <w:r w:rsidRPr="00704CBB">
              <w:rPr>
                <w:rFonts w:ascii="Arial" w:hAnsi="Arial" w:cs="Arial"/>
                <w:color w:val="000000"/>
                <w:sz w:val="16"/>
                <w:szCs w:val="16"/>
              </w:rPr>
              <w:t>training</w:t>
            </w:r>
          </w:p>
        </w:tc>
        <w:tc>
          <w:tcPr>
            <w:tcW w:w="68" w:type="pct"/>
            <w:tcBorders>
              <w:top w:val="nil"/>
              <w:left w:val="nil"/>
              <w:bottom w:val="nil"/>
              <w:right w:val="nil"/>
            </w:tcBorders>
            <w:shd w:val="clear" w:color="000000" w:fill="FFFFFF"/>
            <w:noWrap/>
            <w:vAlign w:val="center"/>
            <w:hideMark/>
          </w:tcPr>
          <w:p w14:paraId="2E1D6099" w14:textId="77777777" w:rsidR="00704CBB" w:rsidRPr="00704CBB" w:rsidRDefault="00704CBB" w:rsidP="00704CBB">
            <w:pPr>
              <w:spacing w:before="0" w:after="0" w:line="240" w:lineRule="auto"/>
              <w:rPr>
                <w:rFonts w:ascii="Arial" w:hAnsi="Arial" w:cs="Arial"/>
                <w:color w:val="000000"/>
                <w:sz w:val="16"/>
                <w:szCs w:val="16"/>
              </w:rPr>
            </w:pPr>
            <w:r w:rsidRPr="00704CBB">
              <w:rPr>
                <w:rFonts w:ascii="Arial" w:hAnsi="Arial" w:cs="Arial"/>
                <w:color w:val="000000"/>
                <w:sz w:val="16"/>
                <w:szCs w:val="16"/>
              </w:rPr>
              <w:t> </w:t>
            </w:r>
          </w:p>
        </w:tc>
        <w:tc>
          <w:tcPr>
            <w:tcW w:w="550" w:type="pct"/>
            <w:tcBorders>
              <w:top w:val="nil"/>
              <w:left w:val="nil"/>
              <w:bottom w:val="nil"/>
              <w:right w:val="nil"/>
            </w:tcBorders>
            <w:shd w:val="clear" w:color="000000" w:fill="FFFFFF"/>
            <w:noWrap/>
            <w:vAlign w:val="center"/>
            <w:hideMark/>
          </w:tcPr>
          <w:p w14:paraId="380F8AA6" w14:textId="77777777" w:rsidR="00704CBB" w:rsidRPr="00704CBB" w:rsidRDefault="00704CBB" w:rsidP="00704CBB">
            <w:pPr>
              <w:spacing w:before="0" w:after="0" w:line="240" w:lineRule="auto"/>
              <w:jc w:val="right"/>
              <w:rPr>
                <w:rFonts w:ascii="Arial" w:hAnsi="Arial" w:cs="Arial"/>
                <w:color w:val="000000"/>
                <w:sz w:val="16"/>
                <w:szCs w:val="16"/>
              </w:rPr>
            </w:pPr>
            <w:r w:rsidRPr="00704CBB">
              <w:rPr>
                <w:rFonts w:ascii="Arial" w:hAnsi="Arial" w:cs="Arial"/>
                <w:color w:val="000000"/>
                <w:sz w:val="16"/>
                <w:szCs w:val="16"/>
              </w:rPr>
              <w:t>525</w:t>
            </w:r>
          </w:p>
        </w:tc>
        <w:tc>
          <w:tcPr>
            <w:tcW w:w="550" w:type="pct"/>
            <w:tcBorders>
              <w:top w:val="nil"/>
              <w:left w:val="nil"/>
              <w:bottom w:val="nil"/>
              <w:right w:val="nil"/>
            </w:tcBorders>
            <w:shd w:val="clear" w:color="000000" w:fill="E6F2FF"/>
            <w:noWrap/>
            <w:vAlign w:val="center"/>
            <w:hideMark/>
          </w:tcPr>
          <w:p w14:paraId="4746DD91" w14:textId="77777777" w:rsidR="00704CBB" w:rsidRPr="00704CBB" w:rsidRDefault="00704CBB" w:rsidP="00704CBB">
            <w:pPr>
              <w:spacing w:before="0" w:after="0" w:line="240" w:lineRule="auto"/>
              <w:jc w:val="right"/>
              <w:rPr>
                <w:rFonts w:ascii="Arial" w:hAnsi="Arial" w:cs="Arial"/>
                <w:color w:val="000000"/>
                <w:sz w:val="16"/>
                <w:szCs w:val="16"/>
              </w:rPr>
            </w:pPr>
            <w:r w:rsidRPr="00704CBB">
              <w:rPr>
                <w:rFonts w:ascii="Arial" w:hAnsi="Arial" w:cs="Arial"/>
                <w:color w:val="000000"/>
                <w:sz w:val="16"/>
                <w:szCs w:val="16"/>
              </w:rPr>
              <w:t>630</w:t>
            </w:r>
          </w:p>
        </w:tc>
        <w:tc>
          <w:tcPr>
            <w:tcW w:w="550" w:type="pct"/>
            <w:tcBorders>
              <w:top w:val="nil"/>
              <w:left w:val="nil"/>
              <w:bottom w:val="nil"/>
              <w:right w:val="nil"/>
            </w:tcBorders>
            <w:shd w:val="clear" w:color="000000" w:fill="FFFFFF"/>
            <w:noWrap/>
            <w:vAlign w:val="center"/>
            <w:hideMark/>
          </w:tcPr>
          <w:p w14:paraId="04AEE6A9" w14:textId="77777777" w:rsidR="00704CBB" w:rsidRPr="00704CBB" w:rsidRDefault="00704CBB" w:rsidP="00704CBB">
            <w:pPr>
              <w:spacing w:before="0" w:after="0" w:line="240" w:lineRule="auto"/>
              <w:jc w:val="right"/>
              <w:rPr>
                <w:rFonts w:ascii="Arial" w:hAnsi="Arial" w:cs="Arial"/>
                <w:color w:val="000000"/>
                <w:sz w:val="16"/>
                <w:szCs w:val="16"/>
              </w:rPr>
            </w:pPr>
            <w:r w:rsidRPr="00704CBB">
              <w:rPr>
                <w:rFonts w:ascii="Arial" w:hAnsi="Arial" w:cs="Arial"/>
                <w:color w:val="000000"/>
                <w:sz w:val="16"/>
                <w:szCs w:val="16"/>
              </w:rPr>
              <w:t>630</w:t>
            </w:r>
          </w:p>
        </w:tc>
        <w:tc>
          <w:tcPr>
            <w:tcW w:w="550" w:type="pct"/>
            <w:tcBorders>
              <w:top w:val="nil"/>
              <w:left w:val="nil"/>
              <w:bottom w:val="nil"/>
              <w:right w:val="nil"/>
            </w:tcBorders>
            <w:shd w:val="clear" w:color="000000" w:fill="FFFFFF"/>
            <w:noWrap/>
            <w:vAlign w:val="center"/>
            <w:hideMark/>
          </w:tcPr>
          <w:p w14:paraId="44D392D9" w14:textId="77777777" w:rsidR="00704CBB" w:rsidRPr="00704CBB" w:rsidRDefault="00704CBB" w:rsidP="00704CBB">
            <w:pPr>
              <w:spacing w:before="0" w:after="0" w:line="240" w:lineRule="auto"/>
              <w:jc w:val="right"/>
              <w:rPr>
                <w:rFonts w:ascii="Arial" w:hAnsi="Arial" w:cs="Arial"/>
                <w:color w:val="000000"/>
                <w:sz w:val="16"/>
                <w:szCs w:val="16"/>
              </w:rPr>
            </w:pPr>
            <w:r w:rsidRPr="00704CBB">
              <w:rPr>
                <w:rFonts w:ascii="Arial" w:hAnsi="Arial" w:cs="Arial"/>
                <w:color w:val="000000"/>
                <w:sz w:val="16"/>
                <w:szCs w:val="16"/>
              </w:rPr>
              <w:t>648</w:t>
            </w:r>
          </w:p>
        </w:tc>
        <w:tc>
          <w:tcPr>
            <w:tcW w:w="550" w:type="pct"/>
            <w:tcBorders>
              <w:top w:val="nil"/>
              <w:left w:val="nil"/>
              <w:bottom w:val="nil"/>
              <w:right w:val="nil"/>
            </w:tcBorders>
            <w:shd w:val="clear" w:color="000000" w:fill="FFFFFF"/>
            <w:noWrap/>
            <w:vAlign w:val="center"/>
            <w:hideMark/>
          </w:tcPr>
          <w:p w14:paraId="03B5642E" w14:textId="77777777" w:rsidR="00704CBB" w:rsidRPr="00704CBB" w:rsidRDefault="00704CBB" w:rsidP="00704CBB">
            <w:pPr>
              <w:spacing w:before="0" w:after="0" w:line="240" w:lineRule="auto"/>
              <w:jc w:val="right"/>
              <w:rPr>
                <w:rFonts w:ascii="Arial" w:hAnsi="Arial" w:cs="Arial"/>
                <w:color w:val="000000"/>
                <w:sz w:val="16"/>
                <w:szCs w:val="16"/>
              </w:rPr>
            </w:pPr>
            <w:r w:rsidRPr="00704CBB">
              <w:rPr>
                <w:rFonts w:ascii="Arial" w:hAnsi="Arial" w:cs="Arial"/>
                <w:color w:val="000000"/>
                <w:sz w:val="16"/>
                <w:szCs w:val="16"/>
              </w:rPr>
              <w:t>666</w:t>
            </w:r>
          </w:p>
        </w:tc>
      </w:tr>
      <w:tr w:rsidR="00704CBB" w:rsidRPr="00704CBB" w14:paraId="18B8A437" w14:textId="77777777" w:rsidTr="00704CBB">
        <w:trPr>
          <w:trHeight w:hRule="exact" w:val="226"/>
        </w:trPr>
        <w:tc>
          <w:tcPr>
            <w:tcW w:w="2183" w:type="pct"/>
            <w:tcBorders>
              <w:top w:val="nil"/>
              <w:left w:val="nil"/>
              <w:bottom w:val="nil"/>
              <w:right w:val="nil"/>
            </w:tcBorders>
            <w:shd w:val="clear" w:color="000000" w:fill="FFFFFF"/>
            <w:noWrap/>
            <w:vAlign w:val="center"/>
            <w:hideMark/>
          </w:tcPr>
          <w:p w14:paraId="495DE67B" w14:textId="77777777" w:rsidR="00704CBB" w:rsidRPr="00704CBB" w:rsidRDefault="00704CBB" w:rsidP="00704CBB">
            <w:pPr>
              <w:spacing w:before="0" w:after="0" w:line="240" w:lineRule="auto"/>
              <w:rPr>
                <w:rFonts w:ascii="Arial" w:hAnsi="Arial" w:cs="Arial"/>
                <w:color w:val="000000"/>
                <w:sz w:val="16"/>
                <w:szCs w:val="16"/>
              </w:rPr>
            </w:pPr>
            <w:r w:rsidRPr="00704CBB">
              <w:rPr>
                <w:rFonts w:ascii="Arial" w:hAnsi="Arial" w:cs="Arial"/>
                <w:color w:val="000000"/>
                <w:sz w:val="16"/>
                <w:szCs w:val="16"/>
              </w:rPr>
              <w:t>Science and technology solutions</w:t>
            </w:r>
          </w:p>
        </w:tc>
        <w:tc>
          <w:tcPr>
            <w:tcW w:w="68" w:type="pct"/>
            <w:tcBorders>
              <w:top w:val="nil"/>
              <w:left w:val="nil"/>
              <w:bottom w:val="nil"/>
              <w:right w:val="nil"/>
            </w:tcBorders>
            <w:shd w:val="clear" w:color="000000" w:fill="FFFFFF"/>
            <w:noWrap/>
            <w:vAlign w:val="center"/>
            <w:hideMark/>
          </w:tcPr>
          <w:p w14:paraId="325FDACB" w14:textId="77777777" w:rsidR="00704CBB" w:rsidRPr="00704CBB" w:rsidRDefault="00704CBB" w:rsidP="00704CBB">
            <w:pPr>
              <w:spacing w:before="0" w:after="0" w:line="240" w:lineRule="auto"/>
              <w:rPr>
                <w:rFonts w:ascii="Arial" w:hAnsi="Arial" w:cs="Arial"/>
                <w:color w:val="000000"/>
                <w:sz w:val="16"/>
                <w:szCs w:val="16"/>
              </w:rPr>
            </w:pPr>
            <w:r w:rsidRPr="00704CBB">
              <w:rPr>
                <w:rFonts w:ascii="Arial" w:hAnsi="Arial" w:cs="Arial"/>
                <w:color w:val="000000"/>
                <w:sz w:val="16"/>
                <w:szCs w:val="16"/>
              </w:rPr>
              <w:t> </w:t>
            </w:r>
          </w:p>
        </w:tc>
        <w:tc>
          <w:tcPr>
            <w:tcW w:w="550" w:type="pct"/>
            <w:tcBorders>
              <w:top w:val="nil"/>
              <w:left w:val="nil"/>
              <w:bottom w:val="nil"/>
              <w:right w:val="nil"/>
            </w:tcBorders>
            <w:shd w:val="clear" w:color="000000" w:fill="FFFFFF"/>
            <w:noWrap/>
            <w:vAlign w:val="center"/>
            <w:hideMark/>
          </w:tcPr>
          <w:p w14:paraId="22597CFB" w14:textId="77777777" w:rsidR="00704CBB" w:rsidRPr="00704CBB" w:rsidRDefault="00704CBB" w:rsidP="00704CBB">
            <w:pPr>
              <w:spacing w:before="0" w:after="0" w:line="240" w:lineRule="auto"/>
              <w:jc w:val="right"/>
              <w:rPr>
                <w:rFonts w:ascii="Arial" w:hAnsi="Arial" w:cs="Arial"/>
                <w:color w:val="000000"/>
                <w:sz w:val="16"/>
                <w:szCs w:val="16"/>
              </w:rPr>
            </w:pPr>
            <w:r w:rsidRPr="00704CBB">
              <w:rPr>
                <w:rFonts w:ascii="Arial" w:hAnsi="Arial" w:cs="Arial"/>
                <w:color w:val="000000"/>
                <w:sz w:val="16"/>
                <w:szCs w:val="16"/>
              </w:rPr>
              <w:t>473</w:t>
            </w:r>
          </w:p>
        </w:tc>
        <w:tc>
          <w:tcPr>
            <w:tcW w:w="550" w:type="pct"/>
            <w:tcBorders>
              <w:top w:val="nil"/>
              <w:left w:val="nil"/>
              <w:bottom w:val="nil"/>
              <w:right w:val="nil"/>
            </w:tcBorders>
            <w:shd w:val="clear" w:color="000000" w:fill="E6F2FF"/>
            <w:noWrap/>
            <w:vAlign w:val="center"/>
            <w:hideMark/>
          </w:tcPr>
          <w:p w14:paraId="5E1C7DDA" w14:textId="77777777" w:rsidR="00704CBB" w:rsidRPr="00704CBB" w:rsidRDefault="00704CBB" w:rsidP="00704CBB">
            <w:pPr>
              <w:spacing w:before="0" w:after="0" w:line="240" w:lineRule="auto"/>
              <w:jc w:val="right"/>
              <w:rPr>
                <w:rFonts w:ascii="Arial" w:hAnsi="Arial" w:cs="Arial"/>
                <w:color w:val="000000"/>
                <w:sz w:val="16"/>
                <w:szCs w:val="16"/>
              </w:rPr>
            </w:pPr>
            <w:r w:rsidRPr="00704CBB">
              <w:rPr>
                <w:rFonts w:ascii="Arial" w:hAnsi="Arial" w:cs="Arial"/>
                <w:color w:val="000000"/>
                <w:sz w:val="16"/>
                <w:szCs w:val="16"/>
              </w:rPr>
              <w:t>495</w:t>
            </w:r>
          </w:p>
        </w:tc>
        <w:tc>
          <w:tcPr>
            <w:tcW w:w="550" w:type="pct"/>
            <w:tcBorders>
              <w:top w:val="nil"/>
              <w:left w:val="nil"/>
              <w:bottom w:val="nil"/>
              <w:right w:val="nil"/>
            </w:tcBorders>
            <w:shd w:val="clear" w:color="000000" w:fill="FFFFFF"/>
            <w:noWrap/>
            <w:vAlign w:val="center"/>
            <w:hideMark/>
          </w:tcPr>
          <w:p w14:paraId="0614F7C7" w14:textId="77777777" w:rsidR="00704CBB" w:rsidRPr="00704CBB" w:rsidRDefault="00704CBB" w:rsidP="00704CBB">
            <w:pPr>
              <w:spacing w:before="0" w:after="0" w:line="240" w:lineRule="auto"/>
              <w:jc w:val="right"/>
              <w:rPr>
                <w:rFonts w:ascii="Arial" w:hAnsi="Arial" w:cs="Arial"/>
                <w:color w:val="000000"/>
                <w:sz w:val="16"/>
                <w:szCs w:val="16"/>
              </w:rPr>
            </w:pPr>
            <w:r w:rsidRPr="00704CBB">
              <w:rPr>
                <w:rFonts w:ascii="Arial" w:hAnsi="Arial" w:cs="Arial"/>
                <w:color w:val="000000"/>
                <w:sz w:val="16"/>
                <w:szCs w:val="16"/>
              </w:rPr>
              <w:t>525</w:t>
            </w:r>
          </w:p>
        </w:tc>
        <w:tc>
          <w:tcPr>
            <w:tcW w:w="550" w:type="pct"/>
            <w:tcBorders>
              <w:top w:val="nil"/>
              <w:left w:val="nil"/>
              <w:bottom w:val="nil"/>
              <w:right w:val="nil"/>
            </w:tcBorders>
            <w:shd w:val="clear" w:color="000000" w:fill="FFFFFF"/>
            <w:noWrap/>
            <w:vAlign w:val="center"/>
            <w:hideMark/>
          </w:tcPr>
          <w:p w14:paraId="6D725020" w14:textId="77777777" w:rsidR="00704CBB" w:rsidRPr="00704CBB" w:rsidRDefault="00704CBB" w:rsidP="00704CBB">
            <w:pPr>
              <w:spacing w:before="0" w:after="0" w:line="240" w:lineRule="auto"/>
              <w:jc w:val="right"/>
              <w:rPr>
                <w:rFonts w:ascii="Arial" w:hAnsi="Arial" w:cs="Arial"/>
                <w:color w:val="000000"/>
                <w:sz w:val="16"/>
                <w:szCs w:val="16"/>
              </w:rPr>
            </w:pPr>
            <w:r w:rsidRPr="00704CBB">
              <w:rPr>
                <w:rFonts w:ascii="Arial" w:hAnsi="Arial" w:cs="Arial"/>
                <w:color w:val="000000"/>
                <w:sz w:val="16"/>
                <w:szCs w:val="16"/>
              </w:rPr>
              <w:t>527</w:t>
            </w:r>
          </w:p>
        </w:tc>
        <w:tc>
          <w:tcPr>
            <w:tcW w:w="550" w:type="pct"/>
            <w:tcBorders>
              <w:top w:val="nil"/>
              <w:left w:val="nil"/>
              <w:bottom w:val="nil"/>
              <w:right w:val="nil"/>
            </w:tcBorders>
            <w:shd w:val="clear" w:color="000000" w:fill="FFFFFF"/>
            <w:noWrap/>
            <w:vAlign w:val="center"/>
            <w:hideMark/>
          </w:tcPr>
          <w:p w14:paraId="5578DCBA" w14:textId="77777777" w:rsidR="00704CBB" w:rsidRPr="00704CBB" w:rsidRDefault="00704CBB" w:rsidP="00704CBB">
            <w:pPr>
              <w:spacing w:before="0" w:after="0" w:line="240" w:lineRule="auto"/>
              <w:jc w:val="right"/>
              <w:rPr>
                <w:rFonts w:ascii="Arial" w:hAnsi="Arial" w:cs="Arial"/>
                <w:color w:val="000000"/>
                <w:sz w:val="16"/>
                <w:szCs w:val="16"/>
              </w:rPr>
            </w:pPr>
            <w:r w:rsidRPr="00704CBB">
              <w:rPr>
                <w:rFonts w:ascii="Arial" w:hAnsi="Arial" w:cs="Arial"/>
                <w:color w:val="000000"/>
                <w:sz w:val="16"/>
                <w:szCs w:val="16"/>
              </w:rPr>
              <w:t>541</w:t>
            </w:r>
          </w:p>
        </w:tc>
      </w:tr>
      <w:tr w:rsidR="00704CBB" w:rsidRPr="00704CBB" w14:paraId="40D4499A" w14:textId="77777777" w:rsidTr="00704CBB">
        <w:trPr>
          <w:trHeight w:hRule="exact" w:val="226"/>
        </w:trPr>
        <w:tc>
          <w:tcPr>
            <w:tcW w:w="2183" w:type="pct"/>
            <w:tcBorders>
              <w:top w:val="nil"/>
              <w:left w:val="nil"/>
              <w:bottom w:val="nil"/>
              <w:right w:val="nil"/>
            </w:tcBorders>
            <w:shd w:val="clear" w:color="000000" w:fill="FFFFFF"/>
            <w:noWrap/>
            <w:vAlign w:val="center"/>
            <w:hideMark/>
          </w:tcPr>
          <w:p w14:paraId="7E8080E2" w14:textId="77777777" w:rsidR="00704CBB" w:rsidRPr="00704CBB" w:rsidRDefault="00704CBB" w:rsidP="00704CBB">
            <w:pPr>
              <w:spacing w:before="0" w:after="0" w:line="240" w:lineRule="auto"/>
              <w:rPr>
                <w:rFonts w:ascii="Arial" w:hAnsi="Arial" w:cs="Arial"/>
                <w:color w:val="000000"/>
                <w:sz w:val="16"/>
                <w:szCs w:val="16"/>
              </w:rPr>
            </w:pPr>
            <w:r w:rsidRPr="00704CBB">
              <w:rPr>
                <w:rFonts w:ascii="Arial" w:hAnsi="Arial" w:cs="Arial"/>
                <w:color w:val="000000"/>
                <w:sz w:val="16"/>
                <w:szCs w:val="16"/>
              </w:rPr>
              <w:t>Linkage – cross sector research</w:t>
            </w:r>
          </w:p>
        </w:tc>
        <w:tc>
          <w:tcPr>
            <w:tcW w:w="68" w:type="pct"/>
            <w:tcBorders>
              <w:top w:val="nil"/>
              <w:left w:val="nil"/>
              <w:bottom w:val="nil"/>
              <w:right w:val="nil"/>
            </w:tcBorders>
            <w:shd w:val="clear" w:color="000000" w:fill="FFFFFF"/>
            <w:noWrap/>
            <w:vAlign w:val="center"/>
            <w:hideMark/>
          </w:tcPr>
          <w:p w14:paraId="22DD5311" w14:textId="77777777" w:rsidR="00704CBB" w:rsidRPr="00704CBB" w:rsidRDefault="00704CBB" w:rsidP="00704CBB">
            <w:pPr>
              <w:spacing w:before="0" w:after="0" w:line="240" w:lineRule="auto"/>
              <w:rPr>
                <w:rFonts w:ascii="Arial" w:hAnsi="Arial" w:cs="Arial"/>
                <w:color w:val="000000"/>
                <w:sz w:val="16"/>
                <w:szCs w:val="16"/>
              </w:rPr>
            </w:pPr>
            <w:r w:rsidRPr="00704CBB">
              <w:rPr>
                <w:rFonts w:ascii="Arial" w:hAnsi="Arial" w:cs="Arial"/>
                <w:color w:val="000000"/>
                <w:sz w:val="16"/>
                <w:szCs w:val="16"/>
              </w:rPr>
              <w:t> </w:t>
            </w:r>
          </w:p>
        </w:tc>
        <w:tc>
          <w:tcPr>
            <w:tcW w:w="550" w:type="pct"/>
            <w:tcBorders>
              <w:top w:val="nil"/>
              <w:left w:val="nil"/>
              <w:bottom w:val="nil"/>
              <w:right w:val="nil"/>
            </w:tcBorders>
            <w:shd w:val="clear" w:color="000000" w:fill="FFFFFF"/>
            <w:noWrap/>
            <w:vAlign w:val="center"/>
            <w:hideMark/>
          </w:tcPr>
          <w:p w14:paraId="1FC87B7C" w14:textId="77777777" w:rsidR="00704CBB" w:rsidRPr="00704CBB" w:rsidRDefault="00704CBB" w:rsidP="00704CBB">
            <w:pPr>
              <w:spacing w:before="0" w:after="0" w:line="240" w:lineRule="auto"/>
              <w:rPr>
                <w:rFonts w:ascii="Arial" w:hAnsi="Arial" w:cs="Arial"/>
                <w:color w:val="000000"/>
                <w:sz w:val="16"/>
                <w:szCs w:val="16"/>
              </w:rPr>
            </w:pPr>
            <w:r w:rsidRPr="00704CBB">
              <w:rPr>
                <w:rFonts w:ascii="Arial" w:hAnsi="Arial" w:cs="Arial"/>
                <w:color w:val="000000"/>
                <w:sz w:val="16"/>
                <w:szCs w:val="16"/>
              </w:rPr>
              <w:t> </w:t>
            </w:r>
          </w:p>
        </w:tc>
        <w:tc>
          <w:tcPr>
            <w:tcW w:w="550" w:type="pct"/>
            <w:tcBorders>
              <w:top w:val="nil"/>
              <w:left w:val="nil"/>
              <w:bottom w:val="nil"/>
              <w:right w:val="nil"/>
            </w:tcBorders>
            <w:shd w:val="clear" w:color="000000" w:fill="E6F2FF"/>
            <w:noWrap/>
            <w:vAlign w:val="center"/>
            <w:hideMark/>
          </w:tcPr>
          <w:p w14:paraId="69360263" w14:textId="77777777" w:rsidR="00704CBB" w:rsidRPr="00704CBB" w:rsidRDefault="00704CBB" w:rsidP="00704CBB">
            <w:pPr>
              <w:spacing w:before="0" w:after="0" w:line="240" w:lineRule="auto"/>
              <w:rPr>
                <w:rFonts w:ascii="Arial" w:hAnsi="Arial" w:cs="Arial"/>
                <w:color w:val="000000"/>
                <w:sz w:val="16"/>
                <w:szCs w:val="16"/>
              </w:rPr>
            </w:pPr>
            <w:r w:rsidRPr="00704CBB">
              <w:rPr>
                <w:rFonts w:ascii="Arial" w:hAnsi="Arial" w:cs="Arial"/>
                <w:color w:val="000000"/>
                <w:sz w:val="16"/>
                <w:szCs w:val="16"/>
              </w:rPr>
              <w:t> </w:t>
            </w:r>
          </w:p>
        </w:tc>
        <w:tc>
          <w:tcPr>
            <w:tcW w:w="550" w:type="pct"/>
            <w:tcBorders>
              <w:top w:val="nil"/>
              <w:left w:val="nil"/>
              <w:bottom w:val="nil"/>
              <w:right w:val="nil"/>
            </w:tcBorders>
            <w:shd w:val="clear" w:color="000000" w:fill="FFFFFF"/>
            <w:noWrap/>
            <w:vAlign w:val="center"/>
            <w:hideMark/>
          </w:tcPr>
          <w:p w14:paraId="58066E99" w14:textId="77777777" w:rsidR="00704CBB" w:rsidRPr="00704CBB" w:rsidRDefault="00704CBB" w:rsidP="00704CBB">
            <w:pPr>
              <w:spacing w:before="0" w:after="0" w:line="240" w:lineRule="auto"/>
              <w:rPr>
                <w:rFonts w:ascii="Arial" w:hAnsi="Arial" w:cs="Arial"/>
                <w:color w:val="000000"/>
                <w:sz w:val="16"/>
                <w:szCs w:val="16"/>
              </w:rPr>
            </w:pPr>
            <w:r w:rsidRPr="00704CBB">
              <w:rPr>
                <w:rFonts w:ascii="Arial" w:hAnsi="Arial" w:cs="Arial"/>
                <w:color w:val="000000"/>
                <w:sz w:val="16"/>
                <w:szCs w:val="16"/>
              </w:rPr>
              <w:t> </w:t>
            </w:r>
          </w:p>
        </w:tc>
        <w:tc>
          <w:tcPr>
            <w:tcW w:w="550" w:type="pct"/>
            <w:tcBorders>
              <w:top w:val="nil"/>
              <w:left w:val="nil"/>
              <w:bottom w:val="nil"/>
              <w:right w:val="nil"/>
            </w:tcBorders>
            <w:shd w:val="clear" w:color="000000" w:fill="FFFFFF"/>
            <w:noWrap/>
            <w:vAlign w:val="center"/>
            <w:hideMark/>
          </w:tcPr>
          <w:p w14:paraId="09CDCD3C" w14:textId="77777777" w:rsidR="00704CBB" w:rsidRPr="00704CBB" w:rsidRDefault="00704CBB" w:rsidP="00704CBB">
            <w:pPr>
              <w:spacing w:before="0" w:after="0" w:line="240" w:lineRule="auto"/>
              <w:rPr>
                <w:rFonts w:ascii="Arial" w:hAnsi="Arial" w:cs="Arial"/>
                <w:color w:val="000000"/>
                <w:sz w:val="16"/>
                <w:szCs w:val="16"/>
              </w:rPr>
            </w:pPr>
            <w:r w:rsidRPr="00704CBB">
              <w:rPr>
                <w:rFonts w:ascii="Arial" w:hAnsi="Arial" w:cs="Arial"/>
                <w:color w:val="000000"/>
                <w:sz w:val="16"/>
                <w:szCs w:val="16"/>
              </w:rPr>
              <w:t> </w:t>
            </w:r>
          </w:p>
        </w:tc>
        <w:tc>
          <w:tcPr>
            <w:tcW w:w="550" w:type="pct"/>
            <w:tcBorders>
              <w:top w:val="nil"/>
              <w:left w:val="nil"/>
              <w:bottom w:val="nil"/>
              <w:right w:val="nil"/>
            </w:tcBorders>
            <w:shd w:val="clear" w:color="000000" w:fill="FFFFFF"/>
            <w:noWrap/>
            <w:vAlign w:val="center"/>
            <w:hideMark/>
          </w:tcPr>
          <w:p w14:paraId="37472E9F" w14:textId="77777777" w:rsidR="00704CBB" w:rsidRPr="00704CBB" w:rsidRDefault="00704CBB" w:rsidP="00704CBB">
            <w:pPr>
              <w:spacing w:before="0" w:after="0" w:line="240" w:lineRule="auto"/>
              <w:rPr>
                <w:rFonts w:ascii="Arial" w:hAnsi="Arial" w:cs="Arial"/>
                <w:color w:val="000000"/>
                <w:sz w:val="16"/>
                <w:szCs w:val="16"/>
              </w:rPr>
            </w:pPr>
            <w:r w:rsidRPr="00704CBB">
              <w:rPr>
                <w:rFonts w:ascii="Arial" w:hAnsi="Arial" w:cs="Arial"/>
                <w:color w:val="000000"/>
                <w:sz w:val="16"/>
                <w:szCs w:val="16"/>
              </w:rPr>
              <w:t> </w:t>
            </w:r>
          </w:p>
        </w:tc>
      </w:tr>
      <w:tr w:rsidR="00704CBB" w:rsidRPr="00704CBB" w14:paraId="2845DC6E" w14:textId="77777777" w:rsidTr="00704CBB">
        <w:trPr>
          <w:trHeight w:hRule="exact" w:val="226"/>
        </w:trPr>
        <w:tc>
          <w:tcPr>
            <w:tcW w:w="2183" w:type="pct"/>
            <w:tcBorders>
              <w:top w:val="nil"/>
              <w:left w:val="nil"/>
              <w:bottom w:val="nil"/>
              <w:right w:val="nil"/>
            </w:tcBorders>
            <w:shd w:val="clear" w:color="000000" w:fill="FFFFFF"/>
            <w:noWrap/>
            <w:vAlign w:val="center"/>
            <w:hideMark/>
          </w:tcPr>
          <w:p w14:paraId="2B18697F" w14:textId="77777777" w:rsidR="00704CBB" w:rsidRPr="00704CBB" w:rsidRDefault="00704CBB" w:rsidP="00704CBB">
            <w:pPr>
              <w:spacing w:before="0" w:after="0" w:line="240" w:lineRule="auto"/>
              <w:ind w:left="170"/>
              <w:rPr>
                <w:rFonts w:ascii="Arial" w:hAnsi="Arial" w:cs="Arial"/>
                <w:color w:val="000000"/>
                <w:sz w:val="16"/>
                <w:szCs w:val="16"/>
              </w:rPr>
            </w:pPr>
            <w:r w:rsidRPr="00704CBB">
              <w:rPr>
                <w:rFonts w:ascii="Arial" w:hAnsi="Arial" w:cs="Arial"/>
                <w:color w:val="000000"/>
                <w:sz w:val="16"/>
                <w:szCs w:val="16"/>
              </w:rPr>
              <w:t>partnerships</w:t>
            </w:r>
          </w:p>
        </w:tc>
        <w:tc>
          <w:tcPr>
            <w:tcW w:w="68" w:type="pct"/>
            <w:tcBorders>
              <w:top w:val="nil"/>
              <w:left w:val="nil"/>
              <w:bottom w:val="nil"/>
              <w:right w:val="nil"/>
            </w:tcBorders>
            <w:shd w:val="clear" w:color="000000" w:fill="FFFFFF"/>
            <w:noWrap/>
            <w:vAlign w:val="center"/>
            <w:hideMark/>
          </w:tcPr>
          <w:p w14:paraId="6293EABA" w14:textId="77777777" w:rsidR="00704CBB" w:rsidRPr="00704CBB" w:rsidRDefault="00704CBB" w:rsidP="00704CBB">
            <w:pPr>
              <w:spacing w:before="0" w:after="0" w:line="240" w:lineRule="auto"/>
              <w:rPr>
                <w:rFonts w:ascii="Arial" w:hAnsi="Arial" w:cs="Arial"/>
                <w:color w:val="000000"/>
                <w:sz w:val="16"/>
                <w:szCs w:val="16"/>
              </w:rPr>
            </w:pPr>
            <w:r w:rsidRPr="00704CBB">
              <w:rPr>
                <w:rFonts w:ascii="Arial" w:hAnsi="Arial" w:cs="Arial"/>
                <w:color w:val="000000"/>
                <w:sz w:val="16"/>
                <w:szCs w:val="16"/>
              </w:rPr>
              <w:t> </w:t>
            </w:r>
          </w:p>
        </w:tc>
        <w:tc>
          <w:tcPr>
            <w:tcW w:w="550" w:type="pct"/>
            <w:tcBorders>
              <w:top w:val="nil"/>
              <w:left w:val="nil"/>
              <w:bottom w:val="nil"/>
              <w:right w:val="nil"/>
            </w:tcBorders>
            <w:shd w:val="clear" w:color="000000" w:fill="FFFFFF"/>
            <w:noWrap/>
            <w:vAlign w:val="center"/>
            <w:hideMark/>
          </w:tcPr>
          <w:p w14:paraId="5FA0C73F" w14:textId="77777777" w:rsidR="00704CBB" w:rsidRPr="00704CBB" w:rsidRDefault="00704CBB" w:rsidP="00704CBB">
            <w:pPr>
              <w:spacing w:before="0" w:after="0" w:line="240" w:lineRule="auto"/>
              <w:jc w:val="right"/>
              <w:rPr>
                <w:rFonts w:ascii="Arial" w:hAnsi="Arial" w:cs="Arial"/>
                <w:color w:val="000000"/>
                <w:sz w:val="16"/>
                <w:szCs w:val="16"/>
              </w:rPr>
            </w:pPr>
            <w:r w:rsidRPr="00704CBB">
              <w:rPr>
                <w:rFonts w:ascii="Arial" w:hAnsi="Arial" w:cs="Arial"/>
                <w:color w:val="000000"/>
                <w:sz w:val="16"/>
                <w:szCs w:val="16"/>
              </w:rPr>
              <w:t>329</w:t>
            </w:r>
          </w:p>
        </w:tc>
        <w:tc>
          <w:tcPr>
            <w:tcW w:w="550" w:type="pct"/>
            <w:tcBorders>
              <w:top w:val="nil"/>
              <w:left w:val="nil"/>
              <w:bottom w:val="nil"/>
              <w:right w:val="nil"/>
            </w:tcBorders>
            <w:shd w:val="clear" w:color="000000" w:fill="E6F2FF"/>
            <w:noWrap/>
            <w:vAlign w:val="center"/>
            <w:hideMark/>
          </w:tcPr>
          <w:p w14:paraId="3608A862" w14:textId="77777777" w:rsidR="00704CBB" w:rsidRPr="00704CBB" w:rsidRDefault="00704CBB" w:rsidP="00704CBB">
            <w:pPr>
              <w:spacing w:before="0" w:after="0" w:line="240" w:lineRule="auto"/>
              <w:jc w:val="right"/>
              <w:rPr>
                <w:rFonts w:ascii="Arial" w:hAnsi="Arial" w:cs="Arial"/>
                <w:color w:val="000000"/>
                <w:sz w:val="16"/>
                <w:szCs w:val="16"/>
              </w:rPr>
            </w:pPr>
            <w:r w:rsidRPr="00704CBB">
              <w:rPr>
                <w:rFonts w:ascii="Arial" w:hAnsi="Arial" w:cs="Arial"/>
                <w:color w:val="000000"/>
                <w:sz w:val="16"/>
                <w:szCs w:val="16"/>
              </w:rPr>
              <w:t>398</w:t>
            </w:r>
          </w:p>
        </w:tc>
        <w:tc>
          <w:tcPr>
            <w:tcW w:w="550" w:type="pct"/>
            <w:tcBorders>
              <w:top w:val="nil"/>
              <w:left w:val="nil"/>
              <w:bottom w:val="nil"/>
              <w:right w:val="nil"/>
            </w:tcBorders>
            <w:shd w:val="clear" w:color="000000" w:fill="FFFFFF"/>
            <w:noWrap/>
            <w:vAlign w:val="center"/>
            <w:hideMark/>
          </w:tcPr>
          <w:p w14:paraId="0530920B" w14:textId="77777777" w:rsidR="00704CBB" w:rsidRPr="00704CBB" w:rsidRDefault="00704CBB" w:rsidP="00704CBB">
            <w:pPr>
              <w:spacing w:before="0" w:after="0" w:line="240" w:lineRule="auto"/>
              <w:jc w:val="right"/>
              <w:rPr>
                <w:rFonts w:ascii="Arial" w:hAnsi="Arial" w:cs="Arial"/>
                <w:color w:val="000000"/>
                <w:sz w:val="16"/>
                <w:szCs w:val="16"/>
              </w:rPr>
            </w:pPr>
            <w:r w:rsidRPr="00704CBB">
              <w:rPr>
                <w:rFonts w:ascii="Arial" w:hAnsi="Arial" w:cs="Arial"/>
                <w:color w:val="000000"/>
                <w:sz w:val="16"/>
                <w:szCs w:val="16"/>
              </w:rPr>
              <w:t>407</w:t>
            </w:r>
          </w:p>
        </w:tc>
        <w:tc>
          <w:tcPr>
            <w:tcW w:w="550" w:type="pct"/>
            <w:tcBorders>
              <w:top w:val="nil"/>
              <w:left w:val="nil"/>
              <w:bottom w:val="nil"/>
              <w:right w:val="nil"/>
            </w:tcBorders>
            <w:shd w:val="clear" w:color="000000" w:fill="FFFFFF"/>
            <w:noWrap/>
            <w:vAlign w:val="center"/>
            <w:hideMark/>
          </w:tcPr>
          <w:p w14:paraId="335F6CB0" w14:textId="77777777" w:rsidR="00704CBB" w:rsidRPr="00704CBB" w:rsidRDefault="00704CBB" w:rsidP="00704CBB">
            <w:pPr>
              <w:spacing w:before="0" w:after="0" w:line="240" w:lineRule="auto"/>
              <w:jc w:val="right"/>
              <w:rPr>
                <w:rFonts w:ascii="Arial" w:hAnsi="Arial" w:cs="Arial"/>
                <w:color w:val="000000"/>
                <w:sz w:val="16"/>
                <w:szCs w:val="16"/>
              </w:rPr>
            </w:pPr>
            <w:r w:rsidRPr="00704CBB">
              <w:rPr>
                <w:rFonts w:ascii="Arial" w:hAnsi="Arial" w:cs="Arial"/>
                <w:color w:val="000000"/>
                <w:sz w:val="16"/>
                <w:szCs w:val="16"/>
              </w:rPr>
              <w:t>435</w:t>
            </w:r>
          </w:p>
        </w:tc>
        <w:tc>
          <w:tcPr>
            <w:tcW w:w="550" w:type="pct"/>
            <w:tcBorders>
              <w:top w:val="nil"/>
              <w:left w:val="nil"/>
              <w:bottom w:val="nil"/>
              <w:right w:val="nil"/>
            </w:tcBorders>
            <w:shd w:val="clear" w:color="000000" w:fill="FFFFFF"/>
            <w:noWrap/>
            <w:vAlign w:val="center"/>
            <w:hideMark/>
          </w:tcPr>
          <w:p w14:paraId="6ED97AB8" w14:textId="77777777" w:rsidR="00704CBB" w:rsidRPr="00704CBB" w:rsidRDefault="00704CBB" w:rsidP="00704CBB">
            <w:pPr>
              <w:spacing w:before="0" w:after="0" w:line="240" w:lineRule="auto"/>
              <w:jc w:val="right"/>
              <w:rPr>
                <w:rFonts w:ascii="Arial" w:hAnsi="Arial" w:cs="Arial"/>
                <w:color w:val="000000"/>
                <w:sz w:val="16"/>
                <w:szCs w:val="16"/>
              </w:rPr>
            </w:pPr>
            <w:r w:rsidRPr="00704CBB">
              <w:rPr>
                <w:rFonts w:ascii="Arial" w:hAnsi="Arial" w:cs="Arial"/>
                <w:color w:val="000000"/>
                <w:sz w:val="16"/>
                <w:szCs w:val="16"/>
              </w:rPr>
              <w:t>447</w:t>
            </w:r>
          </w:p>
        </w:tc>
      </w:tr>
      <w:tr w:rsidR="00704CBB" w:rsidRPr="00704CBB" w14:paraId="4CF9201C" w14:textId="77777777" w:rsidTr="00704CBB">
        <w:trPr>
          <w:trHeight w:hRule="exact" w:val="226"/>
        </w:trPr>
        <w:tc>
          <w:tcPr>
            <w:tcW w:w="2183" w:type="pct"/>
            <w:tcBorders>
              <w:top w:val="nil"/>
              <w:left w:val="nil"/>
              <w:bottom w:val="nil"/>
              <w:right w:val="nil"/>
            </w:tcBorders>
            <w:shd w:val="clear" w:color="000000" w:fill="FFFFFF"/>
            <w:noWrap/>
            <w:vAlign w:val="center"/>
            <w:hideMark/>
          </w:tcPr>
          <w:p w14:paraId="1B263DE8" w14:textId="77777777" w:rsidR="00704CBB" w:rsidRPr="00704CBB" w:rsidRDefault="00704CBB" w:rsidP="00704CBB">
            <w:pPr>
              <w:spacing w:before="0" w:after="0" w:line="240" w:lineRule="auto"/>
              <w:rPr>
                <w:rFonts w:ascii="Arial" w:hAnsi="Arial" w:cs="Arial"/>
                <w:color w:val="000000"/>
                <w:sz w:val="16"/>
                <w:szCs w:val="16"/>
              </w:rPr>
            </w:pPr>
            <w:r w:rsidRPr="00704CBB">
              <w:rPr>
                <w:rFonts w:ascii="Arial" w:hAnsi="Arial" w:cs="Arial"/>
                <w:color w:val="000000"/>
                <w:sz w:val="16"/>
                <w:szCs w:val="16"/>
              </w:rPr>
              <w:t>Supporting science and</w:t>
            </w:r>
          </w:p>
        </w:tc>
        <w:tc>
          <w:tcPr>
            <w:tcW w:w="68" w:type="pct"/>
            <w:tcBorders>
              <w:top w:val="nil"/>
              <w:left w:val="nil"/>
              <w:bottom w:val="nil"/>
              <w:right w:val="nil"/>
            </w:tcBorders>
            <w:shd w:val="clear" w:color="000000" w:fill="FFFFFF"/>
            <w:noWrap/>
            <w:vAlign w:val="center"/>
            <w:hideMark/>
          </w:tcPr>
          <w:p w14:paraId="2521ADDF" w14:textId="77777777" w:rsidR="00704CBB" w:rsidRPr="00704CBB" w:rsidRDefault="00704CBB" w:rsidP="00704CBB">
            <w:pPr>
              <w:spacing w:before="0" w:after="0" w:line="240" w:lineRule="auto"/>
              <w:rPr>
                <w:rFonts w:ascii="Arial" w:hAnsi="Arial" w:cs="Arial"/>
                <w:color w:val="000000"/>
                <w:sz w:val="16"/>
                <w:szCs w:val="16"/>
              </w:rPr>
            </w:pPr>
            <w:r w:rsidRPr="00704CBB">
              <w:rPr>
                <w:rFonts w:ascii="Arial" w:hAnsi="Arial" w:cs="Arial"/>
                <w:color w:val="000000"/>
                <w:sz w:val="16"/>
                <w:szCs w:val="16"/>
              </w:rPr>
              <w:t> </w:t>
            </w:r>
          </w:p>
        </w:tc>
        <w:tc>
          <w:tcPr>
            <w:tcW w:w="550" w:type="pct"/>
            <w:tcBorders>
              <w:top w:val="nil"/>
              <w:left w:val="nil"/>
              <w:bottom w:val="nil"/>
              <w:right w:val="nil"/>
            </w:tcBorders>
            <w:shd w:val="clear" w:color="000000" w:fill="FFFFFF"/>
            <w:noWrap/>
            <w:vAlign w:val="center"/>
            <w:hideMark/>
          </w:tcPr>
          <w:p w14:paraId="18180D85" w14:textId="77777777" w:rsidR="00704CBB" w:rsidRPr="00704CBB" w:rsidRDefault="00704CBB" w:rsidP="00704CBB">
            <w:pPr>
              <w:spacing w:before="0" w:after="0" w:line="240" w:lineRule="auto"/>
              <w:rPr>
                <w:rFonts w:ascii="Arial" w:hAnsi="Arial" w:cs="Arial"/>
                <w:color w:val="000000"/>
                <w:sz w:val="16"/>
                <w:szCs w:val="16"/>
              </w:rPr>
            </w:pPr>
            <w:r w:rsidRPr="00704CBB">
              <w:rPr>
                <w:rFonts w:ascii="Arial" w:hAnsi="Arial" w:cs="Arial"/>
                <w:color w:val="000000"/>
                <w:sz w:val="16"/>
                <w:szCs w:val="16"/>
              </w:rPr>
              <w:t> </w:t>
            </w:r>
          </w:p>
        </w:tc>
        <w:tc>
          <w:tcPr>
            <w:tcW w:w="550" w:type="pct"/>
            <w:tcBorders>
              <w:top w:val="nil"/>
              <w:left w:val="nil"/>
              <w:bottom w:val="nil"/>
              <w:right w:val="nil"/>
            </w:tcBorders>
            <w:shd w:val="clear" w:color="000000" w:fill="E6F2FF"/>
            <w:noWrap/>
            <w:vAlign w:val="center"/>
            <w:hideMark/>
          </w:tcPr>
          <w:p w14:paraId="6DCB620F" w14:textId="77777777" w:rsidR="00704CBB" w:rsidRPr="00704CBB" w:rsidRDefault="00704CBB" w:rsidP="00704CBB">
            <w:pPr>
              <w:spacing w:before="0" w:after="0" w:line="240" w:lineRule="auto"/>
              <w:rPr>
                <w:rFonts w:ascii="Arial" w:hAnsi="Arial" w:cs="Arial"/>
                <w:color w:val="000000"/>
                <w:sz w:val="16"/>
                <w:szCs w:val="16"/>
              </w:rPr>
            </w:pPr>
            <w:r w:rsidRPr="00704CBB">
              <w:rPr>
                <w:rFonts w:ascii="Arial" w:hAnsi="Arial" w:cs="Arial"/>
                <w:color w:val="000000"/>
                <w:sz w:val="16"/>
                <w:szCs w:val="16"/>
              </w:rPr>
              <w:t> </w:t>
            </w:r>
          </w:p>
        </w:tc>
        <w:tc>
          <w:tcPr>
            <w:tcW w:w="550" w:type="pct"/>
            <w:tcBorders>
              <w:top w:val="nil"/>
              <w:left w:val="nil"/>
              <w:bottom w:val="nil"/>
              <w:right w:val="nil"/>
            </w:tcBorders>
            <w:shd w:val="clear" w:color="000000" w:fill="FFFFFF"/>
            <w:noWrap/>
            <w:vAlign w:val="center"/>
            <w:hideMark/>
          </w:tcPr>
          <w:p w14:paraId="2E7DC2E0" w14:textId="77777777" w:rsidR="00704CBB" w:rsidRPr="00704CBB" w:rsidRDefault="00704CBB" w:rsidP="00704CBB">
            <w:pPr>
              <w:spacing w:before="0" w:after="0" w:line="240" w:lineRule="auto"/>
              <w:rPr>
                <w:rFonts w:ascii="Arial" w:hAnsi="Arial" w:cs="Arial"/>
                <w:color w:val="000000"/>
                <w:sz w:val="16"/>
                <w:szCs w:val="16"/>
              </w:rPr>
            </w:pPr>
            <w:r w:rsidRPr="00704CBB">
              <w:rPr>
                <w:rFonts w:ascii="Arial" w:hAnsi="Arial" w:cs="Arial"/>
                <w:color w:val="000000"/>
                <w:sz w:val="16"/>
                <w:szCs w:val="16"/>
              </w:rPr>
              <w:t> </w:t>
            </w:r>
          </w:p>
        </w:tc>
        <w:tc>
          <w:tcPr>
            <w:tcW w:w="550" w:type="pct"/>
            <w:tcBorders>
              <w:top w:val="nil"/>
              <w:left w:val="nil"/>
              <w:bottom w:val="nil"/>
              <w:right w:val="nil"/>
            </w:tcBorders>
            <w:shd w:val="clear" w:color="000000" w:fill="FFFFFF"/>
            <w:noWrap/>
            <w:vAlign w:val="center"/>
            <w:hideMark/>
          </w:tcPr>
          <w:p w14:paraId="29A9D4BB" w14:textId="77777777" w:rsidR="00704CBB" w:rsidRPr="00704CBB" w:rsidRDefault="00704CBB" w:rsidP="00704CBB">
            <w:pPr>
              <w:spacing w:before="0" w:after="0" w:line="240" w:lineRule="auto"/>
              <w:rPr>
                <w:rFonts w:ascii="Arial" w:hAnsi="Arial" w:cs="Arial"/>
                <w:color w:val="000000"/>
                <w:sz w:val="16"/>
                <w:szCs w:val="16"/>
              </w:rPr>
            </w:pPr>
            <w:r w:rsidRPr="00704CBB">
              <w:rPr>
                <w:rFonts w:ascii="Arial" w:hAnsi="Arial" w:cs="Arial"/>
                <w:color w:val="000000"/>
                <w:sz w:val="16"/>
                <w:szCs w:val="16"/>
              </w:rPr>
              <w:t> </w:t>
            </w:r>
          </w:p>
        </w:tc>
        <w:tc>
          <w:tcPr>
            <w:tcW w:w="550" w:type="pct"/>
            <w:tcBorders>
              <w:top w:val="nil"/>
              <w:left w:val="nil"/>
              <w:bottom w:val="nil"/>
              <w:right w:val="nil"/>
            </w:tcBorders>
            <w:shd w:val="clear" w:color="000000" w:fill="FFFFFF"/>
            <w:noWrap/>
            <w:vAlign w:val="center"/>
            <w:hideMark/>
          </w:tcPr>
          <w:p w14:paraId="7352DD1A" w14:textId="77777777" w:rsidR="00704CBB" w:rsidRPr="00704CBB" w:rsidRDefault="00704CBB" w:rsidP="00704CBB">
            <w:pPr>
              <w:spacing w:before="0" w:after="0" w:line="240" w:lineRule="auto"/>
              <w:rPr>
                <w:rFonts w:ascii="Arial" w:hAnsi="Arial" w:cs="Arial"/>
                <w:color w:val="000000"/>
                <w:sz w:val="16"/>
                <w:szCs w:val="16"/>
              </w:rPr>
            </w:pPr>
            <w:r w:rsidRPr="00704CBB">
              <w:rPr>
                <w:rFonts w:ascii="Arial" w:hAnsi="Arial" w:cs="Arial"/>
                <w:color w:val="000000"/>
                <w:sz w:val="16"/>
                <w:szCs w:val="16"/>
              </w:rPr>
              <w:t> </w:t>
            </w:r>
          </w:p>
        </w:tc>
      </w:tr>
      <w:tr w:rsidR="00704CBB" w:rsidRPr="00704CBB" w14:paraId="2AC31CDC" w14:textId="77777777" w:rsidTr="00704CBB">
        <w:trPr>
          <w:trHeight w:hRule="exact" w:val="226"/>
        </w:trPr>
        <w:tc>
          <w:tcPr>
            <w:tcW w:w="2183" w:type="pct"/>
            <w:tcBorders>
              <w:top w:val="nil"/>
              <w:left w:val="nil"/>
              <w:bottom w:val="nil"/>
              <w:right w:val="nil"/>
            </w:tcBorders>
            <w:shd w:val="clear" w:color="000000" w:fill="FFFFFF"/>
            <w:noWrap/>
            <w:vAlign w:val="center"/>
            <w:hideMark/>
          </w:tcPr>
          <w:p w14:paraId="0C51C125" w14:textId="77777777" w:rsidR="00704CBB" w:rsidRPr="00704CBB" w:rsidRDefault="00704CBB" w:rsidP="00704CBB">
            <w:pPr>
              <w:spacing w:before="0" w:after="0" w:line="240" w:lineRule="auto"/>
              <w:ind w:left="170"/>
              <w:rPr>
                <w:rFonts w:ascii="Arial" w:hAnsi="Arial" w:cs="Arial"/>
                <w:color w:val="000000"/>
                <w:sz w:val="16"/>
                <w:szCs w:val="16"/>
              </w:rPr>
            </w:pPr>
            <w:r w:rsidRPr="00704CBB">
              <w:rPr>
                <w:rFonts w:ascii="Arial" w:hAnsi="Arial" w:cs="Arial"/>
                <w:color w:val="000000"/>
                <w:sz w:val="16"/>
                <w:szCs w:val="16"/>
              </w:rPr>
              <w:t>commercialisation</w:t>
            </w:r>
          </w:p>
        </w:tc>
        <w:tc>
          <w:tcPr>
            <w:tcW w:w="68" w:type="pct"/>
            <w:tcBorders>
              <w:top w:val="nil"/>
              <w:left w:val="nil"/>
              <w:bottom w:val="nil"/>
              <w:right w:val="nil"/>
            </w:tcBorders>
            <w:shd w:val="clear" w:color="000000" w:fill="FFFFFF"/>
            <w:noWrap/>
            <w:vAlign w:val="center"/>
            <w:hideMark/>
          </w:tcPr>
          <w:p w14:paraId="376B5C4B" w14:textId="77777777" w:rsidR="00704CBB" w:rsidRPr="00704CBB" w:rsidRDefault="00704CBB" w:rsidP="00704CBB">
            <w:pPr>
              <w:spacing w:before="0" w:after="0" w:line="240" w:lineRule="auto"/>
              <w:rPr>
                <w:rFonts w:ascii="Arial" w:hAnsi="Arial" w:cs="Arial"/>
                <w:color w:val="000000"/>
                <w:sz w:val="16"/>
                <w:szCs w:val="16"/>
              </w:rPr>
            </w:pPr>
            <w:r w:rsidRPr="00704CBB">
              <w:rPr>
                <w:rFonts w:ascii="Arial" w:hAnsi="Arial" w:cs="Arial"/>
                <w:color w:val="000000"/>
                <w:sz w:val="16"/>
                <w:szCs w:val="16"/>
              </w:rPr>
              <w:t> </w:t>
            </w:r>
          </w:p>
        </w:tc>
        <w:tc>
          <w:tcPr>
            <w:tcW w:w="550" w:type="pct"/>
            <w:tcBorders>
              <w:top w:val="nil"/>
              <w:left w:val="nil"/>
              <w:bottom w:val="nil"/>
              <w:right w:val="nil"/>
            </w:tcBorders>
            <w:shd w:val="clear" w:color="000000" w:fill="FFFFFF"/>
            <w:noWrap/>
            <w:vAlign w:val="center"/>
            <w:hideMark/>
          </w:tcPr>
          <w:p w14:paraId="2CC07766" w14:textId="77777777" w:rsidR="00704CBB" w:rsidRPr="00704CBB" w:rsidRDefault="00704CBB" w:rsidP="00704CBB">
            <w:pPr>
              <w:spacing w:before="0" w:after="0" w:line="240" w:lineRule="auto"/>
              <w:jc w:val="right"/>
              <w:rPr>
                <w:rFonts w:ascii="Arial" w:hAnsi="Arial" w:cs="Arial"/>
                <w:color w:val="000000"/>
                <w:sz w:val="16"/>
                <w:szCs w:val="16"/>
              </w:rPr>
            </w:pPr>
            <w:r w:rsidRPr="00704CBB">
              <w:rPr>
                <w:rFonts w:ascii="Arial" w:hAnsi="Arial" w:cs="Arial"/>
                <w:color w:val="000000"/>
                <w:sz w:val="16"/>
                <w:szCs w:val="16"/>
              </w:rPr>
              <w:t>361</w:t>
            </w:r>
          </w:p>
        </w:tc>
        <w:tc>
          <w:tcPr>
            <w:tcW w:w="550" w:type="pct"/>
            <w:tcBorders>
              <w:top w:val="nil"/>
              <w:left w:val="nil"/>
              <w:bottom w:val="nil"/>
              <w:right w:val="nil"/>
            </w:tcBorders>
            <w:shd w:val="clear" w:color="000000" w:fill="E6F2FF"/>
            <w:noWrap/>
            <w:vAlign w:val="center"/>
            <w:hideMark/>
          </w:tcPr>
          <w:p w14:paraId="6EB148D6" w14:textId="77777777" w:rsidR="00704CBB" w:rsidRPr="00704CBB" w:rsidRDefault="00704CBB" w:rsidP="00704CBB">
            <w:pPr>
              <w:spacing w:before="0" w:after="0" w:line="240" w:lineRule="auto"/>
              <w:jc w:val="right"/>
              <w:rPr>
                <w:rFonts w:ascii="Arial" w:hAnsi="Arial" w:cs="Arial"/>
                <w:color w:val="000000"/>
                <w:sz w:val="16"/>
                <w:szCs w:val="16"/>
              </w:rPr>
            </w:pPr>
            <w:r w:rsidRPr="00704CBB">
              <w:rPr>
                <w:rFonts w:ascii="Arial" w:hAnsi="Arial" w:cs="Arial"/>
                <w:color w:val="000000"/>
                <w:sz w:val="16"/>
                <w:szCs w:val="16"/>
              </w:rPr>
              <w:t>480</w:t>
            </w:r>
          </w:p>
        </w:tc>
        <w:tc>
          <w:tcPr>
            <w:tcW w:w="550" w:type="pct"/>
            <w:tcBorders>
              <w:top w:val="nil"/>
              <w:left w:val="nil"/>
              <w:bottom w:val="nil"/>
              <w:right w:val="nil"/>
            </w:tcBorders>
            <w:shd w:val="clear" w:color="000000" w:fill="FFFFFF"/>
            <w:noWrap/>
            <w:vAlign w:val="center"/>
            <w:hideMark/>
          </w:tcPr>
          <w:p w14:paraId="22443035" w14:textId="77777777" w:rsidR="00704CBB" w:rsidRPr="00704CBB" w:rsidRDefault="00704CBB" w:rsidP="00704CBB">
            <w:pPr>
              <w:spacing w:before="0" w:after="0" w:line="240" w:lineRule="auto"/>
              <w:jc w:val="right"/>
              <w:rPr>
                <w:rFonts w:ascii="Arial" w:hAnsi="Arial" w:cs="Arial"/>
                <w:color w:val="000000"/>
                <w:sz w:val="16"/>
                <w:szCs w:val="16"/>
              </w:rPr>
            </w:pPr>
            <w:r w:rsidRPr="00704CBB">
              <w:rPr>
                <w:rFonts w:ascii="Arial" w:hAnsi="Arial" w:cs="Arial"/>
                <w:color w:val="000000"/>
                <w:sz w:val="16"/>
                <w:szCs w:val="16"/>
              </w:rPr>
              <w:t>325</w:t>
            </w:r>
          </w:p>
        </w:tc>
        <w:tc>
          <w:tcPr>
            <w:tcW w:w="550" w:type="pct"/>
            <w:tcBorders>
              <w:top w:val="nil"/>
              <w:left w:val="nil"/>
              <w:bottom w:val="nil"/>
              <w:right w:val="nil"/>
            </w:tcBorders>
            <w:shd w:val="clear" w:color="000000" w:fill="FFFFFF"/>
            <w:noWrap/>
            <w:vAlign w:val="center"/>
            <w:hideMark/>
          </w:tcPr>
          <w:p w14:paraId="2CFA1B7A" w14:textId="77777777" w:rsidR="00704CBB" w:rsidRPr="00704CBB" w:rsidRDefault="00704CBB" w:rsidP="00704CBB">
            <w:pPr>
              <w:spacing w:before="0" w:after="0" w:line="240" w:lineRule="auto"/>
              <w:jc w:val="right"/>
              <w:rPr>
                <w:rFonts w:ascii="Arial" w:hAnsi="Arial" w:cs="Arial"/>
                <w:color w:val="000000"/>
                <w:sz w:val="16"/>
                <w:szCs w:val="16"/>
              </w:rPr>
            </w:pPr>
            <w:r w:rsidRPr="00704CBB">
              <w:rPr>
                <w:rFonts w:ascii="Arial" w:hAnsi="Arial" w:cs="Arial"/>
                <w:color w:val="000000"/>
                <w:sz w:val="16"/>
                <w:szCs w:val="16"/>
              </w:rPr>
              <w:t>290</w:t>
            </w:r>
          </w:p>
        </w:tc>
        <w:tc>
          <w:tcPr>
            <w:tcW w:w="550" w:type="pct"/>
            <w:tcBorders>
              <w:top w:val="nil"/>
              <w:left w:val="nil"/>
              <w:bottom w:val="nil"/>
              <w:right w:val="nil"/>
            </w:tcBorders>
            <w:shd w:val="clear" w:color="000000" w:fill="FFFFFF"/>
            <w:noWrap/>
            <w:vAlign w:val="center"/>
            <w:hideMark/>
          </w:tcPr>
          <w:p w14:paraId="11FCCFF8" w14:textId="77777777" w:rsidR="00704CBB" w:rsidRPr="00704CBB" w:rsidRDefault="00704CBB" w:rsidP="00704CBB">
            <w:pPr>
              <w:spacing w:before="0" w:after="0" w:line="240" w:lineRule="auto"/>
              <w:jc w:val="right"/>
              <w:rPr>
                <w:rFonts w:ascii="Arial" w:hAnsi="Arial" w:cs="Arial"/>
                <w:color w:val="000000"/>
                <w:sz w:val="16"/>
                <w:szCs w:val="16"/>
              </w:rPr>
            </w:pPr>
            <w:r w:rsidRPr="00704CBB">
              <w:rPr>
                <w:rFonts w:ascii="Arial" w:hAnsi="Arial" w:cs="Arial"/>
                <w:color w:val="000000"/>
                <w:sz w:val="16"/>
                <w:szCs w:val="16"/>
              </w:rPr>
              <w:t>304</w:t>
            </w:r>
          </w:p>
        </w:tc>
      </w:tr>
      <w:tr w:rsidR="00704CBB" w:rsidRPr="00704CBB" w14:paraId="74FB76F5" w14:textId="77777777" w:rsidTr="00704CBB">
        <w:trPr>
          <w:trHeight w:hRule="exact" w:val="226"/>
        </w:trPr>
        <w:tc>
          <w:tcPr>
            <w:tcW w:w="2183" w:type="pct"/>
            <w:tcBorders>
              <w:top w:val="nil"/>
              <w:left w:val="nil"/>
              <w:bottom w:val="nil"/>
              <w:right w:val="nil"/>
            </w:tcBorders>
            <w:shd w:val="clear" w:color="000000" w:fill="FFFFFF"/>
            <w:noWrap/>
            <w:vAlign w:val="center"/>
            <w:hideMark/>
          </w:tcPr>
          <w:p w14:paraId="1A36ED81" w14:textId="77777777" w:rsidR="00704CBB" w:rsidRPr="00704CBB" w:rsidRDefault="00704CBB" w:rsidP="00704CBB">
            <w:pPr>
              <w:spacing w:before="0" w:after="0" w:line="240" w:lineRule="auto"/>
              <w:rPr>
                <w:rFonts w:ascii="Arial" w:hAnsi="Arial" w:cs="Arial"/>
                <w:color w:val="000000"/>
                <w:sz w:val="16"/>
                <w:szCs w:val="16"/>
              </w:rPr>
            </w:pPr>
            <w:r w:rsidRPr="00704CBB">
              <w:rPr>
                <w:rFonts w:ascii="Arial" w:hAnsi="Arial" w:cs="Arial"/>
                <w:color w:val="000000"/>
                <w:sz w:val="16"/>
                <w:szCs w:val="16"/>
              </w:rPr>
              <w:t>Research capacity</w:t>
            </w:r>
          </w:p>
        </w:tc>
        <w:tc>
          <w:tcPr>
            <w:tcW w:w="68" w:type="pct"/>
            <w:tcBorders>
              <w:top w:val="nil"/>
              <w:left w:val="nil"/>
              <w:bottom w:val="nil"/>
              <w:right w:val="nil"/>
            </w:tcBorders>
            <w:shd w:val="clear" w:color="000000" w:fill="FFFFFF"/>
            <w:noWrap/>
            <w:vAlign w:val="center"/>
            <w:hideMark/>
          </w:tcPr>
          <w:p w14:paraId="48422F93" w14:textId="77777777" w:rsidR="00704CBB" w:rsidRPr="00704CBB" w:rsidRDefault="00704CBB" w:rsidP="00704CBB">
            <w:pPr>
              <w:spacing w:before="0" w:after="0" w:line="240" w:lineRule="auto"/>
              <w:rPr>
                <w:rFonts w:ascii="Arial" w:hAnsi="Arial" w:cs="Arial"/>
                <w:color w:val="000000"/>
                <w:sz w:val="16"/>
                <w:szCs w:val="16"/>
              </w:rPr>
            </w:pPr>
            <w:r w:rsidRPr="00704CBB">
              <w:rPr>
                <w:rFonts w:ascii="Arial" w:hAnsi="Arial" w:cs="Arial"/>
                <w:color w:val="000000"/>
                <w:sz w:val="16"/>
                <w:szCs w:val="16"/>
              </w:rPr>
              <w:t> </w:t>
            </w:r>
          </w:p>
        </w:tc>
        <w:tc>
          <w:tcPr>
            <w:tcW w:w="550" w:type="pct"/>
            <w:tcBorders>
              <w:top w:val="nil"/>
              <w:left w:val="nil"/>
              <w:bottom w:val="nil"/>
              <w:right w:val="nil"/>
            </w:tcBorders>
            <w:shd w:val="clear" w:color="000000" w:fill="FFFFFF"/>
            <w:noWrap/>
            <w:vAlign w:val="center"/>
            <w:hideMark/>
          </w:tcPr>
          <w:p w14:paraId="2E27FFB5" w14:textId="77777777" w:rsidR="00704CBB" w:rsidRPr="00704CBB" w:rsidRDefault="00704CBB" w:rsidP="00704CBB">
            <w:pPr>
              <w:spacing w:before="0" w:after="0" w:line="240" w:lineRule="auto"/>
              <w:jc w:val="right"/>
              <w:rPr>
                <w:rFonts w:ascii="Arial" w:hAnsi="Arial" w:cs="Arial"/>
                <w:color w:val="000000"/>
                <w:sz w:val="16"/>
                <w:szCs w:val="16"/>
              </w:rPr>
            </w:pPr>
            <w:r w:rsidRPr="00704CBB">
              <w:rPr>
                <w:rFonts w:ascii="Arial" w:hAnsi="Arial" w:cs="Arial"/>
                <w:color w:val="000000"/>
                <w:sz w:val="16"/>
                <w:szCs w:val="16"/>
              </w:rPr>
              <w:t>581</w:t>
            </w:r>
          </w:p>
        </w:tc>
        <w:tc>
          <w:tcPr>
            <w:tcW w:w="550" w:type="pct"/>
            <w:tcBorders>
              <w:top w:val="nil"/>
              <w:left w:val="nil"/>
              <w:bottom w:val="nil"/>
              <w:right w:val="nil"/>
            </w:tcBorders>
            <w:shd w:val="clear" w:color="000000" w:fill="E6F2FF"/>
            <w:noWrap/>
            <w:vAlign w:val="center"/>
            <w:hideMark/>
          </w:tcPr>
          <w:p w14:paraId="4F898C68" w14:textId="77777777" w:rsidR="00704CBB" w:rsidRPr="00704CBB" w:rsidRDefault="00704CBB" w:rsidP="00704CBB">
            <w:pPr>
              <w:spacing w:before="0" w:after="0" w:line="240" w:lineRule="auto"/>
              <w:jc w:val="right"/>
              <w:rPr>
                <w:rFonts w:ascii="Arial" w:hAnsi="Arial" w:cs="Arial"/>
                <w:color w:val="000000"/>
                <w:sz w:val="16"/>
                <w:szCs w:val="16"/>
              </w:rPr>
            </w:pPr>
            <w:r w:rsidRPr="00704CBB">
              <w:rPr>
                <w:rFonts w:ascii="Arial" w:hAnsi="Arial" w:cs="Arial"/>
                <w:color w:val="000000"/>
                <w:sz w:val="16"/>
                <w:szCs w:val="16"/>
              </w:rPr>
              <w:t>781</w:t>
            </w:r>
          </w:p>
        </w:tc>
        <w:tc>
          <w:tcPr>
            <w:tcW w:w="550" w:type="pct"/>
            <w:tcBorders>
              <w:top w:val="nil"/>
              <w:left w:val="nil"/>
              <w:bottom w:val="nil"/>
              <w:right w:val="nil"/>
            </w:tcBorders>
            <w:shd w:val="clear" w:color="000000" w:fill="FFFFFF"/>
            <w:noWrap/>
            <w:vAlign w:val="center"/>
            <w:hideMark/>
          </w:tcPr>
          <w:p w14:paraId="6ADC60D3" w14:textId="77777777" w:rsidR="00704CBB" w:rsidRPr="00704CBB" w:rsidRDefault="00704CBB" w:rsidP="00704CBB">
            <w:pPr>
              <w:spacing w:before="0" w:after="0" w:line="240" w:lineRule="auto"/>
              <w:jc w:val="right"/>
              <w:rPr>
                <w:rFonts w:ascii="Arial" w:hAnsi="Arial" w:cs="Arial"/>
                <w:color w:val="000000"/>
                <w:sz w:val="16"/>
                <w:szCs w:val="16"/>
              </w:rPr>
            </w:pPr>
            <w:r w:rsidRPr="00704CBB">
              <w:rPr>
                <w:rFonts w:ascii="Arial" w:hAnsi="Arial" w:cs="Arial"/>
                <w:color w:val="000000"/>
                <w:sz w:val="16"/>
                <w:szCs w:val="16"/>
              </w:rPr>
              <w:t>755</w:t>
            </w:r>
          </w:p>
        </w:tc>
        <w:tc>
          <w:tcPr>
            <w:tcW w:w="550" w:type="pct"/>
            <w:tcBorders>
              <w:top w:val="nil"/>
              <w:left w:val="nil"/>
              <w:bottom w:val="nil"/>
              <w:right w:val="nil"/>
            </w:tcBorders>
            <w:shd w:val="clear" w:color="000000" w:fill="FFFFFF"/>
            <w:noWrap/>
            <w:vAlign w:val="center"/>
            <w:hideMark/>
          </w:tcPr>
          <w:p w14:paraId="237B5FD6" w14:textId="77777777" w:rsidR="00704CBB" w:rsidRPr="00704CBB" w:rsidRDefault="00704CBB" w:rsidP="00704CBB">
            <w:pPr>
              <w:spacing w:before="0" w:after="0" w:line="240" w:lineRule="auto"/>
              <w:jc w:val="right"/>
              <w:rPr>
                <w:rFonts w:ascii="Arial" w:hAnsi="Arial" w:cs="Arial"/>
                <w:color w:val="000000"/>
                <w:sz w:val="16"/>
                <w:szCs w:val="16"/>
              </w:rPr>
            </w:pPr>
            <w:r w:rsidRPr="00704CBB">
              <w:rPr>
                <w:rFonts w:ascii="Arial" w:hAnsi="Arial" w:cs="Arial"/>
                <w:color w:val="000000"/>
                <w:sz w:val="16"/>
                <w:szCs w:val="16"/>
              </w:rPr>
              <w:t>584</w:t>
            </w:r>
          </w:p>
        </w:tc>
        <w:tc>
          <w:tcPr>
            <w:tcW w:w="550" w:type="pct"/>
            <w:tcBorders>
              <w:top w:val="nil"/>
              <w:left w:val="nil"/>
              <w:bottom w:val="nil"/>
              <w:right w:val="nil"/>
            </w:tcBorders>
            <w:shd w:val="clear" w:color="000000" w:fill="FFFFFF"/>
            <w:noWrap/>
            <w:vAlign w:val="center"/>
            <w:hideMark/>
          </w:tcPr>
          <w:p w14:paraId="4F185ED8" w14:textId="77777777" w:rsidR="00704CBB" w:rsidRPr="00704CBB" w:rsidRDefault="00704CBB" w:rsidP="00704CBB">
            <w:pPr>
              <w:spacing w:before="0" w:after="0" w:line="240" w:lineRule="auto"/>
              <w:jc w:val="right"/>
              <w:rPr>
                <w:rFonts w:ascii="Arial" w:hAnsi="Arial" w:cs="Arial"/>
                <w:color w:val="000000"/>
                <w:sz w:val="16"/>
                <w:szCs w:val="16"/>
              </w:rPr>
            </w:pPr>
            <w:r w:rsidRPr="00704CBB">
              <w:rPr>
                <w:rFonts w:ascii="Arial" w:hAnsi="Arial" w:cs="Arial"/>
                <w:color w:val="000000"/>
                <w:sz w:val="16"/>
                <w:szCs w:val="16"/>
              </w:rPr>
              <w:t>565</w:t>
            </w:r>
          </w:p>
        </w:tc>
      </w:tr>
      <w:tr w:rsidR="00704CBB" w:rsidRPr="00704CBB" w14:paraId="050912BC" w14:textId="77777777" w:rsidTr="00704CBB">
        <w:trPr>
          <w:trHeight w:hRule="exact" w:val="226"/>
        </w:trPr>
        <w:tc>
          <w:tcPr>
            <w:tcW w:w="2183" w:type="pct"/>
            <w:tcBorders>
              <w:top w:val="nil"/>
              <w:left w:val="nil"/>
              <w:bottom w:val="nil"/>
              <w:right w:val="nil"/>
            </w:tcBorders>
            <w:shd w:val="clear" w:color="000000" w:fill="FFFFFF"/>
            <w:noWrap/>
            <w:vAlign w:val="center"/>
            <w:hideMark/>
          </w:tcPr>
          <w:p w14:paraId="6E0F83D2" w14:textId="77777777" w:rsidR="00704CBB" w:rsidRPr="00704CBB" w:rsidRDefault="00704CBB" w:rsidP="00704CBB">
            <w:pPr>
              <w:spacing w:before="0" w:after="0" w:line="240" w:lineRule="auto"/>
              <w:rPr>
                <w:rFonts w:ascii="Arial" w:hAnsi="Arial" w:cs="Arial"/>
                <w:color w:val="000000"/>
                <w:sz w:val="16"/>
                <w:szCs w:val="16"/>
              </w:rPr>
            </w:pPr>
            <w:r w:rsidRPr="00704CBB">
              <w:rPr>
                <w:rFonts w:ascii="Arial" w:hAnsi="Arial" w:cs="Arial"/>
                <w:color w:val="000000"/>
                <w:sz w:val="16"/>
                <w:szCs w:val="16"/>
              </w:rPr>
              <w:t>Other</w:t>
            </w:r>
          </w:p>
        </w:tc>
        <w:tc>
          <w:tcPr>
            <w:tcW w:w="68" w:type="pct"/>
            <w:tcBorders>
              <w:top w:val="nil"/>
              <w:left w:val="nil"/>
              <w:bottom w:val="nil"/>
              <w:right w:val="nil"/>
            </w:tcBorders>
            <w:shd w:val="clear" w:color="000000" w:fill="FFFFFF"/>
            <w:noWrap/>
            <w:vAlign w:val="center"/>
            <w:hideMark/>
          </w:tcPr>
          <w:p w14:paraId="64410201" w14:textId="77777777" w:rsidR="00704CBB" w:rsidRPr="00704CBB" w:rsidRDefault="00704CBB" w:rsidP="00704CBB">
            <w:pPr>
              <w:spacing w:before="0" w:after="0" w:line="240" w:lineRule="auto"/>
              <w:rPr>
                <w:rFonts w:ascii="Arial" w:hAnsi="Arial" w:cs="Arial"/>
                <w:color w:val="000000"/>
                <w:sz w:val="16"/>
                <w:szCs w:val="16"/>
              </w:rPr>
            </w:pPr>
            <w:r w:rsidRPr="00704CBB">
              <w:rPr>
                <w:rFonts w:ascii="Arial" w:hAnsi="Arial" w:cs="Arial"/>
                <w:color w:val="000000"/>
                <w:sz w:val="16"/>
                <w:szCs w:val="16"/>
              </w:rPr>
              <w:t> </w:t>
            </w:r>
          </w:p>
        </w:tc>
        <w:tc>
          <w:tcPr>
            <w:tcW w:w="550" w:type="pct"/>
            <w:tcBorders>
              <w:top w:val="nil"/>
              <w:left w:val="nil"/>
              <w:bottom w:val="single" w:sz="4" w:space="0" w:color="293F5B"/>
              <w:right w:val="nil"/>
            </w:tcBorders>
            <w:shd w:val="clear" w:color="000000" w:fill="FFFFFF"/>
            <w:noWrap/>
            <w:vAlign w:val="center"/>
            <w:hideMark/>
          </w:tcPr>
          <w:p w14:paraId="2CF6BDCD" w14:textId="77777777" w:rsidR="00704CBB" w:rsidRPr="00704CBB" w:rsidRDefault="00704CBB" w:rsidP="00704CBB">
            <w:pPr>
              <w:spacing w:before="0" w:after="0" w:line="240" w:lineRule="auto"/>
              <w:jc w:val="right"/>
              <w:rPr>
                <w:rFonts w:ascii="Arial" w:hAnsi="Arial" w:cs="Arial"/>
                <w:color w:val="000000"/>
                <w:sz w:val="16"/>
                <w:szCs w:val="16"/>
              </w:rPr>
            </w:pPr>
            <w:r w:rsidRPr="00704CBB">
              <w:rPr>
                <w:rFonts w:ascii="Arial" w:hAnsi="Arial" w:cs="Arial"/>
                <w:color w:val="000000"/>
                <w:sz w:val="16"/>
                <w:szCs w:val="16"/>
              </w:rPr>
              <w:t>174</w:t>
            </w:r>
          </w:p>
        </w:tc>
        <w:tc>
          <w:tcPr>
            <w:tcW w:w="550" w:type="pct"/>
            <w:tcBorders>
              <w:top w:val="nil"/>
              <w:left w:val="nil"/>
              <w:bottom w:val="single" w:sz="4" w:space="0" w:color="293F5B"/>
              <w:right w:val="nil"/>
            </w:tcBorders>
            <w:shd w:val="clear" w:color="000000" w:fill="E6F2FF"/>
            <w:noWrap/>
            <w:vAlign w:val="center"/>
            <w:hideMark/>
          </w:tcPr>
          <w:p w14:paraId="10DC285C" w14:textId="77777777" w:rsidR="00704CBB" w:rsidRPr="00704CBB" w:rsidRDefault="00704CBB" w:rsidP="00704CBB">
            <w:pPr>
              <w:spacing w:before="0" w:after="0" w:line="240" w:lineRule="auto"/>
              <w:jc w:val="right"/>
              <w:rPr>
                <w:rFonts w:ascii="Arial" w:hAnsi="Arial" w:cs="Arial"/>
                <w:color w:val="000000"/>
                <w:sz w:val="16"/>
                <w:szCs w:val="16"/>
              </w:rPr>
            </w:pPr>
            <w:r w:rsidRPr="00704CBB">
              <w:rPr>
                <w:rFonts w:ascii="Arial" w:hAnsi="Arial" w:cs="Arial"/>
                <w:color w:val="000000"/>
                <w:sz w:val="16"/>
                <w:szCs w:val="16"/>
              </w:rPr>
              <w:t>164</w:t>
            </w:r>
          </w:p>
        </w:tc>
        <w:tc>
          <w:tcPr>
            <w:tcW w:w="550" w:type="pct"/>
            <w:tcBorders>
              <w:top w:val="nil"/>
              <w:left w:val="nil"/>
              <w:bottom w:val="single" w:sz="4" w:space="0" w:color="293F5B"/>
              <w:right w:val="nil"/>
            </w:tcBorders>
            <w:shd w:val="clear" w:color="000000" w:fill="FFFFFF"/>
            <w:noWrap/>
            <w:vAlign w:val="center"/>
            <w:hideMark/>
          </w:tcPr>
          <w:p w14:paraId="6904FE74" w14:textId="77777777" w:rsidR="00704CBB" w:rsidRPr="00704CBB" w:rsidRDefault="00704CBB" w:rsidP="00704CBB">
            <w:pPr>
              <w:spacing w:before="0" w:after="0" w:line="240" w:lineRule="auto"/>
              <w:jc w:val="right"/>
              <w:rPr>
                <w:rFonts w:ascii="Arial" w:hAnsi="Arial" w:cs="Arial"/>
                <w:color w:val="000000"/>
                <w:sz w:val="16"/>
                <w:szCs w:val="16"/>
              </w:rPr>
            </w:pPr>
            <w:r w:rsidRPr="00704CBB">
              <w:rPr>
                <w:rFonts w:ascii="Arial" w:hAnsi="Arial" w:cs="Arial"/>
                <w:color w:val="000000"/>
                <w:sz w:val="16"/>
                <w:szCs w:val="16"/>
              </w:rPr>
              <w:t>173</w:t>
            </w:r>
          </w:p>
        </w:tc>
        <w:tc>
          <w:tcPr>
            <w:tcW w:w="550" w:type="pct"/>
            <w:tcBorders>
              <w:top w:val="nil"/>
              <w:left w:val="nil"/>
              <w:bottom w:val="single" w:sz="4" w:space="0" w:color="293F5B"/>
              <w:right w:val="nil"/>
            </w:tcBorders>
            <w:shd w:val="clear" w:color="000000" w:fill="FFFFFF"/>
            <w:noWrap/>
            <w:vAlign w:val="center"/>
            <w:hideMark/>
          </w:tcPr>
          <w:p w14:paraId="7FA28858" w14:textId="77777777" w:rsidR="00704CBB" w:rsidRPr="00704CBB" w:rsidRDefault="00704CBB" w:rsidP="00704CBB">
            <w:pPr>
              <w:spacing w:before="0" w:after="0" w:line="240" w:lineRule="auto"/>
              <w:jc w:val="right"/>
              <w:rPr>
                <w:rFonts w:ascii="Arial" w:hAnsi="Arial" w:cs="Arial"/>
                <w:color w:val="000000"/>
                <w:sz w:val="16"/>
                <w:szCs w:val="16"/>
              </w:rPr>
            </w:pPr>
            <w:r w:rsidRPr="00704CBB">
              <w:rPr>
                <w:rFonts w:ascii="Arial" w:hAnsi="Arial" w:cs="Arial"/>
                <w:color w:val="000000"/>
                <w:sz w:val="16"/>
                <w:szCs w:val="16"/>
              </w:rPr>
              <w:t>173</w:t>
            </w:r>
          </w:p>
        </w:tc>
        <w:tc>
          <w:tcPr>
            <w:tcW w:w="550" w:type="pct"/>
            <w:tcBorders>
              <w:top w:val="nil"/>
              <w:left w:val="nil"/>
              <w:bottom w:val="single" w:sz="4" w:space="0" w:color="293F5B"/>
              <w:right w:val="nil"/>
            </w:tcBorders>
            <w:shd w:val="clear" w:color="000000" w:fill="FFFFFF"/>
            <w:noWrap/>
            <w:vAlign w:val="center"/>
            <w:hideMark/>
          </w:tcPr>
          <w:p w14:paraId="1955A0DE" w14:textId="77777777" w:rsidR="00704CBB" w:rsidRPr="00704CBB" w:rsidRDefault="00704CBB" w:rsidP="00704CBB">
            <w:pPr>
              <w:spacing w:before="0" w:after="0" w:line="240" w:lineRule="auto"/>
              <w:jc w:val="right"/>
              <w:rPr>
                <w:rFonts w:ascii="Arial" w:hAnsi="Arial" w:cs="Arial"/>
                <w:color w:val="000000"/>
                <w:sz w:val="16"/>
                <w:szCs w:val="16"/>
              </w:rPr>
            </w:pPr>
            <w:r w:rsidRPr="00704CBB">
              <w:rPr>
                <w:rFonts w:ascii="Arial" w:hAnsi="Arial" w:cs="Arial"/>
                <w:color w:val="000000"/>
                <w:sz w:val="16"/>
                <w:szCs w:val="16"/>
              </w:rPr>
              <w:t>179</w:t>
            </w:r>
          </w:p>
        </w:tc>
      </w:tr>
      <w:tr w:rsidR="00704CBB" w:rsidRPr="00704CBB" w14:paraId="31699F62" w14:textId="77777777" w:rsidTr="00704CBB">
        <w:trPr>
          <w:trHeight w:hRule="exact" w:val="226"/>
        </w:trPr>
        <w:tc>
          <w:tcPr>
            <w:tcW w:w="2183" w:type="pct"/>
            <w:tcBorders>
              <w:top w:val="nil"/>
              <w:left w:val="nil"/>
              <w:bottom w:val="single" w:sz="4" w:space="0" w:color="293F5B"/>
              <w:right w:val="nil"/>
            </w:tcBorders>
            <w:shd w:val="clear" w:color="000000" w:fill="FFFFFF"/>
            <w:noWrap/>
            <w:vAlign w:val="center"/>
            <w:hideMark/>
          </w:tcPr>
          <w:p w14:paraId="48205E9C" w14:textId="77777777" w:rsidR="00704CBB" w:rsidRPr="00704CBB" w:rsidRDefault="00704CBB" w:rsidP="00704CBB">
            <w:pPr>
              <w:spacing w:before="0" w:after="0" w:line="240" w:lineRule="auto"/>
              <w:rPr>
                <w:rFonts w:ascii="Arial" w:hAnsi="Arial" w:cs="Arial"/>
                <w:b/>
                <w:bCs/>
                <w:color w:val="000000"/>
                <w:sz w:val="16"/>
                <w:szCs w:val="16"/>
              </w:rPr>
            </w:pPr>
            <w:r w:rsidRPr="00704CBB">
              <w:rPr>
                <w:rFonts w:ascii="Arial" w:hAnsi="Arial" w:cs="Arial"/>
                <w:b/>
                <w:bCs/>
                <w:color w:val="000000"/>
                <w:sz w:val="16"/>
                <w:szCs w:val="16"/>
              </w:rPr>
              <w:t>Total</w:t>
            </w:r>
          </w:p>
        </w:tc>
        <w:tc>
          <w:tcPr>
            <w:tcW w:w="68" w:type="pct"/>
            <w:tcBorders>
              <w:top w:val="nil"/>
              <w:left w:val="nil"/>
              <w:bottom w:val="single" w:sz="4" w:space="0" w:color="293F5B"/>
              <w:right w:val="nil"/>
            </w:tcBorders>
            <w:shd w:val="clear" w:color="000000" w:fill="FFFFFF"/>
            <w:noWrap/>
            <w:vAlign w:val="center"/>
            <w:hideMark/>
          </w:tcPr>
          <w:p w14:paraId="1CDA55E0" w14:textId="77777777" w:rsidR="00704CBB" w:rsidRPr="00704CBB" w:rsidRDefault="00704CBB" w:rsidP="00704CBB">
            <w:pPr>
              <w:spacing w:before="0" w:after="0" w:line="240" w:lineRule="auto"/>
              <w:rPr>
                <w:rFonts w:ascii="Arial" w:hAnsi="Arial" w:cs="Arial"/>
                <w:b/>
                <w:bCs/>
                <w:color w:val="000000"/>
                <w:sz w:val="16"/>
                <w:szCs w:val="16"/>
              </w:rPr>
            </w:pPr>
            <w:r w:rsidRPr="00704CBB">
              <w:rPr>
                <w:rFonts w:ascii="Arial" w:hAnsi="Arial" w:cs="Arial"/>
                <w:b/>
                <w:bCs/>
                <w:color w:val="000000"/>
                <w:sz w:val="16"/>
                <w:szCs w:val="16"/>
              </w:rPr>
              <w:t> </w:t>
            </w:r>
          </w:p>
        </w:tc>
        <w:tc>
          <w:tcPr>
            <w:tcW w:w="550" w:type="pct"/>
            <w:tcBorders>
              <w:top w:val="nil"/>
              <w:left w:val="nil"/>
              <w:bottom w:val="single" w:sz="4" w:space="0" w:color="293F5B"/>
              <w:right w:val="nil"/>
            </w:tcBorders>
            <w:shd w:val="clear" w:color="000000" w:fill="FFFFFF"/>
            <w:noWrap/>
            <w:vAlign w:val="center"/>
            <w:hideMark/>
          </w:tcPr>
          <w:p w14:paraId="7F1D259F" w14:textId="77777777" w:rsidR="00704CBB" w:rsidRPr="00704CBB" w:rsidRDefault="00704CBB" w:rsidP="00704CBB">
            <w:pPr>
              <w:spacing w:before="0" w:after="0" w:line="240" w:lineRule="auto"/>
              <w:jc w:val="right"/>
              <w:rPr>
                <w:rFonts w:ascii="Arial" w:hAnsi="Arial" w:cs="Arial"/>
                <w:b/>
                <w:bCs/>
                <w:color w:val="000000"/>
                <w:sz w:val="16"/>
                <w:szCs w:val="16"/>
              </w:rPr>
            </w:pPr>
            <w:r w:rsidRPr="00704CBB">
              <w:rPr>
                <w:rFonts w:ascii="Arial" w:hAnsi="Arial" w:cs="Arial"/>
                <w:b/>
                <w:bCs/>
                <w:color w:val="000000"/>
                <w:sz w:val="16"/>
                <w:szCs w:val="16"/>
              </w:rPr>
              <w:t>4,063</w:t>
            </w:r>
          </w:p>
        </w:tc>
        <w:tc>
          <w:tcPr>
            <w:tcW w:w="550" w:type="pct"/>
            <w:tcBorders>
              <w:top w:val="nil"/>
              <w:left w:val="nil"/>
              <w:bottom w:val="single" w:sz="4" w:space="0" w:color="293F5B"/>
              <w:right w:val="nil"/>
            </w:tcBorders>
            <w:shd w:val="clear" w:color="000000" w:fill="E6F2FF"/>
            <w:noWrap/>
            <w:vAlign w:val="center"/>
            <w:hideMark/>
          </w:tcPr>
          <w:p w14:paraId="1C394E42" w14:textId="77777777" w:rsidR="00704CBB" w:rsidRPr="00704CBB" w:rsidRDefault="00704CBB" w:rsidP="00704CBB">
            <w:pPr>
              <w:spacing w:before="0" w:after="0" w:line="240" w:lineRule="auto"/>
              <w:jc w:val="right"/>
              <w:rPr>
                <w:rFonts w:ascii="Arial" w:hAnsi="Arial" w:cs="Arial"/>
                <w:b/>
                <w:bCs/>
                <w:color w:val="000000"/>
                <w:sz w:val="16"/>
                <w:szCs w:val="16"/>
              </w:rPr>
            </w:pPr>
            <w:r w:rsidRPr="00704CBB">
              <w:rPr>
                <w:rFonts w:ascii="Arial" w:hAnsi="Arial" w:cs="Arial"/>
                <w:b/>
                <w:bCs/>
                <w:color w:val="000000"/>
                <w:sz w:val="16"/>
                <w:szCs w:val="16"/>
              </w:rPr>
              <w:t>4,485</w:t>
            </w:r>
          </w:p>
        </w:tc>
        <w:tc>
          <w:tcPr>
            <w:tcW w:w="550" w:type="pct"/>
            <w:tcBorders>
              <w:top w:val="nil"/>
              <w:left w:val="nil"/>
              <w:bottom w:val="single" w:sz="4" w:space="0" w:color="293F5B"/>
              <w:right w:val="nil"/>
            </w:tcBorders>
            <w:shd w:val="clear" w:color="000000" w:fill="FFFFFF"/>
            <w:noWrap/>
            <w:vAlign w:val="center"/>
            <w:hideMark/>
          </w:tcPr>
          <w:p w14:paraId="5D7BF970" w14:textId="77777777" w:rsidR="00704CBB" w:rsidRPr="00704CBB" w:rsidRDefault="00704CBB" w:rsidP="00704CBB">
            <w:pPr>
              <w:spacing w:before="0" w:after="0" w:line="240" w:lineRule="auto"/>
              <w:jc w:val="right"/>
              <w:rPr>
                <w:rFonts w:ascii="Arial" w:hAnsi="Arial" w:cs="Arial"/>
                <w:b/>
                <w:bCs/>
                <w:color w:val="000000"/>
                <w:sz w:val="16"/>
                <w:szCs w:val="16"/>
              </w:rPr>
            </w:pPr>
            <w:r w:rsidRPr="00704CBB">
              <w:rPr>
                <w:rFonts w:ascii="Arial" w:hAnsi="Arial" w:cs="Arial"/>
                <w:b/>
                <w:bCs/>
                <w:color w:val="000000"/>
                <w:sz w:val="16"/>
                <w:szCs w:val="16"/>
              </w:rPr>
              <w:t>4,378</w:t>
            </w:r>
          </w:p>
        </w:tc>
        <w:tc>
          <w:tcPr>
            <w:tcW w:w="550" w:type="pct"/>
            <w:tcBorders>
              <w:top w:val="nil"/>
              <w:left w:val="nil"/>
              <w:bottom w:val="single" w:sz="4" w:space="0" w:color="293F5B"/>
              <w:right w:val="nil"/>
            </w:tcBorders>
            <w:shd w:val="clear" w:color="000000" w:fill="FFFFFF"/>
            <w:noWrap/>
            <w:vAlign w:val="center"/>
            <w:hideMark/>
          </w:tcPr>
          <w:p w14:paraId="781D381E" w14:textId="77777777" w:rsidR="00704CBB" w:rsidRPr="00704CBB" w:rsidRDefault="00704CBB" w:rsidP="00704CBB">
            <w:pPr>
              <w:spacing w:before="0" w:after="0" w:line="240" w:lineRule="auto"/>
              <w:jc w:val="right"/>
              <w:rPr>
                <w:rFonts w:ascii="Arial" w:hAnsi="Arial" w:cs="Arial"/>
                <w:b/>
                <w:bCs/>
                <w:color w:val="000000"/>
                <w:sz w:val="16"/>
                <w:szCs w:val="16"/>
              </w:rPr>
            </w:pPr>
            <w:r w:rsidRPr="00704CBB">
              <w:rPr>
                <w:rFonts w:ascii="Arial" w:hAnsi="Arial" w:cs="Arial"/>
                <w:b/>
                <w:bCs/>
                <w:color w:val="000000"/>
                <w:sz w:val="16"/>
                <w:szCs w:val="16"/>
              </w:rPr>
              <w:t>4,232</w:t>
            </w:r>
          </w:p>
        </w:tc>
        <w:tc>
          <w:tcPr>
            <w:tcW w:w="550" w:type="pct"/>
            <w:tcBorders>
              <w:top w:val="nil"/>
              <w:left w:val="nil"/>
              <w:bottom w:val="single" w:sz="4" w:space="0" w:color="293F5B"/>
              <w:right w:val="nil"/>
            </w:tcBorders>
            <w:shd w:val="clear" w:color="000000" w:fill="FFFFFF"/>
            <w:noWrap/>
            <w:vAlign w:val="center"/>
            <w:hideMark/>
          </w:tcPr>
          <w:p w14:paraId="13FECF76" w14:textId="77777777" w:rsidR="00704CBB" w:rsidRPr="00704CBB" w:rsidRDefault="00704CBB" w:rsidP="00704CBB">
            <w:pPr>
              <w:spacing w:before="0" w:after="0" w:line="240" w:lineRule="auto"/>
              <w:jc w:val="right"/>
              <w:rPr>
                <w:rFonts w:ascii="Arial" w:hAnsi="Arial" w:cs="Arial"/>
                <w:b/>
                <w:bCs/>
                <w:color w:val="000000"/>
                <w:sz w:val="16"/>
                <w:szCs w:val="16"/>
              </w:rPr>
            </w:pPr>
            <w:r w:rsidRPr="00704CBB">
              <w:rPr>
                <w:rFonts w:ascii="Arial" w:hAnsi="Arial" w:cs="Arial"/>
                <w:b/>
                <w:bCs/>
                <w:color w:val="000000"/>
                <w:sz w:val="16"/>
                <w:szCs w:val="16"/>
              </w:rPr>
              <w:t>4,276</w:t>
            </w:r>
          </w:p>
        </w:tc>
      </w:tr>
    </w:tbl>
    <w:p w14:paraId="0E62CD43" w14:textId="7204AD60" w:rsidR="00930FAB" w:rsidRPr="000177D7" w:rsidRDefault="00930FAB" w:rsidP="00E87DDC">
      <w:pPr>
        <w:pStyle w:val="ChartandTableFootnoteAlpha"/>
        <w:numPr>
          <w:ilvl w:val="0"/>
          <w:numId w:val="9"/>
        </w:numPr>
      </w:pPr>
      <w:r w:rsidRPr="000177D7">
        <w:t>The entry for each component includes eliminations for inter</w:t>
      </w:r>
      <w:r w:rsidR="008D4F6B">
        <w:noBreakHyphen/>
      </w:r>
      <w:r w:rsidRPr="000177D7">
        <w:t>agency transactions within that component.</w:t>
      </w:r>
    </w:p>
    <w:p w14:paraId="15FE1655" w14:textId="77777777" w:rsidR="00930FAB" w:rsidRPr="000177D7" w:rsidRDefault="00930FAB" w:rsidP="00F2334A">
      <w:pPr>
        <w:pStyle w:val="TableLine"/>
      </w:pPr>
      <w:bookmarkStart w:id="54" w:name="_Toc4577272"/>
      <w:bookmarkStart w:id="55" w:name="_Toc4689183"/>
    </w:p>
    <w:p w14:paraId="71D3CFD1" w14:textId="5DEDEBDC" w:rsidR="0099362B" w:rsidRPr="00440716" w:rsidRDefault="005F7A06" w:rsidP="00F2334A">
      <w:bookmarkStart w:id="56" w:name="_Toc99203680"/>
      <w:bookmarkStart w:id="57" w:name="_Toc117358173"/>
      <w:r>
        <w:t xml:space="preserve">Expenses for </w:t>
      </w:r>
      <w:r w:rsidR="0099362B" w:rsidRPr="00101960">
        <w:rPr>
          <w:rStyle w:val="Strong"/>
        </w:rPr>
        <w:t>general services</w:t>
      </w:r>
      <w:r w:rsidR="0099362B" w:rsidRPr="00440716">
        <w:t xml:space="preserve"> </w:t>
      </w:r>
      <w:r w:rsidR="00A9609A">
        <w:t xml:space="preserve">are </w:t>
      </w:r>
      <w:r w:rsidR="0099362B" w:rsidRPr="00440716">
        <w:t xml:space="preserve">largely incurred by the Department of Finance, Australian Public Service Commission, and Comcare. </w:t>
      </w:r>
      <w:r w:rsidR="00AD1FC2" w:rsidRPr="00101960">
        <w:rPr>
          <w:rStyle w:val="Strong"/>
        </w:rPr>
        <w:t>G</w:t>
      </w:r>
      <w:r w:rsidR="0099362B" w:rsidRPr="00101960">
        <w:rPr>
          <w:rStyle w:val="Strong"/>
        </w:rPr>
        <w:t>eneral services</w:t>
      </w:r>
      <w:r w:rsidR="0099362B" w:rsidRPr="00440716">
        <w:t xml:space="preserve"> </w:t>
      </w:r>
      <w:r w:rsidR="00AD1FC2">
        <w:t xml:space="preserve">expenses </w:t>
      </w:r>
      <w:r w:rsidR="0099362B" w:rsidRPr="00440716">
        <w:t xml:space="preserve">are </w:t>
      </w:r>
      <w:r w:rsidR="0099362B" w:rsidRPr="00C74AAD">
        <w:t xml:space="preserve">estimated to </w:t>
      </w:r>
      <w:r w:rsidR="00AD1FC2">
        <w:t xml:space="preserve">remain broadly stable </w:t>
      </w:r>
      <w:r w:rsidR="0099362B" w:rsidRPr="00C74AAD">
        <w:t>over the period 2024</w:t>
      </w:r>
      <w:r w:rsidR="0099362B" w:rsidRPr="00E53FA9">
        <w:t xml:space="preserve">–25 </w:t>
      </w:r>
      <w:r w:rsidR="0099362B" w:rsidRPr="00440716">
        <w:t>to 2027</w:t>
      </w:r>
      <w:r w:rsidR="0099362B">
        <w:t>–</w:t>
      </w:r>
      <w:r w:rsidR="0099362B" w:rsidRPr="00440716">
        <w:t>28. The variation in the expenses profile</w:t>
      </w:r>
      <w:r>
        <w:t xml:space="preserve"> over the period 2024–25 to 2027–28 </w:t>
      </w:r>
      <w:r w:rsidR="0099362B" w:rsidRPr="00440716">
        <w:t>largely reflects the impact of insurance claims expenditure and terminating departmental funding measures.</w:t>
      </w:r>
    </w:p>
    <w:p w14:paraId="73AE6BF5" w14:textId="4AFA3BDF" w:rsidR="00E32E1B" w:rsidRPr="00E93D9B" w:rsidRDefault="00C74AAD" w:rsidP="00F2334A">
      <w:r w:rsidRPr="00F2334A">
        <w:t xml:space="preserve">The higher estimated </w:t>
      </w:r>
      <w:r w:rsidR="0099362B" w:rsidRPr="00F2334A">
        <w:t xml:space="preserve">expenses </w:t>
      </w:r>
      <w:r w:rsidRPr="00F2334A">
        <w:t xml:space="preserve">in </w:t>
      </w:r>
      <w:r w:rsidR="0099362B" w:rsidRPr="00F2334A">
        <w:t xml:space="preserve">2023–24 </w:t>
      </w:r>
      <w:r w:rsidR="005F7A06">
        <w:t xml:space="preserve">for </w:t>
      </w:r>
      <w:r w:rsidR="0099362B" w:rsidRPr="00852FDA">
        <w:rPr>
          <w:rStyle w:val="Strong"/>
        </w:rPr>
        <w:t>government superannuation benefits</w:t>
      </w:r>
      <w:r w:rsidR="0099362B" w:rsidRPr="00F2334A">
        <w:t xml:space="preserve"> primarily reflects the use of different discount rates. In accordance with accounting standards, superannuation expenses for 2023</w:t>
      </w:r>
      <w:r w:rsidR="00930FAB" w:rsidRPr="00F2334A">
        <w:t>–</w:t>
      </w:r>
      <w:r w:rsidR="0099362B" w:rsidRPr="00F2334A">
        <w:t>24 are calculated using the long</w:t>
      </w:r>
      <w:r w:rsidR="008D4F6B">
        <w:noBreakHyphen/>
      </w:r>
      <w:r w:rsidR="0099362B" w:rsidRPr="00F2334A">
        <w:t xml:space="preserve">term government bond rate </w:t>
      </w:r>
      <w:r w:rsidR="005F7A06">
        <w:t xml:space="preserve">that </w:t>
      </w:r>
      <w:r w:rsidR="0099362B" w:rsidRPr="00F2334A">
        <w:t>best matched each individual scheme</w:t>
      </w:r>
      <w:r w:rsidR="008D4F6B">
        <w:t>’</w:t>
      </w:r>
      <w:r w:rsidR="0099362B" w:rsidRPr="00F2334A">
        <w:t>s duration of liabilities at the start of the financial year. These rates are between 4.0 and 4.4 per cent per</w:t>
      </w:r>
      <w:r w:rsidR="000A1679">
        <w:t> </w:t>
      </w:r>
      <w:r w:rsidR="0092332B">
        <w:t>year</w:t>
      </w:r>
      <w:r w:rsidR="0099362B" w:rsidRPr="00F2334A">
        <w:t>. In preparing the latest Long Term Cost Reports, the scheme actuaries have determined that a discount rate of 5.0</w:t>
      </w:r>
      <w:r w:rsidR="00FD2CDF">
        <w:t> </w:t>
      </w:r>
      <w:r w:rsidR="0099362B" w:rsidRPr="00F2334A">
        <w:t>per cent should be applied to the 2024–25 Budget year and forward estimates as per usual practice.</w:t>
      </w:r>
      <w:bookmarkEnd w:id="56"/>
      <w:bookmarkEnd w:id="57"/>
    </w:p>
    <w:p w14:paraId="7DBD44AC" w14:textId="77777777" w:rsidR="00763B41" w:rsidRPr="00002DB4" w:rsidRDefault="00763B41" w:rsidP="0004553C">
      <w:pPr>
        <w:pStyle w:val="Heading3"/>
      </w:pPr>
      <w:bookmarkStart w:id="58" w:name="_Toc166369419"/>
      <w:r w:rsidRPr="00002DB4">
        <w:t>Defence</w:t>
      </w:r>
      <w:bookmarkEnd w:id="58"/>
    </w:p>
    <w:bookmarkEnd w:id="54"/>
    <w:bookmarkEnd w:id="55"/>
    <w:p w14:paraId="6F50D635" w14:textId="07E4703F" w:rsidR="00E32E1B" w:rsidRPr="00002DB4" w:rsidRDefault="00E32E1B" w:rsidP="00F2334A">
      <w:r w:rsidRPr="00002DB4">
        <w:t xml:space="preserve">The defence function includes expenses incurred by the Department of Defence (Defence) and other agencies </w:t>
      </w:r>
      <w:r w:rsidR="00D91079">
        <w:t>that</w:t>
      </w:r>
      <w:r w:rsidR="00D91079" w:rsidRPr="00002DB4">
        <w:t xml:space="preserve"> </w:t>
      </w:r>
      <w:r w:rsidRPr="00002DB4">
        <w:t>support National Defence. Defence expenses support:</w:t>
      </w:r>
    </w:p>
    <w:p w14:paraId="0B36A665" w14:textId="77777777" w:rsidR="00E32E1B" w:rsidRPr="00002DB4" w:rsidRDefault="00E32E1B" w:rsidP="00F2334A">
      <w:pPr>
        <w:pStyle w:val="Bullet"/>
      </w:pPr>
      <w:r w:rsidRPr="00002DB4">
        <w:t>Australian military operations</w:t>
      </w:r>
      <w:r>
        <w:t>; and</w:t>
      </w:r>
    </w:p>
    <w:p w14:paraId="4A9A1CF9" w14:textId="75C99766" w:rsidR="00E32E1B" w:rsidRPr="00002DB4" w:rsidRDefault="00E32E1B" w:rsidP="00F2334A">
      <w:pPr>
        <w:pStyle w:val="Bullet"/>
      </w:pPr>
      <w:r w:rsidRPr="00002DB4">
        <w:t>National Defence</w:t>
      </w:r>
      <w:r>
        <w:t>,</w:t>
      </w:r>
      <w:r w:rsidRPr="00002DB4">
        <w:t xml:space="preserve"> through strategic policy advice and the delivery of capabilities to achieve an integrated and focused force, harnessing effects across the maritime, land, air, space, and cyber domains.</w:t>
      </w:r>
    </w:p>
    <w:p w14:paraId="155663B6" w14:textId="69944092" w:rsidR="00E32E1B" w:rsidRPr="00002DB4" w:rsidRDefault="00E32E1B" w:rsidP="003D142B">
      <w:pPr>
        <w:keepLines/>
      </w:pPr>
      <w:r w:rsidRPr="00002DB4">
        <w:lastRenderedPageBreak/>
        <w:t>The defence</w:t>
      </w:r>
      <w:r w:rsidRPr="00002DB4">
        <w:rPr>
          <w:b/>
          <w:bCs/>
        </w:rPr>
        <w:t xml:space="preserve"> </w:t>
      </w:r>
      <w:r w:rsidRPr="00002DB4">
        <w:t>function does not include expenses incurred by the Department of Veterans</w:t>
      </w:r>
      <w:r w:rsidR="008D4F6B">
        <w:t>’</w:t>
      </w:r>
      <w:r w:rsidRPr="00002DB4">
        <w:t xml:space="preserve"> Affairs, superannuation payments to retired military personnel, related nominal superannuation interest, and housing assistance provided through Defence Housing Australia. These expenses are reported in the social security and welfare, general public services, other purposes, and housing and community amenities functions, respectively.</w:t>
      </w:r>
    </w:p>
    <w:p w14:paraId="659BFCBF" w14:textId="4616C15B" w:rsidR="00372962" w:rsidRDefault="00E32E1B" w:rsidP="00372962">
      <w:pPr>
        <w:pStyle w:val="TableHeading"/>
        <w:rPr>
          <w:rFonts w:asciiTheme="minorHAnsi" w:eastAsiaTheme="minorHAnsi" w:hAnsiTheme="minorHAnsi" w:cstheme="minorBidi"/>
          <w:sz w:val="22"/>
          <w:szCs w:val="22"/>
          <w:lang w:eastAsia="en-US"/>
        </w:rPr>
      </w:pPr>
      <w:r>
        <w:t>Table </w:t>
      </w:r>
      <w:r w:rsidRPr="00002DB4">
        <w:t>6.5: Summary of expenses</w:t>
      </w:r>
      <w:r>
        <w:t xml:space="preserve"> – </w:t>
      </w:r>
      <w:r w:rsidRPr="00002DB4">
        <w:t>defence</w:t>
      </w:r>
      <w:bookmarkStart w:id="59" w:name="_1776946367"/>
      <w:bookmarkStart w:id="60" w:name="_1776946657"/>
      <w:bookmarkStart w:id="61" w:name="_1776946560"/>
      <w:bookmarkEnd w:id="59"/>
      <w:bookmarkEnd w:id="60"/>
      <w:bookmarkEnd w:id="61"/>
    </w:p>
    <w:tbl>
      <w:tblPr>
        <w:tblW w:w="5000" w:type="pct"/>
        <w:tblCellMar>
          <w:left w:w="0" w:type="dxa"/>
          <w:right w:w="28" w:type="dxa"/>
        </w:tblCellMar>
        <w:tblLook w:val="04A0" w:firstRow="1" w:lastRow="0" w:firstColumn="1" w:lastColumn="0" w:noHBand="0" w:noVBand="1"/>
      </w:tblPr>
      <w:tblGrid>
        <w:gridCol w:w="3414"/>
        <w:gridCol w:w="860"/>
        <w:gridCol w:w="859"/>
        <w:gridCol w:w="859"/>
        <w:gridCol w:w="859"/>
        <w:gridCol w:w="859"/>
      </w:tblGrid>
      <w:tr w:rsidR="00372962" w:rsidRPr="00372962" w14:paraId="6A7DB8E5" w14:textId="77777777" w:rsidTr="007F1DF5">
        <w:trPr>
          <w:trHeight w:hRule="exact" w:val="225"/>
        </w:trPr>
        <w:tc>
          <w:tcPr>
            <w:tcW w:w="2214" w:type="pct"/>
            <w:tcBorders>
              <w:top w:val="single" w:sz="4" w:space="0" w:color="293F5B"/>
              <w:left w:val="nil"/>
              <w:bottom w:val="nil"/>
              <w:right w:val="nil"/>
            </w:tcBorders>
            <w:shd w:val="clear" w:color="000000" w:fill="FFFFFF"/>
            <w:noWrap/>
            <w:vAlign w:val="center"/>
            <w:hideMark/>
          </w:tcPr>
          <w:p w14:paraId="03B659FC" w14:textId="7205DA7E" w:rsidR="00372962" w:rsidRPr="00372962" w:rsidRDefault="00372962" w:rsidP="00372962">
            <w:pPr>
              <w:spacing w:before="0" w:after="0" w:line="240" w:lineRule="auto"/>
              <w:rPr>
                <w:rFonts w:ascii="Arial" w:hAnsi="Arial" w:cs="Arial"/>
                <w:b/>
                <w:bCs/>
                <w:color w:val="000000"/>
                <w:sz w:val="16"/>
                <w:szCs w:val="16"/>
              </w:rPr>
            </w:pPr>
            <w:r w:rsidRPr="00372962">
              <w:rPr>
                <w:rFonts w:ascii="Arial" w:hAnsi="Arial" w:cs="Arial"/>
                <w:b/>
                <w:bCs/>
                <w:color w:val="000000"/>
                <w:sz w:val="16"/>
                <w:szCs w:val="16"/>
              </w:rPr>
              <w:t>Sub-function</w:t>
            </w:r>
          </w:p>
        </w:tc>
        <w:tc>
          <w:tcPr>
            <w:tcW w:w="2786" w:type="pct"/>
            <w:gridSpan w:val="5"/>
            <w:tcBorders>
              <w:top w:val="single" w:sz="4" w:space="0" w:color="293F5B"/>
              <w:left w:val="nil"/>
              <w:bottom w:val="single" w:sz="4" w:space="0" w:color="293F5B"/>
              <w:right w:val="nil"/>
            </w:tcBorders>
            <w:shd w:val="clear" w:color="000000" w:fill="FFFFFF"/>
            <w:noWrap/>
            <w:vAlign w:val="center"/>
            <w:hideMark/>
          </w:tcPr>
          <w:p w14:paraId="05A6C91B" w14:textId="77777777" w:rsidR="00372962" w:rsidRPr="00372962" w:rsidRDefault="00372962" w:rsidP="00372962">
            <w:pPr>
              <w:spacing w:before="0" w:after="0" w:line="240" w:lineRule="auto"/>
              <w:jc w:val="center"/>
              <w:rPr>
                <w:rFonts w:ascii="Arial" w:hAnsi="Arial" w:cs="Arial"/>
                <w:color w:val="000000"/>
                <w:sz w:val="16"/>
                <w:szCs w:val="16"/>
              </w:rPr>
            </w:pPr>
            <w:r w:rsidRPr="00372962">
              <w:rPr>
                <w:rFonts w:ascii="Arial" w:hAnsi="Arial" w:cs="Arial"/>
                <w:color w:val="000000"/>
                <w:sz w:val="16"/>
                <w:szCs w:val="16"/>
              </w:rPr>
              <w:t>Estimates</w:t>
            </w:r>
          </w:p>
        </w:tc>
      </w:tr>
      <w:tr w:rsidR="00372962" w:rsidRPr="00372962" w14:paraId="30A5F974" w14:textId="77777777" w:rsidTr="007F1DF5">
        <w:trPr>
          <w:trHeight w:hRule="exact" w:val="225"/>
        </w:trPr>
        <w:tc>
          <w:tcPr>
            <w:tcW w:w="2214" w:type="pct"/>
            <w:tcBorders>
              <w:top w:val="nil"/>
              <w:left w:val="nil"/>
              <w:bottom w:val="nil"/>
              <w:right w:val="nil"/>
            </w:tcBorders>
            <w:shd w:val="clear" w:color="000000" w:fill="FFFFFF"/>
            <w:noWrap/>
            <w:vAlign w:val="bottom"/>
            <w:hideMark/>
          </w:tcPr>
          <w:p w14:paraId="742B09D9" w14:textId="77777777" w:rsidR="00372962" w:rsidRPr="00372962" w:rsidRDefault="00372962" w:rsidP="00372962">
            <w:pPr>
              <w:spacing w:before="0" w:after="0" w:line="240" w:lineRule="auto"/>
              <w:rPr>
                <w:rFonts w:ascii="Arial" w:hAnsi="Arial" w:cs="Arial"/>
                <w:color w:val="000000"/>
                <w:sz w:val="16"/>
                <w:szCs w:val="16"/>
              </w:rPr>
            </w:pPr>
            <w:r w:rsidRPr="00372962">
              <w:rPr>
                <w:rFonts w:ascii="Arial" w:hAnsi="Arial" w:cs="Arial"/>
                <w:color w:val="000000"/>
                <w:sz w:val="16"/>
                <w:szCs w:val="16"/>
              </w:rPr>
              <w:t> </w:t>
            </w:r>
          </w:p>
        </w:tc>
        <w:tc>
          <w:tcPr>
            <w:tcW w:w="558" w:type="pct"/>
            <w:tcBorders>
              <w:top w:val="single" w:sz="4" w:space="0" w:color="293F5B"/>
              <w:left w:val="nil"/>
              <w:bottom w:val="nil"/>
              <w:right w:val="nil"/>
            </w:tcBorders>
            <w:shd w:val="clear" w:color="000000" w:fill="FFFFFF"/>
            <w:noWrap/>
            <w:vAlign w:val="center"/>
            <w:hideMark/>
          </w:tcPr>
          <w:p w14:paraId="3225AFD0" w14:textId="77777777" w:rsidR="00372962" w:rsidRPr="00372962" w:rsidRDefault="00372962" w:rsidP="00372962">
            <w:pPr>
              <w:spacing w:before="0" w:after="0" w:line="240" w:lineRule="auto"/>
              <w:jc w:val="right"/>
              <w:rPr>
                <w:rFonts w:ascii="Arial" w:hAnsi="Arial" w:cs="Arial"/>
                <w:sz w:val="16"/>
                <w:szCs w:val="16"/>
              </w:rPr>
            </w:pPr>
            <w:r w:rsidRPr="00372962">
              <w:rPr>
                <w:rFonts w:ascii="Arial" w:hAnsi="Arial" w:cs="Arial"/>
                <w:sz w:val="16"/>
                <w:szCs w:val="16"/>
              </w:rPr>
              <w:t>2023-24</w:t>
            </w:r>
          </w:p>
        </w:tc>
        <w:tc>
          <w:tcPr>
            <w:tcW w:w="557" w:type="pct"/>
            <w:tcBorders>
              <w:top w:val="single" w:sz="4" w:space="0" w:color="293F5B"/>
              <w:left w:val="nil"/>
              <w:bottom w:val="nil"/>
              <w:right w:val="nil"/>
            </w:tcBorders>
            <w:shd w:val="clear" w:color="000000" w:fill="E6F2FF"/>
            <w:noWrap/>
            <w:vAlign w:val="center"/>
            <w:hideMark/>
          </w:tcPr>
          <w:p w14:paraId="6AD67A47" w14:textId="77777777" w:rsidR="00372962" w:rsidRPr="00372962" w:rsidRDefault="00372962" w:rsidP="00372962">
            <w:pPr>
              <w:spacing w:before="0" w:after="0" w:line="240" w:lineRule="auto"/>
              <w:jc w:val="right"/>
              <w:rPr>
                <w:rFonts w:ascii="Arial" w:hAnsi="Arial" w:cs="Arial"/>
                <w:sz w:val="16"/>
                <w:szCs w:val="16"/>
              </w:rPr>
            </w:pPr>
            <w:r w:rsidRPr="00372962">
              <w:rPr>
                <w:rFonts w:ascii="Arial" w:hAnsi="Arial" w:cs="Arial"/>
                <w:sz w:val="16"/>
                <w:szCs w:val="16"/>
              </w:rPr>
              <w:t>2024-25</w:t>
            </w:r>
          </w:p>
        </w:tc>
        <w:tc>
          <w:tcPr>
            <w:tcW w:w="557" w:type="pct"/>
            <w:tcBorders>
              <w:top w:val="single" w:sz="4" w:space="0" w:color="293F5B"/>
              <w:left w:val="nil"/>
              <w:bottom w:val="nil"/>
              <w:right w:val="nil"/>
            </w:tcBorders>
            <w:shd w:val="clear" w:color="000000" w:fill="FFFFFF"/>
            <w:noWrap/>
            <w:vAlign w:val="center"/>
            <w:hideMark/>
          </w:tcPr>
          <w:p w14:paraId="411DED14" w14:textId="77777777" w:rsidR="00372962" w:rsidRPr="00372962" w:rsidRDefault="00372962" w:rsidP="00372962">
            <w:pPr>
              <w:spacing w:before="0" w:after="0" w:line="240" w:lineRule="auto"/>
              <w:jc w:val="right"/>
              <w:rPr>
                <w:rFonts w:ascii="Arial" w:hAnsi="Arial" w:cs="Arial"/>
                <w:sz w:val="16"/>
                <w:szCs w:val="16"/>
              </w:rPr>
            </w:pPr>
            <w:r w:rsidRPr="00372962">
              <w:rPr>
                <w:rFonts w:ascii="Arial" w:hAnsi="Arial" w:cs="Arial"/>
                <w:sz w:val="16"/>
                <w:szCs w:val="16"/>
              </w:rPr>
              <w:t>2025-26</w:t>
            </w:r>
          </w:p>
        </w:tc>
        <w:tc>
          <w:tcPr>
            <w:tcW w:w="557" w:type="pct"/>
            <w:tcBorders>
              <w:top w:val="single" w:sz="4" w:space="0" w:color="293F5B"/>
              <w:left w:val="nil"/>
              <w:bottom w:val="nil"/>
              <w:right w:val="nil"/>
            </w:tcBorders>
            <w:shd w:val="clear" w:color="000000" w:fill="FFFFFF"/>
            <w:noWrap/>
            <w:vAlign w:val="center"/>
            <w:hideMark/>
          </w:tcPr>
          <w:p w14:paraId="341CF8B3" w14:textId="77777777" w:rsidR="00372962" w:rsidRPr="00372962" w:rsidRDefault="00372962" w:rsidP="00372962">
            <w:pPr>
              <w:spacing w:before="0" w:after="0" w:line="240" w:lineRule="auto"/>
              <w:jc w:val="right"/>
              <w:rPr>
                <w:rFonts w:ascii="Arial" w:hAnsi="Arial" w:cs="Arial"/>
                <w:sz w:val="16"/>
                <w:szCs w:val="16"/>
              </w:rPr>
            </w:pPr>
            <w:r w:rsidRPr="00372962">
              <w:rPr>
                <w:rFonts w:ascii="Arial" w:hAnsi="Arial" w:cs="Arial"/>
                <w:sz w:val="16"/>
                <w:szCs w:val="16"/>
              </w:rPr>
              <w:t>2026-27</w:t>
            </w:r>
          </w:p>
        </w:tc>
        <w:tc>
          <w:tcPr>
            <w:tcW w:w="557" w:type="pct"/>
            <w:tcBorders>
              <w:top w:val="single" w:sz="4" w:space="0" w:color="293F5B"/>
              <w:left w:val="nil"/>
              <w:bottom w:val="nil"/>
              <w:right w:val="nil"/>
            </w:tcBorders>
            <w:shd w:val="clear" w:color="000000" w:fill="FFFFFF"/>
            <w:noWrap/>
            <w:vAlign w:val="center"/>
            <w:hideMark/>
          </w:tcPr>
          <w:p w14:paraId="567DBC19" w14:textId="77777777" w:rsidR="00372962" w:rsidRPr="00372962" w:rsidRDefault="00372962" w:rsidP="00372962">
            <w:pPr>
              <w:spacing w:before="0" w:after="0" w:line="240" w:lineRule="auto"/>
              <w:jc w:val="right"/>
              <w:rPr>
                <w:rFonts w:ascii="Arial" w:hAnsi="Arial" w:cs="Arial"/>
                <w:color w:val="000000"/>
                <w:sz w:val="16"/>
                <w:szCs w:val="16"/>
              </w:rPr>
            </w:pPr>
            <w:r w:rsidRPr="00372962">
              <w:rPr>
                <w:rFonts w:ascii="Arial" w:hAnsi="Arial" w:cs="Arial"/>
                <w:color w:val="000000"/>
                <w:sz w:val="16"/>
                <w:szCs w:val="16"/>
              </w:rPr>
              <w:t>2027-28</w:t>
            </w:r>
          </w:p>
        </w:tc>
      </w:tr>
      <w:tr w:rsidR="00372962" w:rsidRPr="00372962" w14:paraId="28907E1A" w14:textId="77777777" w:rsidTr="007F1DF5">
        <w:trPr>
          <w:trHeight w:hRule="exact" w:val="225"/>
        </w:trPr>
        <w:tc>
          <w:tcPr>
            <w:tcW w:w="2214" w:type="pct"/>
            <w:tcBorders>
              <w:top w:val="nil"/>
              <w:left w:val="nil"/>
              <w:bottom w:val="nil"/>
              <w:right w:val="nil"/>
            </w:tcBorders>
            <w:shd w:val="clear" w:color="000000" w:fill="FFFFFF"/>
            <w:noWrap/>
            <w:vAlign w:val="center"/>
            <w:hideMark/>
          </w:tcPr>
          <w:p w14:paraId="6A5F9FF8" w14:textId="77777777" w:rsidR="00372962" w:rsidRPr="00372962" w:rsidRDefault="00372962" w:rsidP="00372962">
            <w:pPr>
              <w:spacing w:before="0" w:after="0" w:line="240" w:lineRule="auto"/>
              <w:rPr>
                <w:rFonts w:ascii="Arial" w:hAnsi="Arial" w:cs="Arial"/>
                <w:color w:val="000000"/>
                <w:sz w:val="16"/>
                <w:szCs w:val="16"/>
              </w:rPr>
            </w:pPr>
            <w:r w:rsidRPr="00372962">
              <w:rPr>
                <w:rFonts w:ascii="Arial" w:hAnsi="Arial" w:cs="Arial"/>
                <w:color w:val="000000"/>
                <w:sz w:val="16"/>
                <w:szCs w:val="16"/>
              </w:rPr>
              <w:t> </w:t>
            </w:r>
          </w:p>
        </w:tc>
        <w:tc>
          <w:tcPr>
            <w:tcW w:w="558" w:type="pct"/>
            <w:tcBorders>
              <w:top w:val="nil"/>
              <w:left w:val="nil"/>
              <w:bottom w:val="nil"/>
              <w:right w:val="nil"/>
            </w:tcBorders>
            <w:shd w:val="clear" w:color="000000" w:fill="FFFFFF"/>
            <w:noWrap/>
            <w:vAlign w:val="center"/>
            <w:hideMark/>
          </w:tcPr>
          <w:p w14:paraId="7188DC36" w14:textId="77777777" w:rsidR="00372962" w:rsidRPr="00372962" w:rsidRDefault="00372962" w:rsidP="00372962">
            <w:pPr>
              <w:spacing w:before="0" w:after="0" w:line="240" w:lineRule="auto"/>
              <w:jc w:val="right"/>
              <w:rPr>
                <w:rFonts w:ascii="Arial" w:hAnsi="Arial" w:cs="Arial"/>
                <w:color w:val="000000"/>
                <w:sz w:val="16"/>
                <w:szCs w:val="16"/>
              </w:rPr>
            </w:pPr>
            <w:r w:rsidRPr="00372962">
              <w:rPr>
                <w:rFonts w:ascii="Arial" w:hAnsi="Arial" w:cs="Arial"/>
                <w:color w:val="000000"/>
                <w:sz w:val="16"/>
                <w:szCs w:val="16"/>
              </w:rPr>
              <w:t>$m</w:t>
            </w:r>
          </w:p>
        </w:tc>
        <w:tc>
          <w:tcPr>
            <w:tcW w:w="557" w:type="pct"/>
            <w:tcBorders>
              <w:top w:val="nil"/>
              <w:left w:val="nil"/>
              <w:bottom w:val="nil"/>
              <w:right w:val="nil"/>
            </w:tcBorders>
            <w:shd w:val="clear" w:color="000000" w:fill="E6F2FF"/>
            <w:noWrap/>
            <w:vAlign w:val="center"/>
            <w:hideMark/>
          </w:tcPr>
          <w:p w14:paraId="2A74EBC5" w14:textId="77777777" w:rsidR="00372962" w:rsidRPr="00372962" w:rsidRDefault="00372962" w:rsidP="00372962">
            <w:pPr>
              <w:spacing w:before="0" w:after="0" w:line="240" w:lineRule="auto"/>
              <w:jc w:val="right"/>
              <w:rPr>
                <w:rFonts w:ascii="Arial" w:hAnsi="Arial" w:cs="Arial"/>
                <w:color w:val="000000"/>
                <w:sz w:val="16"/>
                <w:szCs w:val="16"/>
              </w:rPr>
            </w:pPr>
            <w:r w:rsidRPr="00372962">
              <w:rPr>
                <w:rFonts w:ascii="Arial" w:hAnsi="Arial" w:cs="Arial"/>
                <w:color w:val="000000"/>
                <w:sz w:val="16"/>
                <w:szCs w:val="16"/>
              </w:rPr>
              <w:t>$m</w:t>
            </w:r>
          </w:p>
        </w:tc>
        <w:tc>
          <w:tcPr>
            <w:tcW w:w="557" w:type="pct"/>
            <w:tcBorders>
              <w:top w:val="nil"/>
              <w:left w:val="nil"/>
              <w:bottom w:val="nil"/>
              <w:right w:val="nil"/>
            </w:tcBorders>
            <w:shd w:val="clear" w:color="000000" w:fill="FFFFFF"/>
            <w:noWrap/>
            <w:vAlign w:val="center"/>
            <w:hideMark/>
          </w:tcPr>
          <w:p w14:paraId="6285AA9F" w14:textId="77777777" w:rsidR="00372962" w:rsidRPr="00372962" w:rsidRDefault="00372962" w:rsidP="00372962">
            <w:pPr>
              <w:spacing w:before="0" w:after="0" w:line="240" w:lineRule="auto"/>
              <w:jc w:val="right"/>
              <w:rPr>
                <w:rFonts w:ascii="Arial" w:hAnsi="Arial" w:cs="Arial"/>
                <w:color w:val="000000"/>
                <w:sz w:val="16"/>
                <w:szCs w:val="16"/>
              </w:rPr>
            </w:pPr>
            <w:r w:rsidRPr="00372962">
              <w:rPr>
                <w:rFonts w:ascii="Arial" w:hAnsi="Arial" w:cs="Arial"/>
                <w:color w:val="000000"/>
                <w:sz w:val="16"/>
                <w:szCs w:val="16"/>
              </w:rPr>
              <w:t>$m</w:t>
            </w:r>
          </w:p>
        </w:tc>
        <w:tc>
          <w:tcPr>
            <w:tcW w:w="557" w:type="pct"/>
            <w:tcBorders>
              <w:top w:val="nil"/>
              <w:left w:val="nil"/>
              <w:bottom w:val="nil"/>
              <w:right w:val="nil"/>
            </w:tcBorders>
            <w:shd w:val="clear" w:color="000000" w:fill="FFFFFF"/>
            <w:noWrap/>
            <w:vAlign w:val="center"/>
            <w:hideMark/>
          </w:tcPr>
          <w:p w14:paraId="3CEF8F98" w14:textId="77777777" w:rsidR="00372962" w:rsidRPr="00372962" w:rsidRDefault="00372962" w:rsidP="00372962">
            <w:pPr>
              <w:spacing w:before="0" w:after="0" w:line="240" w:lineRule="auto"/>
              <w:jc w:val="right"/>
              <w:rPr>
                <w:rFonts w:ascii="Arial" w:hAnsi="Arial" w:cs="Arial"/>
                <w:color w:val="000000"/>
                <w:sz w:val="16"/>
                <w:szCs w:val="16"/>
              </w:rPr>
            </w:pPr>
            <w:r w:rsidRPr="00372962">
              <w:rPr>
                <w:rFonts w:ascii="Arial" w:hAnsi="Arial" w:cs="Arial"/>
                <w:color w:val="000000"/>
                <w:sz w:val="16"/>
                <w:szCs w:val="16"/>
              </w:rPr>
              <w:t>$m</w:t>
            </w:r>
          </w:p>
        </w:tc>
        <w:tc>
          <w:tcPr>
            <w:tcW w:w="557" w:type="pct"/>
            <w:tcBorders>
              <w:top w:val="nil"/>
              <w:left w:val="nil"/>
              <w:bottom w:val="nil"/>
              <w:right w:val="nil"/>
            </w:tcBorders>
            <w:shd w:val="clear" w:color="000000" w:fill="FFFFFF"/>
            <w:noWrap/>
            <w:vAlign w:val="center"/>
            <w:hideMark/>
          </w:tcPr>
          <w:p w14:paraId="4D64A165" w14:textId="77777777" w:rsidR="00372962" w:rsidRPr="00372962" w:rsidRDefault="00372962" w:rsidP="00372962">
            <w:pPr>
              <w:spacing w:before="0" w:after="0" w:line="240" w:lineRule="auto"/>
              <w:jc w:val="right"/>
              <w:rPr>
                <w:rFonts w:ascii="Arial" w:hAnsi="Arial" w:cs="Arial"/>
                <w:color w:val="000000"/>
                <w:sz w:val="16"/>
                <w:szCs w:val="16"/>
              </w:rPr>
            </w:pPr>
            <w:r w:rsidRPr="00372962">
              <w:rPr>
                <w:rFonts w:ascii="Arial" w:hAnsi="Arial" w:cs="Arial"/>
                <w:color w:val="000000"/>
                <w:sz w:val="16"/>
                <w:szCs w:val="16"/>
              </w:rPr>
              <w:t>$m</w:t>
            </w:r>
          </w:p>
        </w:tc>
      </w:tr>
      <w:tr w:rsidR="00372962" w:rsidRPr="00372962" w14:paraId="3553A213" w14:textId="77777777" w:rsidTr="007F1DF5">
        <w:trPr>
          <w:trHeight w:hRule="exact" w:val="225"/>
        </w:trPr>
        <w:tc>
          <w:tcPr>
            <w:tcW w:w="2214" w:type="pct"/>
            <w:tcBorders>
              <w:top w:val="nil"/>
              <w:left w:val="nil"/>
              <w:bottom w:val="nil"/>
              <w:right w:val="nil"/>
            </w:tcBorders>
            <w:shd w:val="clear" w:color="000000" w:fill="FFFFFF"/>
            <w:noWrap/>
            <w:vAlign w:val="center"/>
            <w:hideMark/>
          </w:tcPr>
          <w:p w14:paraId="4A428030" w14:textId="77777777" w:rsidR="00372962" w:rsidRPr="00372962" w:rsidRDefault="00372962" w:rsidP="00372962">
            <w:pPr>
              <w:spacing w:before="0" w:after="0" w:line="240" w:lineRule="auto"/>
              <w:rPr>
                <w:rFonts w:ascii="Arial" w:hAnsi="Arial" w:cs="Arial"/>
                <w:color w:val="000000"/>
                <w:sz w:val="16"/>
                <w:szCs w:val="16"/>
              </w:rPr>
            </w:pPr>
            <w:r w:rsidRPr="00372962">
              <w:rPr>
                <w:rFonts w:ascii="Arial" w:hAnsi="Arial" w:cs="Arial"/>
                <w:color w:val="000000"/>
                <w:sz w:val="16"/>
                <w:szCs w:val="16"/>
              </w:rPr>
              <w:t>Defence</w:t>
            </w:r>
          </w:p>
        </w:tc>
        <w:tc>
          <w:tcPr>
            <w:tcW w:w="558" w:type="pct"/>
            <w:tcBorders>
              <w:top w:val="single" w:sz="4" w:space="0" w:color="293F5B"/>
              <w:left w:val="nil"/>
              <w:bottom w:val="single" w:sz="4" w:space="0" w:color="293F5B"/>
              <w:right w:val="nil"/>
            </w:tcBorders>
            <w:shd w:val="clear" w:color="000000" w:fill="FFFFFF"/>
            <w:noWrap/>
            <w:vAlign w:val="center"/>
            <w:hideMark/>
          </w:tcPr>
          <w:p w14:paraId="743C9BFC" w14:textId="77777777" w:rsidR="00372962" w:rsidRPr="00372962" w:rsidRDefault="00372962" w:rsidP="00372962">
            <w:pPr>
              <w:spacing w:before="0" w:after="0" w:line="240" w:lineRule="auto"/>
              <w:jc w:val="right"/>
              <w:rPr>
                <w:rFonts w:ascii="Arial" w:hAnsi="Arial" w:cs="Arial"/>
                <w:color w:val="000000"/>
                <w:sz w:val="16"/>
                <w:szCs w:val="16"/>
              </w:rPr>
            </w:pPr>
            <w:r w:rsidRPr="00372962">
              <w:rPr>
                <w:rFonts w:ascii="Arial" w:hAnsi="Arial" w:cs="Arial"/>
                <w:color w:val="000000"/>
                <w:sz w:val="16"/>
                <w:szCs w:val="16"/>
              </w:rPr>
              <w:t>45,128</w:t>
            </w:r>
          </w:p>
        </w:tc>
        <w:tc>
          <w:tcPr>
            <w:tcW w:w="557" w:type="pct"/>
            <w:tcBorders>
              <w:top w:val="single" w:sz="4" w:space="0" w:color="293F5B"/>
              <w:left w:val="nil"/>
              <w:bottom w:val="single" w:sz="4" w:space="0" w:color="293F5B"/>
              <w:right w:val="nil"/>
            </w:tcBorders>
            <w:shd w:val="clear" w:color="000000" w:fill="E6F2FF"/>
            <w:noWrap/>
            <w:vAlign w:val="center"/>
            <w:hideMark/>
          </w:tcPr>
          <w:p w14:paraId="5438F7A0" w14:textId="77777777" w:rsidR="00372962" w:rsidRPr="00372962" w:rsidRDefault="00372962" w:rsidP="00372962">
            <w:pPr>
              <w:spacing w:before="0" w:after="0" w:line="240" w:lineRule="auto"/>
              <w:jc w:val="right"/>
              <w:rPr>
                <w:rFonts w:ascii="Arial" w:hAnsi="Arial" w:cs="Arial"/>
                <w:color w:val="000000"/>
                <w:sz w:val="16"/>
                <w:szCs w:val="16"/>
              </w:rPr>
            </w:pPr>
            <w:r w:rsidRPr="00372962">
              <w:rPr>
                <w:rFonts w:ascii="Arial" w:hAnsi="Arial" w:cs="Arial"/>
                <w:color w:val="000000"/>
                <w:sz w:val="16"/>
                <w:szCs w:val="16"/>
              </w:rPr>
              <w:t>47,986</w:t>
            </w:r>
          </w:p>
        </w:tc>
        <w:tc>
          <w:tcPr>
            <w:tcW w:w="557" w:type="pct"/>
            <w:tcBorders>
              <w:top w:val="single" w:sz="4" w:space="0" w:color="293F5B"/>
              <w:left w:val="nil"/>
              <w:bottom w:val="single" w:sz="4" w:space="0" w:color="293F5B"/>
              <w:right w:val="nil"/>
            </w:tcBorders>
            <w:shd w:val="clear" w:color="000000" w:fill="FFFFFF"/>
            <w:noWrap/>
            <w:vAlign w:val="center"/>
            <w:hideMark/>
          </w:tcPr>
          <w:p w14:paraId="28809051" w14:textId="77777777" w:rsidR="00372962" w:rsidRPr="00372962" w:rsidRDefault="00372962" w:rsidP="00372962">
            <w:pPr>
              <w:spacing w:before="0" w:after="0" w:line="240" w:lineRule="auto"/>
              <w:jc w:val="right"/>
              <w:rPr>
                <w:rFonts w:ascii="Arial" w:hAnsi="Arial" w:cs="Arial"/>
                <w:color w:val="000000"/>
                <w:sz w:val="16"/>
                <w:szCs w:val="16"/>
              </w:rPr>
            </w:pPr>
            <w:r w:rsidRPr="00372962">
              <w:rPr>
                <w:rFonts w:ascii="Arial" w:hAnsi="Arial" w:cs="Arial"/>
                <w:color w:val="000000"/>
                <w:sz w:val="16"/>
                <w:szCs w:val="16"/>
              </w:rPr>
              <w:t>50,046</w:t>
            </w:r>
          </w:p>
        </w:tc>
        <w:tc>
          <w:tcPr>
            <w:tcW w:w="557" w:type="pct"/>
            <w:tcBorders>
              <w:top w:val="single" w:sz="4" w:space="0" w:color="293F5B"/>
              <w:left w:val="nil"/>
              <w:bottom w:val="single" w:sz="4" w:space="0" w:color="293F5B"/>
              <w:right w:val="nil"/>
            </w:tcBorders>
            <w:shd w:val="clear" w:color="000000" w:fill="FFFFFF"/>
            <w:noWrap/>
            <w:vAlign w:val="center"/>
            <w:hideMark/>
          </w:tcPr>
          <w:p w14:paraId="672D2913" w14:textId="77777777" w:rsidR="00372962" w:rsidRPr="00372962" w:rsidRDefault="00372962" w:rsidP="00372962">
            <w:pPr>
              <w:spacing w:before="0" w:after="0" w:line="240" w:lineRule="auto"/>
              <w:jc w:val="right"/>
              <w:rPr>
                <w:rFonts w:ascii="Arial" w:hAnsi="Arial" w:cs="Arial"/>
                <w:color w:val="000000"/>
                <w:sz w:val="16"/>
                <w:szCs w:val="16"/>
              </w:rPr>
            </w:pPr>
            <w:r w:rsidRPr="00372962">
              <w:rPr>
                <w:rFonts w:ascii="Arial" w:hAnsi="Arial" w:cs="Arial"/>
                <w:color w:val="000000"/>
                <w:sz w:val="16"/>
                <w:szCs w:val="16"/>
              </w:rPr>
              <w:t>51,339</w:t>
            </w:r>
          </w:p>
        </w:tc>
        <w:tc>
          <w:tcPr>
            <w:tcW w:w="557" w:type="pct"/>
            <w:tcBorders>
              <w:top w:val="single" w:sz="4" w:space="0" w:color="293F5B"/>
              <w:left w:val="nil"/>
              <w:bottom w:val="single" w:sz="4" w:space="0" w:color="293F5B"/>
              <w:right w:val="nil"/>
            </w:tcBorders>
            <w:shd w:val="clear" w:color="000000" w:fill="FFFFFF"/>
            <w:noWrap/>
            <w:vAlign w:val="center"/>
            <w:hideMark/>
          </w:tcPr>
          <w:p w14:paraId="4A8D99D7" w14:textId="77777777" w:rsidR="00372962" w:rsidRPr="00372962" w:rsidRDefault="00372962" w:rsidP="00372962">
            <w:pPr>
              <w:spacing w:before="0" w:after="0" w:line="240" w:lineRule="auto"/>
              <w:jc w:val="right"/>
              <w:rPr>
                <w:rFonts w:ascii="Arial" w:hAnsi="Arial" w:cs="Arial"/>
                <w:color w:val="000000"/>
                <w:sz w:val="16"/>
                <w:szCs w:val="16"/>
              </w:rPr>
            </w:pPr>
            <w:r w:rsidRPr="00372962">
              <w:rPr>
                <w:rFonts w:ascii="Arial" w:hAnsi="Arial" w:cs="Arial"/>
                <w:color w:val="000000"/>
                <w:sz w:val="16"/>
                <w:szCs w:val="16"/>
              </w:rPr>
              <w:t>55,102</w:t>
            </w:r>
          </w:p>
        </w:tc>
      </w:tr>
      <w:tr w:rsidR="00372962" w:rsidRPr="00372962" w14:paraId="3656A542" w14:textId="77777777" w:rsidTr="007F1DF5">
        <w:trPr>
          <w:trHeight w:hRule="exact" w:val="225"/>
        </w:trPr>
        <w:tc>
          <w:tcPr>
            <w:tcW w:w="2214" w:type="pct"/>
            <w:tcBorders>
              <w:top w:val="nil"/>
              <w:left w:val="nil"/>
              <w:bottom w:val="single" w:sz="4" w:space="0" w:color="293F5B"/>
              <w:right w:val="nil"/>
            </w:tcBorders>
            <w:shd w:val="clear" w:color="000000" w:fill="FFFFFF"/>
            <w:noWrap/>
            <w:vAlign w:val="center"/>
            <w:hideMark/>
          </w:tcPr>
          <w:p w14:paraId="647D8BFD" w14:textId="77777777" w:rsidR="00372962" w:rsidRPr="00372962" w:rsidRDefault="00372962" w:rsidP="00372962">
            <w:pPr>
              <w:spacing w:before="0" w:after="0" w:line="240" w:lineRule="auto"/>
              <w:rPr>
                <w:rFonts w:ascii="Arial" w:hAnsi="Arial" w:cs="Arial"/>
                <w:b/>
                <w:bCs/>
                <w:color w:val="000000"/>
                <w:sz w:val="16"/>
                <w:szCs w:val="16"/>
              </w:rPr>
            </w:pPr>
            <w:r w:rsidRPr="00372962">
              <w:rPr>
                <w:rFonts w:ascii="Arial" w:hAnsi="Arial" w:cs="Arial"/>
                <w:b/>
                <w:bCs/>
                <w:color w:val="000000"/>
                <w:sz w:val="16"/>
                <w:szCs w:val="16"/>
              </w:rPr>
              <w:t>Total defence</w:t>
            </w:r>
          </w:p>
        </w:tc>
        <w:tc>
          <w:tcPr>
            <w:tcW w:w="558" w:type="pct"/>
            <w:tcBorders>
              <w:top w:val="nil"/>
              <w:left w:val="nil"/>
              <w:bottom w:val="single" w:sz="4" w:space="0" w:color="293F5B"/>
              <w:right w:val="nil"/>
            </w:tcBorders>
            <w:shd w:val="clear" w:color="000000" w:fill="FFFFFF"/>
            <w:noWrap/>
            <w:vAlign w:val="center"/>
            <w:hideMark/>
          </w:tcPr>
          <w:p w14:paraId="3F7067FD" w14:textId="77777777" w:rsidR="00372962" w:rsidRPr="00372962" w:rsidRDefault="00372962" w:rsidP="00372962">
            <w:pPr>
              <w:spacing w:before="0" w:after="0" w:line="240" w:lineRule="auto"/>
              <w:jc w:val="right"/>
              <w:rPr>
                <w:rFonts w:ascii="Arial" w:hAnsi="Arial" w:cs="Arial"/>
                <w:b/>
                <w:bCs/>
                <w:color w:val="000000"/>
                <w:sz w:val="16"/>
                <w:szCs w:val="16"/>
              </w:rPr>
            </w:pPr>
            <w:r w:rsidRPr="00372962">
              <w:rPr>
                <w:rFonts w:ascii="Arial" w:hAnsi="Arial" w:cs="Arial"/>
                <w:b/>
                <w:bCs/>
                <w:color w:val="000000"/>
                <w:sz w:val="16"/>
                <w:szCs w:val="16"/>
              </w:rPr>
              <w:t>45,128</w:t>
            </w:r>
          </w:p>
        </w:tc>
        <w:tc>
          <w:tcPr>
            <w:tcW w:w="557" w:type="pct"/>
            <w:tcBorders>
              <w:top w:val="nil"/>
              <w:left w:val="nil"/>
              <w:bottom w:val="single" w:sz="4" w:space="0" w:color="293F5B"/>
              <w:right w:val="nil"/>
            </w:tcBorders>
            <w:shd w:val="clear" w:color="000000" w:fill="E6F2FF"/>
            <w:noWrap/>
            <w:vAlign w:val="center"/>
            <w:hideMark/>
          </w:tcPr>
          <w:p w14:paraId="56523125" w14:textId="77777777" w:rsidR="00372962" w:rsidRPr="00372962" w:rsidRDefault="00372962" w:rsidP="00372962">
            <w:pPr>
              <w:spacing w:before="0" w:after="0" w:line="240" w:lineRule="auto"/>
              <w:jc w:val="right"/>
              <w:rPr>
                <w:rFonts w:ascii="Arial" w:hAnsi="Arial" w:cs="Arial"/>
                <w:b/>
                <w:bCs/>
                <w:color w:val="000000"/>
                <w:sz w:val="16"/>
                <w:szCs w:val="16"/>
              </w:rPr>
            </w:pPr>
            <w:r w:rsidRPr="00372962">
              <w:rPr>
                <w:rFonts w:ascii="Arial" w:hAnsi="Arial" w:cs="Arial"/>
                <w:b/>
                <w:bCs/>
                <w:color w:val="000000"/>
                <w:sz w:val="16"/>
                <w:szCs w:val="16"/>
              </w:rPr>
              <w:t>47,986</w:t>
            </w:r>
          </w:p>
        </w:tc>
        <w:tc>
          <w:tcPr>
            <w:tcW w:w="557" w:type="pct"/>
            <w:tcBorders>
              <w:top w:val="nil"/>
              <w:left w:val="nil"/>
              <w:bottom w:val="single" w:sz="4" w:space="0" w:color="293F5B"/>
              <w:right w:val="nil"/>
            </w:tcBorders>
            <w:shd w:val="clear" w:color="000000" w:fill="FFFFFF"/>
            <w:noWrap/>
            <w:vAlign w:val="center"/>
            <w:hideMark/>
          </w:tcPr>
          <w:p w14:paraId="2A344949" w14:textId="77777777" w:rsidR="00372962" w:rsidRPr="00372962" w:rsidRDefault="00372962" w:rsidP="00372962">
            <w:pPr>
              <w:spacing w:before="0" w:after="0" w:line="240" w:lineRule="auto"/>
              <w:jc w:val="right"/>
              <w:rPr>
                <w:rFonts w:ascii="Arial" w:hAnsi="Arial" w:cs="Arial"/>
                <w:b/>
                <w:bCs/>
                <w:color w:val="000000"/>
                <w:sz w:val="16"/>
                <w:szCs w:val="16"/>
              </w:rPr>
            </w:pPr>
            <w:r w:rsidRPr="00372962">
              <w:rPr>
                <w:rFonts w:ascii="Arial" w:hAnsi="Arial" w:cs="Arial"/>
                <w:b/>
                <w:bCs/>
                <w:color w:val="000000"/>
                <w:sz w:val="16"/>
                <w:szCs w:val="16"/>
              </w:rPr>
              <w:t>50,046</w:t>
            </w:r>
          </w:p>
        </w:tc>
        <w:tc>
          <w:tcPr>
            <w:tcW w:w="557" w:type="pct"/>
            <w:tcBorders>
              <w:top w:val="nil"/>
              <w:left w:val="nil"/>
              <w:bottom w:val="single" w:sz="4" w:space="0" w:color="293F5B"/>
              <w:right w:val="nil"/>
            </w:tcBorders>
            <w:shd w:val="clear" w:color="000000" w:fill="FFFFFF"/>
            <w:noWrap/>
            <w:vAlign w:val="center"/>
            <w:hideMark/>
          </w:tcPr>
          <w:p w14:paraId="32EC3E20" w14:textId="77777777" w:rsidR="00372962" w:rsidRPr="00372962" w:rsidRDefault="00372962" w:rsidP="00372962">
            <w:pPr>
              <w:spacing w:before="0" w:after="0" w:line="240" w:lineRule="auto"/>
              <w:jc w:val="right"/>
              <w:rPr>
                <w:rFonts w:ascii="Arial" w:hAnsi="Arial" w:cs="Arial"/>
                <w:b/>
                <w:bCs/>
                <w:color w:val="000000"/>
                <w:sz w:val="16"/>
                <w:szCs w:val="16"/>
              </w:rPr>
            </w:pPr>
            <w:r w:rsidRPr="00372962">
              <w:rPr>
                <w:rFonts w:ascii="Arial" w:hAnsi="Arial" w:cs="Arial"/>
                <w:b/>
                <w:bCs/>
                <w:color w:val="000000"/>
                <w:sz w:val="16"/>
                <w:szCs w:val="16"/>
              </w:rPr>
              <w:t>51,339</w:t>
            </w:r>
          </w:p>
        </w:tc>
        <w:tc>
          <w:tcPr>
            <w:tcW w:w="557" w:type="pct"/>
            <w:tcBorders>
              <w:top w:val="nil"/>
              <w:left w:val="nil"/>
              <w:bottom w:val="single" w:sz="4" w:space="0" w:color="293F5B"/>
              <w:right w:val="nil"/>
            </w:tcBorders>
            <w:shd w:val="clear" w:color="000000" w:fill="FFFFFF"/>
            <w:noWrap/>
            <w:vAlign w:val="center"/>
            <w:hideMark/>
          </w:tcPr>
          <w:p w14:paraId="2C182BD7" w14:textId="77777777" w:rsidR="00372962" w:rsidRPr="00372962" w:rsidRDefault="00372962" w:rsidP="00372962">
            <w:pPr>
              <w:spacing w:before="0" w:after="0" w:line="240" w:lineRule="auto"/>
              <w:jc w:val="right"/>
              <w:rPr>
                <w:rFonts w:ascii="Arial" w:hAnsi="Arial" w:cs="Arial"/>
                <w:b/>
                <w:bCs/>
                <w:color w:val="000000"/>
                <w:sz w:val="16"/>
                <w:szCs w:val="16"/>
              </w:rPr>
            </w:pPr>
            <w:r w:rsidRPr="00372962">
              <w:rPr>
                <w:rFonts w:ascii="Arial" w:hAnsi="Arial" w:cs="Arial"/>
                <w:b/>
                <w:bCs/>
                <w:color w:val="000000"/>
                <w:sz w:val="16"/>
                <w:szCs w:val="16"/>
              </w:rPr>
              <w:t>55,102</w:t>
            </w:r>
          </w:p>
        </w:tc>
      </w:tr>
    </w:tbl>
    <w:p w14:paraId="04B29CF3" w14:textId="33CFCDCB" w:rsidR="00437DB1" w:rsidRPr="00002DB4" w:rsidRDefault="00437DB1" w:rsidP="00F319D8">
      <w:bookmarkStart w:id="62" w:name="_Toc99203681"/>
      <w:r w:rsidRPr="00002DB4">
        <w:t xml:space="preserve">Total expenses for the </w:t>
      </w:r>
      <w:r w:rsidRPr="00B02CC1">
        <w:rPr>
          <w:rStyle w:val="Strong"/>
        </w:rPr>
        <w:t>defence</w:t>
      </w:r>
      <w:r w:rsidRPr="00002DB4">
        <w:t xml:space="preserve"> sub</w:t>
      </w:r>
      <w:r w:rsidR="008D4F6B">
        <w:noBreakHyphen/>
      </w:r>
      <w:r w:rsidRPr="00002DB4">
        <w:t xml:space="preserve">function are estimated to increase by </w:t>
      </w:r>
      <w:r w:rsidR="00446EC2">
        <w:t>14.8</w:t>
      </w:r>
      <w:r>
        <w:t> </w:t>
      </w:r>
      <w:r w:rsidR="00B76600">
        <w:t xml:space="preserve">per cent </w:t>
      </w:r>
      <w:r w:rsidR="001031EF">
        <w:t xml:space="preserve">over </w:t>
      </w:r>
      <w:r w:rsidRPr="00002DB4">
        <w:t>the period 2024–25 to 2027–28</w:t>
      </w:r>
      <w:r w:rsidR="000A71A8">
        <w:t>. This change</w:t>
      </w:r>
      <w:r w:rsidRPr="00002DB4">
        <w:t xml:space="preserve"> reflect</w:t>
      </w:r>
      <w:r w:rsidR="000A71A8">
        <w:t>s</w:t>
      </w:r>
      <w:r w:rsidRPr="00002DB4">
        <w:t xml:space="preserve"> the funding required to deliver Defence capabilities </w:t>
      </w:r>
      <w:r>
        <w:t>to</w:t>
      </w:r>
      <w:r w:rsidRPr="00002DB4">
        <w:t xml:space="preserve"> support an integrated, focused force that is positioned to safeguard Australia</w:t>
      </w:r>
      <w:r w:rsidR="008D4F6B">
        <w:t>’</w:t>
      </w:r>
      <w:r w:rsidRPr="00002DB4">
        <w:t>s security and prosperity.</w:t>
      </w:r>
    </w:p>
    <w:p w14:paraId="533BD178" w14:textId="3FCAEFAB" w:rsidR="00437DB1" w:rsidRDefault="00437DB1" w:rsidP="00F2334A">
      <w:r w:rsidRPr="00002DB4">
        <w:t>Underpinne</w:t>
      </w:r>
      <w:r w:rsidRPr="00930FAB">
        <w:t xml:space="preserve">d by the </w:t>
      </w:r>
      <w:r w:rsidRPr="00F319D8">
        <w:rPr>
          <w:rStyle w:val="Emphasis"/>
        </w:rPr>
        <w:t>2024 National Defence Strategy</w:t>
      </w:r>
      <w:r w:rsidRPr="00A32DD8">
        <w:t xml:space="preserve"> and </w:t>
      </w:r>
      <w:r w:rsidRPr="00F319D8">
        <w:rPr>
          <w:rStyle w:val="Emphasis"/>
        </w:rPr>
        <w:t>Integrated Investment Program,</w:t>
      </w:r>
      <w:r w:rsidRPr="00930FAB">
        <w:t xml:space="preserve"> the</w:t>
      </w:r>
      <w:r w:rsidRPr="00AC26DC">
        <w:t xml:space="preserve"> Government will adopt a whole</w:t>
      </w:r>
      <w:r w:rsidR="008D4F6B">
        <w:noBreakHyphen/>
      </w:r>
      <w:r w:rsidRPr="00AC26DC">
        <w:t>of</w:t>
      </w:r>
      <w:r w:rsidR="008D4F6B">
        <w:noBreakHyphen/>
      </w:r>
      <w:r w:rsidRPr="00AC26DC">
        <w:t>government and whole</w:t>
      </w:r>
      <w:r w:rsidR="008D4F6B">
        <w:noBreakHyphen/>
      </w:r>
      <w:r w:rsidRPr="00AC26DC">
        <w:t>of</w:t>
      </w:r>
      <w:r w:rsidR="008D4F6B">
        <w:noBreakHyphen/>
      </w:r>
      <w:r w:rsidRPr="00AC26DC">
        <w:t>nation approach to protecting our economic connection to the world, upholding the global rules</w:t>
      </w:r>
      <w:r w:rsidR="008D4F6B">
        <w:noBreakHyphen/>
      </w:r>
      <w:r w:rsidRPr="00AC26DC">
        <w:t>based order, maintaining a favourable regional strategic balance, and contributing to the collective security of the Indo</w:t>
      </w:r>
      <w:r w:rsidR="008D4F6B">
        <w:noBreakHyphen/>
      </w:r>
      <w:r w:rsidRPr="00AC26DC">
        <w:t>Pacific.</w:t>
      </w:r>
    </w:p>
    <w:p w14:paraId="38DFD577" w14:textId="6A747944" w:rsidR="00437DB1" w:rsidRPr="009C3273" w:rsidRDefault="00437DB1" w:rsidP="00F2334A">
      <w:r>
        <w:t xml:space="preserve">In the 2024–25 Budget, the Government is delivering increased funding </w:t>
      </w:r>
      <w:r w:rsidRPr="009C3273">
        <w:t>of $50.3</w:t>
      </w:r>
      <w:r>
        <w:t xml:space="preserve"> billion over ten years from 2024–25, </w:t>
      </w:r>
      <w:r w:rsidRPr="009C3273">
        <w:t>and $7.7</w:t>
      </w:r>
      <w:r w:rsidR="00584036">
        <w:t> </w:t>
      </w:r>
      <w:r>
        <w:t>billion per year ongoing, to support a shift in Defence</w:t>
      </w:r>
      <w:r w:rsidR="008D4F6B">
        <w:t>’</w:t>
      </w:r>
      <w:r>
        <w:t xml:space="preserve">s force structure and posture, and the capability investments prioritised in the </w:t>
      </w:r>
      <w:r w:rsidRPr="00B02CC1">
        <w:rPr>
          <w:rStyle w:val="Emphasis"/>
        </w:rPr>
        <w:t>2024 National Defence Strategy</w:t>
      </w:r>
      <w:r w:rsidRPr="00204B48">
        <w:rPr>
          <w:rStyle w:val="Emphasis"/>
          <w:i w:val="0"/>
        </w:rPr>
        <w:t xml:space="preserve"> and</w:t>
      </w:r>
      <w:r w:rsidRPr="00B02CC1">
        <w:rPr>
          <w:rStyle w:val="Emphasis"/>
        </w:rPr>
        <w:t xml:space="preserve"> Integrated Investment Program</w:t>
      </w:r>
      <w:r w:rsidRPr="009C3273">
        <w:t>.</w:t>
      </w:r>
    </w:p>
    <w:p w14:paraId="7E0D0D25" w14:textId="3D8CA691" w:rsidR="00437DB1" w:rsidRPr="001E2314" w:rsidRDefault="00437DB1" w:rsidP="00F2334A">
      <w:pPr>
        <w:rPr>
          <w:szCs w:val="19"/>
        </w:rPr>
      </w:pPr>
      <w:r w:rsidRPr="009C3273">
        <w:rPr>
          <w:szCs w:val="19"/>
        </w:rPr>
        <w:t xml:space="preserve">The Government has also committed to further spending to support the strategic objectives of the </w:t>
      </w:r>
      <w:r w:rsidRPr="00B02CC1">
        <w:rPr>
          <w:rStyle w:val="Emphasis"/>
        </w:rPr>
        <w:t>2024 National Defence Strategy</w:t>
      </w:r>
      <w:r w:rsidRPr="009C3273">
        <w:rPr>
          <w:szCs w:val="19"/>
        </w:rPr>
        <w:t>, including: $</w:t>
      </w:r>
      <w:r w:rsidR="00AF690D" w:rsidRPr="009C3273">
        <w:rPr>
          <w:szCs w:val="19"/>
        </w:rPr>
        <w:t>232.3</w:t>
      </w:r>
      <w:r w:rsidRPr="009C3273">
        <w:rPr>
          <w:szCs w:val="19"/>
        </w:rPr>
        <w:t xml:space="preserve"> million over three years to provide </w:t>
      </w:r>
      <w:r w:rsidRPr="00B02CC1">
        <w:rPr>
          <w:rStyle w:val="Emphasis"/>
        </w:rPr>
        <w:t xml:space="preserve">Defence </w:t>
      </w:r>
      <w:r w:rsidR="009C3273" w:rsidRPr="00B02CC1">
        <w:rPr>
          <w:rStyle w:val="Emphasis"/>
        </w:rPr>
        <w:t>A</w:t>
      </w:r>
      <w:r w:rsidRPr="00B02CC1">
        <w:rPr>
          <w:rStyle w:val="Emphasis"/>
        </w:rPr>
        <w:t>ssistance</w:t>
      </w:r>
      <w:r w:rsidR="008D4F6B">
        <w:rPr>
          <w:rStyle w:val="Emphasis"/>
        </w:rPr>
        <w:t xml:space="preserve"> – </w:t>
      </w:r>
      <w:r w:rsidRPr="00B02CC1">
        <w:rPr>
          <w:rStyle w:val="Emphasis"/>
        </w:rPr>
        <w:t>regional and global support</w:t>
      </w:r>
      <w:r w:rsidRPr="009C3273">
        <w:rPr>
          <w:szCs w:val="19"/>
        </w:rPr>
        <w:t>; and $166.2</w:t>
      </w:r>
      <w:r w:rsidR="00584036">
        <w:rPr>
          <w:szCs w:val="19"/>
        </w:rPr>
        <w:t> </w:t>
      </w:r>
      <w:r w:rsidRPr="009C3273">
        <w:rPr>
          <w:szCs w:val="19"/>
        </w:rPr>
        <w:t xml:space="preserve">million over five years from </w:t>
      </w:r>
      <w:r w:rsidRPr="009C3273">
        <w:rPr>
          <w:szCs w:val="19"/>
        </w:rPr>
        <w:br/>
        <w:t>2023</w:t>
      </w:r>
      <w:r w:rsidRPr="009C3273">
        <w:t>–</w:t>
      </w:r>
      <w:r w:rsidRPr="009C3273">
        <w:rPr>
          <w:szCs w:val="19"/>
        </w:rPr>
        <w:t>24 to strengthen Australia</w:t>
      </w:r>
      <w:r w:rsidR="008D4F6B">
        <w:rPr>
          <w:szCs w:val="19"/>
        </w:rPr>
        <w:t>’</w:t>
      </w:r>
      <w:r w:rsidRPr="009C3273">
        <w:rPr>
          <w:szCs w:val="19"/>
        </w:rPr>
        <w:t xml:space="preserve">s defence industrial base through the 2024 </w:t>
      </w:r>
      <w:r w:rsidRPr="00B02CC1">
        <w:rPr>
          <w:rStyle w:val="Emphasis"/>
        </w:rPr>
        <w:t>Defence Industry Development Strategy</w:t>
      </w:r>
      <w:r w:rsidRPr="009C3273">
        <w:rPr>
          <w:szCs w:val="19"/>
        </w:rPr>
        <w:t>.</w:t>
      </w:r>
    </w:p>
    <w:p w14:paraId="1F060F67" w14:textId="77777777" w:rsidR="00ED485A" w:rsidRPr="000177D7" w:rsidRDefault="00ED485A" w:rsidP="00ED485A">
      <w:pPr>
        <w:pStyle w:val="Heading3"/>
      </w:pPr>
      <w:bookmarkStart w:id="63" w:name="_Toc166369420"/>
      <w:bookmarkEnd w:id="62"/>
      <w:r w:rsidRPr="000177D7">
        <w:t>Public order and safety</w:t>
      </w:r>
      <w:bookmarkEnd w:id="47"/>
      <w:bookmarkEnd w:id="63"/>
    </w:p>
    <w:p w14:paraId="2C55DD50" w14:textId="2DA6D2A9" w:rsidR="00C17F06" w:rsidRPr="00D778AF" w:rsidRDefault="00E32E1B" w:rsidP="00D778AF">
      <w:pPr>
        <w:rPr>
          <w:lang w:val="en-US"/>
        </w:rPr>
      </w:pPr>
      <w:bookmarkStart w:id="64" w:name="_Toc99203682"/>
      <w:bookmarkStart w:id="65" w:name="_Toc117358175"/>
      <w:bookmarkStart w:id="66" w:name="_Toc117358177"/>
      <w:bookmarkEnd w:id="48"/>
      <w:r w:rsidRPr="000177D7">
        <w:rPr>
          <w:lang w:val="en-US"/>
        </w:rPr>
        <w:t>The public order and safety function includes expenses to support the administration of the federal legal system and the provision of legal services, including legal aid, to the community. Public order and safety expenses also include law enforcement, border protection and intelligence activities, and the protection of Australian Government property.</w:t>
      </w:r>
    </w:p>
    <w:p w14:paraId="36D927CD" w14:textId="77777777" w:rsidR="00A05E3C" w:rsidRDefault="00A05E3C" w:rsidP="00D778AF">
      <w:pPr>
        <w:pStyle w:val="TableHeading"/>
      </w:pPr>
      <w:r>
        <w:br w:type="page"/>
      </w:r>
    </w:p>
    <w:p w14:paraId="7664D3C1" w14:textId="128C84D0" w:rsidR="00F106D5" w:rsidRDefault="00E32E1B" w:rsidP="00F106D5">
      <w:pPr>
        <w:pStyle w:val="TableHeading"/>
        <w:rPr>
          <w:rFonts w:asciiTheme="minorHAnsi" w:eastAsiaTheme="minorHAnsi" w:hAnsiTheme="minorHAnsi" w:cstheme="minorBidi"/>
          <w:sz w:val="22"/>
          <w:szCs w:val="22"/>
          <w:lang w:eastAsia="en-US"/>
        </w:rPr>
      </w:pPr>
      <w:r>
        <w:lastRenderedPageBreak/>
        <w:t>Table </w:t>
      </w:r>
      <w:r w:rsidRPr="000177D7">
        <w:t>6.6: Summary of expenses</w:t>
      </w:r>
      <w:r>
        <w:t xml:space="preserve"> – </w:t>
      </w:r>
      <w:r w:rsidRPr="000177D7">
        <w:t>public order and safety</w:t>
      </w:r>
      <w:bookmarkStart w:id="67" w:name="_1586322870"/>
      <w:bookmarkStart w:id="68" w:name="_1727774286"/>
      <w:bookmarkStart w:id="69" w:name="_1776946568"/>
      <w:bookmarkStart w:id="70" w:name="_1776946748"/>
      <w:bookmarkStart w:id="71" w:name="_1776946837"/>
      <w:bookmarkEnd w:id="67"/>
      <w:bookmarkEnd w:id="68"/>
      <w:bookmarkEnd w:id="69"/>
      <w:bookmarkEnd w:id="70"/>
      <w:bookmarkEnd w:id="71"/>
    </w:p>
    <w:tbl>
      <w:tblPr>
        <w:tblW w:w="5000" w:type="pct"/>
        <w:tblCellMar>
          <w:left w:w="0" w:type="dxa"/>
          <w:right w:w="28" w:type="dxa"/>
        </w:tblCellMar>
        <w:tblLook w:val="04A0" w:firstRow="1" w:lastRow="0" w:firstColumn="1" w:lastColumn="0" w:noHBand="0" w:noVBand="1"/>
      </w:tblPr>
      <w:tblGrid>
        <w:gridCol w:w="3414"/>
        <w:gridCol w:w="860"/>
        <w:gridCol w:w="859"/>
        <w:gridCol w:w="859"/>
        <w:gridCol w:w="859"/>
        <w:gridCol w:w="859"/>
      </w:tblGrid>
      <w:tr w:rsidR="00F106D5" w:rsidRPr="00F106D5" w14:paraId="56E31E97" w14:textId="77777777" w:rsidTr="00A948EA">
        <w:trPr>
          <w:trHeight w:hRule="exact" w:val="225"/>
        </w:trPr>
        <w:tc>
          <w:tcPr>
            <w:tcW w:w="2214" w:type="pct"/>
            <w:tcBorders>
              <w:top w:val="single" w:sz="4" w:space="0" w:color="293F5B"/>
              <w:left w:val="nil"/>
              <w:bottom w:val="nil"/>
              <w:right w:val="nil"/>
            </w:tcBorders>
            <w:shd w:val="clear" w:color="000000" w:fill="FFFFFF"/>
            <w:noWrap/>
            <w:vAlign w:val="center"/>
            <w:hideMark/>
          </w:tcPr>
          <w:p w14:paraId="7105EFB4" w14:textId="1A8EE145" w:rsidR="00F106D5" w:rsidRPr="00F106D5" w:rsidRDefault="00F106D5" w:rsidP="00F106D5">
            <w:pPr>
              <w:spacing w:before="0" w:after="0" w:line="240" w:lineRule="auto"/>
              <w:rPr>
                <w:rFonts w:ascii="Arial" w:hAnsi="Arial" w:cs="Arial"/>
                <w:b/>
                <w:bCs/>
                <w:color w:val="000000"/>
                <w:sz w:val="16"/>
                <w:szCs w:val="16"/>
              </w:rPr>
            </w:pPr>
            <w:r w:rsidRPr="00F106D5">
              <w:rPr>
                <w:rFonts w:ascii="Arial" w:hAnsi="Arial" w:cs="Arial"/>
                <w:b/>
                <w:bCs/>
                <w:color w:val="000000"/>
                <w:sz w:val="16"/>
                <w:szCs w:val="16"/>
              </w:rPr>
              <w:t>Sub-function</w:t>
            </w:r>
          </w:p>
        </w:tc>
        <w:tc>
          <w:tcPr>
            <w:tcW w:w="2786" w:type="pct"/>
            <w:gridSpan w:val="5"/>
            <w:tcBorders>
              <w:top w:val="single" w:sz="4" w:space="0" w:color="293F5B"/>
              <w:left w:val="nil"/>
              <w:bottom w:val="single" w:sz="4" w:space="0" w:color="293F5B"/>
              <w:right w:val="nil"/>
            </w:tcBorders>
            <w:shd w:val="clear" w:color="000000" w:fill="FFFFFF"/>
            <w:noWrap/>
            <w:vAlign w:val="center"/>
            <w:hideMark/>
          </w:tcPr>
          <w:p w14:paraId="0BC9C6FA" w14:textId="77777777" w:rsidR="00F106D5" w:rsidRPr="00F106D5" w:rsidRDefault="00F106D5" w:rsidP="00F106D5">
            <w:pPr>
              <w:spacing w:before="0" w:after="0" w:line="240" w:lineRule="auto"/>
              <w:jc w:val="center"/>
              <w:rPr>
                <w:rFonts w:ascii="Arial" w:hAnsi="Arial" w:cs="Arial"/>
                <w:color w:val="000000"/>
                <w:sz w:val="16"/>
                <w:szCs w:val="16"/>
              </w:rPr>
            </w:pPr>
            <w:r w:rsidRPr="00F106D5">
              <w:rPr>
                <w:rFonts w:ascii="Arial" w:hAnsi="Arial" w:cs="Arial"/>
                <w:color w:val="000000"/>
                <w:sz w:val="16"/>
                <w:szCs w:val="16"/>
              </w:rPr>
              <w:t>Estimates</w:t>
            </w:r>
          </w:p>
        </w:tc>
      </w:tr>
      <w:tr w:rsidR="00F106D5" w:rsidRPr="00F106D5" w14:paraId="40A9397C" w14:textId="77777777" w:rsidTr="00A948EA">
        <w:trPr>
          <w:trHeight w:hRule="exact" w:val="225"/>
        </w:trPr>
        <w:tc>
          <w:tcPr>
            <w:tcW w:w="2214" w:type="pct"/>
            <w:tcBorders>
              <w:top w:val="nil"/>
              <w:left w:val="nil"/>
              <w:bottom w:val="nil"/>
              <w:right w:val="nil"/>
            </w:tcBorders>
            <w:shd w:val="clear" w:color="000000" w:fill="FFFFFF"/>
            <w:noWrap/>
            <w:vAlign w:val="bottom"/>
            <w:hideMark/>
          </w:tcPr>
          <w:p w14:paraId="6219626B" w14:textId="77777777" w:rsidR="00F106D5" w:rsidRPr="00F106D5" w:rsidRDefault="00F106D5" w:rsidP="00F106D5">
            <w:pPr>
              <w:spacing w:before="0" w:after="0" w:line="240" w:lineRule="auto"/>
              <w:rPr>
                <w:rFonts w:ascii="Arial" w:hAnsi="Arial" w:cs="Arial"/>
                <w:color w:val="000000"/>
                <w:sz w:val="16"/>
                <w:szCs w:val="16"/>
              </w:rPr>
            </w:pPr>
            <w:r w:rsidRPr="00F106D5">
              <w:rPr>
                <w:rFonts w:ascii="Arial" w:hAnsi="Arial" w:cs="Arial"/>
                <w:color w:val="000000"/>
                <w:sz w:val="16"/>
                <w:szCs w:val="16"/>
              </w:rPr>
              <w:t> </w:t>
            </w:r>
          </w:p>
        </w:tc>
        <w:tc>
          <w:tcPr>
            <w:tcW w:w="558" w:type="pct"/>
            <w:tcBorders>
              <w:top w:val="single" w:sz="4" w:space="0" w:color="293F5B"/>
              <w:left w:val="nil"/>
              <w:bottom w:val="nil"/>
              <w:right w:val="nil"/>
            </w:tcBorders>
            <w:shd w:val="clear" w:color="000000" w:fill="FFFFFF"/>
            <w:noWrap/>
            <w:vAlign w:val="center"/>
            <w:hideMark/>
          </w:tcPr>
          <w:p w14:paraId="02E17B5E" w14:textId="77777777" w:rsidR="00F106D5" w:rsidRPr="00F106D5" w:rsidRDefault="00F106D5" w:rsidP="00F106D5">
            <w:pPr>
              <w:spacing w:before="0" w:after="0" w:line="240" w:lineRule="auto"/>
              <w:jc w:val="right"/>
              <w:rPr>
                <w:rFonts w:ascii="Arial" w:hAnsi="Arial" w:cs="Arial"/>
                <w:sz w:val="16"/>
                <w:szCs w:val="16"/>
              </w:rPr>
            </w:pPr>
            <w:r w:rsidRPr="00F106D5">
              <w:rPr>
                <w:rFonts w:ascii="Arial" w:hAnsi="Arial" w:cs="Arial"/>
                <w:sz w:val="16"/>
                <w:szCs w:val="16"/>
              </w:rPr>
              <w:t>2023-24</w:t>
            </w:r>
          </w:p>
        </w:tc>
        <w:tc>
          <w:tcPr>
            <w:tcW w:w="557" w:type="pct"/>
            <w:tcBorders>
              <w:top w:val="single" w:sz="4" w:space="0" w:color="293F5B"/>
              <w:left w:val="nil"/>
              <w:bottom w:val="nil"/>
              <w:right w:val="nil"/>
            </w:tcBorders>
            <w:shd w:val="clear" w:color="000000" w:fill="E6F2FF"/>
            <w:noWrap/>
            <w:vAlign w:val="center"/>
            <w:hideMark/>
          </w:tcPr>
          <w:p w14:paraId="1F46661F" w14:textId="77777777" w:rsidR="00F106D5" w:rsidRPr="00F106D5" w:rsidRDefault="00F106D5" w:rsidP="00F106D5">
            <w:pPr>
              <w:spacing w:before="0" w:after="0" w:line="240" w:lineRule="auto"/>
              <w:jc w:val="right"/>
              <w:rPr>
                <w:rFonts w:ascii="Arial" w:hAnsi="Arial" w:cs="Arial"/>
                <w:sz w:val="16"/>
                <w:szCs w:val="16"/>
              </w:rPr>
            </w:pPr>
            <w:r w:rsidRPr="00F106D5">
              <w:rPr>
                <w:rFonts w:ascii="Arial" w:hAnsi="Arial" w:cs="Arial"/>
                <w:sz w:val="16"/>
                <w:szCs w:val="16"/>
              </w:rPr>
              <w:t>2024-25</w:t>
            </w:r>
          </w:p>
        </w:tc>
        <w:tc>
          <w:tcPr>
            <w:tcW w:w="557" w:type="pct"/>
            <w:tcBorders>
              <w:top w:val="single" w:sz="4" w:space="0" w:color="293F5B"/>
              <w:left w:val="nil"/>
              <w:bottom w:val="nil"/>
              <w:right w:val="nil"/>
            </w:tcBorders>
            <w:shd w:val="clear" w:color="000000" w:fill="FFFFFF"/>
            <w:noWrap/>
            <w:vAlign w:val="center"/>
            <w:hideMark/>
          </w:tcPr>
          <w:p w14:paraId="6AC863BE" w14:textId="77777777" w:rsidR="00F106D5" w:rsidRPr="00F106D5" w:rsidRDefault="00F106D5" w:rsidP="00F106D5">
            <w:pPr>
              <w:spacing w:before="0" w:after="0" w:line="240" w:lineRule="auto"/>
              <w:jc w:val="right"/>
              <w:rPr>
                <w:rFonts w:ascii="Arial" w:hAnsi="Arial" w:cs="Arial"/>
                <w:sz w:val="16"/>
                <w:szCs w:val="16"/>
              </w:rPr>
            </w:pPr>
            <w:r w:rsidRPr="00F106D5">
              <w:rPr>
                <w:rFonts w:ascii="Arial" w:hAnsi="Arial" w:cs="Arial"/>
                <w:sz w:val="16"/>
                <w:szCs w:val="16"/>
              </w:rPr>
              <w:t>2025-26</w:t>
            </w:r>
          </w:p>
        </w:tc>
        <w:tc>
          <w:tcPr>
            <w:tcW w:w="557" w:type="pct"/>
            <w:tcBorders>
              <w:top w:val="single" w:sz="4" w:space="0" w:color="293F5B"/>
              <w:left w:val="nil"/>
              <w:bottom w:val="nil"/>
              <w:right w:val="nil"/>
            </w:tcBorders>
            <w:shd w:val="clear" w:color="000000" w:fill="FFFFFF"/>
            <w:noWrap/>
            <w:vAlign w:val="center"/>
            <w:hideMark/>
          </w:tcPr>
          <w:p w14:paraId="24A74E83" w14:textId="77777777" w:rsidR="00F106D5" w:rsidRPr="00F106D5" w:rsidRDefault="00F106D5" w:rsidP="00F106D5">
            <w:pPr>
              <w:spacing w:before="0" w:after="0" w:line="240" w:lineRule="auto"/>
              <w:jc w:val="right"/>
              <w:rPr>
                <w:rFonts w:ascii="Arial" w:hAnsi="Arial" w:cs="Arial"/>
                <w:sz w:val="16"/>
                <w:szCs w:val="16"/>
              </w:rPr>
            </w:pPr>
            <w:r w:rsidRPr="00F106D5">
              <w:rPr>
                <w:rFonts w:ascii="Arial" w:hAnsi="Arial" w:cs="Arial"/>
                <w:sz w:val="16"/>
                <w:szCs w:val="16"/>
              </w:rPr>
              <w:t>2026-27</w:t>
            </w:r>
          </w:p>
        </w:tc>
        <w:tc>
          <w:tcPr>
            <w:tcW w:w="557" w:type="pct"/>
            <w:tcBorders>
              <w:top w:val="single" w:sz="4" w:space="0" w:color="293F5B"/>
              <w:left w:val="nil"/>
              <w:bottom w:val="nil"/>
              <w:right w:val="nil"/>
            </w:tcBorders>
            <w:shd w:val="clear" w:color="000000" w:fill="FFFFFF"/>
            <w:noWrap/>
            <w:vAlign w:val="center"/>
            <w:hideMark/>
          </w:tcPr>
          <w:p w14:paraId="417BAD04" w14:textId="77777777" w:rsidR="00F106D5" w:rsidRPr="00F106D5" w:rsidRDefault="00F106D5" w:rsidP="00F106D5">
            <w:pPr>
              <w:spacing w:before="0" w:after="0" w:line="240" w:lineRule="auto"/>
              <w:jc w:val="right"/>
              <w:rPr>
                <w:rFonts w:ascii="Arial" w:hAnsi="Arial" w:cs="Arial"/>
                <w:color w:val="000000"/>
                <w:sz w:val="16"/>
                <w:szCs w:val="16"/>
              </w:rPr>
            </w:pPr>
            <w:r w:rsidRPr="00F106D5">
              <w:rPr>
                <w:rFonts w:ascii="Arial" w:hAnsi="Arial" w:cs="Arial"/>
                <w:color w:val="000000"/>
                <w:sz w:val="16"/>
                <w:szCs w:val="16"/>
              </w:rPr>
              <w:t>2027-28</w:t>
            </w:r>
          </w:p>
        </w:tc>
      </w:tr>
      <w:tr w:rsidR="00F106D5" w:rsidRPr="00F106D5" w14:paraId="76800902" w14:textId="77777777" w:rsidTr="00A948EA">
        <w:trPr>
          <w:trHeight w:hRule="exact" w:val="225"/>
        </w:trPr>
        <w:tc>
          <w:tcPr>
            <w:tcW w:w="2214" w:type="pct"/>
            <w:tcBorders>
              <w:top w:val="nil"/>
              <w:left w:val="nil"/>
              <w:bottom w:val="nil"/>
              <w:right w:val="nil"/>
            </w:tcBorders>
            <w:shd w:val="clear" w:color="000000" w:fill="FFFFFF"/>
            <w:noWrap/>
            <w:vAlign w:val="bottom"/>
            <w:hideMark/>
          </w:tcPr>
          <w:p w14:paraId="370F2B61" w14:textId="77777777" w:rsidR="00F106D5" w:rsidRPr="00F106D5" w:rsidRDefault="00F106D5" w:rsidP="00F106D5">
            <w:pPr>
              <w:spacing w:before="0" w:after="0" w:line="240" w:lineRule="auto"/>
              <w:rPr>
                <w:rFonts w:ascii="Arial" w:hAnsi="Arial" w:cs="Arial"/>
                <w:color w:val="000000"/>
                <w:sz w:val="16"/>
                <w:szCs w:val="16"/>
              </w:rPr>
            </w:pPr>
            <w:r w:rsidRPr="00F106D5">
              <w:rPr>
                <w:rFonts w:ascii="Arial" w:hAnsi="Arial" w:cs="Arial"/>
                <w:color w:val="000000"/>
                <w:sz w:val="16"/>
                <w:szCs w:val="16"/>
              </w:rPr>
              <w:t> </w:t>
            </w:r>
          </w:p>
        </w:tc>
        <w:tc>
          <w:tcPr>
            <w:tcW w:w="558" w:type="pct"/>
            <w:tcBorders>
              <w:top w:val="nil"/>
              <w:left w:val="nil"/>
              <w:bottom w:val="single" w:sz="4" w:space="0" w:color="293F5B"/>
              <w:right w:val="nil"/>
            </w:tcBorders>
            <w:shd w:val="clear" w:color="000000" w:fill="FFFFFF"/>
            <w:noWrap/>
            <w:vAlign w:val="bottom"/>
            <w:hideMark/>
          </w:tcPr>
          <w:p w14:paraId="5C000034" w14:textId="77777777" w:rsidR="00F106D5" w:rsidRPr="00F106D5" w:rsidRDefault="00F106D5" w:rsidP="00F106D5">
            <w:pPr>
              <w:spacing w:before="0" w:after="0" w:line="240" w:lineRule="auto"/>
              <w:jc w:val="right"/>
              <w:rPr>
                <w:rFonts w:ascii="Arial" w:hAnsi="Arial" w:cs="Arial"/>
                <w:color w:val="000000"/>
                <w:sz w:val="16"/>
                <w:szCs w:val="16"/>
              </w:rPr>
            </w:pPr>
            <w:r w:rsidRPr="00F106D5">
              <w:rPr>
                <w:rFonts w:ascii="Arial" w:hAnsi="Arial" w:cs="Arial"/>
                <w:color w:val="000000"/>
                <w:sz w:val="16"/>
                <w:szCs w:val="16"/>
              </w:rPr>
              <w:t>$m</w:t>
            </w:r>
          </w:p>
        </w:tc>
        <w:tc>
          <w:tcPr>
            <w:tcW w:w="557" w:type="pct"/>
            <w:tcBorders>
              <w:top w:val="nil"/>
              <w:left w:val="nil"/>
              <w:bottom w:val="single" w:sz="4" w:space="0" w:color="293F5B"/>
              <w:right w:val="nil"/>
            </w:tcBorders>
            <w:shd w:val="clear" w:color="000000" w:fill="E6F2FF"/>
            <w:noWrap/>
            <w:vAlign w:val="bottom"/>
            <w:hideMark/>
          </w:tcPr>
          <w:p w14:paraId="0714AE2D" w14:textId="77777777" w:rsidR="00F106D5" w:rsidRPr="00F106D5" w:rsidRDefault="00F106D5" w:rsidP="00F106D5">
            <w:pPr>
              <w:spacing w:before="0" w:after="0" w:line="240" w:lineRule="auto"/>
              <w:jc w:val="right"/>
              <w:rPr>
                <w:rFonts w:ascii="Arial" w:hAnsi="Arial" w:cs="Arial"/>
                <w:color w:val="000000"/>
                <w:sz w:val="16"/>
                <w:szCs w:val="16"/>
              </w:rPr>
            </w:pPr>
            <w:r w:rsidRPr="00F106D5">
              <w:rPr>
                <w:rFonts w:ascii="Arial" w:hAnsi="Arial" w:cs="Arial"/>
                <w:color w:val="000000"/>
                <w:sz w:val="16"/>
                <w:szCs w:val="16"/>
              </w:rPr>
              <w:t>$m</w:t>
            </w:r>
          </w:p>
        </w:tc>
        <w:tc>
          <w:tcPr>
            <w:tcW w:w="557" w:type="pct"/>
            <w:tcBorders>
              <w:top w:val="nil"/>
              <w:left w:val="nil"/>
              <w:bottom w:val="single" w:sz="4" w:space="0" w:color="293F5B"/>
              <w:right w:val="nil"/>
            </w:tcBorders>
            <w:shd w:val="clear" w:color="000000" w:fill="FFFFFF"/>
            <w:noWrap/>
            <w:vAlign w:val="bottom"/>
            <w:hideMark/>
          </w:tcPr>
          <w:p w14:paraId="3F6A9B50" w14:textId="77777777" w:rsidR="00F106D5" w:rsidRPr="00F106D5" w:rsidRDefault="00F106D5" w:rsidP="00F106D5">
            <w:pPr>
              <w:spacing w:before="0" w:after="0" w:line="240" w:lineRule="auto"/>
              <w:jc w:val="right"/>
              <w:rPr>
                <w:rFonts w:ascii="Arial" w:hAnsi="Arial" w:cs="Arial"/>
                <w:color w:val="000000"/>
                <w:sz w:val="16"/>
                <w:szCs w:val="16"/>
              </w:rPr>
            </w:pPr>
            <w:r w:rsidRPr="00F106D5">
              <w:rPr>
                <w:rFonts w:ascii="Arial" w:hAnsi="Arial" w:cs="Arial"/>
                <w:color w:val="000000"/>
                <w:sz w:val="16"/>
                <w:szCs w:val="16"/>
              </w:rPr>
              <w:t>$m</w:t>
            </w:r>
          </w:p>
        </w:tc>
        <w:tc>
          <w:tcPr>
            <w:tcW w:w="557" w:type="pct"/>
            <w:tcBorders>
              <w:top w:val="nil"/>
              <w:left w:val="nil"/>
              <w:bottom w:val="single" w:sz="4" w:space="0" w:color="293F5B"/>
              <w:right w:val="nil"/>
            </w:tcBorders>
            <w:shd w:val="clear" w:color="000000" w:fill="FFFFFF"/>
            <w:noWrap/>
            <w:vAlign w:val="bottom"/>
            <w:hideMark/>
          </w:tcPr>
          <w:p w14:paraId="77D510EB" w14:textId="77777777" w:rsidR="00F106D5" w:rsidRPr="00F106D5" w:rsidRDefault="00F106D5" w:rsidP="00F106D5">
            <w:pPr>
              <w:spacing w:before="0" w:after="0" w:line="240" w:lineRule="auto"/>
              <w:jc w:val="right"/>
              <w:rPr>
                <w:rFonts w:ascii="Arial" w:hAnsi="Arial" w:cs="Arial"/>
                <w:color w:val="000000"/>
                <w:sz w:val="16"/>
                <w:szCs w:val="16"/>
              </w:rPr>
            </w:pPr>
            <w:r w:rsidRPr="00F106D5">
              <w:rPr>
                <w:rFonts w:ascii="Arial" w:hAnsi="Arial" w:cs="Arial"/>
                <w:color w:val="000000"/>
                <w:sz w:val="16"/>
                <w:szCs w:val="16"/>
              </w:rPr>
              <w:t>$m</w:t>
            </w:r>
          </w:p>
        </w:tc>
        <w:tc>
          <w:tcPr>
            <w:tcW w:w="557" w:type="pct"/>
            <w:tcBorders>
              <w:top w:val="nil"/>
              <w:left w:val="nil"/>
              <w:bottom w:val="single" w:sz="4" w:space="0" w:color="293F5B"/>
              <w:right w:val="nil"/>
            </w:tcBorders>
            <w:shd w:val="clear" w:color="000000" w:fill="FFFFFF"/>
            <w:noWrap/>
            <w:vAlign w:val="bottom"/>
            <w:hideMark/>
          </w:tcPr>
          <w:p w14:paraId="43F704CD" w14:textId="77777777" w:rsidR="00F106D5" w:rsidRPr="00F106D5" w:rsidRDefault="00F106D5" w:rsidP="00F106D5">
            <w:pPr>
              <w:spacing w:before="0" w:after="0" w:line="240" w:lineRule="auto"/>
              <w:jc w:val="right"/>
              <w:rPr>
                <w:rFonts w:ascii="Arial" w:hAnsi="Arial" w:cs="Arial"/>
                <w:color w:val="000000"/>
                <w:sz w:val="16"/>
                <w:szCs w:val="16"/>
              </w:rPr>
            </w:pPr>
            <w:r w:rsidRPr="00F106D5">
              <w:rPr>
                <w:rFonts w:ascii="Arial" w:hAnsi="Arial" w:cs="Arial"/>
                <w:color w:val="000000"/>
                <w:sz w:val="16"/>
                <w:szCs w:val="16"/>
              </w:rPr>
              <w:t>$m</w:t>
            </w:r>
          </w:p>
        </w:tc>
      </w:tr>
      <w:tr w:rsidR="00F106D5" w:rsidRPr="00F106D5" w14:paraId="2B643904" w14:textId="77777777" w:rsidTr="00A948EA">
        <w:trPr>
          <w:trHeight w:hRule="exact" w:val="225"/>
        </w:trPr>
        <w:tc>
          <w:tcPr>
            <w:tcW w:w="2214" w:type="pct"/>
            <w:tcBorders>
              <w:top w:val="nil"/>
              <w:left w:val="nil"/>
              <w:bottom w:val="nil"/>
              <w:right w:val="nil"/>
            </w:tcBorders>
            <w:shd w:val="clear" w:color="000000" w:fill="FFFFFF"/>
            <w:noWrap/>
            <w:vAlign w:val="bottom"/>
            <w:hideMark/>
          </w:tcPr>
          <w:p w14:paraId="28E67815" w14:textId="77777777" w:rsidR="00F106D5" w:rsidRPr="00F106D5" w:rsidRDefault="00F106D5" w:rsidP="00F106D5">
            <w:pPr>
              <w:spacing w:before="0" w:after="0" w:line="240" w:lineRule="auto"/>
              <w:rPr>
                <w:rFonts w:ascii="Arial" w:hAnsi="Arial" w:cs="Arial"/>
                <w:color w:val="000000"/>
                <w:sz w:val="16"/>
                <w:szCs w:val="16"/>
              </w:rPr>
            </w:pPr>
            <w:r w:rsidRPr="00F106D5">
              <w:rPr>
                <w:rFonts w:ascii="Arial" w:hAnsi="Arial" w:cs="Arial"/>
                <w:color w:val="000000"/>
                <w:sz w:val="16"/>
                <w:szCs w:val="16"/>
              </w:rPr>
              <w:t>Courts and legal services</w:t>
            </w:r>
          </w:p>
        </w:tc>
        <w:tc>
          <w:tcPr>
            <w:tcW w:w="558" w:type="pct"/>
            <w:tcBorders>
              <w:top w:val="nil"/>
              <w:left w:val="nil"/>
              <w:bottom w:val="nil"/>
              <w:right w:val="nil"/>
            </w:tcBorders>
            <w:shd w:val="clear" w:color="000000" w:fill="FFFFFF"/>
            <w:noWrap/>
            <w:vAlign w:val="center"/>
            <w:hideMark/>
          </w:tcPr>
          <w:p w14:paraId="2C9975E7" w14:textId="77777777" w:rsidR="00F106D5" w:rsidRPr="00F106D5" w:rsidRDefault="00F106D5" w:rsidP="00F106D5">
            <w:pPr>
              <w:spacing w:before="0" w:after="0" w:line="240" w:lineRule="auto"/>
              <w:jc w:val="right"/>
              <w:rPr>
                <w:rFonts w:ascii="Arial" w:hAnsi="Arial" w:cs="Arial"/>
                <w:color w:val="000000"/>
                <w:sz w:val="16"/>
                <w:szCs w:val="16"/>
              </w:rPr>
            </w:pPr>
            <w:r w:rsidRPr="00F106D5">
              <w:rPr>
                <w:rFonts w:ascii="Arial" w:hAnsi="Arial" w:cs="Arial"/>
                <w:color w:val="000000"/>
                <w:sz w:val="16"/>
                <w:szCs w:val="16"/>
              </w:rPr>
              <w:t>1,827</w:t>
            </w:r>
          </w:p>
        </w:tc>
        <w:tc>
          <w:tcPr>
            <w:tcW w:w="557" w:type="pct"/>
            <w:tcBorders>
              <w:top w:val="nil"/>
              <w:left w:val="nil"/>
              <w:bottom w:val="nil"/>
              <w:right w:val="nil"/>
            </w:tcBorders>
            <w:shd w:val="clear" w:color="000000" w:fill="E6F2FF"/>
            <w:noWrap/>
            <w:vAlign w:val="center"/>
            <w:hideMark/>
          </w:tcPr>
          <w:p w14:paraId="164CE235" w14:textId="77777777" w:rsidR="00F106D5" w:rsidRPr="00F106D5" w:rsidRDefault="00F106D5" w:rsidP="00F106D5">
            <w:pPr>
              <w:spacing w:before="0" w:after="0" w:line="240" w:lineRule="auto"/>
              <w:jc w:val="right"/>
              <w:rPr>
                <w:rFonts w:ascii="Arial" w:hAnsi="Arial" w:cs="Arial"/>
                <w:color w:val="000000"/>
                <w:sz w:val="16"/>
                <w:szCs w:val="16"/>
              </w:rPr>
            </w:pPr>
            <w:r w:rsidRPr="00F106D5">
              <w:rPr>
                <w:rFonts w:ascii="Arial" w:hAnsi="Arial" w:cs="Arial"/>
                <w:color w:val="000000"/>
                <w:sz w:val="16"/>
                <w:szCs w:val="16"/>
              </w:rPr>
              <w:t>1,894</w:t>
            </w:r>
          </w:p>
        </w:tc>
        <w:tc>
          <w:tcPr>
            <w:tcW w:w="557" w:type="pct"/>
            <w:tcBorders>
              <w:top w:val="nil"/>
              <w:left w:val="nil"/>
              <w:bottom w:val="nil"/>
              <w:right w:val="nil"/>
            </w:tcBorders>
            <w:shd w:val="clear" w:color="000000" w:fill="FFFFFF"/>
            <w:noWrap/>
            <w:vAlign w:val="center"/>
            <w:hideMark/>
          </w:tcPr>
          <w:p w14:paraId="1E8EC314" w14:textId="77777777" w:rsidR="00F106D5" w:rsidRPr="00F106D5" w:rsidRDefault="00F106D5" w:rsidP="00F106D5">
            <w:pPr>
              <w:spacing w:before="0" w:after="0" w:line="240" w:lineRule="auto"/>
              <w:jc w:val="right"/>
              <w:rPr>
                <w:rFonts w:ascii="Arial" w:hAnsi="Arial" w:cs="Arial"/>
                <w:color w:val="000000"/>
                <w:sz w:val="16"/>
                <w:szCs w:val="16"/>
              </w:rPr>
            </w:pPr>
            <w:r w:rsidRPr="00F106D5">
              <w:rPr>
                <w:rFonts w:ascii="Arial" w:hAnsi="Arial" w:cs="Arial"/>
                <w:color w:val="000000"/>
                <w:sz w:val="16"/>
                <w:szCs w:val="16"/>
              </w:rPr>
              <w:t>1,268</w:t>
            </w:r>
          </w:p>
        </w:tc>
        <w:tc>
          <w:tcPr>
            <w:tcW w:w="557" w:type="pct"/>
            <w:tcBorders>
              <w:top w:val="nil"/>
              <w:left w:val="nil"/>
              <w:bottom w:val="nil"/>
              <w:right w:val="nil"/>
            </w:tcBorders>
            <w:shd w:val="clear" w:color="000000" w:fill="FFFFFF"/>
            <w:noWrap/>
            <w:vAlign w:val="center"/>
            <w:hideMark/>
          </w:tcPr>
          <w:p w14:paraId="65DE961A" w14:textId="77777777" w:rsidR="00F106D5" w:rsidRPr="00F106D5" w:rsidRDefault="00F106D5" w:rsidP="00F106D5">
            <w:pPr>
              <w:spacing w:before="0" w:after="0" w:line="240" w:lineRule="auto"/>
              <w:jc w:val="right"/>
              <w:rPr>
                <w:rFonts w:ascii="Arial" w:hAnsi="Arial" w:cs="Arial"/>
                <w:color w:val="000000"/>
                <w:sz w:val="16"/>
                <w:szCs w:val="16"/>
              </w:rPr>
            </w:pPr>
            <w:r w:rsidRPr="00F106D5">
              <w:rPr>
                <w:rFonts w:ascii="Arial" w:hAnsi="Arial" w:cs="Arial"/>
                <w:color w:val="000000"/>
                <w:sz w:val="16"/>
                <w:szCs w:val="16"/>
              </w:rPr>
              <w:t>1,212</w:t>
            </w:r>
          </w:p>
        </w:tc>
        <w:tc>
          <w:tcPr>
            <w:tcW w:w="557" w:type="pct"/>
            <w:tcBorders>
              <w:top w:val="nil"/>
              <w:left w:val="nil"/>
              <w:bottom w:val="nil"/>
              <w:right w:val="nil"/>
            </w:tcBorders>
            <w:shd w:val="clear" w:color="000000" w:fill="FFFFFF"/>
            <w:noWrap/>
            <w:vAlign w:val="center"/>
            <w:hideMark/>
          </w:tcPr>
          <w:p w14:paraId="27315A5C" w14:textId="77777777" w:rsidR="00F106D5" w:rsidRPr="00F106D5" w:rsidRDefault="00F106D5" w:rsidP="00F106D5">
            <w:pPr>
              <w:spacing w:before="0" w:after="0" w:line="240" w:lineRule="auto"/>
              <w:jc w:val="right"/>
              <w:rPr>
                <w:rFonts w:ascii="Arial" w:hAnsi="Arial" w:cs="Arial"/>
                <w:color w:val="000000"/>
                <w:sz w:val="16"/>
                <w:szCs w:val="16"/>
              </w:rPr>
            </w:pPr>
            <w:r w:rsidRPr="00F106D5">
              <w:rPr>
                <w:rFonts w:ascii="Arial" w:hAnsi="Arial" w:cs="Arial"/>
                <w:color w:val="000000"/>
                <w:sz w:val="16"/>
                <w:szCs w:val="16"/>
              </w:rPr>
              <w:t>1,278</w:t>
            </w:r>
          </w:p>
        </w:tc>
      </w:tr>
      <w:tr w:rsidR="00F106D5" w:rsidRPr="00F106D5" w14:paraId="511F1F0B" w14:textId="77777777" w:rsidTr="00A948EA">
        <w:trPr>
          <w:trHeight w:hRule="exact" w:val="225"/>
        </w:trPr>
        <w:tc>
          <w:tcPr>
            <w:tcW w:w="2214" w:type="pct"/>
            <w:tcBorders>
              <w:top w:val="nil"/>
              <w:left w:val="nil"/>
              <w:bottom w:val="nil"/>
              <w:right w:val="nil"/>
            </w:tcBorders>
            <w:shd w:val="clear" w:color="000000" w:fill="FFFFFF"/>
            <w:noWrap/>
            <w:vAlign w:val="bottom"/>
            <w:hideMark/>
          </w:tcPr>
          <w:p w14:paraId="3EEC0DC5" w14:textId="77777777" w:rsidR="00F106D5" w:rsidRPr="00F106D5" w:rsidRDefault="00F106D5" w:rsidP="00F106D5">
            <w:pPr>
              <w:spacing w:before="0" w:after="0" w:line="240" w:lineRule="auto"/>
              <w:rPr>
                <w:rFonts w:ascii="Arial" w:hAnsi="Arial" w:cs="Arial"/>
                <w:color w:val="000000"/>
                <w:sz w:val="16"/>
                <w:szCs w:val="16"/>
              </w:rPr>
            </w:pPr>
            <w:r w:rsidRPr="00F106D5">
              <w:rPr>
                <w:rFonts w:ascii="Arial" w:hAnsi="Arial" w:cs="Arial"/>
                <w:color w:val="000000"/>
                <w:sz w:val="16"/>
                <w:szCs w:val="16"/>
              </w:rPr>
              <w:t>Other public order and safety(a)</w:t>
            </w:r>
          </w:p>
        </w:tc>
        <w:tc>
          <w:tcPr>
            <w:tcW w:w="558" w:type="pct"/>
            <w:tcBorders>
              <w:top w:val="nil"/>
              <w:left w:val="nil"/>
              <w:bottom w:val="nil"/>
              <w:right w:val="nil"/>
            </w:tcBorders>
            <w:shd w:val="clear" w:color="000000" w:fill="FFFFFF"/>
            <w:noWrap/>
            <w:vAlign w:val="center"/>
            <w:hideMark/>
          </w:tcPr>
          <w:p w14:paraId="00D904B4" w14:textId="77777777" w:rsidR="00F106D5" w:rsidRPr="00F106D5" w:rsidRDefault="00F106D5" w:rsidP="00F106D5">
            <w:pPr>
              <w:spacing w:before="0" w:after="0" w:line="240" w:lineRule="auto"/>
              <w:jc w:val="right"/>
              <w:rPr>
                <w:rFonts w:ascii="Arial" w:hAnsi="Arial" w:cs="Arial"/>
                <w:color w:val="000000"/>
                <w:sz w:val="16"/>
                <w:szCs w:val="16"/>
              </w:rPr>
            </w:pPr>
            <w:r w:rsidRPr="00F106D5">
              <w:rPr>
                <w:rFonts w:ascii="Arial" w:hAnsi="Arial" w:cs="Arial"/>
                <w:color w:val="000000"/>
                <w:sz w:val="16"/>
                <w:szCs w:val="16"/>
              </w:rPr>
              <w:t>6,133</w:t>
            </w:r>
          </w:p>
        </w:tc>
        <w:tc>
          <w:tcPr>
            <w:tcW w:w="557" w:type="pct"/>
            <w:tcBorders>
              <w:top w:val="nil"/>
              <w:left w:val="nil"/>
              <w:bottom w:val="nil"/>
              <w:right w:val="nil"/>
            </w:tcBorders>
            <w:shd w:val="clear" w:color="000000" w:fill="E6F2FF"/>
            <w:noWrap/>
            <w:vAlign w:val="center"/>
            <w:hideMark/>
          </w:tcPr>
          <w:p w14:paraId="20962178" w14:textId="77777777" w:rsidR="00F106D5" w:rsidRPr="00F106D5" w:rsidRDefault="00F106D5" w:rsidP="00F106D5">
            <w:pPr>
              <w:spacing w:before="0" w:after="0" w:line="240" w:lineRule="auto"/>
              <w:jc w:val="right"/>
              <w:rPr>
                <w:rFonts w:ascii="Arial" w:hAnsi="Arial" w:cs="Arial"/>
                <w:color w:val="000000"/>
                <w:sz w:val="16"/>
                <w:szCs w:val="16"/>
              </w:rPr>
            </w:pPr>
            <w:r w:rsidRPr="00F106D5">
              <w:rPr>
                <w:rFonts w:ascii="Arial" w:hAnsi="Arial" w:cs="Arial"/>
                <w:color w:val="000000"/>
                <w:sz w:val="16"/>
                <w:szCs w:val="16"/>
              </w:rPr>
              <w:t>6,528</w:t>
            </w:r>
          </w:p>
        </w:tc>
        <w:tc>
          <w:tcPr>
            <w:tcW w:w="557" w:type="pct"/>
            <w:tcBorders>
              <w:top w:val="nil"/>
              <w:left w:val="nil"/>
              <w:bottom w:val="nil"/>
              <w:right w:val="nil"/>
            </w:tcBorders>
            <w:shd w:val="clear" w:color="000000" w:fill="FFFFFF"/>
            <w:noWrap/>
            <w:vAlign w:val="center"/>
            <w:hideMark/>
          </w:tcPr>
          <w:p w14:paraId="3A8EB54A" w14:textId="77777777" w:rsidR="00F106D5" w:rsidRPr="00F106D5" w:rsidRDefault="00F106D5" w:rsidP="00F106D5">
            <w:pPr>
              <w:spacing w:before="0" w:after="0" w:line="240" w:lineRule="auto"/>
              <w:jc w:val="right"/>
              <w:rPr>
                <w:rFonts w:ascii="Arial" w:hAnsi="Arial" w:cs="Arial"/>
                <w:color w:val="000000"/>
                <w:sz w:val="16"/>
                <w:szCs w:val="16"/>
              </w:rPr>
            </w:pPr>
            <w:r w:rsidRPr="00F106D5">
              <w:rPr>
                <w:rFonts w:ascii="Arial" w:hAnsi="Arial" w:cs="Arial"/>
                <w:color w:val="000000"/>
                <w:sz w:val="16"/>
                <w:szCs w:val="16"/>
              </w:rPr>
              <w:t>5,725</w:t>
            </w:r>
          </w:p>
        </w:tc>
        <w:tc>
          <w:tcPr>
            <w:tcW w:w="557" w:type="pct"/>
            <w:tcBorders>
              <w:top w:val="nil"/>
              <w:left w:val="nil"/>
              <w:bottom w:val="nil"/>
              <w:right w:val="nil"/>
            </w:tcBorders>
            <w:shd w:val="clear" w:color="000000" w:fill="FFFFFF"/>
            <w:noWrap/>
            <w:vAlign w:val="center"/>
            <w:hideMark/>
          </w:tcPr>
          <w:p w14:paraId="0FCD9BCF" w14:textId="77777777" w:rsidR="00F106D5" w:rsidRPr="00F106D5" w:rsidRDefault="00F106D5" w:rsidP="00F106D5">
            <w:pPr>
              <w:spacing w:before="0" w:after="0" w:line="240" w:lineRule="auto"/>
              <w:jc w:val="right"/>
              <w:rPr>
                <w:rFonts w:ascii="Arial" w:hAnsi="Arial" w:cs="Arial"/>
                <w:color w:val="000000"/>
                <w:sz w:val="16"/>
                <w:szCs w:val="16"/>
              </w:rPr>
            </w:pPr>
            <w:r w:rsidRPr="00F106D5">
              <w:rPr>
                <w:rFonts w:ascii="Arial" w:hAnsi="Arial" w:cs="Arial"/>
                <w:color w:val="000000"/>
                <w:sz w:val="16"/>
                <w:szCs w:val="16"/>
              </w:rPr>
              <w:t>5,619</w:t>
            </w:r>
          </w:p>
        </w:tc>
        <w:tc>
          <w:tcPr>
            <w:tcW w:w="557" w:type="pct"/>
            <w:tcBorders>
              <w:top w:val="nil"/>
              <w:left w:val="nil"/>
              <w:bottom w:val="nil"/>
              <w:right w:val="nil"/>
            </w:tcBorders>
            <w:shd w:val="clear" w:color="000000" w:fill="FFFFFF"/>
            <w:noWrap/>
            <w:vAlign w:val="center"/>
            <w:hideMark/>
          </w:tcPr>
          <w:p w14:paraId="5DDF0DBE" w14:textId="77777777" w:rsidR="00F106D5" w:rsidRPr="00F106D5" w:rsidRDefault="00F106D5" w:rsidP="00F106D5">
            <w:pPr>
              <w:spacing w:before="0" w:after="0" w:line="240" w:lineRule="auto"/>
              <w:jc w:val="right"/>
              <w:rPr>
                <w:rFonts w:ascii="Arial" w:hAnsi="Arial" w:cs="Arial"/>
                <w:color w:val="000000"/>
                <w:sz w:val="16"/>
                <w:szCs w:val="16"/>
              </w:rPr>
            </w:pPr>
            <w:r w:rsidRPr="00F106D5">
              <w:rPr>
                <w:rFonts w:ascii="Arial" w:hAnsi="Arial" w:cs="Arial"/>
                <w:color w:val="000000"/>
                <w:sz w:val="16"/>
                <w:szCs w:val="16"/>
              </w:rPr>
              <w:t>5,477</w:t>
            </w:r>
          </w:p>
        </w:tc>
      </w:tr>
      <w:tr w:rsidR="00F106D5" w:rsidRPr="00F106D5" w14:paraId="795245D9" w14:textId="77777777" w:rsidTr="00A948EA">
        <w:trPr>
          <w:trHeight w:hRule="exact" w:val="225"/>
        </w:trPr>
        <w:tc>
          <w:tcPr>
            <w:tcW w:w="2214" w:type="pct"/>
            <w:tcBorders>
              <w:top w:val="nil"/>
              <w:left w:val="nil"/>
              <w:bottom w:val="single" w:sz="4" w:space="0" w:color="293F5B"/>
              <w:right w:val="nil"/>
            </w:tcBorders>
            <w:shd w:val="clear" w:color="000000" w:fill="FFFFFF"/>
            <w:noWrap/>
            <w:vAlign w:val="center"/>
            <w:hideMark/>
          </w:tcPr>
          <w:p w14:paraId="31F6CDDA" w14:textId="77777777" w:rsidR="00F106D5" w:rsidRPr="00F106D5" w:rsidRDefault="00F106D5" w:rsidP="00F106D5">
            <w:pPr>
              <w:spacing w:before="0" w:after="0" w:line="240" w:lineRule="auto"/>
              <w:rPr>
                <w:rFonts w:ascii="Arial" w:hAnsi="Arial" w:cs="Arial"/>
                <w:b/>
                <w:bCs/>
                <w:color w:val="000000"/>
                <w:sz w:val="16"/>
                <w:szCs w:val="16"/>
              </w:rPr>
            </w:pPr>
            <w:r w:rsidRPr="00F106D5">
              <w:rPr>
                <w:rFonts w:ascii="Arial" w:hAnsi="Arial" w:cs="Arial"/>
                <w:b/>
                <w:bCs/>
                <w:color w:val="000000"/>
                <w:sz w:val="16"/>
                <w:szCs w:val="16"/>
              </w:rPr>
              <w:t>Total public order and safety</w:t>
            </w:r>
          </w:p>
        </w:tc>
        <w:tc>
          <w:tcPr>
            <w:tcW w:w="558" w:type="pct"/>
            <w:tcBorders>
              <w:top w:val="single" w:sz="4" w:space="0" w:color="293F5B"/>
              <w:left w:val="nil"/>
              <w:bottom w:val="single" w:sz="4" w:space="0" w:color="293F5B"/>
              <w:right w:val="nil"/>
            </w:tcBorders>
            <w:shd w:val="clear" w:color="000000" w:fill="FFFFFF"/>
            <w:noWrap/>
            <w:vAlign w:val="center"/>
            <w:hideMark/>
          </w:tcPr>
          <w:p w14:paraId="6443EA67" w14:textId="77777777" w:rsidR="00F106D5" w:rsidRPr="00F106D5" w:rsidRDefault="00F106D5" w:rsidP="00F106D5">
            <w:pPr>
              <w:spacing w:before="0" w:after="0" w:line="240" w:lineRule="auto"/>
              <w:jc w:val="right"/>
              <w:rPr>
                <w:rFonts w:ascii="Arial" w:hAnsi="Arial" w:cs="Arial"/>
                <w:b/>
                <w:bCs/>
                <w:color w:val="000000"/>
                <w:sz w:val="16"/>
                <w:szCs w:val="16"/>
              </w:rPr>
            </w:pPr>
            <w:r w:rsidRPr="00F106D5">
              <w:rPr>
                <w:rFonts w:ascii="Arial" w:hAnsi="Arial" w:cs="Arial"/>
                <w:b/>
                <w:bCs/>
                <w:color w:val="000000"/>
                <w:sz w:val="16"/>
                <w:szCs w:val="16"/>
              </w:rPr>
              <w:t>7,960</w:t>
            </w:r>
          </w:p>
        </w:tc>
        <w:tc>
          <w:tcPr>
            <w:tcW w:w="557" w:type="pct"/>
            <w:tcBorders>
              <w:top w:val="single" w:sz="4" w:space="0" w:color="293F5B"/>
              <w:left w:val="nil"/>
              <w:bottom w:val="single" w:sz="4" w:space="0" w:color="293F5B"/>
              <w:right w:val="nil"/>
            </w:tcBorders>
            <w:shd w:val="clear" w:color="000000" w:fill="E6F2FF"/>
            <w:noWrap/>
            <w:vAlign w:val="center"/>
            <w:hideMark/>
          </w:tcPr>
          <w:p w14:paraId="1C8452D4" w14:textId="77777777" w:rsidR="00F106D5" w:rsidRPr="00F106D5" w:rsidRDefault="00F106D5" w:rsidP="00F106D5">
            <w:pPr>
              <w:spacing w:before="0" w:after="0" w:line="240" w:lineRule="auto"/>
              <w:jc w:val="right"/>
              <w:rPr>
                <w:rFonts w:ascii="Arial" w:hAnsi="Arial" w:cs="Arial"/>
                <w:b/>
                <w:bCs/>
                <w:color w:val="000000"/>
                <w:sz w:val="16"/>
                <w:szCs w:val="16"/>
              </w:rPr>
            </w:pPr>
            <w:r w:rsidRPr="00F106D5">
              <w:rPr>
                <w:rFonts w:ascii="Arial" w:hAnsi="Arial" w:cs="Arial"/>
                <w:b/>
                <w:bCs/>
                <w:color w:val="000000"/>
                <w:sz w:val="16"/>
                <w:szCs w:val="16"/>
              </w:rPr>
              <w:t>8,421</w:t>
            </w:r>
          </w:p>
        </w:tc>
        <w:tc>
          <w:tcPr>
            <w:tcW w:w="557" w:type="pct"/>
            <w:tcBorders>
              <w:top w:val="single" w:sz="4" w:space="0" w:color="293F5B"/>
              <w:left w:val="nil"/>
              <w:bottom w:val="single" w:sz="4" w:space="0" w:color="293F5B"/>
              <w:right w:val="nil"/>
            </w:tcBorders>
            <w:shd w:val="clear" w:color="000000" w:fill="FFFFFF"/>
            <w:noWrap/>
            <w:vAlign w:val="center"/>
            <w:hideMark/>
          </w:tcPr>
          <w:p w14:paraId="1B6A4797" w14:textId="77777777" w:rsidR="00F106D5" w:rsidRPr="00F106D5" w:rsidRDefault="00F106D5" w:rsidP="00F106D5">
            <w:pPr>
              <w:spacing w:before="0" w:after="0" w:line="240" w:lineRule="auto"/>
              <w:jc w:val="right"/>
              <w:rPr>
                <w:rFonts w:ascii="Arial" w:hAnsi="Arial" w:cs="Arial"/>
                <w:b/>
                <w:bCs/>
                <w:color w:val="000000"/>
                <w:sz w:val="16"/>
                <w:szCs w:val="16"/>
              </w:rPr>
            </w:pPr>
            <w:r w:rsidRPr="00F106D5">
              <w:rPr>
                <w:rFonts w:ascii="Arial" w:hAnsi="Arial" w:cs="Arial"/>
                <w:b/>
                <w:bCs/>
                <w:color w:val="000000"/>
                <w:sz w:val="16"/>
                <w:szCs w:val="16"/>
              </w:rPr>
              <w:t>6,993</w:t>
            </w:r>
          </w:p>
        </w:tc>
        <w:tc>
          <w:tcPr>
            <w:tcW w:w="557" w:type="pct"/>
            <w:tcBorders>
              <w:top w:val="single" w:sz="4" w:space="0" w:color="293F5B"/>
              <w:left w:val="nil"/>
              <w:bottom w:val="single" w:sz="4" w:space="0" w:color="293F5B"/>
              <w:right w:val="nil"/>
            </w:tcBorders>
            <w:shd w:val="clear" w:color="000000" w:fill="FFFFFF"/>
            <w:noWrap/>
            <w:vAlign w:val="center"/>
            <w:hideMark/>
          </w:tcPr>
          <w:p w14:paraId="574924A6" w14:textId="77777777" w:rsidR="00F106D5" w:rsidRPr="00F106D5" w:rsidRDefault="00F106D5" w:rsidP="00F106D5">
            <w:pPr>
              <w:spacing w:before="0" w:after="0" w:line="240" w:lineRule="auto"/>
              <w:jc w:val="right"/>
              <w:rPr>
                <w:rFonts w:ascii="Arial" w:hAnsi="Arial" w:cs="Arial"/>
                <w:b/>
                <w:bCs/>
                <w:color w:val="000000"/>
                <w:sz w:val="16"/>
                <w:szCs w:val="16"/>
              </w:rPr>
            </w:pPr>
            <w:r w:rsidRPr="00F106D5">
              <w:rPr>
                <w:rFonts w:ascii="Arial" w:hAnsi="Arial" w:cs="Arial"/>
                <w:b/>
                <w:bCs/>
                <w:color w:val="000000"/>
                <w:sz w:val="16"/>
                <w:szCs w:val="16"/>
              </w:rPr>
              <w:t>6,832</w:t>
            </w:r>
          </w:p>
        </w:tc>
        <w:tc>
          <w:tcPr>
            <w:tcW w:w="557" w:type="pct"/>
            <w:tcBorders>
              <w:top w:val="single" w:sz="4" w:space="0" w:color="293F5B"/>
              <w:left w:val="nil"/>
              <w:bottom w:val="single" w:sz="4" w:space="0" w:color="293F5B"/>
              <w:right w:val="nil"/>
            </w:tcBorders>
            <w:shd w:val="clear" w:color="000000" w:fill="FFFFFF"/>
            <w:noWrap/>
            <w:vAlign w:val="center"/>
            <w:hideMark/>
          </w:tcPr>
          <w:p w14:paraId="2C0FE85F" w14:textId="77777777" w:rsidR="00F106D5" w:rsidRPr="00F106D5" w:rsidRDefault="00F106D5" w:rsidP="00F106D5">
            <w:pPr>
              <w:spacing w:before="0" w:after="0" w:line="240" w:lineRule="auto"/>
              <w:jc w:val="right"/>
              <w:rPr>
                <w:rFonts w:ascii="Arial" w:hAnsi="Arial" w:cs="Arial"/>
                <w:b/>
                <w:bCs/>
                <w:color w:val="000000"/>
                <w:sz w:val="16"/>
                <w:szCs w:val="16"/>
              </w:rPr>
            </w:pPr>
            <w:r w:rsidRPr="00F106D5">
              <w:rPr>
                <w:rFonts w:ascii="Arial" w:hAnsi="Arial" w:cs="Arial"/>
                <w:b/>
                <w:bCs/>
                <w:color w:val="000000"/>
                <w:sz w:val="16"/>
                <w:szCs w:val="16"/>
              </w:rPr>
              <w:t>6,756</w:t>
            </w:r>
          </w:p>
        </w:tc>
      </w:tr>
    </w:tbl>
    <w:p w14:paraId="60BE6A75" w14:textId="1B226BC1" w:rsidR="00E32E1B" w:rsidRPr="00843729" w:rsidRDefault="00E32E1B" w:rsidP="00E87DDC">
      <w:pPr>
        <w:pStyle w:val="ChartandTableFootnoteAlpha"/>
        <w:numPr>
          <w:ilvl w:val="0"/>
          <w:numId w:val="24"/>
        </w:numPr>
        <w:rPr>
          <w:lang w:val="en-US"/>
        </w:rPr>
      </w:pPr>
      <w:bookmarkStart w:id="72" w:name="_Hlk133697547"/>
      <w:r>
        <w:t>A further breakdown of the other public order and safety sub</w:t>
      </w:r>
      <w:r w:rsidR="008D4F6B">
        <w:noBreakHyphen/>
      </w:r>
      <w:r>
        <w:t>function is provided in Table 6.6.1.</w:t>
      </w:r>
    </w:p>
    <w:p w14:paraId="0406EA7E" w14:textId="77777777" w:rsidR="00E32E1B" w:rsidRPr="000177D7" w:rsidRDefault="00E32E1B" w:rsidP="00F2334A">
      <w:pPr>
        <w:pStyle w:val="TableLine"/>
      </w:pPr>
    </w:p>
    <w:bookmarkEnd w:id="72"/>
    <w:p w14:paraId="16B8E9F0" w14:textId="408D057F" w:rsidR="00D9497C" w:rsidRDefault="00D9497C" w:rsidP="00F2334A">
      <w:r w:rsidRPr="001A34EE">
        <w:t xml:space="preserve">Total expenses </w:t>
      </w:r>
      <w:r w:rsidR="005F7A06">
        <w:t xml:space="preserve">for </w:t>
      </w:r>
      <w:r w:rsidRPr="001A34EE">
        <w:t xml:space="preserve">public order and safety are estimated to decrease by </w:t>
      </w:r>
      <w:r w:rsidR="00446EC2">
        <w:t>19.8</w:t>
      </w:r>
      <w:r>
        <w:t> </w:t>
      </w:r>
      <w:r w:rsidRPr="001A34EE">
        <w:t>per cent</w:t>
      </w:r>
      <w:r w:rsidR="00B76600">
        <w:t xml:space="preserve"> </w:t>
      </w:r>
      <w:r w:rsidRPr="001A34EE">
        <w:t>over the period 2024</w:t>
      </w:r>
      <w:r>
        <w:t>–</w:t>
      </w:r>
      <w:r w:rsidRPr="001A34EE">
        <w:t>25 to 2027</w:t>
      </w:r>
      <w:r>
        <w:t>–</w:t>
      </w:r>
      <w:r w:rsidRPr="001A34EE">
        <w:t>28</w:t>
      </w:r>
      <w:r>
        <w:t xml:space="preserve">, largely driven by </w:t>
      </w:r>
      <w:r w:rsidR="005F7A06">
        <w:t xml:space="preserve">expenses for </w:t>
      </w:r>
      <w:r w:rsidRPr="005D06D8">
        <w:rPr>
          <w:rStyle w:val="Strong"/>
        </w:rPr>
        <w:t>other public order and safety</w:t>
      </w:r>
      <w:r w:rsidRPr="001A34EE">
        <w:t>.</w:t>
      </w:r>
    </w:p>
    <w:p w14:paraId="22C1C049" w14:textId="2819052F" w:rsidR="0034399B" w:rsidRPr="001A34EE" w:rsidRDefault="009C3273" w:rsidP="00F2334A">
      <w:r w:rsidRPr="005D06D8">
        <w:rPr>
          <w:rStyle w:val="Strong"/>
        </w:rPr>
        <w:t>C</w:t>
      </w:r>
      <w:r w:rsidR="00D8712C" w:rsidRPr="005D06D8">
        <w:rPr>
          <w:rStyle w:val="Strong"/>
        </w:rPr>
        <w:t>ourts and legal services</w:t>
      </w:r>
      <w:r w:rsidR="00D8712C" w:rsidRPr="00D27025">
        <w:t xml:space="preserve"> </w:t>
      </w:r>
      <w:r>
        <w:t xml:space="preserve">expenses </w:t>
      </w:r>
      <w:r w:rsidR="00D8712C" w:rsidRPr="00D27025">
        <w:t xml:space="preserve">are </w:t>
      </w:r>
      <w:r>
        <w:t xml:space="preserve">expected </w:t>
      </w:r>
      <w:r w:rsidR="00D8712C" w:rsidRPr="00D27025">
        <w:t xml:space="preserve">to decrease </w:t>
      </w:r>
      <w:r w:rsidR="00D8712C">
        <w:t xml:space="preserve">over the period 2024–25 to 2027–28, </w:t>
      </w:r>
      <w:r w:rsidR="00D8712C" w:rsidRPr="00D27025">
        <w:t>reflecting the expiration of the National Legal Assistance Partnership on 30</w:t>
      </w:r>
      <w:r w:rsidR="00324EF3">
        <w:t> </w:t>
      </w:r>
      <w:r w:rsidR="00D8712C" w:rsidRPr="00D27025">
        <w:t>June</w:t>
      </w:r>
      <w:r w:rsidR="00324EF3">
        <w:t> </w:t>
      </w:r>
      <w:r w:rsidR="00D8712C" w:rsidRPr="00D27025">
        <w:t>2025</w:t>
      </w:r>
      <w:r w:rsidR="0034399B">
        <w:t>,</w:t>
      </w:r>
      <w:r w:rsidR="0092332B">
        <w:t xml:space="preserve"> noting</w:t>
      </w:r>
      <w:r w:rsidR="0034399B">
        <w:t xml:space="preserve"> negotiations on the next agreement </w:t>
      </w:r>
      <w:r w:rsidR="0092332B">
        <w:t xml:space="preserve">will </w:t>
      </w:r>
      <w:r w:rsidR="0034399B">
        <w:t>begin shortly</w:t>
      </w:r>
      <w:r w:rsidR="00D8712C" w:rsidRPr="00D27025">
        <w:t>.</w:t>
      </w:r>
    </w:p>
    <w:p w14:paraId="59240B6A" w14:textId="5AFA7BF6" w:rsidR="00D64EC4" w:rsidRDefault="00D64EC4" w:rsidP="00D64EC4">
      <w:bookmarkStart w:id="73" w:name="_Hlk166161174"/>
      <w:r>
        <w:t xml:space="preserve">The profile of </w:t>
      </w:r>
      <w:r w:rsidRPr="0010393A">
        <w:rPr>
          <w:rStyle w:val="Strong"/>
        </w:rPr>
        <w:t>other public order and safety</w:t>
      </w:r>
      <w:r>
        <w:t xml:space="preserve"> expenses is due in large part to two factors. First, from 2025</w:t>
      </w:r>
      <w:r w:rsidR="00A9609A">
        <w:t>–</w:t>
      </w:r>
      <w:r>
        <w:t xml:space="preserve">26 onwards, funding </w:t>
      </w:r>
      <w:r w:rsidR="00CA777B">
        <w:t xml:space="preserve">terminates </w:t>
      </w:r>
      <w:r>
        <w:t xml:space="preserve">for some National Partnership Payments for public order and safety. This funding will be considered by the Government in future economic updates. Second, consistent with past practice, supplementary funding is provided to the Australian Border Force on an annual basis for border protection activities, based on operational requirements. </w:t>
      </w:r>
      <w:r w:rsidRPr="00A9609A">
        <w:t>In the 2024</w:t>
      </w:r>
      <w:r w:rsidR="00A9609A" w:rsidRPr="00A9609A">
        <w:t>–</w:t>
      </w:r>
      <w:r w:rsidRPr="00A9609A">
        <w:t>25 Budget, the supplementary increase to border protection funding is $266.7 million, bringing the total funding for 2024</w:t>
      </w:r>
      <w:r w:rsidR="00A9609A" w:rsidRPr="00A9609A">
        <w:t>–</w:t>
      </w:r>
      <w:r w:rsidRPr="00A9609A">
        <w:t>25 to $</w:t>
      </w:r>
      <w:r w:rsidR="002E19D5" w:rsidRPr="00A9609A">
        <w:t>2.0 b</w:t>
      </w:r>
      <w:r w:rsidRPr="00A9609A">
        <w:t>illion.</w:t>
      </w:r>
    </w:p>
    <w:bookmarkEnd w:id="73"/>
    <w:p w14:paraId="5987E42C" w14:textId="76FA16D6" w:rsidR="00C53E4D" w:rsidRDefault="00C53E4D" w:rsidP="00F2334A">
      <w:r>
        <w:rPr>
          <w:lang w:val="en-US"/>
        </w:rPr>
        <w:t>Table </w:t>
      </w:r>
      <w:r w:rsidRPr="0021687D">
        <w:rPr>
          <w:lang w:val="en-US"/>
        </w:rPr>
        <w:t xml:space="preserve">6.6.1 </w:t>
      </w:r>
      <w:r w:rsidRPr="0021687D">
        <w:t xml:space="preserve">sets out the major components of the </w:t>
      </w:r>
      <w:r w:rsidRPr="0010393A">
        <w:rPr>
          <w:rStyle w:val="Strong"/>
        </w:rPr>
        <w:t>other public order and safety</w:t>
      </w:r>
      <w:r w:rsidRPr="0021687D">
        <w:t xml:space="preserve"> sub</w:t>
      </w:r>
      <w:r w:rsidR="008D4F6B">
        <w:noBreakHyphen/>
      </w:r>
      <w:r w:rsidRPr="0021687D">
        <w:t>function</w:t>
      </w:r>
      <w:r w:rsidRPr="0021687D">
        <w:rPr>
          <w:lang w:val="en-US"/>
        </w:rPr>
        <w:t>.</w:t>
      </w:r>
    </w:p>
    <w:p w14:paraId="59FAFF2B" w14:textId="5BD87C39" w:rsidR="006A52B4" w:rsidRDefault="00C53E4D" w:rsidP="006A52B4">
      <w:pPr>
        <w:pStyle w:val="TableHeading"/>
        <w:rPr>
          <w:rFonts w:asciiTheme="minorHAnsi" w:eastAsiaTheme="minorHAnsi" w:hAnsiTheme="minorHAnsi" w:cstheme="minorBidi"/>
          <w:sz w:val="22"/>
          <w:szCs w:val="22"/>
          <w:lang w:eastAsia="en-US"/>
        </w:rPr>
      </w:pPr>
      <w:r>
        <w:t>Table </w:t>
      </w:r>
      <w:r w:rsidRPr="0021687D">
        <w:t>6.6.1: Trends in the major components of</w:t>
      </w:r>
      <w:r w:rsidRPr="000177D7">
        <w:t xml:space="preserve"> </w:t>
      </w:r>
      <w:r>
        <w:t xml:space="preserve">the </w:t>
      </w:r>
      <w:r w:rsidRPr="000177D7">
        <w:t>other public order and safety sub</w:t>
      </w:r>
      <w:r w:rsidR="008D4F6B">
        <w:noBreakHyphen/>
      </w:r>
      <w:r w:rsidRPr="000177D7">
        <w:t xml:space="preserve">function </w:t>
      </w:r>
      <w:r w:rsidRPr="00374F75">
        <w:t>expense</w:t>
      </w:r>
    </w:p>
    <w:tbl>
      <w:tblPr>
        <w:tblW w:w="5000" w:type="pct"/>
        <w:tblCellMar>
          <w:left w:w="0" w:type="dxa"/>
          <w:right w:w="28" w:type="dxa"/>
        </w:tblCellMar>
        <w:tblLook w:val="04A0" w:firstRow="1" w:lastRow="0" w:firstColumn="1" w:lastColumn="0" w:noHBand="0" w:noVBand="1"/>
      </w:tblPr>
      <w:tblGrid>
        <w:gridCol w:w="3366"/>
        <w:gridCol w:w="105"/>
        <w:gridCol w:w="848"/>
        <w:gridCol w:w="848"/>
        <w:gridCol w:w="848"/>
        <w:gridCol w:w="848"/>
        <w:gridCol w:w="847"/>
      </w:tblGrid>
      <w:tr w:rsidR="006A52B4" w:rsidRPr="006A52B4" w14:paraId="66B9B6B3" w14:textId="77777777" w:rsidTr="006A52B4">
        <w:trPr>
          <w:trHeight w:hRule="exact" w:val="20"/>
        </w:trPr>
        <w:tc>
          <w:tcPr>
            <w:tcW w:w="2183" w:type="pct"/>
            <w:tcBorders>
              <w:top w:val="nil"/>
              <w:left w:val="nil"/>
              <w:bottom w:val="single" w:sz="4" w:space="0" w:color="293F5B"/>
              <w:right w:val="nil"/>
            </w:tcBorders>
            <w:shd w:val="clear" w:color="000000" w:fill="FFFFFF"/>
            <w:noWrap/>
            <w:vAlign w:val="center"/>
            <w:hideMark/>
          </w:tcPr>
          <w:p w14:paraId="7CDBC3AB" w14:textId="35FD8599" w:rsidR="006A52B4" w:rsidRPr="006A52B4" w:rsidRDefault="006A52B4" w:rsidP="006A52B4">
            <w:pPr>
              <w:spacing w:before="0" w:after="0" w:line="240" w:lineRule="auto"/>
              <w:rPr>
                <w:rFonts w:ascii="Arial" w:hAnsi="Arial" w:cs="Arial"/>
                <w:b/>
                <w:bCs/>
                <w:color w:val="000000"/>
                <w:sz w:val="16"/>
                <w:szCs w:val="16"/>
              </w:rPr>
            </w:pPr>
            <w:r w:rsidRPr="006A52B4">
              <w:rPr>
                <w:rFonts w:ascii="Arial" w:hAnsi="Arial" w:cs="Arial"/>
                <w:b/>
                <w:bCs/>
                <w:color w:val="000000"/>
                <w:sz w:val="16"/>
                <w:szCs w:val="16"/>
              </w:rPr>
              <w:t> </w:t>
            </w:r>
          </w:p>
        </w:tc>
        <w:tc>
          <w:tcPr>
            <w:tcW w:w="68" w:type="pct"/>
            <w:tcBorders>
              <w:top w:val="nil"/>
              <w:left w:val="nil"/>
              <w:bottom w:val="single" w:sz="4" w:space="0" w:color="293F5B"/>
              <w:right w:val="nil"/>
            </w:tcBorders>
            <w:shd w:val="clear" w:color="000000" w:fill="FFFFFF"/>
            <w:noWrap/>
            <w:vAlign w:val="center"/>
            <w:hideMark/>
          </w:tcPr>
          <w:p w14:paraId="15EE6232" w14:textId="77777777" w:rsidR="006A52B4" w:rsidRPr="006A52B4" w:rsidRDefault="006A52B4" w:rsidP="006A52B4">
            <w:pPr>
              <w:spacing w:before="0" w:after="0" w:line="240" w:lineRule="auto"/>
              <w:rPr>
                <w:rFonts w:ascii="Arial" w:hAnsi="Arial" w:cs="Arial"/>
                <w:b/>
                <w:bCs/>
                <w:color w:val="000000"/>
                <w:sz w:val="16"/>
                <w:szCs w:val="16"/>
              </w:rPr>
            </w:pPr>
            <w:r w:rsidRPr="006A52B4">
              <w:rPr>
                <w:rFonts w:ascii="Arial" w:hAnsi="Arial" w:cs="Arial"/>
                <w:b/>
                <w:bCs/>
                <w:color w:val="000000"/>
                <w:sz w:val="16"/>
                <w:szCs w:val="16"/>
              </w:rPr>
              <w:t> </w:t>
            </w:r>
          </w:p>
        </w:tc>
        <w:tc>
          <w:tcPr>
            <w:tcW w:w="550" w:type="pct"/>
            <w:tcBorders>
              <w:top w:val="nil"/>
              <w:left w:val="nil"/>
              <w:bottom w:val="single" w:sz="4" w:space="0" w:color="293F5B"/>
              <w:right w:val="nil"/>
            </w:tcBorders>
            <w:shd w:val="clear" w:color="000000" w:fill="FFFFFF"/>
            <w:noWrap/>
            <w:vAlign w:val="center"/>
            <w:hideMark/>
          </w:tcPr>
          <w:p w14:paraId="7539E15E" w14:textId="77777777" w:rsidR="006A52B4" w:rsidRPr="006A52B4" w:rsidRDefault="006A52B4" w:rsidP="006A52B4">
            <w:pPr>
              <w:spacing w:before="0" w:after="0" w:line="240" w:lineRule="auto"/>
              <w:rPr>
                <w:rFonts w:ascii="Arial" w:hAnsi="Arial" w:cs="Arial"/>
                <w:color w:val="000000"/>
                <w:sz w:val="16"/>
                <w:szCs w:val="16"/>
              </w:rPr>
            </w:pPr>
            <w:r w:rsidRPr="006A52B4">
              <w:rPr>
                <w:rFonts w:ascii="Arial" w:hAnsi="Arial" w:cs="Arial"/>
                <w:color w:val="000000"/>
                <w:sz w:val="16"/>
                <w:szCs w:val="16"/>
              </w:rPr>
              <w:t> </w:t>
            </w:r>
          </w:p>
        </w:tc>
        <w:tc>
          <w:tcPr>
            <w:tcW w:w="550" w:type="pct"/>
            <w:tcBorders>
              <w:top w:val="nil"/>
              <w:left w:val="nil"/>
              <w:bottom w:val="single" w:sz="4" w:space="0" w:color="293F5B"/>
              <w:right w:val="nil"/>
            </w:tcBorders>
            <w:shd w:val="clear" w:color="000000" w:fill="FFFFFF"/>
            <w:noWrap/>
            <w:vAlign w:val="center"/>
            <w:hideMark/>
          </w:tcPr>
          <w:p w14:paraId="4887BEBF" w14:textId="77777777" w:rsidR="006A52B4" w:rsidRPr="006A52B4" w:rsidRDefault="006A52B4" w:rsidP="006A52B4">
            <w:pPr>
              <w:spacing w:before="0" w:after="0" w:line="240" w:lineRule="auto"/>
              <w:rPr>
                <w:rFonts w:ascii="Arial" w:hAnsi="Arial" w:cs="Arial"/>
                <w:color w:val="000000"/>
                <w:sz w:val="16"/>
                <w:szCs w:val="16"/>
              </w:rPr>
            </w:pPr>
            <w:r w:rsidRPr="006A52B4">
              <w:rPr>
                <w:rFonts w:ascii="Arial" w:hAnsi="Arial" w:cs="Arial"/>
                <w:color w:val="000000"/>
                <w:sz w:val="16"/>
                <w:szCs w:val="16"/>
              </w:rPr>
              <w:t> </w:t>
            </w:r>
          </w:p>
        </w:tc>
        <w:tc>
          <w:tcPr>
            <w:tcW w:w="550" w:type="pct"/>
            <w:tcBorders>
              <w:top w:val="nil"/>
              <w:left w:val="nil"/>
              <w:bottom w:val="single" w:sz="4" w:space="0" w:color="293F5B"/>
              <w:right w:val="nil"/>
            </w:tcBorders>
            <w:shd w:val="clear" w:color="000000" w:fill="FFFFFF"/>
            <w:noWrap/>
            <w:vAlign w:val="center"/>
            <w:hideMark/>
          </w:tcPr>
          <w:p w14:paraId="1AAD78EF" w14:textId="77777777" w:rsidR="006A52B4" w:rsidRPr="006A52B4" w:rsidRDefault="006A52B4" w:rsidP="006A52B4">
            <w:pPr>
              <w:spacing w:before="0" w:after="0" w:line="240" w:lineRule="auto"/>
              <w:rPr>
                <w:rFonts w:ascii="Arial" w:hAnsi="Arial" w:cs="Arial"/>
                <w:color w:val="000000"/>
                <w:sz w:val="16"/>
                <w:szCs w:val="16"/>
              </w:rPr>
            </w:pPr>
            <w:r w:rsidRPr="006A52B4">
              <w:rPr>
                <w:rFonts w:ascii="Arial" w:hAnsi="Arial" w:cs="Arial"/>
                <w:color w:val="000000"/>
                <w:sz w:val="16"/>
                <w:szCs w:val="16"/>
              </w:rPr>
              <w:t> </w:t>
            </w:r>
          </w:p>
        </w:tc>
        <w:tc>
          <w:tcPr>
            <w:tcW w:w="550" w:type="pct"/>
            <w:tcBorders>
              <w:top w:val="nil"/>
              <w:left w:val="nil"/>
              <w:bottom w:val="single" w:sz="4" w:space="0" w:color="293F5B"/>
              <w:right w:val="nil"/>
            </w:tcBorders>
            <w:shd w:val="clear" w:color="000000" w:fill="FFFFFF"/>
            <w:noWrap/>
            <w:vAlign w:val="center"/>
            <w:hideMark/>
          </w:tcPr>
          <w:p w14:paraId="0C05309C" w14:textId="77777777" w:rsidR="006A52B4" w:rsidRPr="006A52B4" w:rsidRDefault="006A52B4" w:rsidP="006A52B4">
            <w:pPr>
              <w:spacing w:before="0" w:after="0" w:line="240" w:lineRule="auto"/>
              <w:rPr>
                <w:rFonts w:ascii="Arial" w:hAnsi="Arial" w:cs="Arial"/>
                <w:color w:val="000000"/>
                <w:sz w:val="16"/>
                <w:szCs w:val="16"/>
              </w:rPr>
            </w:pPr>
            <w:r w:rsidRPr="006A52B4">
              <w:rPr>
                <w:rFonts w:ascii="Arial" w:hAnsi="Arial" w:cs="Arial"/>
                <w:color w:val="000000"/>
                <w:sz w:val="16"/>
                <w:szCs w:val="16"/>
              </w:rPr>
              <w:t> </w:t>
            </w:r>
          </w:p>
        </w:tc>
        <w:tc>
          <w:tcPr>
            <w:tcW w:w="550" w:type="pct"/>
            <w:tcBorders>
              <w:top w:val="nil"/>
              <w:left w:val="nil"/>
              <w:bottom w:val="single" w:sz="4" w:space="0" w:color="293F5B"/>
              <w:right w:val="nil"/>
            </w:tcBorders>
            <w:shd w:val="clear" w:color="000000" w:fill="FFFFFF"/>
            <w:noWrap/>
            <w:vAlign w:val="center"/>
            <w:hideMark/>
          </w:tcPr>
          <w:p w14:paraId="3E268499" w14:textId="77777777" w:rsidR="006A52B4" w:rsidRPr="006A52B4" w:rsidRDefault="006A52B4" w:rsidP="006A52B4">
            <w:pPr>
              <w:spacing w:before="0" w:after="0" w:line="240" w:lineRule="auto"/>
              <w:rPr>
                <w:rFonts w:ascii="Arial" w:hAnsi="Arial" w:cs="Arial"/>
                <w:color w:val="000000"/>
                <w:sz w:val="16"/>
                <w:szCs w:val="16"/>
              </w:rPr>
            </w:pPr>
            <w:r w:rsidRPr="006A52B4">
              <w:rPr>
                <w:rFonts w:ascii="Arial" w:hAnsi="Arial" w:cs="Arial"/>
                <w:color w:val="000000"/>
                <w:sz w:val="16"/>
                <w:szCs w:val="16"/>
              </w:rPr>
              <w:t> </w:t>
            </w:r>
          </w:p>
        </w:tc>
      </w:tr>
      <w:tr w:rsidR="006A52B4" w:rsidRPr="006A52B4" w14:paraId="5A4F8570" w14:textId="77777777" w:rsidTr="00374F75">
        <w:trPr>
          <w:trHeight w:hRule="exact" w:val="226"/>
        </w:trPr>
        <w:tc>
          <w:tcPr>
            <w:tcW w:w="2183" w:type="pct"/>
            <w:tcBorders>
              <w:top w:val="nil"/>
              <w:left w:val="nil"/>
              <w:bottom w:val="nil"/>
              <w:right w:val="nil"/>
            </w:tcBorders>
            <w:shd w:val="clear" w:color="000000" w:fill="FFFFFF"/>
            <w:noWrap/>
            <w:vAlign w:val="center"/>
            <w:hideMark/>
          </w:tcPr>
          <w:p w14:paraId="7DA2D80D" w14:textId="77777777" w:rsidR="006A52B4" w:rsidRPr="006A52B4" w:rsidRDefault="006A52B4" w:rsidP="006A52B4">
            <w:pPr>
              <w:spacing w:before="0" w:after="0" w:line="240" w:lineRule="auto"/>
              <w:rPr>
                <w:rFonts w:ascii="Arial" w:hAnsi="Arial" w:cs="Arial"/>
                <w:b/>
                <w:bCs/>
                <w:color w:val="000000"/>
                <w:sz w:val="16"/>
                <w:szCs w:val="16"/>
              </w:rPr>
            </w:pPr>
            <w:r w:rsidRPr="006A52B4">
              <w:rPr>
                <w:rFonts w:ascii="Arial" w:hAnsi="Arial" w:cs="Arial"/>
                <w:b/>
                <w:bCs/>
                <w:color w:val="000000"/>
                <w:sz w:val="16"/>
                <w:szCs w:val="16"/>
              </w:rPr>
              <w:t>Component(a)</w:t>
            </w:r>
          </w:p>
        </w:tc>
        <w:tc>
          <w:tcPr>
            <w:tcW w:w="68" w:type="pct"/>
            <w:tcBorders>
              <w:top w:val="nil"/>
              <w:left w:val="nil"/>
              <w:bottom w:val="nil"/>
              <w:right w:val="nil"/>
            </w:tcBorders>
            <w:shd w:val="clear" w:color="000000" w:fill="FFFFFF"/>
            <w:noWrap/>
            <w:vAlign w:val="center"/>
            <w:hideMark/>
          </w:tcPr>
          <w:p w14:paraId="6B47618E" w14:textId="77777777" w:rsidR="006A52B4" w:rsidRPr="006A52B4" w:rsidRDefault="006A52B4" w:rsidP="006A52B4">
            <w:pPr>
              <w:spacing w:before="0" w:after="0" w:line="240" w:lineRule="auto"/>
              <w:rPr>
                <w:rFonts w:ascii="Arial" w:hAnsi="Arial" w:cs="Arial"/>
                <w:color w:val="000000"/>
                <w:sz w:val="16"/>
                <w:szCs w:val="16"/>
              </w:rPr>
            </w:pPr>
            <w:r w:rsidRPr="006A52B4">
              <w:rPr>
                <w:rFonts w:ascii="Arial" w:hAnsi="Arial" w:cs="Arial"/>
                <w:color w:val="000000"/>
                <w:sz w:val="16"/>
                <w:szCs w:val="16"/>
              </w:rPr>
              <w:t> </w:t>
            </w:r>
          </w:p>
        </w:tc>
        <w:tc>
          <w:tcPr>
            <w:tcW w:w="2748" w:type="pct"/>
            <w:gridSpan w:val="5"/>
            <w:tcBorders>
              <w:top w:val="single" w:sz="4" w:space="0" w:color="293F5B"/>
              <w:left w:val="nil"/>
              <w:bottom w:val="single" w:sz="4" w:space="0" w:color="293F5B"/>
              <w:right w:val="nil"/>
            </w:tcBorders>
            <w:shd w:val="clear" w:color="000000" w:fill="FFFFFF"/>
            <w:noWrap/>
            <w:vAlign w:val="center"/>
            <w:hideMark/>
          </w:tcPr>
          <w:p w14:paraId="2C768816" w14:textId="77777777" w:rsidR="006A52B4" w:rsidRPr="006A52B4" w:rsidRDefault="006A52B4" w:rsidP="006A52B4">
            <w:pPr>
              <w:spacing w:before="0" w:after="0" w:line="240" w:lineRule="auto"/>
              <w:jc w:val="center"/>
              <w:rPr>
                <w:rFonts w:ascii="Arial" w:hAnsi="Arial" w:cs="Arial"/>
                <w:color w:val="000000"/>
                <w:sz w:val="16"/>
                <w:szCs w:val="16"/>
              </w:rPr>
            </w:pPr>
            <w:r w:rsidRPr="006A52B4">
              <w:rPr>
                <w:rFonts w:ascii="Arial" w:hAnsi="Arial" w:cs="Arial"/>
                <w:color w:val="000000"/>
                <w:sz w:val="16"/>
                <w:szCs w:val="16"/>
              </w:rPr>
              <w:t>Estimates</w:t>
            </w:r>
          </w:p>
        </w:tc>
      </w:tr>
      <w:tr w:rsidR="006A52B4" w:rsidRPr="006A52B4" w14:paraId="4B272606" w14:textId="77777777" w:rsidTr="006A52B4">
        <w:trPr>
          <w:trHeight w:hRule="exact" w:val="226"/>
        </w:trPr>
        <w:tc>
          <w:tcPr>
            <w:tcW w:w="2183" w:type="pct"/>
            <w:tcBorders>
              <w:top w:val="nil"/>
              <w:left w:val="nil"/>
              <w:bottom w:val="nil"/>
              <w:right w:val="nil"/>
            </w:tcBorders>
            <w:shd w:val="clear" w:color="000000" w:fill="FFFFFF"/>
            <w:noWrap/>
            <w:vAlign w:val="bottom"/>
            <w:hideMark/>
          </w:tcPr>
          <w:p w14:paraId="37BF0489" w14:textId="77777777" w:rsidR="006A52B4" w:rsidRPr="006A52B4" w:rsidRDefault="006A52B4" w:rsidP="006A52B4">
            <w:pPr>
              <w:spacing w:before="0" w:after="0" w:line="240" w:lineRule="auto"/>
              <w:rPr>
                <w:rFonts w:ascii="Arial" w:hAnsi="Arial" w:cs="Arial"/>
                <w:color w:val="000000"/>
                <w:sz w:val="16"/>
                <w:szCs w:val="16"/>
              </w:rPr>
            </w:pPr>
            <w:r w:rsidRPr="006A52B4">
              <w:rPr>
                <w:rFonts w:ascii="Arial" w:hAnsi="Arial" w:cs="Arial"/>
                <w:color w:val="000000"/>
                <w:sz w:val="16"/>
                <w:szCs w:val="16"/>
              </w:rPr>
              <w:t> </w:t>
            </w:r>
          </w:p>
        </w:tc>
        <w:tc>
          <w:tcPr>
            <w:tcW w:w="68" w:type="pct"/>
            <w:tcBorders>
              <w:top w:val="nil"/>
              <w:left w:val="nil"/>
              <w:bottom w:val="nil"/>
              <w:right w:val="nil"/>
            </w:tcBorders>
            <w:shd w:val="clear" w:color="000000" w:fill="FFFFFF"/>
            <w:noWrap/>
            <w:vAlign w:val="center"/>
            <w:hideMark/>
          </w:tcPr>
          <w:p w14:paraId="361DD65C" w14:textId="77777777" w:rsidR="006A52B4" w:rsidRPr="006A52B4" w:rsidRDefault="006A52B4" w:rsidP="006A52B4">
            <w:pPr>
              <w:spacing w:before="0" w:after="0" w:line="240" w:lineRule="auto"/>
              <w:jc w:val="right"/>
              <w:rPr>
                <w:rFonts w:ascii="Arial" w:hAnsi="Arial" w:cs="Arial"/>
                <w:sz w:val="16"/>
                <w:szCs w:val="16"/>
              </w:rPr>
            </w:pPr>
            <w:r w:rsidRPr="006A52B4">
              <w:rPr>
                <w:rFonts w:ascii="Arial" w:hAnsi="Arial" w:cs="Arial"/>
                <w:sz w:val="16"/>
                <w:szCs w:val="16"/>
              </w:rPr>
              <w:t> </w:t>
            </w:r>
          </w:p>
        </w:tc>
        <w:tc>
          <w:tcPr>
            <w:tcW w:w="550" w:type="pct"/>
            <w:tcBorders>
              <w:top w:val="single" w:sz="4" w:space="0" w:color="293F5B"/>
              <w:left w:val="nil"/>
              <w:bottom w:val="nil"/>
              <w:right w:val="nil"/>
            </w:tcBorders>
            <w:shd w:val="clear" w:color="000000" w:fill="FFFFFF"/>
            <w:noWrap/>
            <w:vAlign w:val="center"/>
            <w:hideMark/>
          </w:tcPr>
          <w:p w14:paraId="31B5520D" w14:textId="061E32E1" w:rsidR="006A52B4" w:rsidRPr="006A52B4" w:rsidRDefault="006A52B4" w:rsidP="006A52B4">
            <w:pPr>
              <w:spacing w:before="0" w:after="0" w:line="240" w:lineRule="auto"/>
              <w:jc w:val="right"/>
              <w:rPr>
                <w:rFonts w:ascii="Arial" w:hAnsi="Arial" w:cs="Arial"/>
                <w:sz w:val="16"/>
                <w:szCs w:val="16"/>
              </w:rPr>
            </w:pPr>
            <w:r w:rsidRPr="006A52B4">
              <w:rPr>
                <w:rFonts w:ascii="Arial" w:hAnsi="Arial" w:cs="Arial"/>
                <w:sz w:val="16"/>
                <w:szCs w:val="16"/>
              </w:rPr>
              <w:t>2023</w:t>
            </w:r>
            <w:r w:rsidR="008D4F6B">
              <w:rPr>
                <w:rFonts w:ascii="Arial" w:hAnsi="Arial" w:cs="Arial"/>
                <w:sz w:val="16"/>
                <w:szCs w:val="16"/>
              </w:rPr>
              <w:noBreakHyphen/>
            </w:r>
            <w:r w:rsidRPr="006A52B4">
              <w:rPr>
                <w:rFonts w:ascii="Arial" w:hAnsi="Arial" w:cs="Arial"/>
                <w:sz w:val="16"/>
                <w:szCs w:val="16"/>
              </w:rPr>
              <w:t>24</w:t>
            </w:r>
          </w:p>
        </w:tc>
        <w:tc>
          <w:tcPr>
            <w:tcW w:w="550" w:type="pct"/>
            <w:tcBorders>
              <w:top w:val="single" w:sz="4" w:space="0" w:color="293F5B"/>
              <w:left w:val="nil"/>
              <w:bottom w:val="nil"/>
              <w:right w:val="nil"/>
            </w:tcBorders>
            <w:shd w:val="clear" w:color="000000" w:fill="E6F2FF"/>
            <w:noWrap/>
            <w:vAlign w:val="center"/>
            <w:hideMark/>
          </w:tcPr>
          <w:p w14:paraId="14199345" w14:textId="47225D41" w:rsidR="006A52B4" w:rsidRPr="006A52B4" w:rsidRDefault="006A52B4" w:rsidP="006A52B4">
            <w:pPr>
              <w:spacing w:before="0" w:after="0" w:line="240" w:lineRule="auto"/>
              <w:jc w:val="right"/>
              <w:rPr>
                <w:rFonts w:ascii="Arial" w:hAnsi="Arial" w:cs="Arial"/>
                <w:sz w:val="16"/>
                <w:szCs w:val="16"/>
              </w:rPr>
            </w:pPr>
            <w:r w:rsidRPr="006A52B4">
              <w:rPr>
                <w:rFonts w:ascii="Arial" w:hAnsi="Arial" w:cs="Arial"/>
                <w:sz w:val="16"/>
                <w:szCs w:val="16"/>
              </w:rPr>
              <w:t>2024</w:t>
            </w:r>
            <w:r w:rsidR="008D4F6B">
              <w:rPr>
                <w:rFonts w:ascii="Arial" w:hAnsi="Arial" w:cs="Arial"/>
                <w:sz w:val="16"/>
                <w:szCs w:val="16"/>
              </w:rPr>
              <w:noBreakHyphen/>
            </w:r>
            <w:r w:rsidRPr="006A52B4">
              <w:rPr>
                <w:rFonts w:ascii="Arial" w:hAnsi="Arial" w:cs="Arial"/>
                <w:sz w:val="16"/>
                <w:szCs w:val="16"/>
              </w:rPr>
              <w:t>25</w:t>
            </w:r>
          </w:p>
        </w:tc>
        <w:tc>
          <w:tcPr>
            <w:tcW w:w="550" w:type="pct"/>
            <w:tcBorders>
              <w:top w:val="single" w:sz="4" w:space="0" w:color="293F5B"/>
              <w:left w:val="nil"/>
              <w:bottom w:val="nil"/>
              <w:right w:val="nil"/>
            </w:tcBorders>
            <w:shd w:val="clear" w:color="000000" w:fill="FFFFFF"/>
            <w:noWrap/>
            <w:vAlign w:val="center"/>
            <w:hideMark/>
          </w:tcPr>
          <w:p w14:paraId="343369AD" w14:textId="67A91C16" w:rsidR="006A52B4" w:rsidRPr="006A52B4" w:rsidRDefault="006A52B4" w:rsidP="006A52B4">
            <w:pPr>
              <w:spacing w:before="0" w:after="0" w:line="240" w:lineRule="auto"/>
              <w:jc w:val="right"/>
              <w:rPr>
                <w:rFonts w:ascii="Arial" w:hAnsi="Arial" w:cs="Arial"/>
                <w:sz w:val="16"/>
                <w:szCs w:val="16"/>
              </w:rPr>
            </w:pPr>
            <w:r w:rsidRPr="006A52B4">
              <w:rPr>
                <w:rFonts w:ascii="Arial" w:hAnsi="Arial" w:cs="Arial"/>
                <w:sz w:val="16"/>
                <w:szCs w:val="16"/>
              </w:rPr>
              <w:t>2025</w:t>
            </w:r>
            <w:r w:rsidR="008D4F6B">
              <w:rPr>
                <w:rFonts w:ascii="Arial" w:hAnsi="Arial" w:cs="Arial"/>
                <w:sz w:val="16"/>
                <w:szCs w:val="16"/>
              </w:rPr>
              <w:noBreakHyphen/>
            </w:r>
            <w:r w:rsidRPr="006A52B4">
              <w:rPr>
                <w:rFonts w:ascii="Arial" w:hAnsi="Arial" w:cs="Arial"/>
                <w:sz w:val="16"/>
                <w:szCs w:val="16"/>
              </w:rPr>
              <w:t>26</w:t>
            </w:r>
          </w:p>
        </w:tc>
        <w:tc>
          <w:tcPr>
            <w:tcW w:w="550" w:type="pct"/>
            <w:tcBorders>
              <w:top w:val="single" w:sz="4" w:space="0" w:color="293F5B"/>
              <w:left w:val="nil"/>
              <w:bottom w:val="nil"/>
              <w:right w:val="nil"/>
            </w:tcBorders>
            <w:shd w:val="clear" w:color="000000" w:fill="FFFFFF"/>
            <w:noWrap/>
            <w:vAlign w:val="center"/>
            <w:hideMark/>
          </w:tcPr>
          <w:p w14:paraId="3369E0C0" w14:textId="7BF1B0E3" w:rsidR="006A52B4" w:rsidRPr="006A52B4" w:rsidRDefault="006A52B4" w:rsidP="006A52B4">
            <w:pPr>
              <w:spacing w:before="0" w:after="0" w:line="240" w:lineRule="auto"/>
              <w:jc w:val="right"/>
              <w:rPr>
                <w:rFonts w:ascii="Arial" w:hAnsi="Arial" w:cs="Arial"/>
                <w:sz w:val="16"/>
                <w:szCs w:val="16"/>
              </w:rPr>
            </w:pPr>
            <w:r w:rsidRPr="006A52B4">
              <w:rPr>
                <w:rFonts w:ascii="Arial" w:hAnsi="Arial" w:cs="Arial"/>
                <w:sz w:val="16"/>
                <w:szCs w:val="16"/>
              </w:rPr>
              <w:t>2026</w:t>
            </w:r>
            <w:r w:rsidR="008D4F6B">
              <w:rPr>
                <w:rFonts w:ascii="Arial" w:hAnsi="Arial" w:cs="Arial"/>
                <w:sz w:val="16"/>
                <w:szCs w:val="16"/>
              </w:rPr>
              <w:noBreakHyphen/>
            </w:r>
            <w:r w:rsidRPr="006A52B4">
              <w:rPr>
                <w:rFonts w:ascii="Arial" w:hAnsi="Arial" w:cs="Arial"/>
                <w:sz w:val="16"/>
                <w:szCs w:val="16"/>
              </w:rPr>
              <w:t>27</w:t>
            </w:r>
          </w:p>
        </w:tc>
        <w:tc>
          <w:tcPr>
            <w:tcW w:w="550" w:type="pct"/>
            <w:tcBorders>
              <w:top w:val="single" w:sz="4" w:space="0" w:color="293F5B"/>
              <w:left w:val="nil"/>
              <w:bottom w:val="nil"/>
              <w:right w:val="nil"/>
            </w:tcBorders>
            <w:shd w:val="clear" w:color="000000" w:fill="FFFFFF"/>
            <w:noWrap/>
            <w:vAlign w:val="center"/>
            <w:hideMark/>
          </w:tcPr>
          <w:p w14:paraId="7FDFE37D" w14:textId="02B1B676" w:rsidR="006A52B4" w:rsidRPr="006A52B4" w:rsidRDefault="006A52B4" w:rsidP="006A52B4">
            <w:pPr>
              <w:spacing w:before="0" w:after="0" w:line="240" w:lineRule="auto"/>
              <w:jc w:val="right"/>
              <w:rPr>
                <w:rFonts w:ascii="Arial" w:hAnsi="Arial" w:cs="Arial"/>
                <w:color w:val="000000"/>
                <w:sz w:val="16"/>
                <w:szCs w:val="16"/>
              </w:rPr>
            </w:pPr>
            <w:r w:rsidRPr="006A52B4">
              <w:rPr>
                <w:rFonts w:ascii="Arial" w:hAnsi="Arial" w:cs="Arial"/>
                <w:color w:val="000000"/>
                <w:sz w:val="16"/>
                <w:szCs w:val="16"/>
              </w:rPr>
              <w:t>2027</w:t>
            </w:r>
            <w:r w:rsidR="008D4F6B">
              <w:rPr>
                <w:rFonts w:ascii="Arial" w:hAnsi="Arial" w:cs="Arial"/>
                <w:color w:val="000000"/>
                <w:sz w:val="16"/>
                <w:szCs w:val="16"/>
              </w:rPr>
              <w:noBreakHyphen/>
            </w:r>
            <w:r w:rsidRPr="006A52B4">
              <w:rPr>
                <w:rFonts w:ascii="Arial" w:hAnsi="Arial" w:cs="Arial"/>
                <w:color w:val="000000"/>
                <w:sz w:val="16"/>
                <w:szCs w:val="16"/>
              </w:rPr>
              <w:t>28</w:t>
            </w:r>
          </w:p>
        </w:tc>
      </w:tr>
      <w:tr w:rsidR="006A52B4" w:rsidRPr="006A52B4" w14:paraId="2E13FB84" w14:textId="77777777" w:rsidTr="006A52B4">
        <w:trPr>
          <w:trHeight w:hRule="exact" w:val="226"/>
        </w:trPr>
        <w:tc>
          <w:tcPr>
            <w:tcW w:w="2183" w:type="pct"/>
            <w:tcBorders>
              <w:top w:val="nil"/>
              <w:left w:val="nil"/>
              <w:bottom w:val="nil"/>
              <w:right w:val="nil"/>
            </w:tcBorders>
            <w:shd w:val="clear" w:color="000000" w:fill="FFFFFF"/>
            <w:noWrap/>
            <w:vAlign w:val="center"/>
            <w:hideMark/>
          </w:tcPr>
          <w:p w14:paraId="37EA9882" w14:textId="77777777" w:rsidR="006A52B4" w:rsidRPr="006A52B4" w:rsidRDefault="006A52B4" w:rsidP="006A52B4">
            <w:pPr>
              <w:spacing w:before="0" w:after="0" w:line="240" w:lineRule="auto"/>
              <w:rPr>
                <w:rFonts w:ascii="Arial" w:hAnsi="Arial" w:cs="Arial"/>
                <w:color w:val="000000"/>
                <w:sz w:val="16"/>
                <w:szCs w:val="16"/>
              </w:rPr>
            </w:pPr>
            <w:r w:rsidRPr="006A52B4">
              <w:rPr>
                <w:rFonts w:ascii="Arial" w:hAnsi="Arial" w:cs="Arial"/>
                <w:color w:val="000000"/>
                <w:sz w:val="16"/>
                <w:szCs w:val="16"/>
              </w:rPr>
              <w:t> </w:t>
            </w:r>
          </w:p>
        </w:tc>
        <w:tc>
          <w:tcPr>
            <w:tcW w:w="68" w:type="pct"/>
            <w:tcBorders>
              <w:top w:val="nil"/>
              <w:left w:val="nil"/>
              <w:bottom w:val="nil"/>
              <w:right w:val="nil"/>
            </w:tcBorders>
            <w:shd w:val="clear" w:color="000000" w:fill="FFFFFF"/>
            <w:noWrap/>
            <w:vAlign w:val="center"/>
            <w:hideMark/>
          </w:tcPr>
          <w:p w14:paraId="3DE99562" w14:textId="77777777" w:rsidR="006A52B4" w:rsidRPr="006A52B4" w:rsidRDefault="006A52B4" w:rsidP="006A52B4">
            <w:pPr>
              <w:spacing w:before="0" w:after="0" w:line="240" w:lineRule="auto"/>
              <w:jc w:val="right"/>
              <w:rPr>
                <w:rFonts w:ascii="Arial" w:hAnsi="Arial" w:cs="Arial"/>
                <w:color w:val="000000"/>
                <w:sz w:val="16"/>
                <w:szCs w:val="16"/>
              </w:rPr>
            </w:pPr>
            <w:r w:rsidRPr="006A52B4">
              <w:rPr>
                <w:rFonts w:ascii="Arial" w:hAnsi="Arial" w:cs="Arial"/>
                <w:color w:val="000000"/>
                <w:sz w:val="16"/>
                <w:szCs w:val="16"/>
              </w:rPr>
              <w:t> </w:t>
            </w:r>
          </w:p>
        </w:tc>
        <w:tc>
          <w:tcPr>
            <w:tcW w:w="550" w:type="pct"/>
            <w:tcBorders>
              <w:top w:val="nil"/>
              <w:left w:val="nil"/>
              <w:bottom w:val="single" w:sz="4" w:space="0" w:color="293F5B"/>
              <w:right w:val="nil"/>
            </w:tcBorders>
            <w:shd w:val="clear" w:color="000000" w:fill="FFFFFF"/>
            <w:noWrap/>
            <w:vAlign w:val="center"/>
            <w:hideMark/>
          </w:tcPr>
          <w:p w14:paraId="4514A87E" w14:textId="77777777" w:rsidR="006A52B4" w:rsidRPr="006A52B4" w:rsidRDefault="006A52B4" w:rsidP="006A52B4">
            <w:pPr>
              <w:spacing w:before="0" w:after="0" w:line="240" w:lineRule="auto"/>
              <w:jc w:val="right"/>
              <w:rPr>
                <w:rFonts w:ascii="Arial" w:hAnsi="Arial" w:cs="Arial"/>
                <w:color w:val="000000"/>
                <w:sz w:val="16"/>
                <w:szCs w:val="16"/>
              </w:rPr>
            </w:pPr>
            <w:r w:rsidRPr="006A52B4">
              <w:rPr>
                <w:rFonts w:ascii="Arial" w:hAnsi="Arial" w:cs="Arial"/>
                <w:color w:val="000000"/>
                <w:sz w:val="16"/>
                <w:szCs w:val="16"/>
              </w:rPr>
              <w:t>$m</w:t>
            </w:r>
          </w:p>
        </w:tc>
        <w:tc>
          <w:tcPr>
            <w:tcW w:w="550" w:type="pct"/>
            <w:tcBorders>
              <w:top w:val="nil"/>
              <w:left w:val="nil"/>
              <w:bottom w:val="single" w:sz="4" w:space="0" w:color="293F5B"/>
              <w:right w:val="nil"/>
            </w:tcBorders>
            <w:shd w:val="clear" w:color="000000" w:fill="E6F2FF"/>
            <w:noWrap/>
            <w:vAlign w:val="center"/>
            <w:hideMark/>
          </w:tcPr>
          <w:p w14:paraId="4490C616" w14:textId="77777777" w:rsidR="006A52B4" w:rsidRPr="006A52B4" w:rsidRDefault="006A52B4" w:rsidP="006A52B4">
            <w:pPr>
              <w:spacing w:before="0" w:after="0" w:line="240" w:lineRule="auto"/>
              <w:jc w:val="right"/>
              <w:rPr>
                <w:rFonts w:ascii="Arial" w:hAnsi="Arial" w:cs="Arial"/>
                <w:color w:val="000000"/>
                <w:sz w:val="16"/>
                <w:szCs w:val="16"/>
              </w:rPr>
            </w:pPr>
            <w:r w:rsidRPr="006A52B4">
              <w:rPr>
                <w:rFonts w:ascii="Arial" w:hAnsi="Arial" w:cs="Arial"/>
                <w:color w:val="000000"/>
                <w:sz w:val="16"/>
                <w:szCs w:val="16"/>
              </w:rPr>
              <w:t>$m</w:t>
            </w:r>
          </w:p>
        </w:tc>
        <w:tc>
          <w:tcPr>
            <w:tcW w:w="550" w:type="pct"/>
            <w:tcBorders>
              <w:top w:val="nil"/>
              <w:left w:val="nil"/>
              <w:bottom w:val="single" w:sz="4" w:space="0" w:color="293F5B"/>
              <w:right w:val="nil"/>
            </w:tcBorders>
            <w:shd w:val="clear" w:color="000000" w:fill="FFFFFF"/>
            <w:noWrap/>
            <w:vAlign w:val="center"/>
            <w:hideMark/>
          </w:tcPr>
          <w:p w14:paraId="010C0B72" w14:textId="77777777" w:rsidR="006A52B4" w:rsidRPr="006A52B4" w:rsidRDefault="006A52B4" w:rsidP="006A52B4">
            <w:pPr>
              <w:spacing w:before="0" w:after="0" w:line="240" w:lineRule="auto"/>
              <w:jc w:val="right"/>
              <w:rPr>
                <w:rFonts w:ascii="Arial" w:hAnsi="Arial" w:cs="Arial"/>
                <w:color w:val="000000"/>
                <w:sz w:val="16"/>
                <w:szCs w:val="16"/>
              </w:rPr>
            </w:pPr>
            <w:r w:rsidRPr="006A52B4">
              <w:rPr>
                <w:rFonts w:ascii="Arial" w:hAnsi="Arial" w:cs="Arial"/>
                <w:color w:val="000000"/>
                <w:sz w:val="16"/>
                <w:szCs w:val="16"/>
              </w:rPr>
              <w:t>$m</w:t>
            </w:r>
          </w:p>
        </w:tc>
        <w:tc>
          <w:tcPr>
            <w:tcW w:w="550" w:type="pct"/>
            <w:tcBorders>
              <w:top w:val="nil"/>
              <w:left w:val="nil"/>
              <w:bottom w:val="single" w:sz="4" w:space="0" w:color="293F5B"/>
              <w:right w:val="nil"/>
            </w:tcBorders>
            <w:shd w:val="clear" w:color="000000" w:fill="FFFFFF"/>
            <w:noWrap/>
            <w:vAlign w:val="center"/>
            <w:hideMark/>
          </w:tcPr>
          <w:p w14:paraId="461FB289" w14:textId="77777777" w:rsidR="006A52B4" w:rsidRPr="006A52B4" w:rsidRDefault="006A52B4" w:rsidP="006A52B4">
            <w:pPr>
              <w:spacing w:before="0" w:after="0" w:line="240" w:lineRule="auto"/>
              <w:jc w:val="right"/>
              <w:rPr>
                <w:rFonts w:ascii="Arial" w:hAnsi="Arial" w:cs="Arial"/>
                <w:color w:val="000000"/>
                <w:sz w:val="16"/>
                <w:szCs w:val="16"/>
              </w:rPr>
            </w:pPr>
            <w:r w:rsidRPr="006A52B4">
              <w:rPr>
                <w:rFonts w:ascii="Arial" w:hAnsi="Arial" w:cs="Arial"/>
                <w:color w:val="000000"/>
                <w:sz w:val="16"/>
                <w:szCs w:val="16"/>
              </w:rPr>
              <w:t>$m</w:t>
            </w:r>
          </w:p>
        </w:tc>
        <w:tc>
          <w:tcPr>
            <w:tcW w:w="550" w:type="pct"/>
            <w:tcBorders>
              <w:top w:val="nil"/>
              <w:left w:val="nil"/>
              <w:bottom w:val="single" w:sz="4" w:space="0" w:color="293F5B"/>
              <w:right w:val="nil"/>
            </w:tcBorders>
            <w:shd w:val="clear" w:color="000000" w:fill="FFFFFF"/>
            <w:noWrap/>
            <w:vAlign w:val="center"/>
            <w:hideMark/>
          </w:tcPr>
          <w:p w14:paraId="49110C5C" w14:textId="77777777" w:rsidR="006A52B4" w:rsidRPr="006A52B4" w:rsidRDefault="006A52B4" w:rsidP="006A52B4">
            <w:pPr>
              <w:spacing w:before="0" w:after="0" w:line="240" w:lineRule="auto"/>
              <w:jc w:val="right"/>
              <w:rPr>
                <w:rFonts w:ascii="Arial" w:hAnsi="Arial" w:cs="Arial"/>
                <w:color w:val="000000"/>
                <w:sz w:val="16"/>
                <w:szCs w:val="16"/>
              </w:rPr>
            </w:pPr>
            <w:r w:rsidRPr="006A52B4">
              <w:rPr>
                <w:rFonts w:ascii="Arial" w:hAnsi="Arial" w:cs="Arial"/>
                <w:color w:val="000000"/>
                <w:sz w:val="16"/>
                <w:szCs w:val="16"/>
              </w:rPr>
              <w:t>$m</w:t>
            </w:r>
          </w:p>
        </w:tc>
      </w:tr>
      <w:tr w:rsidR="006A52B4" w:rsidRPr="006A52B4" w14:paraId="6E66A268" w14:textId="77777777" w:rsidTr="006A52B4">
        <w:trPr>
          <w:trHeight w:hRule="exact" w:val="226"/>
        </w:trPr>
        <w:tc>
          <w:tcPr>
            <w:tcW w:w="2183" w:type="pct"/>
            <w:tcBorders>
              <w:top w:val="nil"/>
              <w:left w:val="nil"/>
              <w:bottom w:val="nil"/>
              <w:right w:val="nil"/>
            </w:tcBorders>
            <w:shd w:val="clear" w:color="000000" w:fill="FFFFFF"/>
            <w:noWrap/>
            <w:vAlign w:val="center"/>
            <w:hideMark/>
          </w:tcPr>
          <w:p w14:paraId="4FA4C57A" w14:textId="77777777" w:rsidR="006A52B4" w:rsidRPr="006A52B4" w:rsidRDefault="006A52B4" w:rsidP="006A52B4">
            <w:pPr>
              <w:spacing w:before="0" w:after="0" w:line="240" w:lineRule="auto"/>
              <w:rPr>
                <w:rFonts w:ascii="Arial" w:hAnsi="Arial" w:cs="Arial"/>
                <w:color w:val="000000"/>
                <w:sz w:val="16"/>
                <w:szCs w:val="16"/>
              </w:rPr>
            </w:pPr>
            <w:r w:rsidRPr="006A52B4">
              <w:rPr>
                <w:rFonts w:ascii="Arial" w:hAnsi="Arial" w:cs="Arial"/>
                <w:color w:val="000000"/>
                <w:sz w:val="16"/>
                <w:szCs w:val="16"/>
              </w:rPr>
              <w:t>Policing and law enforcement</w:t>
            </w:r>
          </w:p>
        </w:tc>
        <w:tc>
          <w:tcPr>
            <w:tcW w:w="68" w:type="pct"/>
            <w:tcBorders>
              <w:top w:val="nil"/>
              <w:left w:val="nil"/>
              <w:bottom w:val="nil"/>
              <w:right w:val="nil"/>
            </w:tcBorders>
            <w:shd w:val="clear" w:color="000000" w:fill="FFFFFF"/>
            <w:noWrap/>
            <w:vAlign w:val="center"/>
            <w:hideMark/>
          </w:tcPr>
          <w:p w14:paraId="7F38C0F1" w14:textId="77777777" w:rsidR="006A52B4" w:rsidRPr="006A52B4" w:rsidRDefault="006A52B4" w:rsidP="006A52B4">
            <w:pPr>
              <w:spacing w:before="0" w:after="0" w:line="240" w:lineRule="auto"/>
              <w:rPr>
                <w:rFonts w:ascii="Arial" w:hAnsi="Arial" w:cs="Arial"/>
                <w:color w:val="000000"/>
                <w:sz w:val="16"/>
                <w:szCs w:val="16"/>
              </w:rPr>
            </w:pPr>
            <w:r w:rsidRPr="006A52B4">
              <w:rPr>
                <w:rFonts w:ascii="Arial" w:hAnsi="Arial" w:cs="Arial"/>
                <w:color w:val="000000"/>
                <w:sz w:val="16"/>
                <w:szCs w:val="16"/>
              </w:rPr>
              <w:t> </w:t>
            </w:r>
          </w:p>
        </w:tc>
        <w:tc>
          <w:tcPr>
            <w:tcW w:w="550" w:type="pct"/>
            <w:tcBorders>
              <w:top w:val="nil"/>
              <w:left w:val="nil"/>
              <w:bottom w:val="nil"/>
              <w:right w:val="nil"/>
            </w:tcBorders>
            <w:shd w:val="clear" w:color="000000" w:fill="FFFFFF"/>
            <w:noWrap/>
            <w:vAlign w:val="center"/>
            <w:hideMark/>
          </w:tcPr>
          <w:p w14:paraId="3F4EE5C5" w14:textId="77777777" w:rsidR="006A52B4" w:rsidRPr="006A52B4" w:rsidRDefault="006A52B4" w:rsidP="006A52B4">
            <w:pPr>
              <w:spacing w:before="0" w:after="0" w:line="240" w:lineRule="auto"/>
              <w:jc w:val="right"/>
              <w:rPr>
                <w:rFonts w:ascii="Arial" w:hAnsi="Arial" w:cs="Arial"/>
                <w:color w:val="000000"/>
                <w:sz w:val="16"/>
                <w:szCs w:val="16"/>
              </w:rPr>
            </w:pPr>
            <w:r w:rsidRPr="006A52B4">
              <w:rPr>
                <w:rFonts w:ascii="Arial" w:hAnsi="Arial" w:cs="Arial"/>
                <w:color w:val="000000"/>
                <w:sz w:val="16"/>
                <w:szCs w:val="16"/>
              </w:rPr>
              <w:t>4,370</w:t>
            </w:r>
          </w:p>
        </w:tc>
        <w:tc>
          <w:tcPr>
            <w:tcW w:w="550" w:type="pct"/>
            <w:tcBorders>
              <w:top w:val="nil"/>
              <w:left w:val="nil"/>
              <w:bottom w:val="nil"/>
              <w:right w:val="nil"/>
            </w:tcBorders>
            <w:shd w:val="clear" w:color="000000" w:fill="E6F2FF"/>
            <w:noWrap/>
            <w:vAlign w:val="center"/>
            <w:hideMark/>
          </w:tcPr>
          <w:p w14:paraId="50D19919" w14:textId="77777777" w:rsidR="006A52B4" w:rsidRPr="006A52B4" w:rsidRDefault="006A52B4" w:rsidP="006A52B4">
            <w:pPr>
              <w:spacing w:before="0" w:after="0" w:line="240" w:lineRule="auto"/>
              <w:jc w:val="right"/>
              <w:rPr>
                <w:rFonts w:ascii="Arial" w:hAnsi="Arial" w:cs="Arial"/>
                <w:color w:val="000000"/>
                <w:sz w:val="16"/>
                <w:szCs w:val="16"/>
              </w:rPr>
            </w:pPr>
            <w:r w:rsidRPr="006A52B4">
              <w:rPr>
                <w:rFonts w:ascii="Arial" w:hAnsi="Arial" w:cs="Arial"/>
                <w:color w:val="000000"/>
                <w:sz w:val="16"/>
                <w:szCs w:val="16"/>
              </w:rPr>
              <w:t>4,571</w:t>
            </w:r>
          </w:p>
        </w:tc>
        <w:tc>
          <w:tcPr>
            <w:tcW w:w="550" w:type="pct"/>
            <w:tcBorders>
              <w:top w:val="nil"/>
              <w:left w:val="nil"/>
              <w:bottom w:val="nil"/>
              <w:right w:val="nil"/>
            </w:tcBorders>
            <w:shd w:val="clear" w:color="000000" w:fill="FFFFFF"/>
            <w:noWrap/>
            <w:vAlign w:val="center"/>
            <w:hideMark/>
          </w:tcPr>
          <w:p w14:paraId="13EB2874" w14:textId="77777777" w:rsidR="006A52B4" w:rsidRPr="006A52B4" w:rsidRDefault="006A52B4" w:rsidP="006A52B4">
            <w:pPr>
              <w:spacing w:before="0" w:after="0" w:line="240" w:lineRule="auto"/>
              <w:jc w:val="right"/>
              <w:rPr>
                <w:rFonts w:ascii="Arial" w:hAnsi="Arial" w:cs="Arial"/>
                <w:color w:val="000000"/>
                <w:sz w:val="16"/>
                <w:szCs w:val="16"/>
              </w:rPr>
            </w:pPr>
            <w:r w:rsidRPr="006A52B4">
              <w:rPr>
                <w:rFonts w:ascii="Arial" w:hAnsi="Arial" w:cs="Arial"/>
                <w:color w:val="000000"/>
                <w:sz w:val="16"/>
                <w:szCs w:val="16"/>
              </w:rPr>
              <w:t>4,213</w:t>
            </w:r>
          </w:p>
        </w:tc>
        <w:tc>
          <w:tcPr>
            <w:tcW w:w="550" w:type="pct"/>
            <w:tcBorders>
              <w:top w:val="nil"/>
              <w:left w:val="nil"/>
              <w:bottom w:val="nil"/>
              <w:right w:val="nil"/>
            </w:tcBorders>
            <w:shd w:val="clear" w:color="000000" w:fill="FFFFFF"/>
            <w:noWrap/>
            <w:vAlign w:val="center"/>
            <w:hideMark/>
          </w:tcPr>
          <w:p w14:paraId="3F7BB1D9" w14:textId="77777777" w:rsidR="006A52B4" w:rsidRPr="006A52B4" w:rsidRDefault="006A52B4" w:rsidP="006A52B4">
            <w:pPr>
              <w:spacing w:before="0" w:after="0" w:line="240" w:lineRule="auto"/>
              <w:jc w:val="right"/>
              <w:rPr>
                <w:rFonts w:ascii="Arial" w:hAnsi="Arial" w:cs="Arial"/>
                <w:color w:val="000000"/>
                <w:sz w:val="16"/>
                <w:szCs w:val="16"/>
              </w:rPr>
            </w:pPr>
            <w:r w:rsidRPr="006A52B4">
              <w:rPr>
                <w:rFonts w:ascii="Arial" w:hAnsi="Arial" w:cs="Arial"/>
                <w:color w:val="000000"/>
                <w:sz w:val="16"/>
                <w:szCs w:val="16"/>
              </w:rPr>
              <w:t>4,091</w:t>
            </w:r>
          </w:p>
        </w:tc>
        <w:tc>
          <w:tcPr>
            <w:tcW w:w="550" w:type="pct"/>
            <w:tcBorders>
              <w:top w:val="nil"/>
              <w:left w:val="nil"/>
              <w:bottom w:val="nil"/>
              <w:right w:val="nil"/>
            </w:tcBorders>
            <w:shd w:val="clear" w:color="000000" w:fill="FFFFFF"/>
            <w:noWrap/>
            <w:vAlign w:val="center"/>
            <w:hideMark/>
          </w:tcPr>
          <w:p w14:paraId="0762A528" w14:textId="77777777" w:rsidR="006A52B4" w:rsidRPr="006A52B4" w:rsidRDefault="006A52B4" w:rsidP="006A52B4">
            <w:pPr>
              <w:spacing w:before="0" w:after="0" w:line="240" w:lineRule="auto"/>
              <w:jc w:val="right"/>
              <w:rPr>
                <w:rFonts w:ascii="Arial" w:hAnsi="Arial" w:cs="Arial"/>
                <w:color w:val="000000"/>
                <w:sz w:val="16"/>
                <w:szCs w:val="16"/>
              </w:rPr>
            </w:pPr>
            <w:r w:rsidRPr="006A52B4">
              <w:rPr>
                <w:rFonts w:ascii="Arial" w:hAnsi="Arial" w:cs="Arial"/>
                <w:color w:val="000000"/>
                <w:sz w:val="16"/>
                <w:szCs w:val="16"/>
              </w:rPr>
              <w:t>3,997</w:t>
            </w:r>
          </w:p>
        </w:tc>
      </w:tr>
      <w:tr w:rsidR="006A52B4" w:rsidRPr="006A52B4" w14:paraId="5004A075" w14:textId="77777777" w:rsidTr="006A52B4">
        <w:trPr>
          <w:trHeight w:hRule="exact" w:val="226"/>
        </w:trPr>
        <w:tc>
          <w:tcPr>
            <w:tcW w:w="2183" w:type="pct"/>
            <w:tcBorders>
              <w:top w:val="nil"/>
              <w:left w:val="nil"/>
              <w:bottom w:val="nil"/>
              <w:right w:val="nil"/>
            </w:tcBorders>
            <w:shd w:val="clear" w:color="000000" w:fill="FFFFFF"/>
            <w:noWrap/>
            <w:vAlign w:val="center"/>
            <w:hideMark/>
          </w:tcPr>
          <w:p w14:paraId="7271566E" w14:textId="77777777" w:rsidR="006A52B4" w:rsidRPr="006A52B4" w:rsidRDefault="006A52B4" w:rsidP="006A52B4">
            <w:pPr>
              <w:spacing w:before="0" w:after="0" w:line="240" w:lineRule="auto"/>
              <w:rPr>
                <w:rFonts w:ascii="Arial" w:hAnsi="Arial" w:cs="Arial"/>
                <w:color w:val="000000"/>
                <w:sz w:val="16"/>
                <w:szCs w:val="16"/>
              </w:rPr>
            </w:pPr>
            <w:r w:rsidRPr="006A52B4">
              <w:rPr>
                <w:rFonts w:ascii="Arial" w:hAnsi="Arial" w:cs="Arial"/>
                <w:color w:val="000000"/>
                <w:sz w:val="16"/>
                <w:szCs w:val="16"/>
              </w:rPr>
              <w:t>Border Protection</w:t>
            </w:r>
          </w:p>
        </w:tc>
        <w:tc>
          <w:tcPr>
            <w:tcW w:w="68" w:type="pct"/>
            <w:tcBorders>
              <w:top w:val="nil"/>
              <w:left w:val="nil"/>
              <w:bottom w:val="nil"/>
              <w:right w:val="nil"/>
            </w:tcBorders>
            <w:shd w:val="clear" w:color="000000" w:fill="FFFFFF"/>
            <w:noWrap/>
            <w:vAlign w:val="center"/>
            <w:hideMark/>
          </w:tcPr>
          <w:p w14:paraId="010DB479" w14:textId="77777777" w:rsidR="006A52B4" w:rsidRPr="006A52B4" w:rsidRDefault="006A52B4" w:rsidP="006A52B4">
            <w:pPr>
              <w:spacing w:before="0" w:after="0" w:line="240" w:lineRule="auto"/>
              <w:rPr>
                <w:rFonts w:ascii="Arial" w:hAnsi="Arial" w:cs="Arial"/>
                <w:color w:val="000000"/>
                <w:sz w:val="16"/>
                <w:szCs w:val="16"/>
              </w:rPr>
            </w:pPr>
            <w:r w:rsidRPr="006A52B4">
              <w:rPr>
                <w:rFonts w:ascii="Arial" w:hAnsi="Arial" w:cs="Arial"/>
                <w:color w:val="000000"/>
                <w:sz w:val="16"/>
                <w:szCs w:val="16"/>
              </w:rPr>
              <w:t> </w:t>
            </w:r>
          </w:p>
        </w:tc>
        <w:tc>
          <w:tcPr>
            <w:tcW w:w="550" w:type="pct"/>
            <w:tcBorders>
              <w:top w:val="nil"/>
              <w:left w:val="nil"/>
              <w:bottom w:val="single" w:sz="4" w:space="0" w:color="293F5B"/>
              <w:right w:val="nil"/>
            </w:tcBorders>
            <w:shd w:val="clear" w:color="000000" w:fill="FFFFFF"/>
            <w:noWrap/>
            <w:vAlign w:val="center"/>
            <w:hideMark/>
          </w:tcPr>
          <w:p w14:paraId="05D138D6" w14:textId="77777777" w:rsidR="006A52B4" w:rsidRPr="006A52B4" w:rsidRDefault="006A52B4" w:rsidP="006A52B4">
            <w:pPr>
              <w:spacing w:before="0" w:after="0" w:line="240" w:lineRule="auto"/>
              <w:jc w:val="right"/>
              <w:rPr>
                <w:rFonts w:ascii="Arial" w:hAnsi="Arial" w:cs="Arial"/>
                <w:color w:val="000000"/>
                <w:sz w:val="16"/>
                <w:szCs w:val="16"/>
              </w:rPr>
            </w:pPr>
            <w:r w:rsidRPr="006A52B4">
              <w:rPr>
                <w:rFonts w:ascii="Arial" w:hAnsi="Arial" w:cs="Arial"/>
                <w:color w:val="000000"/>
                <w:sz w:val="16"/>
                <w:szCs w:val="16"/>
              </w:rPr>
              <w:t>1,762</w:t>
            </w:r>
          </w:p>
        </w:tc>
        <w:tc>
          <w:tcPr>
            <w:tcW w:w="550" w:type="pct"/>
            <w:tcBorders>
              <w:top w:val="nil"/>
              <w:left w:val="nil"/>
              <w:bottom w:val="single" w:sz="4" w:space="0" w:color="293F5B"/>
              <w:right w:val="nil"/>
            </w:tcBorders>
            <w:shd w:val="clear" w:color="000000" w:fill="E6F2FF"/>
            <w:noWrap/>
            <w:vAlign w:val="center"/>
            <w:hideMark/>
          </w:tcPr>
          <w:p w14:paraId="467E2A08" w14:textId="77777777" w:rsidR="006A52B4" w:rsidRPr="006A52B4" w:rsidRDefault="006A52B4" w:rsidP="006A52B4">
            <w:pPr>
              <w:spacing w:before="0" w:after="0" w:line="240" w:lineRule="auto"/>
              <w:jc w:val="right"/>
              <w:rPr>
                <w:rFonts w:ascii="Arial" w:hAnsi="Arial" w:cs="Arial"/>
                <w:color w:val="000000"/>
                <w:sz w:val="16"/>
                <w:szCs w:val="16"/>
              </w:rPr>
            </w:pPr>
            <w:r w:rsidRPr="006A52B4">
              <w:rPr>
                <w:rFonts w:ascii="Arial" w:hAnsi="Arial" w:cs="Arial"/>
                <w:color w:val="000000"/>
                <w:sz w:val="16"/>
                <w:szCs w:val="16"/>
              </w:rPr>
              <w:t>1,957</w:t>
            </w:r>
          </w:p>
        </w:tc>
        <w:tc>
          <w:tcPr>
            <w:tcW w:w="550" w:type="pct"/>
            <w:tcBorders>
              <w:top w:val="nil"/>
              <w:left w:val="nil"/>
              <w:bottom w:val="single" w:sz="4" w:space="0" w:color="293F5B"/>
              <w:right w:val="nil"/>
            </w:tcBorders>
            <w:shd w:val="clear" w:color="000000" w:fill="FFFFFF"/>
            <w:noWrap/>
            <w:vAlign w:val="center"/>
            <w:hideMark/>
          </w:tcPr>
          <w:p w14:paraId="711F5465" w14:textId="77777777" w:rsidR="006A52B4" w:rsidRPr="006A52B4" w:rsidRDefault="006A52B4" w:rsidP="006A52B4">
            <w:pPr>
              <w:spacing w:before="0" w:after="0" w:line="240" w:lineRule="auto"/>
              <w:jc w:val="right"/>
              <w:rPr>
                <w:rFonts w:ascii="Arial" w:hAnsi="Arial" w:cs="Arial"/>
                <w:color w:val="000000"/>
                <w:sz w:val="16"/>
                <w:szCs w:val="16"/>
              </w:rPr>
            </w:pPr>
            <w:r w:rsidRPr="006A52B4">
              <w:rPr>
                <w:rFonts w:ascii="Arial" w:hAnsi="Arial" w:cs="Arial"/>
                <w:color w:val="000000"/>
                <w:sz w:val="16"/>
                <w:szCs w:val="16"/>
              </w:rPr>
              <w:t>1,512</w:t>
            </w:r>
          </w:p>
        </w:tc>
        <w:tc>
          <w:tcPr>
            <w:tcW w:w="550" w:type="pct"/>
            <w:tcBorders>
              <w:top w:val="nil"/>
              <w:left w:val="nil"/>
              <w:bottom w:val="single" w:sz="4" w:space="0" w:color="293F5B"/>
              <w:right w:val="nil"/>
            </w:tcBorders>
            <w:shd w:val="clear" w:color="000000" w:fill="FFFFFF"/>
            <w:noWrap/>
            <w:vAlign w:val="center"/>
            <w:hideMark/>
          </w:tcPr>
          <w:p w14:paraId="59F59F53" w14:textId="77777777" w:rsidR="006A52B4" w:rsidRPr="006A52B4" w:rsidRDefault="006A52B4" w:rsidP="006A52B4">
            <w:pPr>
              <w:spacing w:before="0" w:after="0" w:line="240" w:lineRule="auto"/>
              <w:jc w:val="right"/>
              <w:rPr>
                <w:rFonts w:ascii="Arial" w:hAnsi="Arial" w:cs="Arial"/>
                <w:color w:val="000000"/>
                <w:sz w:val="16"/>
                <w:szCs w:val="16"/>
              </w:rPr>
            </w:pPr>
            <w:r w:rsidRPr="006A52B4">
              <w:rPr>
                <w:rFonts w:ascii="Arial" w:hAnsi="Arial" w:cs="Arial"/>
                <w:color w:val="000000"/>
                <w:sz w:val="16"/>
                <w:szCs w:val="16"/>
              </w:rPr>
              <w:t>1,529</w:t>
            </w:r>
          </w:p>
        </w:tc>
        <w:tc>
          <w:tcPr>
            <w:tcW w:w="550" w:type="pct"/>
            <w:tcBorders>
              <w:top w:val="nil"/>
              <w:left w:val="nil"/>
              <w:bottom w:val="single" w:sz="4" w:space="0" w:color="293F5B"/>
              <w:right w:val="nil"/>
            </w:tcBorders>
            <w:shd w:val="clear" w:color="000000" w:fill="FFFFFF"/>
            <w:noWrap/>
            <w:vAlign w:val="center"/>
            <w:hideMark/>
          </w:tcPr>
          <w:p w14:paraId="3EEE1E13" w14:textId="77777777" w:rsidR="006A52B4" w:rsidRPr="006A52B4" w:rsidRDefault="006A52B4" w:rsidP="006A52B4">
            <w:pPr>
              <w:spacing w:before="0" w:after="0" w:line="240" w:lineRule="auto"/>
              <w:jc w:val="right"/>
              <w:rPr>
                <w:rFonts w:ascii="Arial" w:hAnsi="Arial" w:cs="Arial"/>
                <w:color w:val="000000"/>
                <w:sz w:val="16"/>
                <w:szCs w:val="16"/>
              </w:rPr>
            </w:pPr>
            <w:r w:rsidRPr="006A52B4">
              <w:rPr>
                <w:rFonts w:ascii="Arial" w:hAnsi="Arial" w:cs="Arial"/>
                <w:color w:val="000000"/>
                <w:sz w:val="16"/>
                <w:szCs w:val="16"/>
              </w:rPr>
              <w:t>1,480</w:t>
            </w:r>
          </w:p>
        </w:tc>
      </w:tr>
      <w:tr w:rsidR="006A52B4" w:rsidRPr="006A52B4" w14:paraId="0B3DB018" w14:textId="77777777" w:rsidTr="00374F75">
        <w:trPr>
          <w:trHeight w:hRule="exact" w:val="226"/>
        </w:trPr>
        <w:tc>
          <w:tcPr>
            <w:tcW w:w="2183" w:type="pct"/>
            <w:tcBorders>
              <w:top w:val="nil"/>
              <w:left w:val="nil"/>
              <w:bottom w:val="single" w:sz="4" w:space="0" w:color="293F5B"/>
              <w:right w:val="nil"/>
            </w:tcBorders>
            <w:shd w:val="clear" w:color="000000" w:fill="FFFFFF"/>
            <w:noWrap/>
            <w:vAlign w:val="center"/>
            <w:hideMark/>
          </w:tcPr>
          <w:p w14:paraId="5C8C9560" w14:textId="77777777" w:rsidR="006A52B4" w:rsidRPr="006A52B4" w:rsidRDefault="006A52B4" w:rsidP="006A52B4">
            <w:pPr>
              <w:spacing w:before="0" w:after="0" w:line="240" w:lineRule="auto"/>
              <w:rPr>
                <w:rFonts w:ascii="Arial" w:hAnsi="Arial" w:cs="Arial"/>
                <w:b/>
                <w:bCs/>
                <w:color w:val="000000"/>
                <w:sz w:val="16"/>
                <w:szCs w:val="16"/>
              </w:rPr>
            </w:pPr>
            <w:r w:rsidRPr="006A52B4">
              <w:rPr>
                <w:rFonts w:ascii="Arial" w:hAnsi="Arial" w:cs="Arial"/>
                <w:b/>
                <w:bCs/>
                <w:color w:val="000000"/>
                <w:sz w:val="16"/>
                <w:szCs w:val="16"/>
              </w:rPr>
              <w:t>Total</w:t>
            </w:r>
          </w:p>
        </w:tc>
        <w:tc>
          <w:tcPr>
            <w:tcW w:w="68" w:type="pct"/>
            <w:tcBorders>
              <w:top w:val="nil"/>
              <w:left w:val="nil"/>
              <w:bottom w:val="single" w:sz="4" w:space="0" w:color="293F5B"/>
              <w:right w:val="nil"/>
            </w:tcBorders>
            <w:shd w:val="clear" w:color="000000" w:fill="FFFFFF"/>
            <w:noWrap/>
            <w:vAlign w:val="center"/>
            <w:hideMark/>
          </w:tcPr>
          <w:p w14:paraId="184B5ACB" w14:textId="77777777" w:rsidR="006A52B4" w:rsidRPr="006A52B4" w:rsidRDefault="006A52B4" w:rsidP="006A52B4">
            <w:pPr>
              <w:spacing w:before="0" w:after="0" w:line="240" w:lineRule="auto"/>
              <w:rPr>
                <w:rFonts w:ascii="Arial" w:hAnsi="Arial" w:cs="Arial"/>
                <w:b/>
                <w:bCs/>
                <w:color w:val="000000"/>
                <w:sz w:val="16"/>
                <w:szCs w:val="16"/>
              </w:rPr>
            </w:pPr>
            <w:r w:rsidRPr="006A52B4">
              <w:rPr>
                <w:rFonts w:ascii="Arial" w:hAnsi="Arial" w:cs="Arial"/>
                <w:b/>
                <w:bCs/>
                <w:color w:val="000000"/>
                <w:sz w:val="16"/>
                <w:szCs w:val="16"/>
              </w:rPr>
              <w:t> </w:t>
            </w:r>
          </w:p>
        </w:tc>
        <w:tc>
          <w:tcPr>
            <w:tcW w:w="550" w:type="pct"/>
            <w:tcBorders>
              <w:top w:val="single" w:sz="4" w:space="0" w:color="293F5B"/>
              <w:left w:val="nil"/>
              <w:bottom w:val="single" w:sz="4" w:space="0" w:color="293F5B"/>
              <w:right w:val="nil"/>
            </w:tcBorders>
            <w:shd w:val="clear" w:color="000000" w:fill="FFFFFF"/>
            <w:noWrap/>
            <w:vAlign w:val="center"/>
            <w:hideMark/>
          </w:tcPr>
          <w:p w14:paraId="1DE6EC33" w14:textId="77777777" w:rsidR="006A52B4" w:rsidRPr="006A52B4" w:rsidRDefault="006A52B4" w:rsidP="006A52B4">
            <w:pPr>
              <w:spacing w:before="0" w:after="0" w:line="240" w:lineRule="auto"/>
              <w:jc w:val="right"/>
              <w:rPr>
                <w:rFonts w:ascii="Arial" w:hAnsi="Arial" w:cs="Arial"/>
                <w:b/>
                <w:bCs/>
                <w:color w:val="000000"/>
                <w:sz w:val="16"/>
                <w:szCs w:val="16"/>
              </w:rPr>
            </w:pPr>
            <w:r w:rsidRPr="006A52B4">
              <w:rPr>
                <w:rFonts w:ascii="Arial" w:hAnsi="Arial" w:cs="Arial"/>
                <w:b/>
                <w:bCs/>
                <w:color w:val="000000"/>
                <w:sz w:val="16"/>
                <w:szCs w:val="16"/>
              </w:rPr>
              <w:t>6,133</w:t>
            </w:r>
          </w:p>
        </w:tc>
        <w:tc>
          <w:tcPr>
            <w:tcW w:w="550" w:type="pct"/>
            <w:tcBorders>
              <w:top w:val="single" w:sz="4" w:space="0" w:color="293F5B"/>
              <w:left w:val="nil"/>
              <w:bottom w:val="single" w:sz="4" w:space="0" w:color="293F5B"/>
              <w:right w:val="nil"/>
            </w:tcBorders>
            <w:shd w:val="clear" w:color="000000" w:fill="E6F2FF"/>
            <w:noWrap/>
            <w:vAlign w:val="center"/>
            <w:hideMark/>
          </w:tcPr>
          <w:p w14:paraId="3F001AD2" w14:textId="77777777" w:rsidR="006A52B4" w:rsidRPr="006A52B4" w:rsidRDefault="006A52B4" w:rsidP="006A52B4">
            <w:pPr>
              <w:spacing w:before="0" w:after="0" w:line="240" w:lineRule="auto"/>
              <w:jc w:val="right"/>
              <w:rPr>
                <w:rFonts w:ascii="Arial" w:hAnsi="Arial" w:cs="Arial"/>
                <w:b/>
                <w:bCs/>
                <w:color w:val="000000"/>
                <w:sz w:val="16"/>
                <w:szCs w:val="16"/>
              </w:rPr>
            </w:pPr>
            <w:r w:rsidRPr="006A52B4">
              <w:rPr>
                <w:rFonts w:ascii="Arial" w:hAnsi="Arial" w:cs="Arial"/>
                <w:b/>
                <w:bCs/>
                <w:color w:val="000000"/>
                <w:sz w:val="16"/>
                <w:szCs w:val="16"/>
              </w:rPr>
              <w:t>6,528</w:t>
            </w:r>
          </w:p>
        </w:tc>
        <w:tc>
          <w:tcPr>
            <w:tcW w:w="550" w:type="pct"/>
            <w:tcBorders>
              <w:top w:val="single" w:sz="4" w:space="0" w:color="293F5B"/>
              <w:left w:val="nil"/>
              <w:bottom w:val="single" w:sz="4" w:space="0" w:color="293F5B"/>
              <w:right w:val="nil"/>
            </w:tcBorders>
            <w:shd w:val="clear" w:color="000000" w:fill="FFFFFF"/>
            <w:noWrap/>
            <w:vAlign w:val="center"/>
            <w:hideMark/>
          </w:tcPr>
          <w:p w14:paraId="0211D045" w14:textId="77777777" w:rsidR="006A52B4" w:rsidRPr="006A52B4" w:rsidRDefault="006A52B4" w:rsidP="006A52B4">
            <w:pPr>
              <w:spacing w:before="0" w:after="0" w:line="240" w:lineRule="auto"/>
              <w:jc w:val="right"/>
              <w:rPr>
                <w:rFonts w:ascii="Arial" w:hAnsi="Arial" w:cs="Arial"/>
                <w:b/>
                <w:bCs/>
                <w:color w:val="000000"/>
                <w:sz w:val="16"/>
                <w:szCs w:val="16"/>
              </w:rPr>
            </w:pPr>
            <w:r w:rsidRPr="006A52B4">
              <w:rPr>
                <w:rFonts w:ascii="Arial" w:hAnsi="Arial" w:cs="Arial"/>
                <w:b/>
                <w:bCs/>
                <w:color w:val="000000"/>
                <w:sz w:val="16"/>
                <w:szCs w:val="16"/>
              </w:rPr>
              <w:t>5,725</w:t>
            </w:r>
          </w:p>
        </w:tc>
        <w:tc>
          <w:tcPr>
            <w:tcW w:w="550" w:type="pct"/>
            <w:tcBorders>
              <w:top w:val="single" w:sz="4" w:space="0" w:color="293F5B"/>
              <w:left w:val="nil"/>
              <w:bottom w:val="single" w:sz="4" w:space="0" w:color="293F5B"/>
              <w:right w:val="nil"/>
            </w:tcBorders>
            <w:shd w:val="clear" w:color="000000" w:fill="FFFFFF"/>
            <w:noWrap/>
            <w:vAlign w:val="center"/>
            <w:hideMark/>
          </w:tcPr>
          <w:p w14:paraId="006FA2B7" w14:textId="77777777" w:rsidR="006A52B4" w:rsidRPr="006A52B4" w:rsidRDefault="006A52B4" w:rsidP="006A52B4">
            <w:pPr>
              <w:spacing w:before="0" w:after="0" w:line="240" w:lineRule="auto"/>
              <w:jc w:val="right"/>
              <w:rPr>
                <w:rFonts w:ascii="Arial" w:hAnsi="Arial" w:cs="Arial"/>
                <w:b/>
                <w:bCs/>
                <w:color w:val="000000"/>
                <w:sz w:val="16"/>
                <w:szCs w:val="16"/>
              </w:rPr>
            </w:pPr>
            <w:r w:rsidRPr="006A52B4">
              <w:rPr>
                <w:rFonts w:ascii="Arial" w:hAnsi="Arial" w:cs="Arial"/>
                <w:b/>
                <w:bCs/>
                <w:color w:val="000000"/>
                <w:sz w:val="16"/>
                <w:szCs w:val="16"/>
              </w:rPr>
              <w:t>5,619</w:t>
            </w:r>
          </w:p>
        </w:tc>
        <w:tc>
          <w:tcPr>
            <w:tcW w:w="550" w:type="pct"/>
            <w:tcBorders>
              <w:top w:val="single" w:sz="4" w:space="0" w:color="293F5B"/>
              <w:left w:val="nil"/>
              <w:bottom w:val="single" w:sz="4" w:space="0" w:color="293F5B"/>
              <w:right w:val="nil"/>
            </w:tcBorders>
            <w:shd w:val="clear" w:color="000000" w:fill="FFFFFF"/>
            <w:noWrap/>
            <w:vAlign w:val="center"/>
            <w:hideMark/>
          </w:tcPr>
          <w:p w14:paraId="55C1EA13" w14:textId="77777777" w:rsidR="006A52B4" w:rsidRPr="006A52B4" w:rsidRDefault="006A52B4" w:rsidP="006A52B4">
            <w:pPr>
              <w:spacing w:before="0" w:after="0" w:line="240" w:lineRule="auto"/>
              <w:jc w:val="right"/>
              <w:rPr>
                <w:rFonts w:ascii="Arial" w:hAnsi="Arial" w:cs="Arial"/>
                <w:b/>
                <w:bCs/>
                <w:color w:val="000000"/>
                <w:sz w:val="16"/>
                <w:szCs w:val="16"/>
              </w:rPr>
            </w:pPr>
            <w:r w:rsidRPr="006A52B4">
              <w:rPr>
                <w:rFonts w:ascii="Arial" w:hAnsi="Arial" w:cs="Arial"/>
                <w:b/>
                <w:bCs/>
                <w:color w:val="000000"/>
                <w:sz w:val="16"/>
                <w:szCs w:val="16"/>
              </w:rPr>
              <w:t>5,477</w:t>
            </w:r>
          </w:p>
        </w:tc>
      </w:tr>
    </w:tbl>
    <w:p w14:paraId="21D242D2" w14:textId="7A925BCB" w:rsidR="00C53E4D" w:rsidRDefault="00C53E4D" w:rsidP="00E87DDC">
      <w:pPr>
        <w:pStyle w:val="ChartandTableFootnoteAlpha"/>
        <w:numPr>
          <w:ilvl w:val="0"/>
          <w:numId w:val="10"/>
        </w:numPr>
      </w:pPr>
      <w:r w:rsidRPr="000177D7">
        <w:t>The entry for each component includes eliminations for inter</w:t>
      </w:r>
      <w:r w:rsidR="008D4F6B">
        <w:noBreakHyphen/>
      </w:r>
      <w:r w:rsidRPr="000177D7">
        <w:t>agency transactions within that component.</w:t>
      </w:r>
    </w:p>
    <w:p w14:paraId="11B4AB51" w14:textId="77777777" w:rsidR="003C0F2B" w:rsidRPr="000177D7" w:rsidRDefault="003C0F2B" w:rsidP="00F2334A">
      <w:pPr>
        <w:pStyle w:val="TableLine"/>
      </w:pPr>
    </w:p>
    <w:p w14:paraId="7C339B4A" w14:textId="77777777" w:rsidR="004C32EA" w:rsidRPr="000177D7" w:rsidRDefault="004C32EA" w:rsidP="004C32EA">
      <w:pPr>
        <w:pStyle w:val="Heading3"/>
      </w:pPr>
      <w:bookmarkStart w:id="74" w:name="_Toc166369421"/>
      <w:r w:rsidRPr="000177D7">
        <w:t>Education</w:t>
      </w:r>
      <w:bookmarkEnd w:id="64"/>
      <w:bookmarkEnd w:id="65"/>
      <w:bookmarkEnd w:id="74"/>
    </w:p>
    <w:p w14:paraId="542FE2C9" w14:textId="09ADD1D8" w:rsidR="00E32E1B" w:rsidRDefault="00E32E1B" w:rsidP="00E32E1B">
      <w:bookmarkStart w:id="75" w:name="_Toc4577273"/>
      <w:bookmarkStart w:id="76" w:name="_Toc4689185"/>
      <w:r w:rsidRPr="000177D7">
        <w:t>The education function includes expenses to support the delivery of education services through higher education institutions</w:t>
      </w:r>
      <w:r>
        <w:t>,</w:t>
      </w:r>
      <w:r w:rsidRPr="000177D7">
        <w:t xml:space="preserve"> vocational education and training providers (including technical and further education institutions)</w:t>
      </w:r>
      <w:r>
        <w:t>,</w:t>
      </w:r>
      <w:r w:rsidRPr="000177D7">
        <w:t xml:space="preserve"> and government (state and territory) and non</w:t>
      </w:r>
      <w:r w:rsidR="008D4F6B">
        <w:noBreakHyphen/>
      </w:r>
      <w:r w:rsidRPr="000177D7">
        <w:t>government primary and secondary schools.</w:t>
      </w:r>
    </w:p>
    <w:p w14:paraId="7F9F3BB6" w14:textId="77777777" w:rsidR="00A9609A" w:rsidRDefault="00A9609A">
      <w:pPr>
        <w:spacing w:before="0" w:after="160" w:line="259" w:lineRule="auto"/>
        <w:rPr>
          <w:rFonts w:ascii="Arial" w:hAnsi="Arial"/>
          <w:b/>
          <w:sz w:val="20"/>
        </w:rPr>
      </w:pPr>
      <w:r>
        <w:br w:type="page"/>
      </w:r>
    </w:p>
    <w:p w14:paraId="5B65E36D" w14:textId="21EF7619" w:rsidR="00DF211F" w:rsidRDefault="00E32E1B" w:rsidP="00DF211F">
      <w:pPr>
        <w:pStyle w:val="TableHeading"/>
        <w:rPr>
          <w:rFonts w:asciiTheme="minorHAnsi" w:eastAsiaTheme="minorHAnsi" w:hAnsiTheme="minorHAnsi" w:cstheme="minorBidi"/>
          <w:sz w:val="22"/>
          <w:szCs w:val="22"/>
          <w:lang w:eastAsia="en-US"/>
        </w:rPr>
      </w:pPr>
      <w:r>
        <w:lastRenderedPageBreak/>
        <w:t>Table </w:t>
      </w:r>
      <w:r w:rsidRPr="000177D7">
        <w:t>6.7: Summary of expenses</w:t>
      </w:r>
      <w:r>
        <w:t xml:space="preserve"> – </w:t>
      </w:r>
      <w:r w:rsidRPr="002E54BF">
        <w:t>education</w:t>
      </w:r>
      <w:bookmarkStart w:id="77" w:name="_1586074259"/>
      <w:bookmarkStart w:id="78" w:name="_1727774294"/>
      <w:bookmarkStart w:id="79" w:name="_1776946596"/>
      <w:bookmarkStart w:id="80" w:name="_1776946757"/>
      <w:bookmarkStart w:id="81" w:name="_1776946848"/>
      <w:bookmarkStart w:id="82" w:name="_Toc99203683"/>
      <w:bookmarkStart w:id="83" w:name="_Toc117358176"/>
      <w:bookmarkEnd w:id="77"/>
      <w:bookmarkEnd w:id="78"/>
      <w:bookmarkEnd w:id="79"/>
      <w:bookmarkEnd w:id="80"/>
      <w:bookmarkEnd w:id="81"/>
    </w:p>
    <w:tbl>
      <w:tblPr>
        <w:tblW w:w="5000" w:type="pct"/>
        <w:tblCellMar>
          <w:left w:w="0" w:type="dxa"/>
          <w:right w:w="28" w:type="dxa"/>
        </w:tblCellMar>
        <w:tblLook w:val="04A0" w:firstRow="1" w:lastRow="0" w:firstColumn="1" w:lastColumn="0" w:noHBand="0" w:noVBand="1"/>
      </w:tblPr>
      <w:tblGrid>
        <w:gridCol w:w="3414"/>
        <w:gridCol w:w="860"/>
        <w:gridCol w:w="859"/>
        <w:gridCol w:w="859"/>
        <w:gridCol w:w="859"/>
        <w:gridCol w:w="859"/>
      </w:tblGrid>
      <w:tr w:rsidR="00DF211F" w:rsidRPr="0057171E" w14:paraId="2447D100" w14:textId="77777777" w:rsidTr="004E435E">
        <w:trPr>
          <w:trHeight w:hRule="exact" w:val="225"/>
        </w:trPr>
        <w:tc>
          <w:tcPr>
            <w:tcW w:w="2214" w:type="pct"/>
            <w:tcBorders>
              <w:top w:val="single" w:sz="4" w:space="0" w:color="293F5B"/>
              <w:left w:val="nil"/>
              <w:bottom w:val="nil"/>
              <w:right w:val="nil"/>
            </w:tcBorders>
            <w:shd w:val="clear" w:color="auto" w:fill="auto"/>
            <w:noWrap/>
            <w:vAlign w:val="center"/>
            <w:hideMark/>
          </w:tcPr>
          <w:p w14:paraId="0F5E5CDC" w14:textId="6D57C678" w:rsidR="00DF211F" w:rsidRPr="0057171E" w:rsidRDefault="00DF211F" w:rsidP="00DF211F">
            <w:pPr>
              <w:spacing w:before="0" w:after="0" w:line="240" w:lineRule="auto"/>
              <w:rPr>
                <w:rFonts w:ascii="Arial" w:hAnsi="Arial" w:cs="Arial"/>
                <w:b/>
                <w:bCs/>
                <w:color w:val="000000"/>
                <w:sz w:val="16"/>
                <w:szCs w:val="16"/>
              </w:rPr>
            </w:pPr>
            <w:r w:rsidRPr="0057171E">
              <w:rPr>
                <w:rFonts w:ascii="Arial" w:hAnsi="Arial" w:cs="Arial"/>
                <w:b/>
                <w:bCs/>
                <w:color w:val="000000"/>
                <w:sz w:val="16"/>
                <w:szCs w:val="16"/>
              </w:rPr>
              <w:t>Sub-function</w:t>
            </w:r>
          </w:p>
        </w:tc>
        <w:tc>
          <w:tcPr>
            <w:tcW w:w="2786" w:type="pct"/>
            <w:gridSpan w:val="5"/>
            <w:tcBorders>
              <w:top w:val="single" w:sz="4" w:space="0" w:color="293F5B"/>
              <w:left w:val="nil"/>
              <w:bottom w:val="single" w:sz="4" w:space="0" w:color="293F5B"/>
              <w:right w:val="nil"/>
            </w:tcBorders>
            <w:shd w:val="clear" w:color="auto" w:fill="auto"/>
            <w:noWrap/>
            <w:vAlign w:val="center"/>
            <w:hideMark/>
          </w:tcPr>
          <w:p w14:paraId="321D2CAE" w14:textId="77777777" w:rsidR="00DF211F" w:rsidRPr="0057171E" w:rsidRDefault="00DF211F" w:rsidP="00DF211F">
            <w:pPr>
              <w:spacing w:before="0" w:after="0" w:line="240" w:lineRule="auto"/>
              <w:jc w:val="center"/>
              <w:rPr>
                <w:rFonts w:ascii="Arial" w:hAnsi="Arial" w:cs="Arial"/>
                <w:color w:val="000000"/>
                <w:sz w:val="16"/>
                <w:szCs w:val="16"/>
              </w:rPr>
            </w:pPr>
            <w:r w:rsidRPr="0057171E">
              <w:rPr>
                <w:rFonts w:ascii="Arial" w:hAnsi="Arial" w:cs="Arial"/>
                <w:color w:val="000000"/>
                <w:sz w:val="16"/>
                <w:szCs w:val="16"/>
              </w:rPr>
              <w:t>Estimates</w:t>
            </w:r>
          </w:p>
        </w:tc>
      </w:tr>
      <w:tr w:rsidR="00DF211F" w:rsidRPr="0057171E" w14:paraId="01997A29" w14:textId="77777777" w:rsidTr="00CB45C4">
        <w:trPr>
          <w:trHeight w:hRule="exact" w:val="225"/>
        </w:trPr>
        <w:tc>
          <w:tcPr>
            <w:tcW w:w="2214" w:type="pct"/>
            <w:tcBorders>
              <w:top w:val="nil"/>
              <w:left w:val="nil"/>
              <w:bottom w:val="nil"/>
              <w:right w:val="nil"/>
            </w:tcBorders>
            <w:shd w:val="clear" w:color="auto" w:fill="auto"/>
            <w:noWrap/>
            <w:vAlign w:val="bottom"/>
            <w:hideMark/>
          </w:tcPr>
          <w:p w14:paraId="7229B2E8" w14:textId="77777777" w:rsidR="00DF211F" w:rsidRPr="0057171E" w:rsidRDefault="00DF211F" w:rsidP="00DF211F">
            <w:pPr>
              <w:spacing w:before="0" w:after="0" w:line="240" w:lineRule="auto"/>
              <w:rPr>
                <w:rFonts w:ascii="Arial" w:hAnsi="Arial" w:cs="Arial"/>
                <w:color w:val="000000"/>
                <w:sz w:val="16"/>
                <w:szCs w:val="16"/>
              </w:rPr>
            </w:pPr>
            <w:r w:rsidRPr="0057171E">
              <w:rPr>
                <w:rFonts w:ascii="Arial" w:hAnsi="Arial" w:cs="Arial"/>
                <w:color w:val="000000"/>
                <w:sz w:val="16"/>
                <w:szCs w:val="16"/>
              </w:rPr>
              <w:t> </w:t>
            </w:r>
          </w:p>
        </w:tc>
        <w:tc>
          <w:tcPr>
            <w:tcW w:w="558" w:type="pct"/>
            <w:tcBorders>
              <w:top w:val="single" w:sz="4" w:space="0" w:color="293F5B"/>
              <w:left w:val="nil"/>
              <w:bottom w:val="nil"/>
              <w:right w:val="nil"/>
            </w:tcBorders>
            <w:shd w:val="clear" w:color="auto" w:fill="auto"/>
            <w:noWrap/>
            <w:vAlign w:val="center"/>
            <w:hideMark/>
          </w:tcPr>
          <w:p w14:paraId="44C15A2E" w14:textId="77777777" w:rsidR="00DF211F" w:rsidRPr="0057171E" w:rsidRDefault="00DF211F" w:rsidP="00DF211F">
            <w:pPr>
              <w:spacing w:before="0" w:after="0" w:line="240" w:lineRule="auto"/>
              <w:jc w:val="right"/>
              <w:rPr>
                <w:rFonts w:ascii="Arial" w:hAnsi="Arial" w:cs="Arial"/>
                <w:sz w:val="16"/>
                <w:szCs w:val="16"/>
              </w:rPr>
            </w:pPr>
            <w:r w:rsidRPr="0057171E">
              <w:rPr>
                <w:rFonts w:ascii="Arial" w:hAnsi="Arial" w:cs="Arial"/>
                <w:sz w:val="16"/>
                <w:szCs w:val="16"/>
              </w:rPr>
              <w:t>2023-24</w:t>
            </w:r>
          </w:p>
        </w:tc>
        <w:tc>
          <w:tcPr>
            <w:tcW w:w="557" w:type="pct"/>
            <w:tcBorders>
              <w:top w:val="single" w:sz="4" w:space="0" w:color="293F5B"/>
              <w:left w:val="nil"/>
              <w:bottom w:val="nil"/>
              <w:right w:val="nil"/>
            </w:tcBorders>
            <w:shd w:val="clear" w:color="auto" w:fill="E6F2FF"/>
            <w:noWrap/>
            <w:vAlign w:val="center"/>
            <w:hideMark/>
          </w:tcPr>
          <w:p w14:paraId="48AD5FC4" w14:textId="77777777" w:rsidR="00DF211F" w:rsidRPr="008B353F" w:rsidRDefault="00DF211F" w:rsidP="00DF211F">
            <w:pPr>
              <w:spacing w:before="0" w:after="0" w:line="240" w:lineRule="auto"/>
              <w:jc w:val="right"/>
              <w:rPr>
                <w:rFonts w:ascii="Arial" w:hAnsi="Arial" w:cs="Arial"/>
                <w:color w:val="000000"/>
                <w:sz w:val="16"/>
                <w:szCs w:val="16"/>
              </w:rPr>
            </w:pPr>
            <w:r w:rsidRPr="008B353F">
              <w:rPr>
                <w:rFonts w:ascii="Arial" w:hAnsi="Arial" w:cs="Arial"/>
                <w:color w:val="000000"/>
                <w:sz w:val="16"/>
                <w:szCs w:val="16"/>
              </w:rPr>
              <w:t>2024-25</w:t>
            </w:r>
          </w:p>
        </w:tc>
        <w:tc>
          <w:tcPr>
            <w:tcW w:w="557" w:type="pct"/>
            <w:tcBorders>
              <w:top w:val="single" w:sz="4" w:space="0" w:color="293F5B"/>
              <w:left w:val="nil"/>
              <w:bottom w:val="nil"/>
              <w:right w:val="nil"/>
            </w:tcBorders>
            <w:shd w:val="clear" w:color="auto" w:fill="auto"/>
            <w:noWrap/>
            <w:vAlign w:val="center"/>
            <w:hideMark/>
          </w:tcPr>
          <w:p w14:paraId="3E3FBFDD" w14:textId="77777777" w:rsidR="00DF211F" w:rsidRPr="0057171E" w:rsidRDefault="00DF211F" w:rsidP="00DF211F">
            <w:pPr>
              <w:spacing w:before="0" w:after="0" w:line="240" w:lineRule="auto"/>
              <w:jc w:val="right"/>
              <w:rPr>
                <w:rFonts w:ascii="Arial" w:hAnsi="Arial" w:cs="Arial"/>
                <w:sz w:val="16"/>
                <w:szCs w:val="16"/>
              </w:rPr>
            </w:pPr>
            <w:r w:rsidRPr="0057171E">
              <w:rPr>
                <w:rFonts w:ascii="Arial" w:hAnsi="Arial" w:cs="Arial"/>
                <w:sz w:val="16"/>
                <w:szCs w:val="16"/>
              </w:rPr>
              <w:t>2025-26</w:t>
            </w:r>
          </w:p>
        </w:tc>
        <w:tc>
          <w:tcPr>
            <w:tcW w:w="557" w:type="pct"/>
            <w:tcBorders>
              <w:top w:val="single" w:sz="4" w:space="0" w:color="293F5B"/>
              <w:left w:val="nil"/>
              <w:bottom w:val="nil"/>
              <w:right w:val="nil"/>
            </w:tcBorders>
            <w:shd w:val="clear" w:color="auto" w:fill="auto"/>
            <w:noWrap/>
            <w:vAlign w:val="center"/>
            <w:hideMark/>
          </w:tcPr>
          <w:p w14:paraId="2EB05D13" w14:textId="77777777" w:rsidR="00DF211F" w:rsidRPr="0057171E" w:rsidRDefault="00DF211F" w:rsidP="00DF211F">
            <w:pPr>
              <w:spacing w:before="0" w:after="0" w:line="240" w:lineRule="auto"/>
              <w:jc w:val="right"/>
              <w:rPr>
                <w:rFonts w:ascii="Arial" w:hAnsi="Arial" w:cs="Arial"/>
                <w:sz w:val="16"/>
                <w:szCs w:val="16"/>
              </w:rPr>
            </w:pPr>
            <w:r w:rsidRPr="0057171E">
              <w:rPr>
                <w:rFonts w:ascii="Arial" w:hAnsi="Arial" w:cs="Arial"/>
                <w:sz w:val="16"/>
                <w:szCs w:val="16"/>
              </w:rPr>
              <w:t>2026-27</w:t>
            </w:r>
          </w:p>
        </w:tc>
        <w:tc>
          <w:tcPr>
            <w:tcW w:w="557" w:type="pct"/>
            <w:tcBorders>
              <w:top w:val="single" w:sz="4" w:space="0" w:color="293F5B"/>
              <w:left w:val="nil"/>
              <w:bottom w:val="nil"/>
              <w:right w:val="nil"/>
            </w:tcBorders>
            <w:shd w:val="clear" w:color="auto" w:fill="auto"/>
            <w:noWrap/>
            <w:vAlign w:val="center"/>
            <w:hideMark/>
          </w:tcPr>
          <w:p w14:paraId="3EEF68EF" w14:textId="77777777" w:rsidR="00DF211F" w:rsidRPr="0057171E" w:rsidRDefault="00DF211F" w:rsidP="00DF211F">
            <w:pPr>
              <w:spacing w:before="0" w:after="0" w:line="240" w:lineRule="auto"/>
              <w:jc w:val="right"/>
              <w:rPr>
                <w:rFonts w:ascii="Arial" w:hAnsi="Arial" w:cs="Arial"/>
                <w:color w:val="000000"/>
                <w:sz w:val="16"/>
                <w:szCs w:val="16"/>
              </w:rPr>
            </w:pPr>
            <w:r w:rsidRPr="0057171E">
              <w:rPr>
                <w:rFonts w:ascii="Arial" w:hAnsi="Arial" w:cs="Arial"/>
                <w:color w:val="000000"/>
                <w:sz w:val="16"/>
                <w:szCs w:val="16"/>
              </w:rPr>
              <w:t>2027-28</w:t>
            </w:r>
          </w:p>
        </w:tc>
      </w:tr>
      <w:tr w:rsidR="00DF211F" w:rsidRPr="0057171E" w14:paraId="3A6AFDDB" w14:textId="77777777" w:rsidTr="00CB45C4">
        <w:trPr>
          <w:trHeight w:hRule="exact" w:val="225"/>
        </w:trPr>
        <w:tc>
          <w:tcPr>
            <w:tcW w:w="2214" w:type="pct"/>
            <w:tcBorders>
              <w:top w:val="nil"/>
              <w:left w:val="nil"/>
              <w:bottom w:val="nil"/>
              <w:right w:val="nil"/>
            </w:tcBorders>
            <w:shd w:val="clear" w:color="auto" w:fill="auto"/>
            <w:noWrap/>
            <w:vAlign w:val="center"/>
            <w:hideMark/>
          </w:tcPr>
          <w:p w14:paraId="77F0287E" w14:textId="77777777" w:rsidR="00DF211F" w:rsidRPr="0057171E" w:rsidRDefault="00DF211F" w:rsidP="00DF211F">
            <w:pPr>
              <w:spacing w:before="0" w:after="0" w:line="240" w:lineRule="auto"/>
              <w:rPr>
                <w:rFonts w:ascii="Arial" w:hAnsi="Arial" w:cs="Arial"/>
                <w:color w:val="000000"/>
                <w:sz w:val="16"/>
                <w:szCs w:val="16"/>
              </w:rPr>
            </w:pPr>
            <w:r w:rsidRPr="0057171E">
              <w:rPr>
                <w:rFonts w:ascii="Arial" w:hAnsi="Arial" w:cs="Arial"/>
                <w:color w:val="000000"/>
                <w:sz w:val="16"/>
                <w:szCs w:val="16"/>
              </w:rPr>
              <w:t> </w:t>
            </w:r>
          </w:p>
        </w:tc>
        <w:tc>
          <w:tcPr>
            <w:tcW w:w="558" w:type="pct"/>
            <w:tcBorders>
              <w:top w:val="nil"/>
              <w:left w:val="nil"/>
              <w:bottom w:val="single" w:sz="4" w:space="0" w:color="293F5B"/>
              <w:right w:val="nil"/>
            </w:tcBorders>
            <w:shd w:val="clear" w:color="auto" w:fill="auto"/>
            <w:noWrap/>
            <w:vAlign w:val="center"/>
            <w:hideMark/>
          </w:tcPr>
          <w:p w14:paraId="534E736B" w14:textId="77777777" w:rsidR="00DF211F" w:rsidRPr="0057171E" w:rsidRDefault="00DF211F" w:rsidP="00DF211F">
            <w:pPr>
              <w:spacing w:before="0" w:after="0" w:line="240" w:lineRule="auto"/>
              <w:jc w:val="right"/>
              <w:rPr>
                <w:rFonts w:ascii="Arial" w:hAnsi="Arial" w:cs="Arial"/>
                <w:color w:val="000000"/>
                <w:sz w:val="16"/>
                <w:szCs w:val="16"/>
              </w:rPr>
            </w:pPr>
            <w:r w:rsidRPr="0057171E">
              <w:rPr>
                <w:rFonts w:ascii="Arial" w:hAnsi="Arial" w:cs="Arial"/>
                <w:color w:val="000000"/>
                <w:sz w:val="16"/>
                <w:szCs w:val="16"/>
              </w:rPr>
              <w:t>$m</w:t>
            </w:r>
          </w:p>
        </w:tc>
        <w:tc>
          <w:tcPr>
            <w:tcW w:w="557" w:type="pct"/>
            <w:tcBorders>
              <w:top w:val="nil"/>
              <w:left w:val="nil"/>
              <w:bottom w:val="single" w:sz="4" w:space="0" w:color="293F5B"/>
              <w:right w:val="nil"/>
            </w:tcBorders>
            <w:shd w:val="clear" w:color="auto" w:fill="E6F2FF"/>
            <w:noWrap/>
            <w:vAlign w:val="center"/>
            <w:hideMark/>
          </w:tcPr>
          <w:p w14:paraId="03AEA8D1" w14:textId="77777777" w:rsidR="00DF211F" w:rsidRPr="0057171E" w:rsidRDefault="00DF211F" w:rsidP="00DF211F">
            <w:pPr>
              <w:spacing w:before="0" w:after="0" w:line="240" w:lineRule="auto"/>
              <w:jc w:val="right"/>
              <w:rPr>
                <w:rFonts w:ascii="Arial" w:hAnsi="Arial" w:cs="Arial"/>
                <w:color w:val="000000"/>
                <w:sz w:val="16"/>
                <w:szCs w:val="16"/>
              </w:rPr>
            </w:pPr>
            <w:r w:rsidRPr="0057171E">
              <w:rPr>
                <w:rFonts w:ascii="Arial" w:hAnsi="Arial" w:cs="Arial"/>
                <w:color w:val="000000"/>
                <w:sz w:val="16"/>
                <w:szCs w:val="16"/>
              </w:rPr>
              <w:t>$m</w:t>
            </w:r>
          </w:p>
        </w:tc>
        <w:tc>
          <w:tcPr>
            <w:tcW w:w="557" w:type="pct"/>
            <w:tcBorders>
              <w:top w:val="nil"/>
              <w:left w:val="nil"/>
              <w:bottom w:val="single" w:sz="4" w:space="0" w:color="293F5B"/>
              <w:right w:val="nil"/>
            </w:tcBorders>
            <w:shd w:val="clear" w:color="auto" w:fill="auto"/>
            <w:noWrap/>
            <w:vAlign w:val="center"/>
            <w:hideMark/>
          </w:tcPr>
          <w:p w14:paraId="5E8EFE57" w14:textId="77777777" w:rsidR="00DF211F" w:rsidRPr="0057171E" w:rsidRDefault="00DF211F" w:rsidP="00DF211F">
            <w:pPr>
              <w:spacing w:before="0" w:after="0" w:line="240" w:lineRule="auto"/>
              <w:jc w:val="right"/>
              <w:rPr>
                <w:rFonts w:ascii="Arial" w:hAnsi="Arial" w:cs="Arial"/>
                <w:color w:val="000000"/>
                <w:sz w:val="16"/>
                <w:szCs w:val="16"/>
              </w:rPr>
            </w:pPr>
            <w:r w:rsidRPr="0057171E">
              <w:rPr>
                <w:rFonts w:ascii="Arial" w:hAnsi="Arial" w:cs="Arial"/>
                <w:color w:val="000000"/>
                <w:sz w:val="16"/>
                <w:szCs w:val="16"/>
              </w:rPr>
              <w:t>$m</w:t>
            </w:r>
          </w:p>
        </w:tc>
        <w:tc>
          <w:tcPr>
            <w:tcW w:w="557" w:type="pct"/>
            <w:tcBorders>
              <w:top w:val="nil"/>
              <w:left w:val="nil"/>
              <w:bottom w:val="single" w:sz="4" w:space="0" w:color="293F5B"/>
              <w:right w:val="nil"/>
            </w:tcBorders>
            <w:shd w:val="clear" w:color="auto" w:fill="auto"/>
            <w:noWrap/>
            <w:vAlign w:val="center"/>
            <w:hideMark/>
          </w:tcPr>
          <w:p w14:paraId="2EC03416" w14:textId="77777777" w:rsidR="00DF211F" w:rsidRPr="0057171E" w:rsidRDefault="00DF211F" w:rsidP="00DF211F">
            <w:pPr>
              <w:spacing w:before="0" w:after="0" w:line="240" w:lineRule="auto"/>
              <w:jc w:val="right"/>
              <w:rPr>
                <w:rFonts w:ascii="Arial" w:hAnsi="Arial" w:cs="Arial"/>
                <w:color w:val="000000"/>
                <w:sz w:val="16"/>
                <w:szCs w:val="16"/>
              </w:rPr>
            </w:pPr>
            <w:r w:rsidRPr="0057171E">
              <w:rPr>
                <w:rFonts w:ascii="Arial" w:hAnsi="Arial" w:cs="Arial"/>
                <w:color w:val="000000"/>
                <w:sz w:val="16"/>
                <w:szCs w:val="16"/>
              </w:rPr>
              <w:t>$m</w:t>
            </w:r>
          </w:p>
        </w:tc>
        <w:tc>
          <w:tcPr>
            <w:tcW w:w="557" w:type="pct"/>
            <w:tcBorders>
              <w:top w:val="nil"/>
              <w:left w:val="nil"/>
              <w:bottom w:val="single" w:sz="4" w:space="0" w:color="293F5B"/>
              <w:right w:val="nil"/>
            </w:tcBorders>
            <w:shd w:val="clear" w:color="auto" w:fill="auto"/>
            <w:noWrap/>
            <w:vAlign w:val="center"/>
            <w:hideMark/>
          </w:tcPr>
          <w:p w14:paraId="1E9AF9B9" w14:textId="77777777" w:rsidR="00DF211F" w:rsidRPr="0057171E" w:rsidRDefault="00DF211F" w:rsidP="00DF211F">
            <w:pPr>
              <w:spacing w:before="0" w:after="0" w:line="240" w:lineRule="auto"/>
              <w:jc w:val="right"/>
              <w:rPr>
                <w:rFonts w:ascii="Arial" w:hAnsi="Arial" w:cs="Arial"/>
                <w:color w:val="000000"/>
                <w:sz w:val="16"/>
                <w:szCs w:val="16"/>
              </w:rPr>
            </w:pPr>
            <w:r w:rsidRPr="0057171E">
              <w:rPr>
                <w:rFonts w:ascii="Arial" w:hAnsi="Arial" w:cs="Arial"/>
                <w:color w:val="000000"/>
                <w:sz w:val="16"/>
                <w:szCs w:val="16"/>
              </w:rPr>
              <w:t>$m</w:t>
            </w:r>
          </w:p>
        </w:tc>
      </w:tr>
      <w:tr w:rsidR="00DF211F" w:rsidRPr="0057171E" w14:paraId="3DDFACD9" w14:textId="77777777" w:rsidTr="00CB45C4">
        <w:trPr>
          <w:trHeight w:hRule="exact" w:val="225"/>
        </w:trPr>
        <w:tc>
          <w:tcPr>
            <w:tcW w:w="2214" w:type="pct"/>
            <w:tcBorders>
              <w:top w:val="nil"/>
              <w:left w:val="nil"/>
              <w:bottom w:val="nil"/>
              <w:right w:val="nil"/>
            </w:tcBorders>
            <w:shd w:val="clear" w:color="auto" w:fill="auto"/>
            <w:noWrap/>
            <w:vAlign w:val="center"/>
            <w:hideMark/>
          </w:tcPr>
          <w:p w14:paraId="3599979F" w14:textId="77777777" w:rsidR="00DF211F" w:rsidRPr="0057171E" w:rsidRDefault="00DF211F" w:rsidP="00DF211F">
            <w:pPr>
              <w:spacing w:before="0" w:after="0" w:line="240" w:lineRule="auto"/>
              <w:rPr>
                <w:rFonts w:ascii="Arial" w:hAnsi="Arial" w:cs="Arial"/>
                <w:color w:val="000000"/>
                <w:sz w:val="16"/>
                <w:szCs w:val="16"/>
              </w:rPr>
            </w:pPr>
            <w:r w:rsidRPr="0057171E">
              <w:rPr>
                <w:rFonts w:ascii="Arial" w:hAnsi="Arial" w:cs="Arial"/>
                <w:color w:val="000000"/>
                <w:sz w:val="16"/>
                <w:szCs w:val="16"/>
              </w:rPr>
              <w:t>Higher education</w:t>
            </w:r>
          </w:p>
        </w:tc>
        <w:tc>
          <w:tcPr>
            <w:tcW w:w="558" w:type="pct"/>
            <w:tcBorders>
              <w:top w:val="nil"/>
              <w:left w:val="nil"/>
              <w:bottom w:val="nil"/>
              <w:right w:val="nil"/>
            </w:tcBorders>
            <w:shd w:val="clear" w:color="auto" w:fill="auto"/>
            <w:noWrap/>
            <w:vAlign w:val="center"/>
            <w:hideMark/>
          </w:tcPr>
          <w:p w14:paraId="605A792A" w14:textId="77777777" w:rsidR="00DF211F" w:rsidRPr="0057171E" w:rsidRDefault="00DF211F" w:rsidP="00DF211F">
            <w:pPr>
              <w:spacing w:before="0" w:after="0" w:line="240" w:lineRule="auto"/>
              <w:jc w:val="right"/>
              <w:rPr>
                <w:rFonts w:ascii="Arial" w:hAnsi="Arial" w:cs="Arial"/>
                <w:color w:val="000000"/>
                <w:sz w:val="16"/>
                <w:szCs w:val="16"/>
              </w:rPr>
            </w:pPr>
            <w:r w:rsidRPr="0057171E">
              <w:rPr>
                <w:rFonts w:ascii="Arial" w:hAnsi="Arial" w:cs="Arial"/>
                <w:color w:val="000000"/>
                <w:sz w:val="16"/>
                <w:szCs w:val="16"/>
              </w:rPr>
              <w:t>10,918</w:t>
            </w:r>
          </w:p>
        </w:tc>
        <w:tc>
          <w:tcPr>
            <w:tcW w:w="557" w:type="pct"/>
            <w:tcBorders>
              <w:top w:val="nil"/>
              <w:left w:val="nil"/>
              <w:bottom w:val="nil"/>
              <w:right w:val="nil"/>
            </w:tcBorders>
            <w:shd w:val="clear" w:color="auto" w:fill="E6F2FF"/>
            <w:noWrap/>
            <w:vAlign w:val="center"/>
            <w:hideMark/>
          </w:tcPr>
          <w:p w14:paraId="09E72843" w14:textId="77777777" w:rsidR="00DF211F" w:rsidRPr="0057171E" w:rsidRDefault="00DF211F" w:rsidP="00DF211F">
            <w:pPr>
              <w:spacing w:before="0" w:after="0" w:line="240" w:lineRule="auto"/>
              <w:jc w:val="right"/>
              <w:rPr>
                <w:rFonts w:ascii="Arial" w:hAnsi="Arial" w:cs="Arial"/>
                <w:color w:val="000000"/>
                <w:sz w:val="16"/>
                <w:szCs w:val="16"/>
              </w:rPr>
            </w:pPr>
            <w:r w:rsidRPr="0057171E">
              <w:rPr>
                <w:rFonts w:ascii="Arial" w:hAnsi="Arial" w:cs="Arial"/>
                <w:color w:val="000000"/>
                <w:sz w:val="16"/>
                <w:szCs w:val="16"/>
              </w:rPr>
              <w:t>11,540</w:t>
            </w:r>
          </w:p>
        </w:tc>
        <w:tc>
          <w:tcPr>
            <w:tcW w:w="557" w:type="pct"/>
            <w:tcBorders>
              <w:top w:val="nil"/>
              <w:left w:val="nil"/>
              <w:bottom w:val="nil"/>
              <w:right w:val="nil"/>
            </w:tcBorders>
            <w:shd w:val="clear" w:color="auto" w:fill="auto"/>
            <w:noWrap/>
            <w:vAlign w:val="center"/>
            <w:hideMark/>
          </w:tcPr>
          <w:p w14:paraId="04004A51" w14:textId="77777777" w:rsidR="00DF211F" w:rsidRPr="0057171E" w:rsidRDefault="00DF211F" w:rsidP="00DF211F">
            <w:pPr>
              <w:spacing w:before="0" w:after="0" w:line="240" w:lineRule="auto"/>
              <w:jc w:val="right"/>
              <w:rPr>
                <w:rFonts w:ascii="Arial" w:hAnsi="Arial" w:cs="Arial"/>
                <w:color w:val="000000"/>
                <w:sz w:val="16"/>
                <w:szCs w:val="16"/>
              </w:rPr>
            </w:pPr>
            <w:r w:rsidRPr="0057171E">
              <w:rPr>
                <w:rFonts w:ascii="Arial" w:hAnsi="Arial" w:cs="Arial"/>
                <w:color w:val="000000"/>
                <w:sz w:val="16"/>
                <w:szCs w:val="16"/>
              </w:rPr>
              <w:t>12,113</w:t>
            </w:r>
          </w:p>
        </w:tc>
        <w:tc>
          <w:tcPr>
            <w:tcW w:w="557" w:type="pct"/>
            <w:tcBorders>
              <w:top w:val="nil"/>
              <w:left w:val="nil"/>
              <w:bottom w:val="nil"/>
              <w:right w:val="nil"/>
            </w:tcBorders>
            <w:shd w:val="clear" w:color="auto" w:fill="auto"/>
            <w:noWrap/>
            <w:vAlign w:val="center"/>
            <w:hideMark/>
          </w:tcPr>
          <w:p w14:paraId="1A2FACD7" w14:textId="77777777" w:rsidR="00DF211F" w:rsidRPr="0057171E" w:rsidRDefault="00DF211F" w:rsidP="00DF211F">
            <w:pPr>
              <w:spacing w:before="0" w:after="0" w:line="240" w:lineRule="auto"/>
              <w:jc w:val="right"/>
              <w:rPr>
                <w:rFonts w:ascii="Arial" w:hAnsi="Arial" w:cs="Arial"/>
                <w:color w:val="000000"/>
                <w:sz w:val="16"/>
                <w:szCs w:val="16"/>
              </w:rPr>
            </w:pPr>
            <w:r w:rsidRPr="0057171E">
              <w:rPr>
                <w:rFonts w:ascii="Arial" w:hAnsi="Arial" w:cs="Arial"/>
                <w:color w:val="000000"/>
                <w:sz w:val="16"/>
                <w:szCs w:val="16"/>
              </w:rPr>
              <w:t>12,529</w:t>
            </w:r>
          </w:p>
        </w:tc>
        <w:tc>
          <w:tcPr>
            <w:tcW w:w="557" w:type="pct"/>
            <w:tcBorders>
              <w:top w:val="nil"/>
              <w:left w:val="nil"/>
              <w:bottom w:val="nil"/>
              <w:right w:val="nil"/>
            </w:tcBorders>
            <w:shd w:val="clear" w:color="auto" w:fill="auto"/>
            <w:noWrap/>
            <w:vAlign w:val="center"/>
            <w:hideMark/>
          </w:tcPr>
          <w:p w14:paraId="32067C6A" w14:textId="77777777" w:rsidR="00DF211F" w:rsidRPr="0057171E" w:rsidRDefault="00DF211F" w:rsidP="00DF211F">
            <w:pPr>
              <w:spacing w:before="0" w:after="0" w:line="240" w:lineRule="auto"/>
              <w:jc w:val="right"/>
              <w:rPr>
                <w:rFonts w:ascii="Arial" w:hAnsi="Arial" w:cs="Arial"/>
                <w:color w:val="000000"/>
                <w:sz w:val="16"/>
                <w:szCs w:val="16"/>
              </w:rPr>
            </w:pPr>
            <w:r w:rsidRPr="0057171E">
              <w:rPr>
                <w:rFonts w:ascii="Arial" w:hAnsi="Arial" w:cs="Arial"/>
                <w:color w:val="000000"/>
                <w:sz w:val="16"/>
                <w:szCs w:val="16"/>
              </w:rPr>
              <w:t>12,969</w:t>
            </w:r>
          </w:p>
        </w:tc>
      </w:tr>
      <w:tr w:rsidR="00DF211F" w:rsidRPr="0057171E" w14:paraId="4E262D14" w14:textId="77777777" w:rsidTr="00CB45C4">
        <w:trPr>
          <w:trHeight w:hRule="exact" w:val="225"/>
        </w:trPr>
        <w:tc>
          <w:tcPr>
            <w:tcW w:w="2214" w:type="pct"/>
            <w:tcBorders>
              <w:top w:val="nil"/>
              <w:left w:val="nil"/>
              <w:bottom w:val="nil"/>
              <w:right w:val="nil"/>
            </w:tcBorders>
            <w:shd w:val="clear" w:color="auto" w:fill="auto"/>
            <w:noWrap/>
            <w:vAlign w:val="center"/>
            <w:hideMark/>
          </w:tcPr>
          <w:p w14:paraId="48F6DF77" w14:textId="77777777" w:rsidR="00DF211F" w:rsidRPr="0057171E" w:rsidRDefault="00DF211F" w:rsidP="00DF211F">
            <w:pPr>
              <w:spacing w:before="0" w:after="0" w:line="240" w:lineRule="auto"/>
              <w:rPr>
                <w:rFonts w:ascii="Arial" w:hAnsi="Arial" w:cs="Arial"/>
                <w:color w:val="000000"/>
                <w:sz w:val="16"/>
                <w:szCs w:val="16"/>
              </w:rPr>
            </w:pPr>
            <w:r w:rsidRPr="0057171E">
              <w:rPr>
                <w:rFonts w:ascii="Arial" w:hAnsi="Arial" w:cs="Arial"/>
                <w:color w:val="000000"/>
                <w:sz w:val="16"/>
                <w:szCs w:val="16"/>
              </w:rPr>
              <w:t>Vocational and other education</w:t>
            </w:r>
          </w:p>
        </w:tc>
        <w:tc>
          <w:tcPr>
            <w:tcW w:w="558" w:type="pct"/>
            <w:tcBorders>
              <w:top w:val="nil"/>
              <w:left w:val="nil"/>
              <w:bottom w:val="nil"/>
              <w:right w:val="nil"/>
            </w:tcBorders>
            <w:shd w:val="clear" w:color="auto" w:fill="auto"/>
            <w:noWrap/>
            <w:vAlign w:val="center"/>
            <w:hideMark/>
          </w:tcPr>
          <w:p w14:paraId="41E7C1E1" w14:textId="77777777" w:rsidR="00DF211F" w:rsidRPr="0057171E" w:rsidRDefault="00DF211F" w:rsidP="00DF211F">
            <w:pPr>
              <w:spacing w:before="0" w:after="0" w:line="240" w:lineRule="auto"/>
              <w:jc w:val="right"/>
              <w:rPr>
                <w:rFonts w:ascii="Arial" w:hAnsi="Arial" w:cs="Arial"/>
                <w:color w:val="000000"/>
                <w:sz w:val="16"/>
                <w:szCs w:val="16"/>
              </w:rPr>
            </w:pPr>
            <w:r w:rsidRPr="0057171E">
              <w:rPr>
                <w:rFonts w:ascii="Arial" w:hAnsi="Arial" w:cs="Arial"/>
                <w:color w:val="000000"/>
                <w:sz w:val="16"/>
                <w:szCs w:val="16"/>
              </w:rPr>
              <w:t>2,351</w:t>
            </w:r>
          </w:p>
        </w:tc>
        <w:tc>
          <w:tcPr>
            <w:tcW w:w="557" w:type="pct"/>
            <w:tcBorders>
              <w:top w:val="nil"/>
              <w:left w:val="nil"/>
              <w:bottom w:val="nil"/>
              <w:right w:val="nil"/>
            </w:tcBorders>
            <w:shd w:val="clear" w:color="auto" w:fill="E6F2FF"/>
            <w:noWrap/>
            <w:vAlign w:val="center"/>
            <w:hideMark/>
          </w:tcPr>
          <w:p w14:paraId="7305B2EC" w14:textId="77777777" w:rsidR="00DF211F" w:rsidRPr="0057171E" w:rsidRDefault="00DF211F" w:rsidP="00DF211F">
            <w:pPr>
              <w:spacing w:before="0" w:after="0" w:line="240" w:lineRule="auto"/>
              <w:jc w:val="right"/>
              <w:rPr>
                <w:rFonts w:ascii="Arial" w:hAnsi="Arial" w:cs="Arial"/>
                <w:color w:val="000000"/>
                <w:sz w:val="16"/>
                <w:szCs w:val="16"/>
              </w:rPr>
            </w:pPr>
            <w:r w:rsidRPr="0057171E">
              <w:rPr>
                <w:rFonts w:ascii="Arial" w:hAnsi="Arial" w:cs="Arial"/>
                <w:color w:val="000000"/>
                <w:sz w:val="16"/>
                <w:szCs w:val="16"/>
              </w:rPr>
              <w:t>2,540</w:t>
            </w:r>
          </w:p>
        </w:tc>
        <w:tc>
          <w:tcPr>
            <w:tcW w:w="557" w:type="pct"/>
            <w:tcBorders>
              <w:top w:val="nil"/>
              <w:left w:val="nil"/>
              <w:bottom w:val="nil"/>
              <w:right w:val="nil"/>
            </w:tcBorders>
            <w:shd w:val="clear" w:color="auto" w:fill="auto"/>
            <w:noWrap/>
            <w:vAlign w:val="center"/>
            <w:hideMark/>
          </w:tcPr>
          <w:p w14:paraId="3CADEDF0" w14:textId="77777777" w:rsidR="00DF211F" w:rsidRPr="0057171E" w:rsidRDefault="00DF211F" w:rsidP="00DF211F">
            <w:pPr>
              <w:spacing w:before="0" w:after="0" w:line="240" w:lineRule="auto"/>
              <w:jc w:val="right"/>
              <w:rPr>
                <w:rFonts w:ascii="Arial" w:hAnsi="Arial" w:cs="Arial"/>
                <w:color w:val="000000"/>
                <w:sz w:val="16"/>
                <w:szCs w:val="16"/>
              </w:rPr>
            </w:pPr>
            <w:r w:rsidRPr="0057171E">
              <w:rPr>
                <w:rFonts w:ascii="Arial" w:hAnsi="Arial" w:cs="Arial"/>
                <w:color w:val="000000"/>
                <w:sz w:val="16"/>
                <w:szCs w:val="16"/>
              </w:rPr>
              <w:t>2,654</w:t>
            </w:r>
          </w:p>
        </w:tc>
        <w:tc>
          <w:tcPr>
            <w:tcW w:w="557" w:type="pct"/>
            <w:tcBorders>
              <w:top w:val="nil"/>
              <w:left w:val="nil"/>
              <w:bottom w:val="nil"/>
              <w:right w:val="nil"/>
            </w:tcBorders>
            <w:shd w:val="clear" w:color="auto" w:fill="auto"/>
            <w:noWrap/>
            <w:vAlign w:val="center"/>
            <w:hideMark/>
          </w:tcPr>
          <w:p w14:paraId="778DE0BB" w14:textId="77777777" w:rsidR="00DF211F" w:rsidRPr="0057171E" w:rsidRDefault="00DF211F" w:rsidP="00DF211F">
            <w:pPr>
              <w:spacing w:before="0" w:after="0" w:line="240" w:lineRule="auto"/>
              <w:jc w:val="right"/>
              <w:rPr>
                <w:rFonts w:ascii="Arial" w:hAnsi="Arial" w:cs="Arial"/>
                <w:color w:val="000000"/>
                <w:sz w:val="16"/>
                <w:szCs w:val="16"/>
              </w:rPr>
            </w:pPr>
            <w:r w:rsidRPr="0057171E">
              <w:rPr>
                <w:rFonts w:ascii="Arial" w:hAnsi="Arial" w:cs="Arial"/>
                <w:color w:val="000000"/>
                <w:sz w:val="16"/>
                <w:szCs w:val="16"/>
              </w:rPr>
              <w:t>2,657</w:t>
            </w:r>
          </w:p>
        </w:tc>
        <w:tc>
          <w:tcPr>
            <w:tcW w:w="557" w:type="pct"/>
            <w:tcBorders>
              <w:top w:val="nil"/>
              <w:left w:val="nil"/>
              <w:bottom w:val="nil"/>
              <w:right w:val="nil"/>
            </w:tcBorders>
            <w:shd w:val="clear" w:color="auto" w:fill="auto"/>
            <w:noWrap/>
            <w:vAlign w:val="center"/>
            <w:hideMark/>
          </w:tcPr>
          <w:p w14:paraId="18F37041" w14:textId="77777777" w:rsidR="00DF211F" w:rsidRPr="0057171E" w:rsidRDefault="00DF211F" w:rsidP="00DF211F">
            <w:pPr>
              <w:spacing w:before="0" w:after="0" w:line="240" w:lineRule="auto"/>
              <w:jc w:val="right"/>
              <w:rPr>
                <w:rFonts w:ascii="Arial" w:hAnsi="Arial" w:cs="Arial"/>
                <w:color w:val="000000"/>
                <w:sz w:val="16"/>
                <w:szCs w:val="16"/>
              </w:rPr>
            </w:pPr>
            <w:r w:rsidRPr="0057171E">
              <w:rPr>
                <w:rFonts w:ascii="Arial" w:hAnsi="Arial" w:cs="Arial"/>
                <w:color w:val="000000"/>
                <w:sz w:val="16"/>
                <w:szCs w:val="16"/>
              </w:rPr>
              <w:t>2,542</w:t>
            </w:r>
          </w:p>
        </w:tc>
      </w:tr>
      <w:tr w:rsidR="00DF211F" w:rsidRPr="0057171E" w14:paraId="2B9310FE" w14:textId="77777777" w:rsidTr="00CB45C4">
        <w:trPr>
          <w:trHeight w:hRule="exact" w:val="225"/>
        </w:trPr>
        <w:tc>
          <w:tcPr>
            <w:tcW w:w="2214" w:type="pct"/>
            <w:tcBorders>
              <w:top w:val="nil"/>
              <w:left w:val="nil"/>
              <w:bottom w:val="nil"/>
              <w:right w:val="nil"/>
            </w:tcBorders>
            <w:shd w:val="clear" w:color="auto" w:fill="auto"/>
            <w:noWrap/>
            <w:vAlign w:val="center"/>
            <w:hideMark/>
          </w:tcPr>
          <w:p w14:paraId="299C2C56" w14:textId="77777777" w:rsidR="00DF211F" w:rsidRPr="0057171E" w:rsidRDefault="00DF211F" w:rsidP="00DF211F">
            <w:pPr>
              <w:spacing w:before="0" w:after="0" w:line="240" w:lineRule="auto"/>
              <w:rPr>
                <w:rFonts w:ascii="Arial" w:hAnsi="Arial" w:cs="Arial"/>
                <w:color w:val="000000"/>
                <w:sz w:val="16"/>
                <w:szCs w:val="16"/>
              </w:rPr>
            </w:pPr>
            <w:r w:rsidRPr="0057171E">
              <w:rPr>
                <w:rFonts w:ascii="Arial" w:hAnsi="Arial" w:cs="Arial"/>
                <w:color w:val="000000"/>
                <w:sz w:val="16"/>
                <w:szCs w:val="16"/>
              </w:rPr>
              <w:t>Schools</w:t>
            </w:r>
          </w:p>
        </w:tc>
        <w:tc>
          <w:tcPr>
            <w:tcW w:w="558" w:type="pct"/>
            <w:tcBorders>
              <w:top w:val="nil"/>
              <w:left w:val="nil"/>
              <w:bottom w:val="nil"/>
              <w:right w:val="nil"/>
            </w:tcBorders>
            <w:shd w:val="clear" w:color="auto" w:fill="auto"/>
            <w:noWrap/>
            <w:vAlign w:val="center"/>
            <w:hideMark/>
          </w:tcPr>
          <w:p w14:paraId="675DB170" w14:textId="77777777" w:rsidR="00DF211F" w:rsidRPr="0057171E" w:rsidRDefault="00DF211F" w:rsidP="00DF211F">
            <w:pPr>
              <w:spacing w:before="0" w:after="0" w:line="240" w:lineRule="auto"/>
              <w:jc w:val="right"/>
              <w:rPr>
                <w:rFonts w:ascii="Arial" w:hAnsi="Arial" w:cs="Arial"/>
                <w:color w:val="000000"/>
                <w:sz w:val="16"/>
                <w:szCs w:val="16"/>
              </w:rPr>
            </w:pPr>
            <w:r w:rsidRPr="0057171E">
              <w:rPr>
                <w:rFonts w:ascii="Arial" w:hAnsi="Arial" w:cs="Arial"/>
                <w:color w:val="000000"/>
                <w:sz w:val="16"/>
                <w:szCs w:val="16"/>
              </w:rPr>
              <w:t>29,215</w:t>
            </w:r>
          </w:p>
        </w:tc>
        <w:tc>
          <w:tcPr>
            <w:tcW w:w="557" w:type="pct"/>
            <w:tcBorders>
              <w:top w:val="nil"/>
              <w:left w:val="nil"/>
              <w:bottom w:val="nil"/>
              <w:right w:val="nil"/>
            </w:tcBorders>
            <w:shd w:val="clear" w:color="auto" w:fill="E6F2FF"/>
            <w:noWrap/>
            <w:vAlign w:val="center"/>
            <w:hideMark/>
          </w:tcPr>
          <w:p w14:paraId="106CF97F" w14:textId="77777777" w:rsidR="00DF211F" w:rsidRPr="0057171E" w:rsidRDefault="00DF211F" w:rsidP="00DF211F">
            <w:pPr>
              <w:spacing w:before="0" w:after="0" w:line="240" w:lineRule="auto"/>
              <w:jc w:val="right"/>
              <w:rPr>
                <w:rFonts w:ascii="Arial" w:hAnsi="Arial" w:cs="Arial"/>
                <w:color w:val="000000"/>
                <w:sz w:val="16"/>
                <w:szCs w:val="16"/>
              </w:rPr>
            </w:pPr>
            <w:r w:rsidRPr="0057171E">
              <w:rPr>
                <w:rFonts w:ascii="Arial" w:hAnsi="Arial" w:cs="Arial"/>
                <w:color w:val="000000"/>
                <w:sz w:val="16"/>
                <w:szCs w:val="16"/>
              </w:rPr>
              <w:t>30,201</w:t>
            </w:r>
          </w:p>
        </w:tc>
        <w:tc>
          <w:tcPr>
            <w:tcW w:w="557" w:type="pct"/>
            <w:tcBorders>
              <w:top w:val="nil"/>
              <w:left w:val="nil"/>
              <w:bottom w:val="nil"/>
              <w:right w:val="nil"/>
            </w:tcBorders>
            <w:shd w:val="clear" w:color="auto" w:fill="auto"/>
            <w:noWrap/>
            <w:vAlign w:val="center"/>
            <w:hideMark/>
          </w:tcPr>
          <w:p w14:paraId="3FAC2E84" w14:textId="77777777" w:rsidR="00DF211F" w:rsidRPr="0057171E" w:rsidRDefault="00DF211F" w:rsidP="00DF211F">
            <w:pPr>
              <w:spacing w:before="0" w:after="0" w:line="240" w:lineRule="auto"/>
              <w:jc w:val="right"/>
              <w:rPr>
                <w:rFonts w:ascii="Arial" w:hAnsi="Arial" w:cs="Arial"/>
                <w:color w:val="000000"/>
                <w:sz w:val="16"/>
                <w:szCs w:val="16"/>
              </w:rPr>
            </w:pPr>
            <w:r w:rsidRPr="0057171E">
              <w:rPr>
                <w:rFonts w:ascii="Arial" w:hAnsi="Arial" w:cs="Arial"/>
                <w:color w:val="000000"/>
                <w:sz w:val="16"/>
                <w:szCs w:val="16"/>
              </w:rPr>
              <w:t>31,385</w:t>
            </w:r>
          </w:p>
        </w:tc>
        <w:tc>
          <w:tcPr>
            <w:tcW w:w="557" w:type="pct"/>
            <w:tcBorders>
              <w:top w:val="nil"/>
              <w:left w:val="nil"/>
              <w:bottom w:val="nil"/>
              <w:right w:val="nil"/>
            </w:tcBorders>
            <w:shd w:val="clear" w:color="auto" w:fill="auto"/>
            <w:noWrap/>
            <w:vAlign w:val="center"/>
            <w:hideMark/>
          </w:tcPr>
          <w:p w14:paraId="4B814C54" w14:textId="77777777" w:rsidR="00DF211F" w:rsidRPr="0057171E" w:rsidRDefault="00DF211F" w:rsidP="00DF211F">
            <w:pPr>
              <w:spacing w:before="0" w:after="0" w:line="240" w:lineRule="auto"/>
              <w:jc w:val="right"/>
              <w:rPr>
                <w:rFonts w:ascii="Arial" w:hAnsi="Arial" w:cs="Arial"/>
                <w:color w:val="000000"/>
                <w:sz w:val="16"/>
                <w:szCs w:val="16"/>
              </w:rPr>
            </w:pPr>
            <w:r w:rsidRPr="0057171E">
              <w:rPr>
                <w:rFonts w:ascii="Arial" w:hAnsi="Arial" w:cs="Arial"/>
                <w:color w:val="000000"/>
                <w:sz w:val="16"/>
                <w:szCs w:val="16"/>
              </w:rPr>
              <w:t>32,597</w:t>
            </w:r>
          </w:p>
        </w:tc>
        <w:tc>
          <w:tcPr>
            <w:tcW w:w="557" w:type="pct"/>
            <w:tcBorders>
              <w:top w:val="nil"/>
              <w:left w:val="nil"/>
              <w:bottom w:val="nil"/>
              <w:right w:val="nil"/>
            </w:tcBorders>
            <w:shd w:val="clear" w:color="auto" w:fill="auto"/>
            <w:noWrap/>
            <w:vAlign w:val="center"/>
            <w:hideMark/>
          </w:tcPr>
          <w:p w14:paraId="3A5A0C35" w14:textId="77777777" w:rsidR="00DF211F" w:rsidRPr="0057171E" w:rsidRDefault="00DF211F" w:rsidP="00DF211F">
            <w:pPr>
              <w:spacing w:before="0" w:after="0" w:line="240" w:lineRule="auto"/>
              <w:jc w:val="right"/>
              <w:rPr>
                <w:rFonts w:ascii="Arial" w:hAnsi="Arial" w:cs="Arial"/>
                <w:color w:val="000000"/>
                <w:sz w:val="16"/>
                <w:szCs w:val="16"/>
              </w:rPr>
            </w:pPr>
            <w:r w:rsidRPr="0057171E">
              <w:rPr>
                <w:rFonts w:ascii="Arial" w:hAnsi="Arial" w:cs="Arial"/>
                <w:color w:val="000000"/>
                <w:sz w:val="16"/>
                <w:szCs w:val="16"/>
              </w:rPr>
              <w:t>33,833</w:t>
            </w:r>
          </w:p>
        </w:tc>
      </w:tr>
      <w:tr w:rsidR="00DF211F" w:rsidRPr="0057171E" w14:paraId="3B0565EF" w14:textId="77777777" w:rsidTr="00CB45C4">
        <w:trPr>
          <w:trHeight w:hRule="exact" w:val="225"/>
        </w:trPr>
        <w:tc>
          <w:tcPr>
            <w:tcW w:w="2214" w:type="pct"/>
            <w:tcBorders>
              <w:top w:val="nil"/>
              <w:left w:val="nil"/>
              <w:bottom w:val="nil"/>
              <w:right w:val="nil"/>
            </w:tcBorders>
            <w:shd w:val="clear" w:color="auto" w:fill="auto"/>
            <w:noWrap/>
            <w:vAlign w:val="center"/>
            <w:hideMark/>
          </w:tcPr>
          <w:p w14:paraId="43FF9B8B" w14:textId="77777777" w:rsidR="00DF211F" w:rsidRPr="0057171E" w:rsidRDefault="00DF211F" w:rsidP="00BD403E">
            <w:pPr>
              <w:spacing w:before="0" w:after="0" w:line="240" w:lineRule="auto"/>
              <w:ind w:left="170"/>
              <w:rPr>
                <w:rFonts w:ascii="Arial" w:hAnsi="Arial" w:cs="Arial"/>
                <w:i/>
                <w:iCs/>
                <w:color w:val="000000"/>
                <w:sz w:val="16"/>
                <w:szCs w:val="16"/>
              </w:rPr>
            </w:pPr>
            <w:r w:rsidRPr="0057171E">
              <w:rPr>
                <w:rFonts w:ascii="Arial" w:hAnsi="Arial" w:cs="Arial"/>
                <w:i/>
                <w:iCs/>
                <w:color w:val="000000"/>
                <w:sz w:val="16"/>
                <w:szCs w:val="16"/>
              </w:rPr>
              <w:t>Non-government schools</w:t>
            </w:r>
          </w:p>
        </w:tc>
        <w:tc>
          <w:tcPr>
            <w:tcW w:w="558" w:type="pct"/>
            <w:tcBorders>
              <w:top w:val="nil"/>
              <w:left w:val="nil"/>
              <w:bottom w:val="nil"/>
              <w:right w:val="nil"/>
            </w:tcBorders>
            <w:shd w:val="clear" w:color="auto" w:fill="auto"/>
            <w:noWrap/>
            <w:vAlign w:val="center"/>
            <w:hideMark/>
          </w:tcPr>
          <w:p w14:paraId="3FFEF0F9" w14:textId="77777777" w:rsidR="00DF211F" w:rsidRPr="0057171E" w:rsidRDefault="00DF211F" w:rsidP="00DF211F">
            <w:pPr>
              <w:spacing w:before="0" w:after="0" w:line="240" w:lineRule="auto"/>
              <w:jc w:val="right"/>
              <w:rPr>
                <w:rFonts w:ascii="Arial" w:hAnsi="Arial" w:cs="Arial"/>
                <w:i/>
                <w:iCs/>
                <w:color w:val="000000"/>
                <w:sz w:val="16"/>
                <w:szCs w:val="16"/>
              </w:rPr>
            </w:pPr>
            <w:r w:rsidRPr="0057171E">
              <w:rPr>
                <w:rFonts w:ascii="Arial" w:hAnsi="Arial" w:cs="Arial"/>
                <w:i/>
                <w:iCs/>
                <w:color w:val="000000"/>
                <w:sz w:val="16"/>
                <w:szCs w:val="16"/>
              </w:rPr>
              <w:t>18,116</w:t>
            </w:r>
          </w:p>
        </w:tc>
        <w:tc>
          <w:tcPr>
            <w:tcW w:w="557" w:type="pct"/>
            <w:tcBorders>
              <w:top w:val="nil"/>
              <w:left w:val="nil"/>
              <w:bottom w:val="nil"/>
              <w:right w:val="nil"/>
            </w:tcBorders>
            <w:shd w:val="clear" w:color="auto" w:fill="E6F2FF"/>
            <w:noWrap/>
            <w:vAlign w:val="center"/>
            <w:hideMark/>
          </w:tcPr>
          <w:p w14:paraId="326F5341" w14:textId="77777777" w:rsidR="00DF211F" w:rsidRPr="008B353F" w:rsidRDefault="00DF211F" w:rsidP="00DF211F">
            <w:pPr>
              <w:spacing w:before="0" w:after="0" w:line="240" w:lineRule="auto"/>
              <w:jc w:val="right"/>
              <w:rPr>
                <w:rFonts w:ascii="Arial" w:hAnsi="Arial" w:cs="Arial"/>
                <w:color w:val="000000"/>
                <w:sz w:val="16"/>
                <w:szCs w:val="16"/>
              </w:rPr>
            </w:pPr>
            <w:r w:rsidRPr="008B353F">
              <w:rPr>
                <w:rFonts w:ascii="Arial" w:hAnsi="Arial" w:cs="Arial"/>
                <w:color w:val="000000"/>
                <w:sz w:val="16"/>
                <w:szCs w:val="16"/>
              </w:rPr>
              <w:t>18,726</w:t>
            </w:r>
          </w:p>
        </w:tc>
        <w:tc>
          <w:tcPr>
            <w:tcW w:w="557" w:type="pct"/>
            <w:tcBorders>
              <w:top w:val="nil"/>
              <w:left w:val="nil"/>
              <w:bottom w:val="nil"/>
              <w:right w:val="nil"/>
            </w:tcBorders>
            <w:shd w:val="clear" w:color="auto" w:fill="auto"/>
            <w:noWrap/>
            <w:vAlign w:val="center"/>
            <w:hideMark/>
          </w:tcPr>
          <w:p w14:paraId="73D9B36F" w14:textId="77777777" w:rsidR="00DF211F" w:rsidRPr="0057171E" w:rsidRDefault="00DF211F" w:rsidP="00DF211F">
            <w:pPr>
              <w:spacing w:before="0" w:after="0" w:line="240" w:lineRule="auto"/>
              <w:jc w:val="right"/>
              <w:rPr>
                <w:rFonts w:ascii="Arial" w:hAnsi="Arial" w:cs="Arial"/>
                <w:i/>
                <w:iCs/>
                <w:color w:val="000000"/>
                <w:sz w:val="16"/>
                <w:szCs w:val="16"/>
              </w:rPr>
            </w:pPr>
            <w:r w:rsidRPr="0057171E">
              <w:rPr>
                <w:rFonts w:ascii="Arial" w:hAnsi="Arial" w:cs="Arial"/>
                <w:i/>
                <w:iCs/>
                <w:color w:val="000000"/>
                <w:sz w:val="16"/>
                <w:szCs w:val="16"/>
              </w:rPr>
              <w:t>19,497</w:t>
            </w:r>
          </w:p>
        </w:tc>
        <w:tc>
          <w:tcPr>
            <w:tcW w:w="557" w:type="pct"/>
            <w:tcBorders>
              <w:top w:val="nil"/>
              <w:left w:val="nil"/>
              <w:bottom w:val="nil"/>
              <w:right w:val="nil"/>
            </w:tcBorders>
            <w:shd w:val="clear" w:color="auto" w:fill="auto"/>
            <w:noWrap/>
            <w:vAlign w:val="center"/>
            <w:hideMark/>
          </w:tcPr>
          <w:p w14:paraId="01C5ACD4" w14:textId="77777777" w:rsidR="00DF211F" w:rsidRPr="0057171E" w:rsidRDefault="00DF211F" w:rsidP="00DF211F">
            <w:pPr>
              <w:spacing w:before="0" w:after="0" w:line="240" w:lineRule="auto"/>
              <w:jc w:val="right"/>
              <w:rPr>
                <w:rFonts w:ascii="Arial" w:hAnsi="Arial" w:cs="Arial"/>
                <w:i/>
                <w:iCs/>
                <w:color w:val="000000"/>
                <w:sz w:val="16"/>
                <w:szCs w:val="16"/>
              </w:rPr>
            </w:pPr>
            <w:r w:rsidRPr="0057171E">
              <w:rPr>
                <w:rFonts w:ascii="Arial" w:hAnsi="Arial" w:cs="Arial"/>
                <w:i/>
                <w:iCs/>
                <w:color w:val="000000"/>
                <w:sz w:val="16"/>
                <w:szCs w:val="16"/>
              </w:rPr>
              <w:t>20,275</w:t>
            </w:r>
          </w:p>
        </w:tc>
        <w:tc>
          <w:tcPr>
            <w:tcW w:w="557" w:type="pct"/>
            <w:tcBorders>
              <w:top w:val="nil"/>
              <w:left w:val="nil"/>
              <w:bottom w:val="nil"/>
              <w:right w:val="nil"/>
            </w:tcBorders>
            <w:shd w:val="clear" w:color="auto" w:fill="auto"/>
            <w:noWrap/>
            <w:vAlign w:val="center"/>
            <w:hideMark/>
          </w:tcPr>
          <w:p w14:paraId="1783EC1A" w14:textId="77777777" w:rsidR="00DF211F" w:rsidRPr="0057171E" w:rsidRDefault="00DF211F" w:rsidP="00DF211F">
            <w:pPr>
              <w:spacing w:before="0" w:after="0" w:line="240" w:lineRule="auto"/>
              <w:jc w:val="right"/>
              <w:rPr>
                <w:rFonts w:ascii="Arial" w:hAnsi="Arial" w:cs="Arial"/>
                <w:i/>
                <w:iCs/>
                <w:color w:val="000000"/>
                <w:sz w:val="16"/>
                <w:szCs w:val="16"/>
              </w:rPr>
            </w:pPr>
            <w:r w:rsidRPr="0057171E">
              <w:rPr>
                <w:rFonts w:ascii="Arial" w:hAnsi="Arial" w:cs="Arial"/>
                <w:i/>
                <w:iCs/>
                <w:color w:val="000000"/>
                <w:sz w:val="16"/>
                <w:szCs w:val="16"/>
              </w:rPr>
              <w:t>21,051</w:t>
            </w:r>
          </w:p>
        </w:tc>
      </w:tr>
      <w:tr w:rsidR="00DF211F" w:rsidRPr="0057171E" w14:paraId="415DBDBA" w14:textId="77777777" w:rsidTr="00CB45C4">
        <w:trPr>
          <w:trHeight w:hRule="exact" w:val="225"/>
        </w:trPr>
        <w:tc>
          <w:tcPr>
            <w:tcW w:w="2214" w:type="pct"/>
            <w:tcBorders>
              <w:top w:val="nil"/>
              <w:left w:val="nil"/>
              <w:bottom w:val="nil"/>
              <w:right w:val="nil"/>
            </w:tcBorders>
            <w:shd w:val="clear" w:color="auto" w:fill="auto"/>
            <w:noWrap/>
            <w:vAlign w:val="center"/>
            <w:hideMark/>
          </w:tcPr>
          <w:p w14:paraId="59244D0D" w14:textId="77777777" w:rsidR="00DF211F" w:rsidRPr="0057171E" w:rsidRDefault="00DF211F" w:rsidP="00BD403E">
            <w:pPr>
              <w:spacing w:before="0" w:after="0" w:line="240" w:lineRule="auto"/>
              <w:ind w:left="170"/>
              <w:rPr>
                <w:rFonts w:ascii="Arial" w:hAnsi="Arial" w:cs="Arial"/>
                <w:i/>
                <w:iCs/>
                <w:color w:val="000000"/>
                <w:sz w:val="16"/>
                <w:szCs w:val="16"/>
              </w:rPr>
            </w:pPr>
            <w:r w:rsidRPr="0057171E">
              <w:rPr>
                <w:rFonts w:ascii="Arial" w:hAnsi="Arial" w:cs="Arial"/>
                <w:i/>
                <w:iCs/>
                <w:color w:val="000000"/>
                <w:sz w:val="16"/>
                <w:szCs w:val="16"/>
              </w:rPr>
              <w:t>Government schools</w:t>
            </w:r>
          </w:p>
        </w:tc>
        <w:tc>
          <w:tcPr>
            <w:tcW w:w="558" w:type="pct"/>
            <w:tcBorders>
              <w:top w:val="nil"/>
              <w:left w:val="nil"/>
              <w:bottom w:val="nil"/>
              <w:right w:val="nil"/>
            </w:tcBorders>
            <w:shd w:val="clear" w:color="auto" w:fill="auto"/>
            <w:noWrap/>
            <w:vAlign w:val="center"/>
            <w:hideMark/>
          </w:tcPr>
          <w:p w14:paraId="60ACD3A6" w14:textId="77777777" w:rsidR="00DF211F" w:rsidRPr="0057171E" w:rsidRDefault="00DF211F" w:rsidP="00DF211F">
            <w:pPr>
              <w:spacing w:before="0" w:after="0" w:line="240" w:lineRule="auto"/>
              <w:jc w:val="right"/>
              <w:rPr>
                <w:rFonts w:ascii="Arial" w:hAnsi="Arial" w:cs="Arial"/>
                <w:i/>
                <w:iCs/>
                <w:color w:val="000000"/>
                <w:sz w:val="16"/>
                <w:szCs w:val="16"/>
              </w:rPr>
            </w:pPr>
            <w:r w:rsidRPr="0057171E">
              <w:rPr>
                <w:rFonts w:ascii="Arial" w:hAnsi="Arial" w:cs="Arial"/>
                <w:i/>
                <w:iCs/>
                <w:color w:val="000000"/>
                <w:sz w:val="16"/>
                <w:szCs w:val="16"/>
              </w:rPr>
              <w:t>11,099</w:t>
            </w:r>
          </w:p>
        </w:tc>
        <w:tc>
          <w:tcPr>
            <w:tcW w:w="557" w:type="pct"/>
            <w:tcBorders>
              <w:top w:val="nil"/>
              <w:left w:val="nil"/>
              <w:bottom w:val="nil"/>
              <w:right w:val="nil"/>
            </w:tcBorders>
            <w:shd w:val="clear" w:color="auto" w:fill="E6F2FF"/>
            <w:noWrap/>
            <w:vAlign w:val="center"/>
            <w:hideMark/>
          </w:tcPr>
          <w:p w14:paraId="61405EAB" w14:textId="77777777" w:rsidR="00DF211F" w:rsidRPr="008B353F" w:rsidRDefault="00DF211F" w:rsidP="00DF211F">
            <w:pPr>
              <w:spacing w:before="0" w:after="0" w:line="240" w:lineRule="auto"/>
              <w:jc w:val="right"/>
              <w:rPr>
                <w:rFonts w:ascii="Arial" w:hAnsi="Arial" w:cs="Arial"/>
                <w:color w:val="000000"/>
                <w:sz w:val="16"/>
                <w:szCs w:val="16"/>
              </w:rPr>
            </w:pPr>
            <w:r w:rsidRPr="008B353F">
              <w:rPr>
                <w:rFonts w:ascii="Arial" w:hAnsi="Arial" w:cs="Arial"/>
                <w:color w:val="000000"/>
                <w:sz w:val="16"/>
                <w:szCs w:val="16"/>
              </w:rPr>
              <w:t>11,474</w:t>
            </w:r>
          </w:p>
        </w:tc>
        <w:tc>
          <w:tcPr>
            <w:tcW w:w="557" w:type="pct"/>
            <w:tcBorders>
              <w:top w:val="nil"/>
              <w:left w:val="nil"/>
              <w:bottom w:val="nil"/>
              <w:right w:val="nil"/>
            </w:tcBorders>
            <w:shd w:val="clear" w:color="auto" w:fill="auto"/>
            <w:noWrap/>
            <w:vAlign w:val="center"/>
            <w:hideMark/>
          </w:tcPr>
          <w:p w14:paraId="7D7CBE61" w14:textId="77777777" w:rsidR="00DF211F" w:rsidRPr="0057171E" w:rsidRDefault="00DF211F" w:rsidP="00DF211F">
            <w:pPr>
              <w:spacing w:before="0" w:after="0" w:line="240" w:lineRule="auto"/>
              <w:jc w:val="right"/>
              <w:rPr>
                <w:rFonts w:ascii="Arial" w:hAnsi="Arial" w:cs="Arial"/>
                <w:i/>
                <w:iCs/>
                <w:color w:val="000000"/>
                <w:sz w:val="16"/>
                <w:szCs w:val="16"/>
              </w:rPr>
            </w:pPr>
            <w:r w:rsidRPr="0057171E">
              <w:rPr>
                <w:rFonts w:ascii="Arial" w:hAnsi="Arial" w:cs="Arial"/>
                <w:i/>
                <w:iCs/>
                <w:color w:val="000000"/>
                <w:sz w:val="16"/>
                <w:szCs w:val="16"/>
              </w:rPr>
              <w:t>11,889</w:t>
            </w:r>
          </w:p>
        </w:tc>
        <w:tc>
          <w:tcPr>
            <w:tcW w:w="557" w:type="pct"/>
            <w:tcBorders>
              <w:top w:val="nil"/>
              <w:left w:val="nil"/>
              <w:bottom w:val="nil"/>
              <w:right w:val="nil"/>
            </w:tcBorders>
            <w:shd w:val="clear" w:color="auto" w:fill="auto"/>
            <w:noWrap/>
            <w:vAlign w:val="center"/>
            <w:hideMark/>
          </w:tcPr>
          <w:p w14:paraId="35A07D89" w14:textId="77777777" w:rsidR="00DF211F" w:rsidRPr="0057171E" w:rsidRDefault="00DF211F" w:rsidP="00DF211F">
            <w:pPr>
              <w:spacing w:before="0" w:after="0" w:line="240" w:lineRule="auto"/>
              <w:jc w:val="right"/>
              <w:rPr>
                <w:rFonts w:ascii="Arial" w:hAnsi="Arial" w:cs="Arial"/>
                <w:i/>
                <w:iCs/>
                <w:color w:val="000000"/>
                <w:sz w:val="16"/>
                <w:szCs w:val="16"/>
              </w:rPr>
            </w:pPr>
            <w:r w:rsidRPr="0057171E">
              <w:rPr>
                <w:rFonts w:ascii="Arial" w:hAnsi="Arial" w:cs="Arial"/>
                <w:i/>
                <w:iCs/>
                <w:color w:val="000000"/>
                <w:sz w:val="16"/>
                <w:szCs w:val="16"/>
              </w:rPr>
              <w:t>12,322</w:t>
            </w:r>
          </w:p>
        </w:tc>
        <w:tc>
          <w:tcPr>
            <w:tcW w:w="557" w:type="pct"/>
            <w:tcBorders>
              <w:top w:val="nil"/>
              <w:left w:val="nil"/>
              <w:bottom w:val="nil"/>
              <w:right w:val="nil"/>
            </w:tcBorders>
            <w:shd w:val="clear" w:color="auto" w:fill="auto"/>
            <w:noWrap/>
            <w:vAlign w:val="center"/>
            <w:hideMark/>
          </w:tcPr>
          <w:p w14:paraId="68FCB2A1" w14:textId="77777777" w:rsidR="00DF211F" w:rsidRPr="0057171E" w:rsidRDefault="00DF211F" w:rsidP="00DF211F">
            <w:pPr>
              <w:spacing w:before="0" w:after="0" w:line="240" w:lineRule="auto"/>
              <w:jc w:val="right"/>
              <w:rPr>
                <w:rFonts w:ascii="Arial" w:hAnsi="Arial" w:cs="Arial"/>
                <w:i/>
                <w:iCs/>
                <w:color w:val="000000"/>
                <w:sz w:val="16"/>
                <w:szCs w:val="16"/>
              </w:rPr>
            </w:pPr>
            <w:r w:rsidRPr="0057171E">
              <w:rPr>
                <w:rFonts w:ascii="Arial" w:hAnsi="Arial" w:cs="Arial"/>
                <w:i/>
                <w:iCs/>
                <w:color w:val="000000"/>
                <w:sz w:val="16"/>
                <w:szCs w:val="16"/>
              </w:rPr>
              <w:t>12,782</w:t>
            </w:r>
          </w:p>
        </w:tc>
      </w:tr>
      <w:tr w:rsidR="00DF211F" w:rsidRPr="0057171E" w14:paraId="2016913B" w14:textId="77777777" w:rsidTr="00CB45C4">
        <w:trPr>
          <w:trHeight w:hRule="exact" w:val="225"/>
        </w:trPr>
        <w:tc>
          <w:tcPr>
            <w:tcW w:w="2214" w:type="pct"/>
            <w:tcBorders>
              <w:top w:val="nil"/>
              <w:left w:val="nil"/>
              <w:bottom w:val="nil"/>
              <w:right w:val="nil"/>
            </w:tcBorders>
            <w:shd w:val="clear" w:color="auto" w:fill="auto"/>
            <w:noWrap/>
            <w:vAlign w:val="center"/>
            <w:hideMark/>
          </w:tcPr>
          <w:p w14:paraId="44447059" w14:textId="77777777" w:rsidR="00DF211F" w:rsidRPr="0057171E" w:rsidRDefault="00DF211F" w:rsidP="00DF211F">
            <w:pPr>
              <w:spacing w:before="0" w:after="0" w:line="240" w:lineRule="auto"/>
              <w:rPr>
                <w:rFonts w:ascii="Arial" w:hAnsi="Arial" w:cs="Arial"/>
                <w:color w:val="000000"/>
                <w:sz w:val="16"/>
                <w:szCs w:val="16"/>
              </w:rPr>
            </w:pPr>
            <w:r w:rsidRPr="0057171E">
              <w:rPr>
                <w:rFonts w:ascii="Arial" w:hAnsi="Arial" w:cs="Arial"/>
                <w:color w:val="000000"/>
                <w:sz w:val="16"/>
                <w:szCs w:val="16"/>
              </w:rPr>
              <w:t>School education - specific funding</w:t>
            </w:r>
          </w:p>
        </w:tc>
        <w:tc>
          <w:tcPr>
            <w:tcW w:w="558" w:type="pct"/>
            <w:tcBorders>
              <w:top w:val="nil"/>
              <w:left w:val="nil"/>
              <w:bottom w:val="nil"/>
              <w:right w:val="nil"/>
            </w:tcBorders>
            <w:shd w:val="clear" w:color="auto" w:fill="auto"/>
            <w:noWrap/>
            <w:vAlign w:val="center"/>
            <w:hideMark/>
          </w:tcPr>
          <w:p w14:paraId="1096CFC4" w14:textId="77777777" w:rsidR="00DF211F" w:rsidRPr="0057171E" w:rsidRDefault="00DF211F" w:rsidP="00DF211F">
            <w:pPr>
              <w:spacing w:before="0" w:after="0" w:line="240" w:lineRule="auto"/>
              <w:jc w:val="right"/>
              <w:rPr>
                <w:rFonts w:ascii="Arial" w:hAnsi="Arial" w:cs="Arial"/>
                <w:color w:val="000000"/>
                <w:sz w:val="16"/>
                <w:szCs w:val="16"/>
              </w:rPr>
            </w:pPr>
            <w:r w:rsidRPr="0057171E">
              <w:rPr>
                <w:rFonts w:ascii="Arial" w:hAnsi="Arial" w:cs="Arial"/>
                <w:color w:val="000000"/>
                <w:sz w:val="16"/>
                <w:szCs w:val="16"/>
              </w:rPr>
              <w:t>1,182</w:t>
            </w:r>
          </w:p>
        </w:tc>
        <w:tc>
          <w:tcPr>
            <w:tcW w:w="557" w:type="pct"/>
            <w:tcBorders>
              <w:top w:val="nil"/>
              <w:left w:val="nil"/>
              <w:bottom w:val="nil"/>
              <w:right w:val="nil"/>
            </w:tcBorders>
            <w:shd w:val="clear" w:color="auto" w:fill="E6F2FF"/>
            <w:noWrap/>
            <w:vAlign w:val="center"/>
            <w:hideMark/>
          </w:tcPr>
          <w:p w14:paraId="04AD45FC" w14:textId="77777777" w:rsidR="00DF211F" w:rsidRPr="0057171E" w:rsidRDefault="00DF211F" w:rsidP="00DF211F">
            <w:pPr>
              <w:spacing w:before="0" w:after="0" w:line="240" w:lineRule="auto"/>
              <w:jc w:val="right"/>
              <w:rPr>
                <w:rFonts w:ascii="Arial" w:hAnsi="Arial" w:cs="Arial"/>
                <w:color w:val="000000"/>
                <w:sz w:val="16"/>
                <w:szCs w:val="16"/>
              </w:rPr>
            </w:pPr>
            <w:r w:rsidRPr="0057171E">
              <w:rPr>
                <w:rFonts w:ascii="Arial" w:hAnsi="Arial" w:cs="Arial"/>
                <w:color w:val="000000"/>
                <w:sz w:val="16"/>
                <w:szCs w:val="16"/>
              </w:rPr>
              <w:t>940</w:t>
            </w:r>
          </w:p>
        </w:tc>
        <w:tc>
          <w:tcPr>
            <w:tcW w:w="557" w:type="pct"/>
            <w:tcBorders>
              <w:top w:val="nil"/>
              <w:left w:val="nil"/>
              <w:bottom w:val="nil"/>
              <w:right w:val="nil"/>
            </w:tcBorders>
            <w:shd w:val="clear" w:color="auto" w:fill="auto"/>
            <w:noWrap/>
            <w:vAlign w:val="center"/>
            <w:hideMark/>
          </w:tcPr>
          <w:p w14:paraId="0662755F" w14:textId="77777777" w:rsidR="00DF211F" w:rsidRPr="0057171E" w:rsidRDefault="00DF211F" w:rsidP="00DF211F">
            <w:pPr>
              <w:spacing w:before="0" w:after="0" w:line="240" w:lineRule="auto"/>
              <w:jc w:val="right"/>
              <w:rPr>
                <w:rFonts w:ascii="Arial" w:hAnsi="Arial" w:cs="Arial"/>
                <w:color w:val="000000"/>
                <w:sz w:val="16"/>
                <w:szCs w:val="16"/>
              </w:rPr>
            </w:pPr>
            <w:r w:rsidRPr="0057171E">
              <w:rPr>
                <w:rFonts w:ascii="Arial" w:hAnsi="Arial" w:cs="Arial"/>
                <w:color w:val="000000"/>
                <w:sz w:val="16"/>
                <w:szCs w:val="16"/>
              </w:rPr>
              <w:t>895</w:t>
            </w:r>
          </w:p>
        </w:tc>
        <w:tc>
          <w:tcPr>
            <w:tcW w:w="557" w:type="pct"/>
            <w:tcBorders>
              <w:top w:val="nil"/>
              <w:left w:val="nil"/>
              <w:bottom w:val="nil"/>
              <w:right w:val="nil"/>
            </w:tcBorders>
            <w:shd w:val="clear" w:color="auto" w:fill="auto"/>
            <w:noWrap/>
            <w:vAlign w:val="center"/>
            <w:hideMark/>
          </w:tcPr>
          <w:p w14:paraId="0A3D600F" w14:textId="77777777" w:rsidR="00DF211F" w:rsidRPr="0057171E" w:rsidRDefault="00DF211F" w:rsidP="00DF211F">
            <w:pPr>
              <w:spacing w:before="0" w:after="0" w:line="240" w:lineRule="auto"/>
              <w:jc w:val="right"/>
              <w:rPr>
                <w:rFonts w:ascii="Arial" w:hAnsi="Arial" w:cs="Arial"/>
                <w:color w:val="000000"/>
                <w:sz w:val="16"/>
                <w:szCs w:val="16"/>
              </w:rPr>
            </w:pPr>
            <w:r w:rsidRPr="0057171E">
              <w:rPr>
                <w:rFonts w:ascii="Arial" w:hAnsi="Arial" w:cs="Arial"/>
                <w:color w:val="000000"/>
                <w:sz w:val="16"/>
                <w:szCs w:val="16"/>
              </w:rPr>
              <w:t>861</w:t>
            </w:r>
          </w:p>
        </w:tc>
        <w:tc>
          <w:tcPr>
            <w:tcW w:w="557" w:type="pct"/>
            <w:tcBorders>
              <w:top w:val="nil"/>
              <w:left w:val="nil"/>
              <w:bottom w:val="nil"/>
              <w:right w:val="nil"/>
            </w:tcBorders>
            <w:shd w:val="clear" w:color="auto" w:fill="auto"/>
            <w:noWrap/>
            <w:vAlign w:val="center"/>
            <w:hideMark/>
          </w:tcPr>
          <w:p w14:paraId="6F9AC8CF" w14:textId="77777777" w:rsidR="00DF211F" w:rsidRPr="0057171E" w:rsidRDefault="00DF211F" w:rsidP="00DF211F">
            <w:pPr>
              <w:spacing w:before="0" w:after="0" w:line="240" w:lineRule="auto"/>
              <w:jc w:val="right"/>
              <w:rPr>
                <w:rFonts w:ascii="Arial" w:hAnsi="Arial" w:cs="Arial"/>
                <w:color w:val="000000"/>
                <w:sz w:val="16"/>
                <w:szCs w:val="16"/>
              </w:rPr>
            </w:pPr>
            <w:r w:rsidRPr="0057171E">
              <w:rPr>
                <w:rFonts w:ascii="Arial" w:hAnsi="Arial" w:cs="Arial"/>
                <w:color w:val="000000"/>
                <w:sz w:val="16"/>
                <w:szCs w:val="16"/>
              </w:rPr>
              <w:t>808</w:t>
            </w:r>
          </w:p>
        </w:tc>
      </w:tr>
      <w:tr w:rsidR="00DF211F" w:rsidRPr="0057171E" w14:paraId="69DDF512" w14:textId="77777777" w:rsidTr="00CB45C4">
        <w:trPr>
          <w:trHeight w:hRule="exact" w:val="225"/>
        </w:trPr>
        <w:tc>
          <w:tcPr>
            <w:tcW w:w="2214" w:type="pct"/>
            <w:tcBorders>
              <w:top w:val="nil"/>
              <w:left w:val="nil"/>
              <w:bottom w:val="nil"/>
              <w:right w:val="nil"/>
            </w:tcBorders>
            <w:shd w:val="clear" w:color="auto" w:fill="auto"/>
            <w:noWrap/>
            <w:vAlign w:val="center"/>
            <w:hideMark/>
          </w:tcPr>
          <w:p w14:paraId="1CCE4ACB" w14:textId="77777777" w:rsidR="00DF211F" w:rsidRPr="0057171E" w:rsidRDefault="00DF211F" w:rsidP="00DF211F">
            <w:pPr>
              <w:spacing w:before="0" w:after="0" w:line="240" w:lineRule="auto"/>
              <w:rPr>
                <w:rFonts w:ascii="Arial" w:hAnsi="Arial" w:cs="Arial"/>
                <w:color w:val="000000"/>
                <w:sz w:val="16"/>
                <w:szCs w:val="16"/>
              </w:rPr>
            </w:pPr>
            <w:r w:rsidRPr="0057171E">
              <w:rPr>
                <w:rFonts w:ascii="Arial" w:hAnsi="Arial" w:cs="Arial"/>
                <w:color w:val="000000"/>
                <w:sz w:val="16"/>
                <w:szCs w:val="16"/>
              </w:rPr>
              <w:t>Student assistance</w:t>
            </w:r>
          </w:p>
        </w:tc>
        <w:tc>
          <w:tcPr>
            <w:tcW w:w="558" w:type="pct"/>
            <w:tcBorders>
              <w:top w:val="nil"/>
              <w:left w:val="nil"/>
              <w:bottom w:val="nil"/>
              <w:right w:val="nil"/>
            </w:tcBorders>
            <w:shd w:val="clear" w:color="auto" w:fill="auto"/>
            <w:noWrap/>
            <w:vAlign w:val="center"/>
            <w:hideMark/>
          </w:tcPr>
          <w:p w14:paraId="311816BA" w14:textId="77777777" w:rsidR="00DF211F" w:rsidRPr="0057171E" w:rsidRDefault="00DF211F" w:rsidP="00DF211F">
            <w:pPr>
              <w:spacing w:before="0" w:after="0" w:line="240" w:lineRule="auto"/>
              <w:jc w:val="right"/>
              <w:rPr>
                <w:rFonts w:ascii="Arial" w:hAnsi="Arial" w:cs="Arial"/>
                <w:color w:val="000000"/>
                <w:sz w:val="16"/>
                <w:szCs w:val="16"/>
              </w:rPr>
            </w:pPr>
            <w:r w:rsidRPr="0057171E">
              <w:rPr>
                <w:rFonts w:ascii="Arial" w:hAnsi="Arial" w:cs="Arial"/>
                <w:color w:val="000000"/>
                <w:sz w:val="16"/>
                <w:szCs w:val="16"/>
              </w:rPr>
              <w:t>5,132</w:t>
            </w:r>
          </w:p>
        </w:tc>
        <w:tc>
          <w:tcPr>
            <w:tcW w:w="557" w:type="pct"/>
            <w:tcBorders>
              <w:top w:val="nil"/>
              <w:left w:val="nil"/>
              <w:bottom w:val="nil"/>
              <w:right w:val="nil"/>
            </w:tcBorders>
            <w:shd w:val="clear" w:color="auto" w:fill="E6F2FF"/>
            <w:noWrap/>
            <w:vAlign w:val="center"/>
            <w:hideMark/>
          </w:tcPr>
          <w:p w14:paraId="042CB444" w14:textId="77777777" w:rsidR="00DF211F" w:rsidRPr="0057171E" w:rsidRDefault="00DF211F" w:rsidP="00DF211F">
            <w:pPr>
              <w:spacing w:before="0" w:after="0" w:line="240" w:lineRule="auto"/>
              <w:jc w:val="right"/>
              <w:rPr>
                <w:rFonts w:ascii="Arial" w:hAnsi="Arial" w:cs="Arial"/>
                <w:color w:val="000000"/>
                <w:sz w:val="16"/>
                <w:szCs w:val="16"/>
              </w:rPr>
            </w:pPr>
            <w:r w:rsidRPr="0057171E">
              <w:rPr>
                <w:rFonts w:ascii="Arial" w:hAnsi="Arial" w:cs="Arial"/>
                <w:color w:val="000000"/>
                <w:sz w:val="16"/>
                <w:szCs w:val="16"/>
              </w:rPr>
              <w:t>7,482</w:t>
            </w:r>
          </w:p>
        </w:tc>
        <w:tc>
          <w:tcPr>
            <w:tcW w:w="557" w:type="pct"/>
            <w:tcBorders>
              <w:top w:val="nil"/>
              <w:left w:val="nil"/>
              <w:bottom w:val="nil"/>
              <w:right w:val="nil"/>
            </w:tcBorders>
            <w:shd w:val="clear" w:color="auto" w:fill="auto"/>
            <w:noWrap/>
            <w:vAlign w:val="center"/>
            <w:hideMark/>
          </w:tcPr>
          <w:p w14:paraId="420C4E40" w14:textId="77777777" w:rsidR="00DF211F" w:rsidRPr="0057171E" w:rsidRDefault="00DF211F" w:rsidP="00DF211F">
            <w:pPr>
              <w:spacing w:before="0" w:after="0" w:line="240" w:lineRule="auto"/>
              <w:jc w:val="right"/>
              <w:rPr>
                <w:rFonts w:ascii="Arial" w:hAnsi="Arial" w:cs="Arial"/>
                <w:color w:val="000000"/>
                <w:sz w:val="16"/>
                <w:szCs w:val="16"/>
              </w:rPr>
            </w:pPr>
            <w:r w:rsidRPr="0057171E">
              <w:rPr>
                <w:rFonts w:ascii="Arial" w:hAnsi="Arial" w:cs="Arial"/>
                <w:color w:val="000000"/>
                <w:sz w:val="16"/>
                <w:szCs w:val="16"/>
              </w:rPr>
              <w:t>5,863</w:t>
            </w:r>
          </w:p>
        </w:tc>
        <w:tc>
          <w:tcPr>
            <w:tcW w:w="557" w:type="pct"/>
            <w:tcBorders>
              <w:top w:val="nil"/>
              <w:left w:val="nil"/>
              <w:bottom w:val="nil"/>
              <w:right w:val="nil"/>
            </w:tcBorders>
            <w:shd w:val="clear" w:color="auto" w:fill="auto"/>
            <w:noWrap/>
            <w:vAlign w:val="center"/>
            <w:hideMark/>
          </w:tcPr>
          <w:p w14:paraId="6D22B3E8" w14:textId="77777777" w:rsidR="00DF211F" w:rsidRPr="0057171E" w:rsidRDefault="00DF211F" w:rsidP="00DF211F">
            <w:pPr>
              <w:spacing w:before="0" w:after="0" w:line="240" w:lineRule="auto"/>
              <w:jc w:val="right"/>
              <w:rPr>
                <w:rFonts w:ascii="Arial" w:hAnsi="Arial" w:cs="Arial"/>
                <w:color w:val="000000"/>
                <w:sz w:val="16"/>
                <w:szCs w:val="16"/>
              </w:rPr>
            </w:pPr>
            <w:r w:rsidRPr="0057171E">
              <w:rPr>
                <w:rFonts w:ascii="Arial" w:hAnsi="Arial" w:cs="Arial"/>
                <w:color w:val="000000"/>
                <w:sz w:val="16"/>
                <w:szCs w:val="16"/>
              </w:rPr>
              <w:t>6,156</w:t>
            </w:r>
          </w:p>
        </w:tc>
        <w:tc>
          <w:tcPr>
            <w:tcW w:w="557" w:type="pct"/>
            <w:tcBorders>
              <w:top w:val="nil"/>
              <w:left w:val="nil"/>
              <w:bottom w:val="nil"/>
              <w:right w:val="nil"/>
            </w:tcBorders>
            <w:shd w:val="clear" w:color="auto" w:fill="auto"/>
            <w:noWrap/>
            <w:vAlign w:val="center"/>
            <w:hideMark/>
          </w:tcPr>
          <w:p w14:paraId="675CB022" w14:textId="77777777" w:rsidR="00DF211F" w:rsidRPr="0057171E" w:rsidRDefault="00DF211F" w:rsidP="00DF211F">
            <w:pPr>
              <w:spacing w:before="0" w:after="0" w:line="240" w:lineRule="auto"/>
              <w:jc w:val="right"/>
              <w:rPr>
                <w:rFonts w:ascii="Arial" w:hAnsi="Arial" w:cs="Arial"/>
                <w:color w:val="000000"/>
                <w:sz w:val="16"/>
                <w:szCs w:val="16"/>
              </w:rPr>
            </w:pPr>
            <w:r w:rsidRPr="0057171E">
              <w:rPr>
                <w:rFonts w:ascii="Arial" w:hAnsi="Arial" w:cs="Arial"/>
                <w:color w:val="000000"/>
                <w:sz w:val="16"/>
                <w:szCs w:val="16"/>
              </w:rPr>
              <w:t>6,478</w:t>
            </w:r>
          </w:p>
        </w:tc>
      </w:tr>
      <w:tr w:rsidR="00DF211F" w:rsidRPr="0057171E" w14:paraId="519F4F90" w14:textId="77777777" w:rsidTr="00CB45C4">
        <w:trPr>
          <w:trHeight w:hRule="exact" w:val="225"/>
        </w:trPr>
        <w:tc>
          <w:tcPr>
            <w:tcW w:w="2214" w:type="pct"/>
            <w:tcBorders>
              <w:top w:val="nil"/>
              <w:left w:val="nil"/>
              <w:bottom w:val="nil"/>
              <w:right w:val="nil"/>
            </w:tcBorders>
            <w:shd w:val="clear" w:color="auto" w:fill="auto"/>
            <w:noWrap/>
            <w:vAlign w:val="center"/>
            <w:hideMark/>
          </w:tcPr>
          <w:p w14:paraId="030FA2E3" w14:textId="77777777" w:rsidR="00DF211F" w:rsidRPr="0057171E" w:rsidRDefault="00DF211F" w:rsidP="00DF211F">
            <w:pPr>
              <w:spacing w:before="0" w:after="0" w:line="240" w:lineRule="auto"/>
              <w:rPr>
                <w:rFonts w:ascii="Arial" w:hAnsi="Arial" w:cs="Arial"/>
                <w:color w:val="000000"/>
                <w:sz w:val="16"/>
                <w:szCs w:val="16"/>
              </w:rPr>
            </w:pPr>
            <w:r w:rsidRPr="0057171E">
              <w:rPr>
                <w:rFonts w:ascii="Arial" w:hAnsi="Arial" w:cs="Arial"/>
                <w:color w:val="000000"/>
                <w:sz w:val="16"/>
                <w:szCs w:val="16"/>
              </w:rPr>
              <w:t>General administration</w:t>
            </w:r>
          </w:p>
        </w:tc>
        <w:tc>
          <w:tcPr>
            <w:tcW w:w="558" w:type="pct"/>
            <w:tcBorders>
              <w:top w:val="nil"/>
              <w:left w:val="nil"/>
              <w:bottom w:val="nil"/>
              <w:right w:val="nil"/>
            </w:tcBorders>
            <w:shd w:val="clear" w:color="auto" w:fill="auto"/>
            <w:noWrap/>
            <w:vAlign w:val="center"/>
            <w:hideMark/>
          </w:tcPr>
          <w:p w14:paraId="09E88ECC" w14:textId="77777777" w:rsidR="00DF211F" w:rsidRPr="0057171E" w:rsidRDefault="00DF211F" w:rsidP="00DF211F">
            <w:pPr>
              <w:spacing w:before="0" w:after="0" w:line="240" w:lineRule="auto"/>
              <w:jc w:val="right"/>
              <w:rPr>
                <w:rFonts w:ascii="Arial" w:hAnsi="Arial" w:cs="Arial"/>
                <w:color w:val="000000"/>
                <w:sz w:val="16"/>
                <w:szCs w:val="16"/>
              </w:rPr>
            </w:pPr>
            <w:r w:rsidRPr="0057171E">
              <w:rPr>
                <w:rFonts w:ascii="Arial" w:hAnsi="Arial" w:cs="Arial"/>
                <w:color w:val="000000"/>
                <w:sz w:val="16"/>
                <w:szCs w:val="16"/>
              </w:rPr>
              <w:t>301</w:t>
            </w:r>
          </w:p>
        </w:tc>
        <w:tc>
          <w:tcPr>
            <w:tcW w:w="557" w:type="pct"/>
            <w:tcBorders>
              <w:top w:val="nil"/>
              <w:left w:val="nil"/>
              <w:bottom w:val="nil"/>
              <w:right w:val="nil"/>
            </w:tcBorders>
            <w:shd w:val="clear" w:color="auto" w:fill="E6F2FF"/>
            <w:noWrap/>
            <w:vAlign w:val="center"/>
            <w:hideMark/>
          </w:tcPr>
          <w:p w14:paraId="39BAE1A8" w14:textId="77777777" w:rsidR="00DF211F" w:rsidRPr="0057171E" w:rsidRDefault="00DF211F" w:rsidP="00DF211F">
            <w:pPr>
              <w:spacing w:before="0" w:after="0" w:line="240" w:lineRule="auto"/>
              <w:jc w:val="right"/>
              <w:rPr>
                <w:rFonts w:ascii="Arial" w:hAnsi="Arial" w:cs="Arial"/>
                <w:color w:val="000000"/>
                <w:sz w:val="16"/>
                <w:szCs w:val="16"/>
              </w:rPr>
            </w:pPr>
            <w:r w:rsidRPr="0057171E">
              <w:rPr>
                <w:rFonts w:ascii="Arial" w:hAnsi="Arial" w:cs="Arial"/>
                <w:color w:val="000000"/>
                <w:sz w:val="16"/>
                <w:szCs w:val="16"/>
              </w:rPr>
              <w:t>343</w:t>
            </w:r>
          </w:p>
        </w:tc>
        <w:tc>
          <w:tcPr>
            <w:tcW w:w="557" w:type="pct"/>
            <w:tcBorders>
              <w:top w:val="nil"/>
              <w:left w:val="nil"/>
              <w:bottom w:val="nil"/>
              <w:right w:val="nil"/>
            </w:tcBorders>
            <w:shd w:val="clear" w:color="auto" w:fill="auto"/>
            <w:noWrap/>
            <w:vAlign w:val="center"/>
            <w:hideMark/>
          </w:tcPr>
          <w:p w14:paraId="516FC7AE" w14:textId="77777777" w:rsidR="00DF211F" w:rsidRPr="0057171E" w:rsidRDefault="00DF211F" w:rsidP="00DF211F">
            <w:pPr>
              <w:spacing w:before="0" w:after="0" w:line="240" w:lineRule="auto"/>
              <w:jc w:val="right"/>
              <w:rPr>
                <w:rFonts w:ascii="Arial" w:hAnsi="Arial" w:cs="Arial"/>
                <w:color w:val="000000"/>
                <w:sz w:val="16"/>
                <w:szCs w:val="16"/>
              </w:rPr>
            </w:pPr>
            <w:r w:rsidRPr="0057171E">
              <w:rPr>
                <w:rFonts w:ascii="Arial" w:hAnsi="Arial" w:cs="Arial"/>
                <w:color w:val="000000"/>
                <w:sz w:val="16"/>
                <w:szCs w:val="16"/>
              </w:rPr>
              <w:t>309</w:t>
            </w:r>
          </w:p>
        </w:tc>
        <w:tc>
          <w:tcPr>
            <w:tcW w:w="557" w:type="pct"/>
            <w:tcBorders>
              <w:top w:val="nil"/>
              <w:left w:val="nil"/>
              <w:bottom w:val="nil"/>
              <w:right w:val="nil"/>
            </w:tcBorders>
            <w:shd w:val="clear" w:color="auto" w:fill="auto"/>
            <w:noWrap/>
            <w:vAlign w:val="center"/>
            <w:hideMark/>
          </w:tcPr>
          <w:p w14:paraId="484C5113" w14:textId="77777777" w:rsidR="00DF211F" w:rsidRPr="0057171E" w:rsidRDefault="00DF211F" w:rsidP="00DF211F">
            <w:pPr>
              <w:spacing w:before="0" w:after="0" w:line="240" w:lineRule="auto"/>
              <w:jc w:val="right"/>
              <w:rPr>
                <w:rFonts w:ascii="Arial" w:hAnsi="Arial" w:cs="Arial"/>
                <w:color w:val="000000"/>
                <w:sz w:val="16"/>
                <w:szCs w:val="16"/>
              </w:rPr>
            </w:pPr>
            <w:r w:rsidRPr="0057171E">
              <w:rPr>
                <w:rFonts w:ascii="Arial" w:hAnsi="Arial" w:cs="Arial"/>
                <w:color w:val="000000"/>
                <w:sz w:val="16"/>
                <w:szCs w:val="16"/>
              </w:rPr>
              <w:t>294</w:t>
            </w:r>
          </w:p>
        </w:tc>
        <w:tc>
          <w:tcPr>
            <w:tcW w:w="557" w:type="pct"/>
            <w:tcBorders>
              <w:top w:val="nil"/>
              <w:left w:val="nil"/>
              <w:bottom w:val="nil"/>
              <w:right w:val="nil"/>
            </w:tcBorders>
            <w:shd w:val="clear" w:color="auto" w:fill="auto"/>
            <w:noWrap/>
            <w:vAlign w:val="center"/>
            <w:hideMark/>
          </w:tcPr>
          <w:p w14:paraId="32CF3133" w14:textId="77777777" w:rsidR="00DF211F" w:rsidRPr="0057171E" w:rsidRDefault="00DF211F" w:rsidP="00DF211F">
            <w:pPr>
              <w:spacing w:before="0" w:after="0" w:line="240" w:lineRule="auto"/>
              <w:jc w:val="right"/>
              <w:rPr>
                <w:rFonts w:ascii="Arial" w:hAnsi="Arial" w:cs="Arial"/>
                <w:color w:val="000000"/>
                <w:sz w:val="16"/>
                <w:szCs w:val="16"/>
              </w:rPr>
            </w:pPr>
            <w:r w:rsidRPr="0057171E">
              <w:rPr>
                <w:rFonts w:ascii="Arial" w:hAnsi="Arial" w:cs="Arial"/>
                <w:color w:val="000000"/>
                <w:sz w:val="16"/>
                <w:szCs w:val="16"/>
              </w:rPr>
              <w:t>294</w:t>
            </w:r>
          </w:p>
        </w:tc>
      </w:tr>
      <w:tr w:rsidR="00DF211F" w:rsidRPr="00DF211F" w14:paraId="5CB131CF" w14:textId="77777777" w:rsidTr="00CB45C4">
        <w:trPr>
          <w:trHeight w:hRule="exact" w:val="225"/>
        </w:trPr>
        <w:tc>
          <w:tcPr>
            <w:tcW w:w="2214" w:type="pct"/>
            <w:tcBorders>
              <w:top w:val="nil"/>
              <w:left w:val="nil"/>
              <w:bottom w:val="single" w:sz="4" w:space="0" w:color="293F5B"/>
              <w:right w:val="nil"/>
            </w:tcBorders>
            <w:shd w:val="clear" w:color="auto" w:fill="auto"/>
            <w:noWrap/>
            <w:vAlign w:val="center"/>
            <w:hideMark/>
          </w:tcPr>
          <w:p w14:paraId="67BC1F93" w14:textId="77777777" w:rsidR="00DF211F" w:rsidRPr="0057171E" w:rsidRDefault="00DF211F" w:rsidP="00DF211F">
            <w:pPr>
              <w:spacing w:before="0" w:after="0" w:line="240" w:lineRule="auto"/>
              <w:rPr>
                <w:rFonts w:ascii="Arial" w:hAnsi="Arial" w:cs="Arial"/>
                <w:b/>
                <w:bCs/>
                <w:color w:val="000000"/>
                <w:sz w:val="16"/>
                <w:szCs w:val="16"/>
              </w:rPr>
            </w:pPr>
            <w:r w:rsidRPr="0057171E">
              <w:rPr>
                <w:rFonts w:ascii="Arial" w:hAnsi="Arial" w:cs="Arial"/>
                <w:b/>
                <w:bCs/>
                <w:color w:val="000000"/>
                <w:sz w:val="16"/>
                <w:szCs w:val="16"/>
              </w:rPr>
              <w:t>Total education</w:t>
            </w:r>
          </w:p>
        </w:tc>
        <w:tc>
          <w:tcPr>
            <w:tcW w:w="558" w:type="pct"/>
            <w:tcBorders>
              <w:top w:val="single" w:sz="4" w:space="0" w:color="293F5B"/>
              <w:left w:val="nil"/>
              <w:bottom w:val="single" w:sz="4" w:space="0" w:color="293F5B"/>
              <w:right w:val="nil"/>
            </w:tcBorders>
            <w:shd w:val="clear" w:color="auto" w:fill="auto"/>
            <w:noWrap/>
            <w:vAlign w:val="center"/>
            <w:hideMark/>
          </w:tcPr>
          <w:p w14:paraId="3714498E" w14:textId="77777777" w:rsidR="00DF211F" w:rsidRPr="0057171E" w:rsidRDefault="00DF211F" w:rsidP="00DF211F">
            <w:pPr>
              <w:spacing w:before="0" w:after="0" w:line="240" w:lineRule="auto"/>
              <w:jc w:val="right"/>
              <w:rPr>
                <w:rFonts w:ascii="Arial" w:hAnsi="Arial" w:cs="Arial"/>
                <w:b/>
                <w:bCs/>
                <w:color w:val="000000"/>
                <w:sz w:val="16"/>
                <w:szCs w:val="16"/>
              </w:rPr>
            </w:pPr>
            <w:r w:rsidRPr="0057171E">
              <w:rPr>
                <w:rFonts w:ascii="Arial" w:hAnsi="Arial" w:cs="Arial"/>
                <w:b/>
                <w:bCs/>
                <w:color w:val="000000"/>
                <w:sz w:val="16"/>
                <w:szCs w:val="16"/>
              </w:rPr>
              <w:t>49,099</w:t>
            </w:r>
          </w:p>
        </w:tc>
        <w:tc>
          <w:tcPr>
            <w:tcW w:w="557" w:type="pct"/>
            <w:tcBorders>
              <w:top w:val="single" w:sz="4" w:space="0" w:color="293F5B"/>
              <w:left w:val="nil"/>
              <w:bottom w:val="single" w:sz="4" w:space="0" w:color="293F5B"/>
              <w:right w:val="nil"/>
            </w:tcBorders>
            <w:shd w:val="clear" w:color="auto" w:fill="E6F2FF"/>
            <w:noWrap/>
            <w:vAlign w:val="center"/>
            <w:hideMark/>
          </w:tcPr>
          <w:p w14:paraId="2056AFCB" w14:textId="77777777" w:rsidR="00DF211F" w:rsidRPr="008B353F" w:rsidRDefault="00DF211F" w:rsidP="00DF211F">
            <w:pPr>
              <w:spacing w:before="0" w:after="0" w:line="240" w:lineRule="auto"/>
              <w:jc w:val="right"/>
              <w:rPr>
                <w:rFonts w:ascii="Arial" w:hAnsi="Arial" w:cs="Arial"/>
                <w:color w:val="000000"/>
                <w:sz w:val="16"/>
                <w:szCs w:val="16"/>
              </w:rPr>
            </w:pPr>
            <w:r w:rsidRPr="008B353F">
              <w:rPr>
                <w:rFonts w:ascii="Arial" w:hAnsi="Arial" w:cs="Arial"/>
                <w:color w:val="000000"/>
                <w:sz w:val="16"/>
                <w:szCs w:val="16"/>
              </w:rPr>
              <w:t>53,046</w:t>
            </w:r>
          </w:p>
        </w:tc>
        <w:tc>
          <w:tcPr>
            <w:tcW w:w="557" w:type="pct"/>
            <w:tcBorders>
              <w:top w:val="single" w:sz="4" w:space="0" w:color="293F5B"/>
              <w:left w:val="nil"/>
              <w:bottom w:val="single" w:sz="4" w:space="0" w:color="293F5B"/>
              <w:right w:val="nil"/>
            </w:tcBorders>
            <w:shd w:val="clear" w:color="auto" w:fill="auto"/>
            <w:noWrap/>
            <w:vAlign w:val="center"/>
            <w:hideMark/>
          </w:tcPr>
          <w:p w14:paraId="38A2C51B" w14:textId="77777777" w:rsidR="00DF211F" w:rsidRPr="0057171E" w:rsidRDefault="00DF211F" w:rsidP="00DF211F">
            <w:pPr>
              <w:spacing w:before="0" w:after="0" w:line="240" w:lineRule="auto"/>
              <w:jc w:val="right"/>
              <w:rPr>
                <w:rFonts w:ascii="Arial" w:hAnsi="Arial" w:cs="Arial"/>
                <w:b/>
                <w:bCs/>
                <w:color w:val="000000"/>
                <w:sz w:val="16"/>
                <w:szCs w:val="16"/>
              </w:rPr>
            </w:pPr>
            <w:r w:rsidRPr="0057171E">
              <w:rPr>
                <w:rFonts w:ascii="Arial" w:hAnsi="Arial" w:cs="Arial"/>
                <w:b/>
                <w:bCs/>
                <w:color w:val="000000"/>
                <w:sz w:val="16"/>
                <w:szCs w:val="16"/>
              </w:rPr>
              <w:t>53,220</w:t>
            </w:r>
          </w:p>
        </w:tc>
        <w:tc>
          <w:tcPr>
            <w:tcW w:w="557" w:type="pct"/>
            <w:tcBorders>
              <w:top w:val="single" w:sz="4" w:space="0" w:color="293F5B"/>
              <w:left w:val="nil"/>
              <w:bottom w:val="single" w:sz="4" w:space="0" w:color="293F5B"/>
              <w:right w:val="nil"/>
            </w:tcBorders>
            <w:shd w:val="clear" w:color="auto" w:fill="auto"/>
            <w:noWrap/>
            <w:vAlign w:val="center"/>
            <w:hideMark/>
          </w:tcPr>
          <w:p w14:paraId="577065CA" w14:textId="77777777" w:rsidR="00DF211F" w:rsidRPr="0057171E" w:rsidRDefault="00DF211F" w:rsidP="00DF211F">
            <w:pPr>
              <w:spacing w:before="0" w:after="0" w:line="240" w:lineRule="auto"/>
              <w:jc w:val="right"/>
              <w:rPr>
                <w:rFonts w:ascii="Arial" w:hAnsi="Arial" w:cs="Arial"/>
                <w:b/>
                <w:bCs/>
                <w:color w:val="000000"/>
                <w:sz w:val="16"/>
                <w:szCs w:val="16"/>
              </w:rPr>
            </w:pPr>
            <w:r w:rsidRPr="0057171E">
              <w:rPr>
                <w:rFonts w:ascii="Arial" w:hAnsi="Arial" w:cs="Arial"/>
                <w:b/>
                <w:bCs/>
                <w:color w:val="000000"/>
                <w:sz w:val="16"/>
                <w:szCs w:val="16"/>
              </w:rPr>
              <w:t>55,093</w:t>
            </w:r>
          </w:p>
        </w:tc>
        <w:tc>
          <w:tcPr>
            <w:tcW w:w="557" w:type="pct"/>
            <w:tcBorders>
              <w:top w:val="single" w:sz="4" w:space="0" w:color="293F5B"/>
              <w:left w:val="nil"/>
              <w:bottom w:val="single" w:sz="4" w:space="0" w:color="293F5B"/>
              <w:right w:val="nil"/>
            </w:tcBorders>
            <w:shd w:val="clear" w:color="auto" w:fill="auto"/>
            <w:noWrap/>
            <w:vAlign w:val="center"/>
            <w:hideMark/>
          </w:tcPr>
          <w:p w14:paraId="0DFDCD14" w14:textId="77777777" w:rsidR="00DF211F" w:rsidRPr="00DF211F" w:rsidRDefault="00DF211F" w:rsidP="00DF211F">
            <w:pPr>
              <w:spacing w:before="0" w:after="0" w:line="240" w:lineRule="auto"/>
              <w:jc w:val="right"/>
              <w:rPr>
                <w:rFonts w:ascii="Arial" w:hAnsi="Arial" w:cs="Arial"/>
                <w:b/>
                <w:bCs/>
                <w:color w:val="000000"/>
                <w:sz w:val="16"/>
                <w:szCs w:val="16"/>
              </w:rPr>
            </w:pPr>
            <w:r w:rsidRPr="0057171E">
              <w:rPr>
                <w:rFonts w:ascii="Arial" w:hAnsi="Arial" w:cs="Arial"/>
                <w:b/>
                <w:bCs/>
                <w:color w:val="000000"/>
                <w:sz w:val="16"/>
                <w:szCs w:val="16"/>
              </w:rPr>
              <w:t>56,925</w:t>
            </w:r>
          </w:p>
        </w:tc>
      </w:tr>
    </w:tbl>
    <w:bookmarkEnd w:id="75"/>
    <w:bookmarkEnd w:id="76"/>
    <w:bookmarkEnd w:id="82"/>
    <w:bookmarkEnd w:id="83"/>
    <w:p w14:paraId="021140C5" w14:textId="335368FD" w:rsidR="00380867" w:rsidRPr="00002DB4" w:rsidRDefault="00380867" w:rsidP="00C0642E">
      <w:r w:rsidRPr="00F8401A">
        <w:rPr>
          <w:szCs w:val="19"/>
        </w:rPr>
        <w:t>Total education expenses are</w:t>
      </w:r>
      <w:r w:rsidRPr="00F8401A">
        <w:t xml:space="preserve"> estimated to increase by </w:t>
      </w:r>
      <w:r w:rsidR="00446EC2">
        <w:t>7.3</w:t>
      </w:r>
      <w:r w:rsidRPr="00F8401A">
        <w:t> per cent over the period 2024</w:t>
      </w:r>
      <w:r w:rsidRPr="00F8401A">
        <w:rPr>
          <w:rFonts w:cs="Book Antiqua"/>
        </w:rPr>
        <w:t>–</w:t>
      </w:r>
      <w:r w:rsidRPr="00F8401A">
        <w:t>25 to 2027</w:t>
      </w:r>
      <w:r w:rsidRPr="00F8401A">
        <w:rPr>
          <w:rFonts w:cs="Book Antiqua"/>
        </w:rPr>
        <w:t>–</w:t>
      </w:r>
      <w:r w:rsidRPr="00F8401A">
        <w:t>28, reflecting the Government</w:t>
      </w:r>
      <w:r w:rsidR="008D4F6B">
        <w:t>’</w:t>
      </w:r>
      <w:r w:rsidRPr="00F8401A">
        <w:t>s ongoing investment in schools, higher education, and vocational education</w:t>
      </w:r>
      <w:r w:rsidR="00EE73D9">
        <w:t xml:space="preserve"> and training</w:t>
      </w:r>
      <w:r w:rsidRPr="00F8401A">
        <w:t xml:space="preserve"> programs</w:t>
      </w:r>
      <w:r w:rsidRPr="00F8401A">
        <w:rPr>
          <w:rFonts w:asciiTheme="minorHAnsi" w:hAnsiTheme="minorHAnsi"/>
          <w:szCs w:val="19"/>
        </w:rPr>
        <w:t>.</w:t>
      </w:r>
    </w:p>
    <w:p w14:paraId="6AEE7BD0" w14:textId="212C9C19" w:rsidR="00380867" w:rsidRPr="00002DB4" w:rsidRDefault="00380867" w:rsidP="00380867">
      <w:r w:rsidRPr="00002DB4">
        <w:t xml:space="preserve">The main movements in expenses for the education function are attributable </w:t>
      </w:r>
      <w:r w:rsidR="009C3273">
        <w:t xml:space="preserve">to </w:t>
      </w:r>
      <w:r w:rsidRPr="00C0642E">
        <w:rPr>
          <w:rStyle w:val="Strong"/>
        </w:rPr>
        <w:t>schools</w:t>
      </w:r>
      <w:r w:rsidRPr="00002DB4">
        <w:rPr>
          <w:b/>
          <w:bCs/>
        </w:rPr>
        <w:t xml:space="preserve"> </w:t>
      </w:r>
      <w:r w:rsidRPr="007C00A0">
        <w:t>(</w:t>
      </w:r>
      <w:r w:rsidRPr="00264A35">
        <w:t>comprising</w:t>
      </w:r>
      <w:r w:rsidRPr="00002DB4">
        <w:rPr>
          <w:b/>
          <w:bCs/>
        </w:rPr>
        <w:t xml:space="preserve"> </w:t>
      </w:r>
      <w:r w:rsidRPr="00C0642E">
        <w:rPr>
          <w:rStyle w:val="Strong"/>
        </w:rPr>
        <w:t>non</w:t>
      </w:r>
      <w:r w:rsidR="008D4F6B">
        <w:rPr>
          <w:rStyle w:val="Strong"/>
        </w:rPr>
        <w:noBreakHyphen/>
      </w:r>
      <w:r w:rsidRPr="00C0642E">
        <w:rPr>
          <w:rStyle w:val="Strong"/>
        </w:rPr>
        <w:t xml:space="preserve">government schools </w:t>
      </w:r>
      <w:r w:rsidRPr="00204B48">
        <w:rPr>
          <w:rStyle w:val="Strong"/>
          <w:b w:val="0"/>
        </w:rPr>
        <w:t>and</w:t>
      </w:r>
      <w:r w:rsidRPr="00C0642E">
        <w:rPr>
          <w:rStyle w:val="Strong"/>
        </w:rPr>
        <w:t xml:space="preserve"> government schools</w:t>
      </w:r>
      <w:r w:rsidRPr="007C00A0">
        <w:t xml:space="preserve">), along with </w:t>
      </w:r>
      <w:r w:rsidRPr="00825D50">
        <w:rPr>
          <w:rStyle w:val="Strong"/>
        </w:rPr>
        <w:t>higher education and student assistance</w:t>
      </w:r>
      <w:r w:rsidR="009C3273">
        <w:t>.</w:t>
      </w:r>
      <w:r w:rsidR="009C3273">
        <w:rPr>
          <w:b/>
          <w:bCs/>
        </w:rPr>
        <w:t xml:space="preserve"> </w:t>
      </w:r>
      <w:r w:rsidRPr="00002DB4">
        <w:t>The remaining sub</w:t>
      </w:r>
      <w:r w:rsidR="008D4F6B">
        <w:noBreakHyphen/>
      </w:r>
      <w:r w:rsidRPr="00002DB4">
        <w:t xml:space="preserve">functions </w:t>
      </w:r>
      <w:r>
        <w:t xml:space="preserve">are expected to </w:t>
      </w:r>
      <w:r w:rsidRPr="00002DB4">
        <w:t>remain broadly stable over the period 2024</w:t>
      </w:r>
      <w:r w:rsidRPr="00002DB4">
        <w:rPr>
          <w:rFonts w:cs="Book Antiqua"/>
        </w:rPr>
        <w:t>–</w:t>
      </w:r>
      <w:r w:rsidRPr="00002DB4">
        <w:t>25 to 2027</w:t>
      </w:r>
      <w:r w:rsidRPr="00002DB4">
        <w:rPr>
          <w:rFonts w:cs="Book Antiqua"/>
        </w:rPr>
        <w:t>–</w:t>
      </w:r>
      <w:r w:rsidRPr="00002DB4">
        <w:t>28.</w:t>
      </w:r>
    </w:p>
    <w:p w14:paraId="570310D3" w14:textId="264EDF22" w:rsidR="00ED6D02" w:rsidRDefault="009C3273" w:rsidP="00ED6D02">
      <w:pPr>
        <w:rPr>
          <w:rFonts w:asciiTheme="minorHAnsi" w:hAnsiTheme="minorHAnsi"/>
          <w:szCs w:val="19"/>
        </w:rPr>
      </w:pPr>
      <w:r w:rsidRPr="007E7F24">
        <w:rPr>
          <w:rStyle w:val="Strong"/>
        </w:rPr>
        <w:t>H</w:t>
      </w:r>
      <w:r w:rsidR="00ED6D02" w:rsidRPr="007E7F24">
        <w:rPr>
          <w:rStyle w:val="Strong"/>
        </w:rPr>
        <w:t>igher education</w:t>
      </w:r>
      <w:r w:rsidR="00ED6D02" w:rsidRPr="00114705">
        <w:t xml:space="preserve"> </w:t>
      </w:r>
      <w:r>
        <w:t xml:space="preserve">expenses </w:t>
      </w:r>
      <w:r w:rsidR="00ED6D02" w:rsidRPr="00114705">
        <w:t>are estimated to increase over the period 2024</w:t>
      </w:r>
      <w:r w:rsidR="00ED6D02" w:rsidRPr="00114705">
        <w:rPr>
          <w:rFonts w:cs="Book Antiqua"/>
        </w:rPr>
        <w:t>–</w:t>
      </w:r>
      <w:r w:rsidR="00ED6D02" w:rsidRPr="00114705">
        <w:t>25 to 2027</w:t>
      </w:r>
      <w:r w:rsidR="00ED6D02" w:rsidRPr="00002DB4">
        <w:rPr>
          <w:rFonts w:cs="Book Antiqua"/>
        </w:rPr>
        <w:t>–</w:t>
      </w:r>
      <w:r w:rsidR="00ED6D02" w:rsidRPr="00114705">
        <w:t>28, primarily driven by growth in funding for Commonwealth</w:t>
      </w:r>
      <w:r w:rsidR="000373CE">
        <w:t xml:space="preserve"> </w:t>
      </w:r>
      <w:r w:rsidR="00ED6D02" w:rsidRPr="00114705">
        <w:t>supported study places at universities.</w:t>
      </w:r>
      <w:r w:rsidR="00ED6D02" w:rsidRPr="00002DB4">
        <w:rPr>
          <w:rFonts w:asciiTheme="minorHAnsi" w:hAnsiTheme="minorHAnsi"/>
          <w:szCs w:val="19"/>
        </w:rPr>
        <w:t xml:space="preserve"> </w:t>
      </w:r>
      <w:r w:rsidR="00ED6D02">
        <w:rPr>
          <w:rFonts w:asciiTheme="minorHAnsi" w:hAnsiTheme="minorHAnsi"/>
          <w:szCs w:val="19"/>
        </w:rPr>
        <w:t xml:space="preserve">The Government is </w:t>
      </w:r>
      <w:r w:rsidR="00F2334A">
        <w:rPr>
          <w:rFonts w:asciiTheme="minorHAnsi" w:hAnsiTheme="minorHAnsi"/>
          <w:szCs w:val="19"/>
        </w:rPr>
        <w:t xml:space="preserve">also </w:t>
      </w:r>
      <w:r w:rsidR="00ED6D02">
        <w:rPr>
          <w:rFonts w:asciiTheme="minorHAnsi" w:hAnsiTheme="minorHAnsi"/>
          <w:szCs w:val="19"/>
        </w:rPr>
        <w:t>increasing the number of Commonwealth supported places for fee</w:t>
      </w:r>
      <w:r w:rsidR="008D4F6B">
        <w:rPr>
          <w:rFonts w:asciiTheme="minorHAnsi" w:hAnsiTheme="minorHAnsi"/>
          <w:szCs w:val="19"/>
        </w:rPr>
        <w:noBreakHyphen/>
      </w:r>
      <w:r w:rsidR="00ED6D02">
        <w:rPr>
          <w:rFonts w:asciiTheme="minorHAnsi" w:hAnsiTheme="minorHAnsi"/>
          <w:szCs w:val="19"/>
        </w:rPr>
        <w:t>free university preparation courses through the 2024</w:t>
      </w:r>
      <w:r w:rsidR="00ED6D02" w:rsidRPr="00002DB4">
        <w:rPr>
          <w:rFonts w:cs="Book Antiqua"/>
        </w:rPr>
        <w:t>–</w:t>
      </w:r>
      <w:r w:rsidR="00ED6D02">
        <w:rPr>
          <w:rFonts w:asciiTheme="minorHAnsi" w:hAnsiTheme="minorHAnsi"/>
          <w:szCs w:val="19"/>
        </w:rPr>
        <w:t xml:space="preserve">25 Budget measure </w:t>
      </w:r>
      <w:r w:rsidR="00ED6D02" w:rsidRPr="007E7F24">
        <w:rPr>
          <w:rStyle w:val="Emphasis"/>
        </w:rPr>
        <w:t>Australian Universities Accord</w:t>
      </w:r>
      <w:r w:rsidR="008D4F6B">
        <w:rPr>
          <w:rStyle w:val="Emphasis"/>
        </w:rPr>
        <w:t xml:space="preserve"> – </w:t>
      </w:r>
      <w:r w:rsidR="00C74AAD" w:rsidRPr="007E7F24">
        <w:rPr>
          <w:rStyle w:val="Emphasis"/>
        </w:rPr>
        <w:t>tertiary education system reforms</w:t>
      </w:r>
      <w:r w:rsidR="00ED6D02" w:rsidRPr="009C3273">
        <w:rPr>
          <w:rFonts w:asciiTheme="minorHAnsi" w:hAnsiTheme="minorHAnsi"/>
          <w:szCs w:val="19"/>
        </w:rPr>
        <w:t>.</w:t>
      </w:r>
    </w:p>
    <w:p w14:paraId="715254F4" w14:textId="51C20AA1" w:rsidR="00ED6D02" w:rsidRPr="00ED6D02" w:rsidRDefault="009C3273" w:rsidP="00ED6D02">
      <w:pPr>
        <w:rPr>
          <w:rFonts w:cstheme="minorHAnsi"/>
        </w:rPr>
      </w:pPr>
      <w:r w:rsidRPr="001C1D2D">
        <w:rPr>
          <w:rStyle w:val="Strong"/>
        </w:rPr>
        <w:t>V</w:t>
      </w:r>
      <w:r w:rsidR="00ED6D02" w:rsidRPr="001C1D2D">
        <w:rPr>
          <w:rStyle w:val="Strong"/>
        </w:rPr>
        <w:t>ocational and other education</w:t>
      </w:r>
      <w:r w:rsidR="00ED6D02" w:rsidRPr="00002DB4">
        <w:rPr>
          <w:rFonts w:cstheme="minorHAnsi"/>
        </w:rPr>
        <w:t xml:space="preserve"> </w:t>
      </w:r>
      <w:r>
        <w:rPr>
          <w:rFonts w:cstheme="minorHAnsi"/>
        </w:rPr>
        <w:t xml:space="preserve">expenses </w:t>
      </w:r>
      <w:r w:rsidR="00ED6D02" w:rsidRPr="00002DB4">
        <w:rPr>
          <w:rFonts w:cstheme="minorHAnsi"/>
        </w:rPr>
        <w:t xml:space="preserve">are estimated to </w:t>
      </w:r>
      <w:r w:rsidR="00ED6D02">
        <w:rPr>
          <w:rFonts w:cstheme="minorHAnsi"/>
        </w:rPr>
        <w:t>remain broadly stable</w:t>
      </w:r>
      <w:r w:rsidR="00ED6D02" w:rsidRPr="00002DB4">
        <w:rPr>
          <w:rFonts w:cstheme="minorHAnsi"/>
        </w:rPr>
        <w:t xml:space="preserve"> across </w:t>
      </w:r>
      <w:r w:rsidR="005F7A06">
        <w:rPr>
          <w:rFonts w:cstheme="minorHAnsi"/>
        </w:rPr>
        <w:t xml:space="preserve">the </w:t>
      </w:r>
      <w:r w:rsidR="00ED6D02" w:rsidRPr="00002DB4">
        <w:rPr>
          <w:rFonts w:cstheme="minorHAnsi"/>
        </w:rPr>
        <w:t>period</w:t>
      </w:r>
      <w:r w:rsidR="005F7A06">
        <w:rPr>
          <w:rFonts w:cstheme="minorHAnsi"/>
        </w:rPr>
        <w:t xml:space="preserve"> 2024–25 to 2027–28</w:t>
      </w:r>
      <w:r w:rsidR="00ED6D02" w:rsidRPr="00002DB4">
        <w:rPr>
          <w:rFonts w:cstheme="minorHAnsi"/>
        </w:rPr>
        <w:t>. This reflects the profile of</w:t>
      </w:r>
      <w:r w:rsidR="00C74AAD">
        <w:rPr>
          <w:rFonts w:cstheme="minorHAnsi"/>
        </w:rPr>
        <w:t xml:space="preserve"> Government</w:t>
      </w:r>
      <w:r w:rsidR="00ED6D02" w:rsidRPr="00002DB4">
        <w:rPr>
          <w:rFonts w:cstheme="minorHAnsi"/>
        </w:rPr>
        <w:t xml:space="preserve"> investment in vocational education </w:t>
      </w:r>
      <w:r w:rsidR="00ED6D02" w:rsidRPr="001D36A8">
        <w:rPr>
          <w:rFonts w:cstheme="minorHAnsi"/>
        </w:rPr>
        <w:t xml:space="preserve">and training under the </w:t>
      </w:r>
      <w:r w:rsidR="009A03D0">
        <w:rPr>
          <w:rFonts w:cstheme="minorHAnsi"/>
        </w:rPr>
        <w:t>5-</w:t>
      </w:r>
      <w:r w:rsidR="00ED6D02" w:rsidRPr="001D36A8">
        <w:rPr>
          <w:rFonts w:cstheme="minorHAnsi"/>
        </w:rPr>
        <w:t xml:space="preserve">year </w:t>
      </w:r>
      <w:r w:rsidR="00ED6D02" w:rsidRPr="001C1D2D">
        <w:rPr>
          <w:rStyle w:val="Emphasis"/>
        </w:rPr>
        <w:t>National Skills Agreement</w:t>
      </w:r>
      <w:r w:rsidR="00ED6D02" w:rsidRPr="00E91994">
        <w:rPr>
          <w:rFonts w:cstheme="minorHAnsi"/>
        </w:rPr>
        <w:t>, which</w:t>
      </w:r>
      <w:r w:rsidR="00ED6D02" w:rsidRPr="001D36A8">
        <w:rPr>
          <w:rFonts w:cstheme="minorHAnsi"/>
        </w:rPr>
        <w:t xml:space="preserve"> commenced from 1 January 2024.</w:t>
      </w:r>
    </w:p>
    <w:p w14:paraId="55BE06E7" w14:textId="6B8E74D6" w:rsidR="00A94161" w:rsidRDefault="00A94161" w:rsidP="00A94161">
      <w:r w:rsidRPr="001C1D2D">
        <w:rPr>
          <w:rStyle w:val="Strong"/>
        </w:rPr>
        <w:t>Non</w:t>
      </w:r>
      <w:r w:rsidR="008D4F6B">
        <w:rPr>
          <w:rStyle w:val="Strong"/>
        </w:rPr>
        <w:noBreakHyphen/>
      </w:r>
      <w:r w:rsidRPr="001C1D2D">
        <w:rPr>
          <w:rStyle w:val="Strong"/>
        </w:rPr>
        <w:t>government schools</w:t>
      </w:r>
      <w:r w:rsidRPr="00002DB4">
        <w:t xml:space="preserve"> </w:t>
      </w:r>
      <w:r>
        <w:t>expenses are estimated to increase over the period 2024–25 to 2027–28. This is primarily driven by growth in student enrolments, largely due to a one</w:t>
      </w:r>
      <w:r w:rsidR="008D4F6B">
        <w:noBreakHyphen/>
      </w:r>
      <w:r>
        <w:t>off change to enrolment projection methodology.</w:t>
      </w:r>
    </w:p>
    <w:p w14:paraId="5A10C7E2" w14:textId="2D748486" w:rsidR="00380867" w:rsidRPr="00002DB4" w:rsidRDefault="009C3273" w:rsidP="00380867">
      <w:r w:rsidRPr="001C1D2D">
        <w:rPr>
          <w:rStyle w:val="Strong"/>
        </w:rPr>
        <w:t>G</w:t>
      </w:r>
      <w:r w:rsidR="00380867" w:rsidRPr="001C1D2D">
        <w:rPr>
          <w:rStyle w:val="Strong"/>
        </w:rPr>
        <w:t>overnment schools</w:t>
      </w:r>
      <w:r w:rsidR="00380867" w:rsidRPr="00002DB4">
        <w:t xml:space="preserve"> </w:t>
      </w:r>
      <w:r>
        <w:t xml:space="preserve">expenses </w:t>
      </w:r>
      <w:r w:rsidR="00380867" w:rsidRPr="00002DB4">
        <w:t>are estimated to increase over the period 2024</w:t>
      </w:r>
      <w:r w:rsidR="00380867" w:rsidRPr="00002DB4">
        <w:rPr>
          <w:rFonts w:cs="Book Antiqua"/>
        </w:rPr>
        <w:t>–</w:t>
      </w:r>
      <w:r w:rsidR="00380867" w:rsidRPr="00002DB4">
        <w:t>25 to 2027</w:t>
      </w:r>
      <w:r w:rsidR="00380867" w:rsidRPr="00002DB4">
        <w:rPr>
          <w:rFonts w:cs="Book Antiqua"/>
        </w:rPr>
        <w:t>–</w:t>
      </w:r>
      <w:r w:rsidR="00380867" w:rsidRPr="00002DB4">
        <w:t>28</w:t>
      </w:r>
      <w:r w:rsidR="00F2334A">
        <w:t xml:space="preserve"> </w:t>
      </w:r>
      <w:r w:rsidR="0046779C">
        <w:t>primarily reflect</w:t>
      </w:r>
      <w:r w:rsidR="00F2334A">
        <w:t>ing</w:t>
      </w:r>
      <w:r w:rsidR="0046779C">
        <w:t xml:space="preserve"> an increase in the number of students that </w:t>
      </w:r>
      <w:r w:rsidR="005C1146">
        <w:t xml:space="preserve">are eligible to </w:t>
      </w:r>
      <w:r w:rsidR="0046779C">
        <w:t xml:space="preserve">attract a </w:t>
      </w:r>
      <w:r w:rsidR="008D4F6B">
        <w:t>‘</w:t>
      </w:r>
      <w:r w:rsidR="0046779C">
        <w:t>student with disability</w:t>
      </w:r>
      <w:r w:rsidR="008D4F6B">
        <w:t>’</w:t>
      </w:r>
      <w:r w:rsidR="0046779C">
        <w:t xml:space="preserve"> loading.</w:t>
      </w:r>
    </w:p>
    <w:p w14:paraId="70344CF7" w14:textId="08BD1820" w:rsidR="00A94161" w:rsidRPr="00932C49" w:rsidRDefault="00E64D46" w:rsidP="005C0DD6">
      <w:pPr>
        <w:keepLines/>
      </w:pPr>
      <w:bookmarkStart w:id="84" w:name="_Hlk166155693"/>
      <w:r>
        <w:lastRenderedPageBreak/>
        <w:t>Fluctuations</w:t>
      </w:r>
      <w:r w:rsidR="00A94161">
        <w:t xml:space="preserve"> in </w:t>
      </w:r>
      <w:r w:rsidR="00A94161" w:rsidRPr="00B94EC1">
        <w:rPr>
          <w:rStyle w:val="Strong"/>
        </w:rPr>
        <w:t>student assistance</w:t>
      </w:r>
      <w:r w:rsidR="00A94161">
        <w:rPr>
          <w:b/>
          <w:bCs/>
        </w:rPr>
        <w:t xml:space="preserve"> </w:t>
      </w:r>
      <w:r w:rsidR="00A94161">
        <w:t>expenses</w:t>
      </w:r>
      <w:r>
        <w:t xml:space="preserve"> reflect</w:t>
      </w:r>
      <w:r w:rsidR="00A94161" w:rsidRPr="00002DB4">
        <w:t xml:space="preserve"> </w:t>
      </w:r>
      <w:r w:rsidR="00A94161">
        <w:t>the Government</w:t>
      </w:r>
      <w:r w:rsidR="008D4F6B">
        <w:t>’</w:t>
      </w:r>
      <w:r>
        <w:t>s decision to</w:t>
      </w:r>
      <w:r w:rsidR="00A94161">
        <w:t xml:space="preserve"> </w:t>
      </w:r>
      <w:bookmarkStart w:id="85" w:name="_Hlk166168183"/>
      <w:r w:rsidR="005C1146">
        <w:t>change indexation arrangements for</w:t>
      </w:r>
      <w:bookmarkEnd w:id="85"/>
      <w:r w:rsidR="00A94161">
        <w:t xml:space="preserve"> outstanding debt for student loans from 1 June 2023 through the 2024</w:t>
      </w:r>
      <w:r w:rsidR="00A94161" w:rsidRPr="00002DB4">
        <w:rPr>
          <w:rFonts w:cs="Book Antiqua"/>
        </w:rPr>
        <w:t>–</w:t>
      </w:r>
      <w:r w:rsidR="00A94161">
        <w:t xml:space="preserve">25 Budget </w:t>
      </w:r>
      <w:r w:rsidR="00A94161" w:rsidRPr="009C3273">
        <w:t xml:space="preserve">measure </w:t>
      </w:r>
      <w:r w:rsidR="00A94161" w:rsidRPr="00B94EC1">
        <w:rPr>
          <w:rStyle w:val="Emphasis"/>
        </w:rPr>
        <w:t>Australian Universities Accord</w:t>
      </w:r>
      <w:r w:rsidR="008D4F6B">
        <w:rPr>
          <w:rStyle w:val="Emphasis"/>
        </w:rPr>
        <w:t xml:space="preserve"> – </w:t>
      </w:r>
      <w:r w:rsidR="00A94161" w:rsidRPr="00B94EC1">
        <w:rPr>
          <w:rStyle w:val="Emphasis"/>
        </w:rPr>
        <w:t xml:space="preserve">tertiary education system reforms. </w:t>
      </w:r>
      <w:r w:rsidR="00A94161">
        <w:t>This measure results in a large</w:t>
      </w:r>
      <w:r>
        <w:t>, one</w:t>
      </w:r>
      <w:r w:rsidR="008D4F6B">
        <w:noBreakHyphen/>
      </w:r>
      <w:r>
        <w:t>off</w:t>
      </w:r>
      <w:r w:rsidR="00A94161">
        <w:t xml:space="preserve"> increase in expenses in 2024</w:t>
      </w:r>
      <w:r w:rsidR="00A94161" w:rsidRPr="00002DB4">
        <w:rPr>
          <w:rFonts w:cs="Book Antiqua"/>
        </w:rPr>
        <w:t>–</w:t>
      </w:r>
      <w:r w:rsidR="00A94161">
        <w:t>25 when students will receive an indexation credit to their outstanding debt for prior year indexation adjustments. Excluding this one</w:t>
      </w:r>
      <w:r w:rsidR="008D4F6B">
        <w:noBreakHyphen/>
      </w:r>
      <w:r w:rsidR="00A94161">
        <w:t xml:space="preserve">off expense, </w:t>
      </w:r>
      <w:r w:rsidR="00A94161" w:rsidRPr="00B94EC1">
        <w:rPr>
          <w:rStyle w:val="Strong"/>
        </w:rPr>
        <w:t>student assistance</w:t>
      </w:r>
      <w:r w:rsidR="00A94161">
        <w:t xml:space="preserve"> </w:t>
      </w:r>
      <w:r>
        <w:t xml:space="preserve">expenses </w:t>
      </w:r>
      <w:r w:rsidR="00A94161">
        <w:t xml:space="preserve">are estimated to </w:t>
      </w:r>
      <w:r w:rsidR="00A94161" w:rsidRPr="00002DB4">
        <w:t>increase over the period 2024</w:t>
      </w:r>
      <w:r w:rsidR="00A94161" w:rsidRPr="00002DB4">
        <w:rPr>
          <w:rFonts w:cs="Book Antiqua"/>
        </w:rPr>
        <w:t>–</w:t>
      </w:r>
      <w:r w:rsidR="00A94161" w:rsidRPr="00002DB4">
        <w:t>25 to 2027</w:t>
      </w:r>
      <w:r w:rsidR="00A94161" w:rsidRPr="00002DB4">
        <w:rPr>
          <w:rFonts w:cs="Book Antiqua"/>
        </w:rPr>
        <w:t>–</w:t>
      </w:r>
      <w:r w:rsidR="00A94161" w:rsidRPr="00002DB4">
        <w:t>28 primarily driven by growth in student numbers</w:t>
      </w:r>
      <w:r w:rsidR="00A94161">
        <w:t xml:space="preserve"> over the period 2024–25 to 2027–28</w:t>
      </w:r>
      <w:r w:rsidR="00A94161" w:rsidRPr="00002DB4">
        <w:t>.</w:t>
      </w:r>
    </w:p>
    <w:p w14:paraId="659196C9" w14:textId="77777777" w:rsidR="00D2620D" w:rsidRPr="000177D7" w:rsidRDefault="00D2620D" w:rsidP="00D2620D">
      <w:pPr>
        <w:pStyle w:val="Heading3"/>
      </w:pPr>
      <w:bookmarkStart w:id="86" w:name="_Toc166369422"/>
      <w:bookmarkEnd w:id="84"/>
      <w:r w:rsidRPr="000177D7">
        <w:t>Health</w:t>
      </w:r>
      <w:bookmarkEnd w:id="86"/>
    </w:p>
    <w:p w14:paraId="09BF97D8" w14:textId="200DAFD0" w:rsidR="00E32E1B" w:rsidRPr="004B38CF" w:rsidRDefault="00E32E1B" w:rsidP="00E32E1B">
      <w:bookmarkStart w:id="87" w:name="_Toc4577274"/>
      <w:bookmarkStart w:id="88" w:name="_Toc4689186"/>
      <w:bookmarkStart w:id="89" w:name="_Hlk164333283"/>
      <w:bookmarkStart w:id="90" w:name="_Toc99203685"/>
      <w:bookmarkStart w:id="91" w:name="_Toc117358178"/>
      <w:bookmarkEnd w:id="66"/>
      <w:r w:rsidRPr="000177D7">
        <w:t>The health function includes expenses relating to</w:t>
      </w:r>
      <w:r>
        <w:t xml:space="preserve"> </w:t>
      </w:r>
      <w:r w:rsidRPr="000177D7">
        <w:t>medical services funded through Medicare</w:t>
      </w:r>
      <w:r>
        <w:t>,</w:t>
      </w:r>
      <w:r w:rsidRPr="000177D7">
        <w:t xml:space="preserve"> payments to the states and territories to deliver essential health services</w:t>
      </w:r>
      <w:r w:rsidR="00C53E4D">
        <w:t xml:space="preserve"> (</w:t>
      </w:r>
      <w:r w:rsidRPr="000177D7">
        <w:t>including public hospitals</w:t>
      </w:r>
      <w:r w:rsidR="00C53E4D">
        <w:t>)</w:t>
      </w:r>
      <w:r>
        <w:t>,</w:t>
      </w:r>
      <w:r w:rsidRPr="000177D7">
        <w:t xml:space="preserve"> the Pharmaceutical Benefits and Repatriation Pharmaceutical Benefits Schemes</w:t>
      </w:r>
      <w:r>
        <w:t>,</w:t>
      </w:r>
      <w:r w:rsidRPr="000177D7">
        <w:t xml:space="preserve"> the Private Health Insurance Rebate</w:t>
      </w:r>
      <w:r>
        <w:t>,</w:t>
      </w:r>
      <w:r w:rsidRPr="000177D7">
        <w:t xml:space="preserve"> Aboriginal and </w:t>
      </w:r>
      <w:r>
        <w:t>Torres Strait</w:t>
      </w:r>
      <w:r w:rsidRPr="000177D7">
        <w:t xml:space="preserve"> Islander health programs, mental health services</w:t>
      </w:r>
      <w:r>
        <w:t>,</w:t>
      </w:r>
      <w:r w:rsidRPr="000177D7">
        <w:t xml:space="preserve"> and health workforce initiatives.</w:t>
      </w:r>
    </w:p>
    <w:p w14:paraId="2232B68B" w14:textId="0E036557" w:rsidR="00766B84" w:rsidRDefault="00E32E1B" w:rsidP="00766B84">
      <w:pPr>
        <w:pStyle w:val="TableHeading"/>
        <w:rPr>
          <w:rFonts w:asciiTheme="minorHAnsi" w:eastAsiaTheme="minorHAnsi" w:hAnsiTheme="minorHAnsi" w:cstheme="minorBidi"/>
          <w:sz w:val="22"/>
          <w:szCs w:val="22"/>
          <w:lang w:eastAsia="en-US"/>
        </w:rPr>
      </w:pPr>
      <w:r>
        <w:t>Table </w:t>
      </w:r>
      <w:r w:rsidRPr="000177D7">
        <w:t>6.8: Summary of expenses</w:t>
      </w:r>
      <w:r>
        <w:t xml:space="preserve"> – </w:t>
      </w:r>
      <w:r w:rsidRPr="000177D7">
        <w:t>health</w:t>
      </w:r>
      <w:bookmarkStart w:id="92" w:name="_1555619462"/>
      <w:bookmarkStart w:id="93" w:name="_1727774302"/>
      <w:bookmarkStart w:id="94" w:name="_1776946627"/>
      <w:bookmarkStart w:id="95" w:name="_1776946766"/>
      <w:bookmarkStart w:id="96" w:name="_1776946860"/>
      <w:bookmarkEnd w:id="92"/>
      <w:bookmarkEnd w:id="93"/>
      <w:bookmarkEnd w:id="94"/>
      <w:bookmarkEnd w:id="95"/>
      <w:bookmarkEnd w:id="96"/>
    </w:p>
    <w:tbl>
      <w:tblPr>
        <w:tblW w:w="5000" w:type="pct"/>
        <w:tblCellMar>
          <w:left w:w="0" w:type="dxa"/>
          <w:right w:w="28" w:type="dxa"/>
        </w:tblCellMar>
        <w:tblLook w:val="04A0" w:firstRow="1" w:lastRow="0" w:firstColumn="1" w:lastColumn="0" w:noHBand="0" w:noVBand="1"/>
      </w:tblPr>
      <w:tblGrid>
        <w:gridCol w:w="3529"/>
        <w:gridCol w:w="837"/>
        <w:gridCol w:w="836"/>
        <w:gridCol w:w="836"/>
        <w:gridCol w:w="836"/>
        <w:gridCol w:w="836"/>
      </w:tblGrid>
      <w:tr w:rsidR="00766B84" w:rsidRPr="00766B84" w14:paraId="24F3EB2A" w14:textId="77777777" w:rsidTr="00396E68">
        <w:trPr>
          <w:trHeight w:hRule="exact" w:val="225"/>
        </w:trPr>
        <w:tc>
          <w:tcPr>
            <w:tcW w:w="2289" w:type="pct"/>
            <w:tcBorders>
              <w:top w:val="single" w:sz="4" w:space="0" w:color="293F5B"/>
              <w:left w:val="nil"/>
              <w:bottom w:val="nil"/>
              <w:right w:val="nil"/>
            </w:tcBorders>
            <w:shd w:val="clear" w:color="000000" w:fill="FFFFFF"/>
            <w:noWrap/>
            <w:vAlign w:val="center"/>
            <w:hideMark/>
          </w:tcPr>
          <w:p w14:paraId="4BD1FED3" w14:textId="75323546" w:rsidR="00766B84" w:rsidRPr="00766B84" w:rsidRDefault="00766B84" w:rsidP="00766B84">
            <w:pPr>
              <w:spacing w:before="0" w:after="0" w:line="240" w:lineRule="auto"/>
              <w:rPr>
                <w:rFonts w:ascii="Arial" w:hAnsi="Arial" w:cs="Arial"/>
                <w:b/>
                <w:bCs/>
                <w:color w:val="000000"/>
                <w:sz w:val="16"/>
                <w:szCs w:val="16"/>
              </w:rPr>
            </w:pPr>
            <w:r w:rsidRPr="00766B84">
              <w:rPr>
                <w:rFonts w:ascii="Arial" w:hAnsi="Arial" w:cs="Arial"/>
                <w:b/>
                <w:bCs/>
                <w:color w:val="000000"/>
                <w:sz w:val="16"/>
                <w:szCs w:val="16"/>
              </w:rPr>
              <w:t>Sub-function</w:t>
            </w:r>
          </w:p>
        </w:tc>
        <w:tc>
          <w:tcPr>
            <w:tcW w:w="2711" w:type="pct"/>
            <w:gridSpan w:val="5"/>
            <w:tcBorders>
              <w:top w:val="single" w:sz="4" w:space="0" w:color="293F5B"/>
              <w:left w:val="nil"/>
              <w:bottom w:val="single" w:sz="4" w:space="0" w:color="293F5B"/>
              <w:right w:val="nil"/>
            </w:tcBorders>
            <w:shd w:val="clear" w:color="000000" w:fill="FFFFFF"/>
            <w:noWrap/>
            <w:vAlign w:val="center"/>
            <w:hideMark/>
          </w:tcPr>
          <w:p w14:paraId="5229B43A" w14:textId="77777777" w:rsidR="00766B84" w:rsidRPr="00766B84" w:rsidRDefault="00766B84" w:rsidP="00766B84">
            <w:pPr>
              <w:spacing w:before="0" w:after="0" w:line="240" w:lineRule="auto"/>
              <w:jc w:val="center"/>
              <w:rPr>
                <w:rFonts w:ascii="Arial" w:hAnsi="Arial" w:cs="Arial"/>
                <w:color w:val="000000"/>
                <w:sz w:val="16"/>
                <w:szCs w:val="16"/>
              </w:rPr>
            </w:pPr>
            <w:r w:rsidRPr="00766B84">
              <w:rPr>
                <w:rFonts w:ascii="Arial" w:hAnsi="Arial" w:cs="Arial"/>
                <w:color w:val="000000"/>
                <w:sz w:val="16"/>
                <w:szCs w:val="16"/>
              </w:rPr>
              <w:t>Estimates</w:t>
            </w:r>
          </w:p>
        </w:tc>
      </w:tr>
      <w:tr w:rsidR="00766B84" w:rsidRPr="00766B84" w14:paraId="451CE75D" w14:textId="77777777" w:rsidTr="00396E68">
        <w:trPr>
          <w:trHeight w:hRule="exact" w:val="225"/>
        </w:trPr>
        <w:tc>
          <w:tcPr>
            <w:tcW w:w="2289" w:type="pct"/>
            <w:tcBorders>
              <w:top w:val="nil"/>
              <w:left w:val="nil"/>
              <w:bottom w:val="nil"/>
              <w:right w:val="nil"/>
            </w:tcBorders>
            <w:shd w:val="clear" w:color="000000" w:fill="FFFFFF"/>
            <w:noWrap/>
            <w:vAlign w:val="bottom"/>
            <w:hideMark/>
          </w:tcPr>
          <w:p w14:paraId="3C9178C8" w14:textId="77777777" w:rsidR="00766B84" w:rsidRPr="00766B84" w:rsidRDefault="00766B84" w:rsidP="00766B84">
            <w:pPr>
              <w:spacing w:before="0" w:after="0" w:line="240" w:lineRule="auto"/>
              <w:rPr>
                <w:rFonts w:ascii="Arial" w:hAnsi="Arial" w:cs="Arial"/>
                <w:color w:val="000000"/>
                <w:sz w:val="16"/>
                <w:szCs w:val="16"/>
              </w:rPr>
            </w:pPr>
            <w:r w:rsidRPr="00766B84">
              <w:rPr>
                <w:rFonts w:ascii="Arial" w:hAnsi="Arial" w:cs="Arial"/>
                <w:color w:val="000000"/>
                <w:sz w:val="16"/>
                <w:szCs w:val="16"/>
              </w:rPr>
              <w:t> </w:t>
            </w:r>
          </w:p>
        </w:tc>
        <w:tc>
          <w:tcPr>
            <w:tcW w:w="543" w:type="pct"/>
            <w:tcBorders>
              <w:top w:val="single" w:sz="4" w:space="0" w:color="293F5B"/>
              <w:left w:val="nil"/>
              <w:bottom w:val="nil"/>
              <w:right w:val="nil"/>
            </w:tcBorders>
            <w:shd w:val="clear" w:color="000000" w:fill="FFFFFF"/>
            <w:noWrap/>
            <w:vAlign w:val="center"/>
            <w:hideMark/>
          </w:tcPr>
          <w:p w14:paraId="33D37848" w14:textId="77777777" w:rsidR="00766B84" w:rsidRPr="00766B84" w:rsidRDefault="00766B84" w:rsidP="00766B84">
            <w:pPr>
              <w:spacing w:before="0" w:after="0" w:line="240" w:lineRule="auto"/>
              <w:jc w:val="right"/>
              <w:rPr>
                <w:rFonts w:ascii="Arial" w:hAnsi="Arial" w:cs="Arial"/>
                <w:sz w:val="16"/>
                <w:szCs w:val="16"/>
              </w:rPr>
            </w:pPr>
            <w:r w:rsidRPr="00766B84">
              <w:rPr>
                <w:rFonts w:ascii="Arial" w:hAnsi="Arial" w:cs="Arial"/>
                <w:sz w:val="16"/>
                <w:szCs w:val="16"/>
              </w:rPr>
              <w:t>2023-24</w:t>
            </w:r>
          </w:p>
        </w:tc>
        <w:tc>
          <w:tcPr>
            <w:tcW w:w="542" w:type="pct"/>
            <w:tcBorders>
              <w:top w:val="single" w:sz="4" w:space="0" w:color="293F5B"/>
              <w:left w:val="nil"/>
              <w:bottom w:val="nil"/>
              <w:right w:val="nil"/>
            </w:tcBorders>
            <w:shd w:val="clear" w:color="000000" w:fill="E6F2FF"/>
            <w:noWrap/>
            <w:vAlign w:val="center"/>
            <w:hideMark/>
          </w:tcPr>
          <w:p w14:paraId="52BA4403" w14:textId="77777777" w:rsidR="00766B84" w:rsidRPr="00766B84" w:rsidRDefault="00766B84" w:rsidP="00766B84">
            <w:pPr>
              <w:spacing w:before="0" w:after="0" w:line="240" w:lineRule="auto"/>
              <w:jc w:val="right"/>
              <w:rPr>
                <w:rFonts w:ascii="Arial" w:hAnsi="Arial" w:cs="Arial"/>
                <w:sz w:val="16"/>
                <w:szCs w:val="16"/>
              </w:rPr>
            </w:pPr>
            <w:r w:rsidRPr="00766B84">
              <w:rPr>
                <w:rFonts w:ascii="Arial" w:hAnsi="Arial" w:cs="Arial"/>
                <w:sz w:val="16"/>
                <w:szCs w:val="16"/>
              </w:rPr>
              <w:t>2024-25</w:t>
            </w:r>
          </w:p>
        </w:tc>
        <w:tc>
          <w:tcPr>
            <w:tcW w:w="542" w:type="pct"/>
            <w:tcBorders>
              <w:top w:val="single" w:sz="4" w:space="0" w:color="293F5B"/>
              <w:left w:val="nil"/>
              <w:bottom w:val="nil"/>
              <w:right w:val="nil"/>
            </w:tcBorders>
            <w:shd w:val="clear" w:color="000000" w:fill="FFFFFF"/>
            <w:noWrap/>
            <w:vAlign w:val="center"/>
            <w:hideMark/>
          </w:tcPr>
          <w:p w14:paraId="4ED00978" w14:textId="77777777" w:rsidR="00766B84" w:rsidRPr="00766B84" w:rsidRDefault="00766B84" w:rsidP="00766B84">
            <w:pPr>
              <w:spacing w:before="0" w:after="0" w:line="240" w:lineRule="auto"/>
              <w:jc w:val="right"/>
              <w:rPr>
                <w:rFonts w:ascii="Arial" w:hAnsi="Arial" w:cs="Arial"/>
                <w:sz w:val="16"/>
                <w:szCs w:val="16"/>
              </w:rPr>
            </w:pPr>
            <w:r w:rsidRPr="00766B84">
              <w:rPr>
                <w:rFonts w:ascii="Arial" w:hAnsi="Arial" w:cs="Arial"/>
                <w:sz w:val="16"/>
                <w:szCs w:val="16"/>
              </w:rPr>
              <w:t>2025-26</w:t>
            </w:r>
          </w:p>
        </w:tc>
        <w:tc>
          <w:tcPr>
            <w:tcW w:w="542" w:type="pct"/>
            <w:tcBorders>
              <w:top w:val="single" w:sz="4" w:space="0" w:color="293F5B"/>
              <w:left w:val="nil"/>
              <w:bottom w:val="nil"/>
              <w:right w:val="nil"/>
            </w:tcBorders>
            <w:shd w:val="clear" w:color="000000" w:fill="FFFFFF"/>
            <w:noWrap/>
            <w:vAlign w:val="center"/>
            <w:hideMark/>
          </w:tcPr>
          <w:p w14:paraId="1E082D64" w14:textId="77777777" w:rsidR="00766B84" w:rsidRPr="00766B84" w:rsidRDefault="00766B84" w:rsidP="00766B84">
            <w:pPr>
              <w:spacing w:before="0" w:after="0" w:line="240" w:lineRule="auto"/>
              <w:jc w:val="right"/>
              <w:rPr>
                <w:rFonts w:ascii="Arial" w:hAnsi="Arial" w:cs="Arial"/>
                <w:sz w:val="16"/>
                <w:szCs w:val="16"/>
              </w:rPr>
            </w:pPr>
            <w:r w:rsidRPr="00766B84">
              <w:rPr>
                <w:rFonts w:ascii="Arial" w:hAnsi="Arial" w:cs="Arial"/>
                <w:sz w:val="16"/>
                <w:szCs w:val="16"/>
              </w:rPr>
              <w:t>2026-27</w:t>
            </w:r>
          </w:p>
        </w:tc>
        <w:tc>
          <w:tcPr>
            <w:tcW w:w="542" w:type="pct"/>
            <w:tcBorders>
              <w:top w:val="single" w:sz="4" w:space="0" w:color="293F5B"/>
              <w:left w:val="nil"/>
              <w:bottom w:val="nil"/>
              <w:right w:val="nil"/>
            </w:tcBorders>
            <w:shd w:val="clear" w:color="000000" w:fill="FFFFFF"/>
            <w:noWrap/>
            <w:vAlign w:val="center"/>
            <w:hideMark/>
          </w:tcPr>
          <w:p w14:paraId="3AC22547" w14:textId="77777777" w:rsidR="00766B84" w:rsidRPr="00766B84" w:rsidRDefault="00766B84" w:rsidP="00766B84">
            <w:pPr>
              <w:spacing w:before="0" w:after="0" w:line="240" w:lineRule="auto"/>
              <w:jc w:val="right"/>
              <w:rPr>
                <w:rFonts w:ascii="Arial" w:hAnsi="Arial" w:cs="Arial"/>
                <w:color w:val="000000"/>
                <w:sz w:val="16"/>
                <w:szCs w:val="16"/>
              </w:rPr>
            </w:pPr>
            <w:r w:rsidRPr="00766B84">
              <w:rPr>
                <w:rFonts w:ascii="Arial" w:hAnsi="Arial" w:cs="Arial"/>
                <w:color w:val="000000"/>
                <w:sz w:val="16"/>
                <w:szCs w:val="16"/>
              </w:rPr>
              <w:t>2027-28</w:t>
            </w:r>
          </w:p>
        </w:tc>
      </w:tr>
      <w:tr w:rsidR="00766B84" w:rsidRPr="00766B84" w14:paraId="3D9F3F2E" w14:textId="77777777" w:rsidTr="00396E68">
        <w:trPr>
          <w:trHeight w:hRule="exact" w:val="225"/>
        </w:trPr>
        <w:tc>
          <w:tcPr>
            <w:tcW w:w="2289" w:type="pct"/>
            <w:tcBorders>
              <w:top w:val="nil"/>
              <w:left w:val="nil"/>
              <w:bottom w:val="nil"/>
              <w:right w:val="nil"/>
            </w:tcBorders>
            <w:shd w:val="clear" w:color="000000" w:fill="FFFFFF"/>
            <w:noWrap/>
            <w:vAlign w:val="center"/>
            <w:hideMark/>
          </w:tcPr>
          <w:p w14:paraId="00E4BB12" w14:textId="77777777" w:rsidR="00766B84" w:rsidRPr="00766B84" w:rsidRDefault="00766B84" w:rsidP="00766B84">
            <w:pPr>
              <w:spacing w:before="0" w:after="0" w:line="240" w:lineRule="auto"/>
              <w:rPr>
                <w:rFonts w:ascii="Arial" w:hAnsi="Arial" w:cs="Arial"/>
                <w:color w:val="000000"/>
                <w:sz w:val="16"/>
                <w:szCs w:val="16"/>
              </w:rPr>
            </w:pPr>
            <w:r w:rsidRPr="00766B84">
              <w:rPr>
                <w:rFonts w:ascii="Arial" w:hAnsi="Arial" w:cs="Arial"/>
                <w:color w:val="000000"/>
                <w:sz w:val="16"/>
                <w:szCs w:val="16"/>
              </w:rPr>
              <w:t> </w:t>
            </w:r>
          </w:p>
        </w:tc>
        <w:tc>
          <w:tcPr>
            <w:tcW w:w="543" w:type="pct"/>
            <w:tcBorders>
              <w:top w:val="nil"/>
              <w:left w:val="nil"/>
              <w:bottom w:val="single" w:sz="4" w:space="0" w:color="293F5B"/>
              <w:right w:val="nil"/>
            </w:tcBorders>
            <w:shd w:val="clear" w:color="000000" w:fill="FFFFFF"/>
            <w:noWrap/>
            <w:vAlign w:val="center"/>
            <w:hideMark/>
          </w:tcPr>
          <w:p w14:paraId="61E964AC" w14:textId="77777777" w:rsidR="00766B84" w:rsidRPr="00766B84" w:rsidRDefault="00766B84" w:rsidP="00766B84">
            <w:pPr>
              <w:spacing w:before="0" w:after="0" w:line="240" w:lineRule="auto"/>
              <w:jc w:val="right"/>
              <w:rPr>
                <w:rFonts w:ascii="Arial" w:hAnsi="Arial" w:cs="Arial"/>
                <w:color w:val="000000"/>
                <w:sz w:val="16"/>
                <w:szCs w:val="16"/>
              </w:rPr>
            </w:pPr>
            <w:r w:rsidRPr="00766B84">
              <w:rPr>
                <w:rFonts w:ascii="Arial" w:hAnsi="Arial" w:cs="Arial"/>
                <w:color w:val="000000"/>
                <w:sz w:val="16"/>
                <w:szCs w:val="16"/>
              </w:rPr>
              <w:t>$m</w:t>
            </w:r>
          </w:p>
        </w:tc>
        <w:tc>
          <w:tcPr>
            <w:tcW w:w="542" w:type="pct"/>
            <w:tcBorders>
              <w:top w:val="nil"/>
              <w:left w:val="nil"/>
              <w:bottom w:val="single" w:sz="4" w:space="0" w:color="293F5B"/>
              <w:right w:val="nil"/>
            </w:tcBorders>
            <w:shd w:val="clear" w:color="000000" w:fill="E6F2FF"/>
            <w:noWrap/>
            <w:vAlign w:val="center"/>
            <w:hideMark/>
          </w:tcPr>
          <w:p w14:paraId="51C81119" w14:textId="77777777" w:rsidR="00766B84" w:rsidRPr="00766B84" w:rsidRDefault="00766B84" w:rsidP="00766B84">
            <w:pPr>
              <w:spacing w:before="0" w:after="0" w:line="240" w:lineRule="auto"/>
              <w:jc w:val="right"/>
              <w:rPr>
                <w:rFonts w:ascii="Arial" w:hAnsi="Arial" w:cs="Arial"/>
                <w:color w:val="000000"/>
                <w:sz w:val="16"/>
                <w:szCs w:val="16"/>
              </w:rPr>
            </w:pPr>
            <w:r w:rsidRPr="00766B84">
              <w:rPr>
                <w:rFonts w:ascii="Arial" w:hAnsi="Arial" w:cs="Arial"/>
                <w:color w:val="000000"/>
                <w:sz w:val="16"/>
                <w:szCs w:val="16"/>
              </w:rPr>
              <w:t>$m</w:t>
            </w:r>
          </w:p>
        </w:tc>
        <w:tc>
          <w:tcPr>
            <w:tcW w:w="542" w:type="pct"/>
            <w:tcBorders>
              <w:top w:val="nil"/>
              <w:left w:val="nil"/>
              <w:bottom w:val="single" w:sz="4" w:space="0" w:color="293F5B"/>
              <w:right w:val="nil"/>
            </w:tcBorders>
            <w:shd w:val="clear" w:color="000000" w:fill="FFFFFF"/>
            <w:noWrap/>
            <w:vAlign w:val="center"/>
            <w:hideMark/>
          </w:tcPr>
          <w:p w14:paraId="0344BFA2" w14:textId="77777777" w:rsidR="00766B84" w:rsidRPr="00766B84" w:rsidRDefault="00766B84" w:rsidP="00766B84">
            <w:pPr>
              <w:spacing w:before="0" w:after="0" w:line="240" w:lineRule="auto"/>
              <w:jc w:val="right"/>
              <w:rPr>
                <w:rFonts w:ascii="Arial" w:hAnsi="Arial" w:cs="Arial"/>
                <w:color w:val="000000"/>
                <w:sz w:val="16"/>
                <w:szCs w:val="16"/>
              </w:rPr>
            </w:pPr>
            <w:r w:rsidRPr="00766B84">
              <w:rPr>
                <w:rFonts w:ascii="Arial" w:hAnsi="Arial" w:cs="Arial"/>
                <w:color w:val="000000"/>
                <w:sz w:val="16"/>
                <w:szCs w:val="16"/>
              </w:rPr>
              <w:t>$m</w:t>
            </w:r>
          </w:p>
        </w:tc>
        <w:tc>
          <w:tcPr>
            <w:tcW w:w="542" w:type="pct"/>
            <w:tcBorders>
              <w:top w:val="nil"/>
              <w:left w:val="nil"/>
              <w:bottom w:val="single" w:sz="4" w:space="0" w:color="293F5B"/>
              <w:right w:val="nil"/>
            </w:tcBorders>
            <w:shd w:val="clear" w:color="000000" w:fill="FFFFFF"/>
            <w:noWrap/>
            <w:vAlign w:val="center"/>
            <w:hideMark/>
          </w:tcPr>
          <w:p w14:paraId="7F784B44" w14:textId="77777777" w:rsidR="00766B84" w:rsidRPr="00766B84" w:rsidRDefault="00766B84" w:rsidP="00766B84">
            <w:pPr>
              <w:spacing w:before="0" w:after="0" w:line="240" w:lineRule="auto"/>
              <w:jc w:val="right"/>
              <w:rPr>
                <w:rFonts w:ascii="Arial" w:hAnsi="Arial" w:cs="Arial"/>
                <w:color w:val="000000"/>
                <w:sz w:val="16"/>
                <w:szCs w:val="16"/>
              </w:rPr>
            </w:pPr>
            <w:r w:rsidRPr="00766B84">
              <w:rPr>
                <w:rFonts w:ascii="Arial" w:hAnsi="Arial" w:cs="Arial"/>
                <w:color w:val="000000"/>
                <w:sz w:val="16"/>
                <w:szCs w:val="16"/>
              </w:rPr>
              <w:t>$m</w:t>
            </w:r>
          </w:p>
        </w:tc>
        <w:tc>
          <w:tcPr>
            <w:tcW w:w="542" w:type="pct"/>
            <w:tcBorders>
              <w:top w:val="nil"/>
              <w:left w:val="nil"/>
              <w:bottom w:val="single" w:sz="4" w:space="0" w:color="293F5B"/>
              <w:right w:val="nil"/>
            </w:tcBorders>
            <w:shd w:val="clear" w:color="000000" w:fill="FFFFFF"/>
            <w:noWrap/>
            <w:vAlign w:val="center"/>
            <w:hideMark/>
          </w:tcPr>
          <w:p w14:paraId="44EC705B" w14:textId="77777777" w:rsidR="00766B84" w:rsidRPr="00766B84" w:rsidRDefault="00766B84" w:rsidP="00766B84">
            <w:pPr>
              <w:spacing w:before="0" w:after="0" w:line="240" w:lineRule="auto"/>
              <w:jc w:val="right"/>
              <w:rPr>
                <w:rFonts w:ascii="Arial" w:hAnsi="Arial" w:cs="Arial"/>
                <w:color w:val="000000"/>
                <w:sz w:val="16"/>
                <w:szCs w:val="16"/>
              </w:rPr>
            </w:pPr>
            <w:r w:rsidRPr="00766B84">
              <w:rPr>
                <w:rFonts w:ascii="Arial" w:hAnsi="Arial" w:cs="Arial"/>
                <w:color w:val="000000"/>
                <w:sz w:val="16"/>
                <w:szCs w:val="16"/>
              </w:rPr>
              <w:t>$m</w:t>
            </w:r>
          </w:p>
        </w:tc>
      </w:tr>
      <w:tr w:rsidR="00766B84" w:rsidRPr="00766B84" w14:paraId="5AD06740" w14:textId="77777777" w:rsidTr="00396E68">
        <w:trPr>
          <w:trHeight w:hRule="exact" w:val="225"/>
        </w:trPr>
        <w:tc>
          <w:tcPr>
            <w:tcW w:w="2289" w:type="pct"/>
            <w:tcBorders>
              <w:top w:val="nil"/>
              <w:left w:val="nil"/>
              <w:bottom w:val="nil"/>
              <w:right w:val="nil"/>
            </w:tcBorders>
            <w:shd w:val="clear" w:color="000000" w:fill="FFFFFF"/>
            <w:noWrap/>
            <w:vAlign w:val="center"/>
            <w:hideMark/>
          </w:tcPr>
          <w:p w14:paraId="2147A5AC" w14:textId="77777777" w:rsidR="00766B84" w:rsidRPr="00766B84" w:rsidRDefault="00766B84" w:rsidP="00766B84">
            <w:pPr>
              <w:spacing w:before="0" w:after="0" w:line="240" w:lineRule="auto"/>
              <w:rPr>
                <w:rFonts w:ascii="Arial" w:hAnsi="Arial" w:cs="Arial"/>
                <w:sz w:val="16"/>
                <w:szCs w:val="16"/>
              </w:rPr>
            </w:pPr>
            <w:r w:rsidRPr="00766B84">
              <w:rPr>
                <w:rFonts w:ascii="Arial" w:hAnsi="Arial" w:cs="Arial"/>
                <w:sz w:val="16"/>
                <w:szCs w:val="16"/>
              </w:rPr>
              <w:t>Medical services and benefits(a)</w:t>
            </w:r>
          </w:p>
        </w:tc>
        <w:tc>
          <w:tcPr>
            <w:tcW w:w="543" w:type="pct"/>
            <w:tcBorders>
              <w:top w:val="nil"/>
              <w:left w:val="nil"/>
              <w:bottom w:val="nil"/>
              <w:right w:val="nil"/>
            </w:tcBorders>
            <w:shd w:val="clear" w:color="000000" w:fill="FFFFFF"/>
            <w:noWrap/>
            <w:vAlign w:val="center"/>
            <w:hideMark/>
          </w:tcPr>
          <w:p w14:paraId="54AB88C8" w14:textId="77777777" w:rsidR="00766B84" w:rsidRPr="00766B84" w:rsidRDefault="00766B84" w:rsidP="00766B84">
            <w:pPr>
              <w:spacing w:before="0" w:after="0" w:line="240" w:lineRule="auto"/>
              <w:jc w:val="right"/>
              <w:rPr>
                <w:rFonts w:ascii="Arial" w:hAnsi="Arial" w:cs="Arial"/>
                <w:color w:val="000000"/>
                <w:sz w:val="16"/>
                <w:szCs w:val="16"/>
              </w:rPr>
            </w:pPr>
            <w:r w:rsidRPr="00766B84">
              <w:rPr>
                <w:rFonts w:ascii="Arial" w:hAnsi="Arial" w:cs="Arial"/>
                <w:color w:val="000000"/>
                <w:sz w:val="16"/>
                <w:szCs w:val="16"/>
              </w:rPr>
              <w:t>38,777</w:t>
            </w:r>
          </w:p>
        </w:tc>
        <w:tc>
          <w:tcPr>
            <w:tcW w:w="542" w:type="pct"/>
            <w:tcBorders>
              <w:top w:val="nil"/>
              <w:left w:val="nil"/>
              <w:bottom w:val="nil"/>
              <w:right w:val="nil"/>
            </w:tcBorders>
            <w:shd w:val="clear" w:color="000000" w:fill="E6F2FF"/>
            <w:noWrap/>
            <w:vAlign w:val="center"/>
            <w:hideMark/>
          </w:tcPr>
          <w:p w14:paraId="53AB3D91" w14:textId="77777777" w:rsidR="00766B84" w:rsidRPr="00766B84" w:rsidRDefault="00766B84" w:rsidP="00766B84">
            <w:pPr>
              <w:spacing w:before="0" w:after="0" w:line="240" w:lineRule="auto"/>
              <w:jc w:val="right"/>
              <w:rPr>
                <w:rFonts w:ascii="Arial" w:hAnsi="Arial" w:cs="Arial"/>
                <w:color w:val="000000"/>
                <w:sz w:val="16"/>
                <w:szCs w:val="16"/>
              </w:rPr>
            </w:pPr>
            <w:r w:rsidRPr="00766B84">
              <w:rPr>
                <w:rFonts w:ascii="Arial" w:hAnsi="Arial" w:cs="Arial"/>
                <w:color w:val="000000"/>
                <w:sz w:val="16"/>
                <w:szCs w:val="16"/>
              </w:rPr>
              <w:t>41,233</w:t>
            </w:r>
          </w:p>
        </w:tc>
        <w:tc>
          <w:tcPr>
            <w:tcW w:w="542" w:type="pct"/>
            <w:tcBorders>
              <w:top w:val="nil"/>
              <w:left w:val="nil"/>
              <w:bottom w:val="nil"/>
              <w:right w:val="nil"/>
            </w:tcBorders>
            <w:shd w:val="clear" w:color="000000" w:fill="FFFFFF"/>
            <w:noWrap/>
            <w:vAlign w:val="center"/>
            <w:hideMark/>
          </w:tcPr>
          <w:p w14:paraId="6B65C681" w14:textId="77777777" w:rsidR="00766B84" w:rsidRPr="00766B84" w:rsidRDefault="00766B84" w:rsidP="00766B84">
            <w:pPr>
              <w:spacing w:before="0" w:after="0" w:line="240" w:lineRule="auto"/>
              <w:jc w:val="right"/>
              <w:rPr>
                <w:rFonts w:ascii="Arial" w:hAnsi="Arial" w:cs="Arial"/>
                <w:color w:val="000000"/>
                <w:sz w:val="16"/>
                <w:szCs w:val="16"/>
              </w:rPr>
            </w:pPr>
            <w:r w:rsidRPr="00766B84">
              <w:rPr>
                <w:rFonts w:ascii="Arial" w:hAnsi="Arial" w:cs="Arial"/>
                <w:color w:val="000000"/>
                <w:sz w:val="16"/>
                <w:szCs w:val="16"/>
              </w:rPr>
              <w:t>43,341</w:t>
            </w:r>
          </w:p>
        </w:tc>
        <w:tc>
          <w:tcPr>
            <w:tcW w:w="542" w:type="pct"/>
            <w:tcBorders>
              <w:top w:val="nil"/>
              <w:left w:val="nil"/>
              <w:bottom w:val="nil"/>
              <w:right w:val="nil"/>
            </w:tcBorders>
            <w:shd w:val="clear" w:color="000000" w:fill="FFFFFF"/>
            <w:noWrap/>
            <w:vAlign w:val="center"/>
            <w:hideMark/>
          </w:tcPr>
          <w:p w14:paraId="3A7D331B" w14:textId="77777777" w:rsidR="00766B84" w:rsidRPr="00766B84" w:rsidRDefault="00766B84" w:rsidP="00766B84">
            <w:pPr>
              <w:spacing w:before="0" w:after="0" w:line="240" w:lineRule="auto"/>
              <w:jc w:val="right"/>
              <w:rPr>
                <w:rFonts w:ascii="Arial" w:hAnsi="Arial" w:cs="Arial"/>
                <w:color w:val="000000"/>
                <w:sz w:val="16"/>
                <w:szCs w:val="16"/>
              </w:rPr>
            </w:pPr>
            <w:r w:rsidRPr="00766B84">
              <w:rPr>
                <w:rFonts w:ascii="Arial" w:hAnsi="Arial" w:cs="Arial"/>
                <w:color w:val="000000"/>
                <w:sz w:val="16"/>
                <w:szCs w:val="16"/>
              </w:rPr>
              <w:t>45,141</w:t>
            </w:r>
          </w:p>
        </w:tc>
        <w:tc>
          <w:tcPr>
            <w:tcW w:w="542" w:type="pct"/>
            <w:tcBorders>
              <w:top w:val="nil"/>
              <w:left w:val="nil"/>
              <w:bottom w:val="nil"/>
              <w:right w:val="nil"/>
            </w:tcBorders>
            <w:shd w:val="clear" w:color="000000" w:fill="FFFFFF"/>
            <w:noWrap/>
            <w:vAlign w:val="center"/>
            <w:hideMark/>
          </w:tcPr>
          <w:p w14:paraId="701E708B" w14:textId="77777777" w:rsidR="00766B84" w:rsidRPr="00766B84" w:rsidRDefault="00766B84" w:rsidP="00766B84">
            <w:pPr>
              <w:spacing w:before="0" w:after="0" w:line="240" w:lineRule="auto"/>
              <w:jc w:val="right"/>
              <w:rPr>
                <w:rFonts w:ascii="Arial" w:hAnsi="Arial" w:cs="Arial"/>
                <w:color w:val="000000"/>
                <w:sz w:val="16"/>
                <w:szCs w:val="16"/>
              </w:rPr>
            </w:pPr>
            <w:r w:rsidRPr="00766B84">
              <w:rPr>
                <w:rFonts w:ascii="Arial" w:hAnsi="Arial" w:cs="Arial"/>
                <w:color w:val="000000"/>
                <w:sz w:val="16"/>
                <w:szCs w:val="16"/>
              </w:rPr>
              <w:t>47,206</w:t>
            </w:r>
          </w:p>
        </w:tc>
      </w:tr>
      <w:tr w:rsidR="00766B84" w:rsidRPr="00766B84" w14:paraId="6597569E" w14:textId="77777777" w:rsidTr="00396E68">
        <w:trPr>
          <w:trHeight w:hRule="exact" w:val="225"/>
        </w:trPr>
        <w:tc>
          <w:tcPr>
            <w:tcW w:w="2289" w:type="pct"/>
            <w:tcBorders>
              <w:top w:val="nil"/>
              <w:left w:val="nil"/>
              <w:bottom w:val="nil"/>
              <w:right w:val="nil"/>
            </w:tcBorders>
            <w:shd w:val="clear" w:color="000000" w:fill="FFFFFF"/>
            <w:noWrap/>
            <w:vAlign w:val="center"/>
            <w:hideMark/>
          </w:tcPr>
          <w:p w14:paraId="0815EBAE" w14:textId="77777777" w:rsidR="00766B84" w:rsidRPr="00766B84" w:rsidRDefault="00766B84" w:rsidP="00766B84">
            <w:pPr>
              <w:spacing w:before="0" w:after="0" w:line="240" w:lineRule="auto"/>
              <w:rPr>
                <w:rFonts w:ascii="Arial" w:hAnsi="Arial" w:cs="Arial"/>
                <w:sz w:val="16"/>
                <w:szCs w:val="16"/>
              </w:rPr>
            </w:pPr>
            <w:r w:rsidRPr="00766B84">
              <w:rPr>
                <w:rFonts w:ascii="Arial" w:hAnsi="Arial" w:cs="Arial"/>
                <w:sz w:val="16"/>
                <w:szCs w:val="16"/>
              </w:rPr>
              <w:t>Pharmaceutical benefits and services(b)</w:t>
            </w:r>
          </w:p>
        </w:tc>
        <w:tc>
          <w:tcPr>
            <w:tcW w:w="543" w:type="pct"/>
            <w:tcBorders>
              <w:top w:val="nil"/>
              <w:left w:val="nil"/>
              <w:bottom w:val="nil"/>
              <w:right w:val="nil"/>
            </w:tcBorders>
            <w:shd w:val="clear" w:color="000000" w:fill="FFFFFF"/>
            <w:noWrap/>
            <w:vAlign w:val="center"/>
            <w:hideMark/>
          </w:tcPr>
          <w:p w14:paraId="4BFF1521" w14:textId="77777777" w:rsidR="00766B84" w:rsidRPr="00766B84" w:rsidRDefault="00766B84" w:rsidP="00766B84">
            <w:pPr>
              <w:spacing w:before="0" w:after="0" w:line="240" w:lineRule="auto"/>
              <w:jc w:val="right"/>
              <w:rPr>
                <w:rFonts w:ascii="Arial" w:hAnsi="Arial" w:cs="Arial"/>
                <w:color w:val="000000"/>
                <w:sz w:val="16"/>
                <w:szCs w:val="16"/>
              </w:rPr>
            </w:pPr>
            <w:r w:rsidRPr="00766B84">
              <w:rPr>
                <w:rFonts w:ascii="Arial" w:hAnsi="Arial" w:cs="Arial"/>
                <w:color w:val="000000"/>
                <w:sz w:val="16"/>
                <w:szCs w:val="16"/>
              </w:rPr>
              <w:t>20,131</w:t>
            </w:r>
          </w:p>
        </w:tc>
        <w:tc>
          <w:tcPr>
            <w:tcW w:w="542" w:type="pct"/>
            <w:tcBorders>
              <w:top w:val="nil"/>
              <w:left w:val="nil"/>
              <w:bottom w:val="nil"/>
              <w:right w:val="nil"/>
            </w:tcBorders>
            <w:shd w:val="clear" w:color="000000" w:fill="E6F2FF"/>
            <w:noWrap/>
            <w:vAlign w:val="center"/>
            <w:hideMark/>
          </w:tcPr>
          <w:p w14:paraId="13DA5F32" w14:textId="77777777" w:rsidR="00766B84" w:rsidRPr="00766B84" w:rsidRDefault="00766B84" w:rsidP="00766B84">
            <w:pPr>
              <w:spacing w:before="0" w:after="0" w:line="240" w:lineRule="auto"/>
              <w:jc w:val="right"/>
              <w:rPr>
                <w:rFonts w:ascii="Arial" w:hAnsi="Arial" w:cs="Arial"/>
                <w:color w:val="000000"/>
                <w:sz w:val="16"/>
                <w:szCs w:val="16"/>
              </w:rPr>
            </w:pPr>
            <w:r w:rsidRPr="00766B84">
              <w:rPr>
                <w:rFonts w:ascii="Arial" w:hAnsi="Arial" w:cs="Arial"/>
                <w:color w:val="000000"/>
                <w:sz w:val="16"/>
                <w:szCs w:val="16"/>
              </w:rPr>
              <w:t>20,574</w:t>
            </w:r>
          </w:p>
        </w:tc>
        <w:tc>
          <w:tcPr>
            <w:tcW w:w="542" w:type="pct"/>
            <w:tcBorders>
              <w:top w:val="nil"/>
              <w:left w:val="nil"/>
              <w:bottom w:val="nil"/>
              <w:right w:val="nil"/>
            </w:tcBorders>
            <w:shd w:val="clear" w:color="000000" w:fill="FFFFFF"/>
            <w:noWrap/>
            <w:vAlign w:val="center"/>
            <w:hideMark/>
          </w:tcPr>
          <w:p w14:paraId="3B82AA3A" w14:textId="77777777" w:rsidR="00766B84" w:rsidRPr="00766B84" w:rsidRDefault="00766B84" w:rsidP="00766B84">
            <w:pPr>
              <w:spacing w:before="0" w:after="0" w:line="240" w:lineRule="auto"/>
              <w:jc w:val="right"/>
              <w:rPr>
                <w:rFonts w:ascii="Arial" w:hAnsi="Arial" w:cs="Arial"/>
                <w:color w:val="000000"/>
                <w:sz w:val="16"/>
                <w:szCs w:val="16"/>
              </w:rPr>
            </w:pPr>
            <w:r w:rsidRPr="00766B84">
              <w:rPr>
                <w:rFonts w:ascii="Arial" w:hAnsi="Arial" w:cs="Arial"/>
                <w:color w:val="000000"/>
                <w:sz w:val="16"/>
                <w:szCs w:val="16"/>
              </w:rPr>
              <w:t>20,740</w:t>
            </w:r>
          </w:p>
        </w:tc>
        <w:tc>
          <w:tcPr>
            <w:tcW w:w="542" w:type="pct"/>
            <w:tcBorders>
              <w:top w:val="nil"/>
              <w:left w:val="nil"/>
              <w:bottom w:val="nil"/>
              <w:right w:val="nil"/>
            </w:tcBorders>
            <w:shd w:val="clear" w:color="000000" w:fill="FFFFFF"/>
            <w:noWrap/>
            <w:vAlign w:val="center"/>
            <w:hideMark/>
          </w:tcPr>
          <w:p w14:paraId="1EC93B3B" w14:textId="77777777" w:rsidR="00766B84" w:rsidRPr="00766B84" w:rsidRDefault="00766B84" w:rsidP="00766B84">
            <w:pPr>
              <w:spacing w:before="0" w:after="0" w:line="240" w:lineRule="auto"/>
              <w:jc w:val="right"/>
              <w:rPr>
                <w:rFonts w:ascii="Arial" w:hAnsi="Arial" w:cs="Arial"/>
                <w:color w:val="000000"/>
                <w:sz w:val="16"/>
                <w:szCs w:val="16"/>
              </w:rPr>
            </w:pPr>
            <w:r w:rsidRPr="00766B84">
              <w:rPr>
                <w:rFonts w:ascii="Arial" w:hAnsi="Arial" w:cs="Arial"/>
                <w:color w:val="000000"/>
                <w:sz w:val="16"/>
                <w:szCs w:val="16"/>
              </w:rPr>
              <w:t>20,516</w:t>
            </w:r>
          </w:p>
        </w:tc>
        <w:tc>
          <w:tcPr>
            <w:tcW w:w="542" w:type="pct"/>
            <w:tcBorders>
              <w:top w:val="nil"/>
              <w:left w:val="nil"/>
              <w:bottom w:val="nil"/>
              <w:right w:val="nil"/>
            </w:tcBorders>
            <w:shd w:val="clear" w:color="000000" w:fill="FFFFFF"/>
            <w:noWrap/>
            <w:vAlign w:val="center"/>
            <w:hideMark/>
          </w:tcPr>
          <w:p w14:paraId="28F1F6D7" w14:textId="77777777" w:rsidR="00766B84" w:rsidRPr="00766B84" w:rsidRDefault="00766B84" w:rsidP="00766B84">
            <w:pPr>
              <w:spacing w:before="0" w:after="0" w:line="240" w:lineRule="auto"/>
              <w:jc w:val="right"/>
              <w:rPr>
                <w:rFonts w:ascii="Arial" w:hAnsi="Arial" w:cs="Arial"/>
                <w:color w:val="000000"/>
                <w:sz w:val="16"/>
                <w:szCs w:val="16"/>
              </w:rPr>
            </w:pPr>
            <w:r w:rsidRPr="00766B84">
              <w:rPr>
                <w:rFonts w:ascii="Arial" w:hAnsi="Arial" w:cs="Arial"/>
                <w:color w:val="000000"/>
                <w:sz w:val="16"/>
                <w:szCs w:val="16"/>
              </w:rPr>
              <w:t>20,640</w:t>
            </w:r>
          </w:p>
        </w:tc>
      </w:tr>
      <w:tr w:rsidR="00766B84" w:rsidRPr="00766B84" w14:paraId="11D6919F" w14:textId="77777777" w:rsidTr="00396E68">
        <w:trPr>
          <w:trHeight w:hRule="exact" w:val="225"/>
        </w:trPr>
        <w:tc>
          <w:tcPr>
            <w:tcW w:w="2289" w:type="pct"/>
            <w:tcBorders>
              <w:top w:val="nil"/>
              <w:left w:val="nil"/>
              <w:bottom w:val="nil"/>
              <w:right w:val="nil"/>
            </w:tcBorders>
            <w:shd w:val="clear" w:color="000000" w:fill="FFFFFF"/>
            <w:noWrap/>
            <w:vAlign w:val="center"/>
            <w:hideMark/>
          </w:tcPr>
          <w:p w14:paraId="79E2D44B" w14:textId="77777777" w:rsidR="00766B84" w:rsidRPr="00766B84" w:rsidRDefault="00766B84" w:rsidP="00766B84">
            <w:pPr>
              <w:spacing w:before="0" w:after="0" w:line="240" w:lineRule="auto"/>
              <w:rPr>
                <w:rFonts w:ascii="Arial" w:hAnsi="Arial" w:cs="Arial"/>
                <w:sz w:val="16"/>
                <w:szCs w:val="16"/>
              </w:rPr>
            </w:pPr>
            <w:r w:rsidRPr="00766B84">
              <w:rPr>
                <w:rFonts w:ascii="Arial" w:hAnsi="Arial" w:cs="Arial"/>
                <w:sz w:val="16"/>
                <w:szCs w:val="16"/>
              </w:rPr>
              <w:t>Assistance to the states for public hospitals</w:t>
            </w:r>
          </w:p>
        </w:tc>
        <w:tc>
          <w:tcPr>
            <w:tcW w:w="543" w:type="pct"/>
            <w:tcBorders>
              <w:top w:val="nil"/>
              <w:left w:val="nil"/>
              <w:bottom w:val="nil"/>
              <w:right w:val="nil"/>
            </w:tcBorders>
            <w:shd w:val="clear" w:color="000000" w:fill="FFFFFF"/>
            <w:noWrap/>
            <w:vAlign w:val="center"/>
            <w:hideMark/>
          </w:tcPr>
          <w:p w14:paraId="0DF74CD7" w14:textId="77777777" w:rsidR="00766B84" w:rsidRPr="00766B84" w:rsidRDefault="00766B84" w:rsidP="00766B84">
            <w:pPr>
              <w:spacing w:before="0" w:after="0" w:line="240" w:lineRule="auto"/>
              <w:jc w:val="right"/>
              <w:rPr>
                <w:rFonts w:ascii="Arial" w:hAnsi="Arial" w:cs="Arial"/>
                <w:color w:val="000000"/>
                <w:sz w:val="16"/>
                <w:szCs w:val="16"/>
              </w:rPr>
            </w:pPr>
            <w:r w:rsidRPr="00766B84">
              <w:rPr>
                <w:rFonts w:ascii="Arial" w:hAnsi="Arial" w:cs="Arial"/>
                <w:color w:val="000000"/>
                <w:sz w:val="16"/>
                <w:szCs w:val="16"/>
              </w:rPr>
              <w:t>27,853</w:t>
            </w:r>
          </w:p>
        </w:tc>
        <w:tc>
          <w:tcPr>
            <w:tcW w:w="542" w:type="pct"/>
            <w:tcBorders>
              <w:top w:val="nil"/>
              <w:left w:val="nil"/>
              <w:bottom w:val="nil"/>
              <w:right w:val="nil"/>
            </w:tcBorders>
            <w:shd w:val="clear" w:color="000000" w:fill="E6F2FF"/>
            <w:noWrap/>
            <w:vAlign w:val="center"/>
            <w:hideMark/>
          </w:tcPr>
          <w:p w14:paraId="634B96DD" w14:textId="77777777" w:rsidR="00766B84" w:rsidRPr="00766B84" w:rsidRDefault="00766B84" w:rsidP="00766B84">
            <w:pPr>
              <w:spacing w:before="0" w:after="0" w:line="240" w:lineRule="auto"/>
              <w:jc w:val="right"/>
              <w:rPr>
                <w:rFonts w:ascii="Arial" w:hAnsi="Arial" w:cs="Arial"/>
                <w:color w:val="000000"/>
                <w:sz w:val="16"/>
                <w:szCs w:val="16"/>
              </w:rPr>
            </w:pPr>
            <w:r w:rsidRPr="00766B84">
              <w:rPr>
                <w:rFonts w:ascii="Arial" w:hAnsi="Arial" w:cs="Arial"/>
                <w:color w:val="000000"/>
                <w:sz w:val="16"/>
                <w:szCs w:val="16"/>
              </w:rPr>
              <w:t>30,149</w:t>
            </w:r>
          </w:p>
        </w:tc>
        <w:tc>
          <w:tcPr>
            <w:tcW w:w="542" w:type="pct"/>
            <w:tcBorders>
              <w:top w:val="nil"/>
              <w:left w:val="nil"/>
              <w:bottom w:val="nil"/>
              <w:right w:val="nil"/>
            </w:tcBorders>
            <w:shd w:val="clear" w:color="000000" w:fill="FFFFFF"/>
            <w:noWrap/>
            <w:vAlign w:val="center"/>
            <w:hideMark/>
          </w:tcPr>
          <w:p w14:paraId="65E7966B" w14:textId="77777777" w:rsidR="00766B84" w:rsidRPr="00766B84" w:rsidRDefault="00766B84" w:rsidP="00766B84">
            <w:pPr>
              <w:spacing w:before="0" w:after="0" w:line="240" w:lineRule="auto"/>
              <w:jc w:val="right"/>
              <w:rPr>
                <w:rFonts w:ascii="Arial" w:hAnsi="Arial" w:cs="Arial"/>
                <w:color w:val="000000"/>
                <w:sz w:val="16"/>
                <w:szCs w:val="16"/>
              </w:rPr>
            </w:pPr>
            <w:r w:rsidRPr="00766B84">
              <w:rPr>
                <w:rFonts w:ascii="Arial" w:hAnsi="Arial" w:cs="Arial"/>
                <w:color w:val="000000"/>
                <w:sz w:val="16"/>
                <w:szCs w:val="16"/>
              </w:rPr>
              <w:t>32,187</w:t>
            </w:r>
          </w:p>
        </w:tc>
        <w:tc>
          <w:tcPr>
            <w:tcW w:w="542" w:type="pct"/>
            <w:tcBorders>
              <w:top w:val="nil"/>
              <w:left w:val="nil"/>
              <w:bottom w:val="nil"/>
              <w:right w:val="nil"/>
            </w:tcBorders>
            <w:shd w:val="clear" w:color="000000" w:fill="FFFFFF"/>
            <w:noWrap/>
            <w:vAlign w:val="center"/>
            <w:hideMark/>
          </w:tcPr>
          <w:p w14:paraId="00826390" w14:textId="77777777" w:rsidR="00766B84" w:rsidRPr="00766B84" w:rsidRDefault="00766B84" w:rsidP="00766B84">
            <w:pPr>
              <w:spacing w:before="0" w:after="0" w:line="240" w:lineRule="auto"/>
              <w:jc w:val="right"/>
              <w:rPr>
                <w:rFonts w:ascii="Arial" w:hAnsi="Arial" w:cs="Arial"/>
                <w:color w:val="000000"/>
                <w:sz w:val="16"/>
                <w:szCs w:val="16"/>
              </w:rPr>
            </w:pPr>
            <w:r w:rsidRPr="00766B84">
              <w:rPr>
                <w:rFonts w:ascii="Arial" w:hAnsi="Arial" w:cs="Arial"/>
                <w:color w:val="000000"/>
                <w:sz w:val="16"/>
                <w:szCs w:val="16"/>
              </w:rPr>
              <w:t>34,229</w:t>
            </w:r>
          </w:p>
        </w:tc>
        <w:tc>
          <w:tcPr>
            <w:tcW w:w="542" w:type="pct"/>
            <w:tcBorders>
              <w:top w:val="nil"/>
              <w:left w:val="nil"/>
              <w:bottom w:val="nil"/>
              <w:right w:val="nil"/>
            </w:tcBorders>
            <w:shd w:val="clear" w:color="000000" w:fill="FFFFFF"/>
            <w:noWrap/>
            <w:vAlign w:val="center"/>
            <w:hideMark/>
          </w:tcPr>
          <w:p w14:paraId="253232E0" w14:textId="77777777" w:rsidR="00766B84" w:rsidRPr="00766B84" w:rsidRDefault="00766B84" w:rsidP="00766B84">
            <w:pPr>
              <w:spacing w:before="0" w:after="0" w:line="240" w:lineRule="auto"/>
              <w:jc w:val="right"/>
              <w:rPr>
                <w:rFonts w:ascii="Arial" w:hAnsi="Arial" w:cs="Arial"/>
                <w:color w:val="000000"/>
                <w:sz w:val="16"/>
                <w:szCs w:val="16"/>
              </w:rPr>
            </w:pPr>
            <w:r w:rsidRPr="00766B84">
              <w:rPr>
                <w:rFonts w:ascii="Arial" w:hAnsi="Arial" w:cs="Arial"/>
                <w:color w:val="000000"/>
                <w:sz w:val="16"/>
                <w:szCs w:val="16"/>
              </w:rPr>
              <w:t>36,454</w:t>
            </w:r>
          </w:p>
        </w:tc>
      </w:tr>
      <w:tr w:rsidR="00766B84" w:rsidRPr="00766B84" w14:paraId="3A5A8251" w14:textId="77777777" w:rsidTr="00396E68">
        <w:trPr>
          <w:trHeight w:hRule="exact" w:val="225"/>
        </w:trPr>
        <w:tc>
          <w:tcPr>
            <w:tcW w:w="2289" w:type="pct"/>
            <w:tcBorders>
              <w:top w:val="nil"/>
              <w:left w:val="nil"/>
              <w:bottom w:val="nil"/>
              <w:right w:val="nil"/>
            </w:tcBorders>
            <w:shd w:val="clear" w:color="000000" w:fill="FFFFFF"/>
            <w:noWrap/>
            <w:vAlign w:val="center"/>
            <w:hideMark/>
          </w:tcPr>
          <w:p w14:paraId="6F9D425C" w14:textId="77777777" w:rsidR="00766B84" w:rsidRPr="00766B84" w:rsidRDefault="00766B84" w:rsidP="00766B84">
            <w:pPr>
              <w:spacing w:before="0" w:after="0" w:line="240" w:lineRule="auto"/>
              <w:rPr>
                <w:rFonts w:ascii="Arial" w:hAnsi="Arial" w:cs="Arial"/>
                <w:sz w:val="16"/>
                <w:szCs w:val="16"/>
              </w:rPr>
            </w:pPr>
            <w:r w:rsidRPr="00766B84">
              <w:rPr>
                <w:rFonts w:ascii="Arial" w:hAnsi="Arial" w:cs="Arial"/>
                <w:sz w:val="16"/>
                <w:szCs w:val="16"/>
              </w:rPr>
              <w:t>Hospital services(c)</w:t>
            </w:r>
          </w:p>
        </w:tc>
        <w:tc>
          <w:tcPr>
            <w:tcW w:w="543" w:type="pct"/>
            <w:tcBorders>
              <w:top w:val="nil"/>
              <w:left w:val="nil"/>
              <w:bottom w:val="nil"/>
              <w:right w:val="nil"/>
            </w:tcBorders>
            <w:shd w:val="clear" w:color="000000" w:fill="FFFFFF"/>
            <w:noWrap/>
            <w:vAlign w:val="center"/>
            <w:hideMark/>
          </w:tcPr>
          <w:p w14:paraId="7F07B173" w14:textId="77777777" w:rsidR="00766B84" w:rsidRPr="00766B84" w:rsidRDefault="00766B84" w:rsidP="00766B84">
            <w:pPr>
              <w:spacing w:before="0" w:after="0" w:line="240" w:lineRule="auto"/>
              <w:jc w:val="right"/>
              <w:rPr>
                <w:rFonts w:ascii="Arial" w:hAnsi="Arial" w:cs="Arial"/>
                <w:color w:val="000000"/>
                <w:sz w:val="16"/>
                <w:szCs w:val="16"/>
              </w:rPr>
            </w:pPr>
            <w:r w:rsidRPr="00766B84">
              <w:rPr>
                <w:rFonts w:ascii="Arial" w:hAnsi="Arial" w:cs="Arial"/>
                <w:color w:val="000000"/>
                <w:sz w:val="16"/>
                <w:szCs w:val="16"/>
              </w:rPr>
              <w:t>1,100</w:t>
            </w:r>
          </w:p>
        </w:tc>
        <w:tc>
          <w:tcPr>
            <w:tcW w:w="542" w:type="pct"/>
            <w:tcBorders>
              <w:top w:val="nil"/>
              <w:left w:val="nil"/>
              <w:bottom w:val="nil"/>
              <w:right w:val="nil"/>
            </w:tcBorders>
            <w:shd w:val="clear" w:color="000000" w:fill="E6F2FF"/>
            <w:noWrap/>
            <w:vAlign w:val="center"/>
            <w:hideMark/>
          </w:tcPr>
          <w:p w14:paraId="652F9245" w14:textId="77777777" w:rsidR="00766B84" w:rsidRPr="00766B84" w:rsidRDefault="00766B84" w:rsidP="00766B84">
            <w:pPr>
              <w:spacing w:before="0" w:after="0" w:line="240" w:lineRule="auto"/>
              <w:jc w:val="right"/>
              <w:rPr>
                <w:rFonts w:ascii="Arial" w:hAnsi="Arial" w:cs="Arial"/>
                <w:color w:val="000000"/>
                <w:sz w:val="16"/>
                <w:szCs w:val="16"/>
              </w:rPr>
            </w:pPr>
            <w:r w:rsidRPr="00766B84">
              <w:rPr>
                <w:rFonts w:ascii="Arial" w:hAnsi="Arial" w:cs="Arial"/>
                <w:color w:val="000000"/>
                <w:sz w:val="16"/>
                <w:szCs w:val="16"/>
              </w:rPr>
              <w:t>1,130</w:t>
            </w:r>
          </w:p>
        </w:tc>
        <w:tc>
          <w:tcPr>
            <w:tcW w:w="542" w:type="pct"/>
            <w:tcBorders>
              <w:top w:val="nil"/>
              <w:left w:val="nil"/>
              <w:bottom w:val="nil"/>
              <w:right w:val="nil"/>
            </w:tcBorders>
            <w:shd w:val="clear" w:color="000000" w:fill="FFFFFF"/>
            <w:noWrap/>
            <w:vAlign w:val="center"/>
            <w:hideMark/>
          </w:tcPr>
          <w:p w14:paraId="6D0B46E4" w14:textId="77777777" w:rsidR="00766B84" w:rsidRPr="00766B84" w:rsidRDefault="00766B84" w:rsidP="00766B84">
            <w:pPr>
              <w:spacing w:before="0" w:after="0" w:line="240" w:lineRule="auto"/>
              <w:jc w:val="right"/>
              <w:rPr>
                <w:rFonts w:ascii="Arial" w:hAnsi="Arial" w:cs="Arial"/>
                <w:color w:val="000000"/>
                <w:sz w:val="16"/>
                <w:szCs w:val="16"/>
              </w:rPr>
            </w:pPr>
            <w:r w:rsidRPr="00766B84">
              <w:rPr>
                <w:rFonts w:ascii="Arial" w:hAnsi="Arial" w:cs="Arial"/>
                <w:color w:val="000000"/>
                <w:sz w:val="16"/>
                <w:szCs w:val="16"/>
              </w:rPr>
              <w:t>1,189</w:t>
            </w:r>
          </w:p>
        </w:tc>
        <w:tc>
          <w:tcPr>
            <w:tcW w:w="542" w:type="pct"/>
            <w:tcBorders>
              <w:top w:val="nil"/>
              <w:left w:val="nil"/>
              <w:bottom w:val="nil"/>
              <w:right w:val="nil"/>
            </w:tcBorders>
            <w:shd w:val="clear" w:color="000000" w:fill="FFFFFF"/>
            <w:noWrap/>
            <w:vAlign w:val="center"/>
            <w:hideMark/>
          </w:tcPr>
          <w:p w14:paraId="64AB9342" w14:textId="77777777" w:rsidR="00766B84" w:rsidRPr="00766B84" w:rsidRDefault="00766B84" w:rsidP="00766B84">
            <w:pPr>
              <w:spacing w:before="0" w:after="0" w:line="240" w:lineRule="auto"/>
              <w:jc w:val="right"/>
              <w:rPr>
                <w:rFonts w:ascii="Arial" w:hAnsi="Arial" w:cs="Arial"/>
                <w:color w:val="000000"/>
                <w:sz w:val="16"/>
                <w:szCs w:val="16"/>
              </w:rPr>
            </w:pPr>
            <w:r w:rsidRPr="00766B84">
              <w:rPr>
                <w:rFonts w:ascii="Arial" w:hAnsi="Arial" w:cs="Arial"/>
                <w:color w:val="000000"/>
                <w:sz w:val="16"/>
                <w:szCs w:val="16"/>
              </w:rPr>
              <w:t>1,215</w:t>
            </w:r>
          </w:p>
        </w:tc>
        <w:tc>
          <w:tcPr>
            <w:tcW w:w="542" w:type="pct"/>
            <w:tcBorders>
              <w:top w:val="nil"/>
              <w:left w:val="nil"/>
              <w:bottom w:val="nil"/>
              <w:right w:val="nil"/>
            </w:tcBorders>
            <w:shd w:val="clear" w:color="000000" w:fill="FFFFFF"/>
            <w:noWrap/>
            <w:vAlign w:val="center"/>
            <w:hideMark/>
          </w:tcPr>
          <w:p w14:paraId="253D43B0" w14:textId="77777777" w:rsidR="00766B84" w:rsidRPr="00766B84" w:rsidRDefault="00766B84" w:rsidP="00766B84">
            <w:pPr>
              <w:spacing w:before="0" w:after="0" w:line="240" w:lineRule="auto"/>
              <w:jc w:val="right"/>
              <w:rPr>
                <w:rFonts w:ascii="Arial" w:hAnsi="Arial" w:cs="Arial"/>
                <w:color w:val="000000"/>
                <w:sz w:val="16"/>
                <w:szCs w:val="16"/>
              </w:rPr>
            </w:pPr>
            <w:r w:rsidRPr="00766B84">
              <w:rPr>
                <w:rFonts w:ascii="Arial" w:hAnsi="Arial" w:cs="Arial"/>
                <w:color w:val="000000"/>
                <w:sz w:val="16"/>
                <w:szCs w:val="16"/>
              </w:rPr>
              <w:t>1,249</w:t>
            </w:r>
          </w:p>
        </w:tc>
      </w:tr>
      <w:tr w:rsidR="00766B84" w:rsidRPr="00766B84" w14:paraId="41BA1892" w14:textId="77777777" w:rsidTr="00396E68">
        <w:trPr>
          <w:trHeight w:hRule="exact" w:val="225"/>
        </w:trPr>
        <w:tc>
          <w:tcPr>
            <w:tcW w:w="2289" w:type="pct"/>
            <w:tcBorders>
              <w:top w:val="nil"/>
              <w:left w:val="nil"/>
              <w:bottom w:val="nil"/>
              <w:right w:val="nil"/>
            </w:tcBorders>
            <w:shd w:val="clear" w:color="000000" w:fill="FFFFFF"/>
            <w:noWrap/>
            <w:vAlign w:val="center"/>
            <w:hideMark/>
          </w:tcPr>
          <w:p w14:paraId="3D462CED" w14:textId="77777777" w:rsidR="00766B84" w:rsidRPr="00766B84" w:rsidRDefault="00766B84" w:rsidP="00766B84">
            <w:pPr>
              <w:spacing w:before="0" w:after="0" w:line="240" w:lineRule="auto"/>
              <w:rPr>
                <w:rFonts w:ascii="Arial" w:hAnsi="Arial" w:cs="Arial"/>
                <w:sz w:val="16"/>
                <w:szCs w:val="16"/>
              </w:rPr>
            </w:pPr>
            <w:r w:rsidRPr="00766B84">
              <w:rPr>
                <w:rFonts w:ascii="Arial" w:hAnsi="Arial" w:cs="Arial"/>
                <w:sz w:val="16"/>
                <w:szCs w:val="16"/>
              </w:rPr>
              <w:t>Health services</w:t>
            </w:r>
          </w:p>
        </w:tc>
        <w:tc>
          <w:tcPr>
            <w:tcW w:w="543" w:type="pct"/>
            <w:tcBorders>
              <w:top w:val="nil"/>
              <w:left w:val="nil"/>
              <w:bottom w:val="nil"/>
              <w:right w:val="nil"/>
            </w:tcBorders>
            <w:shd w:val="clear" w:color="000000" w:fill="FFFFFF"/>
            <w:noWrap/>
            <w:vAlign w:val="center"/>
            <w:hideMark/>
          </w:tcPr>
          <w:p w14:paraId="48364F39" w14:textId="77777777" w:rsidR="00766B84" w:rsidRPr="00766B84" w:rsidRDefault="00766B84" w:rsidP="00766B84">
            <w:pPr>
              <w:spacing w:before="0" w:after="0" w:line="240" w:lineRule="auto"/>
              <w:jc w:val="right"/>
              <w:rPr>
                <w:rFonts w:ascii="Arial" w:hAnsi="Arial" w:cs="Arial"/>
                <w:color w:val="000000"/>
                <w:sz w:val="16"/>
                <w:szCs w:val="16"/>
              </w:rPr>
            </w:pPr>
            <w:r w:rsidRPr="00766B84">
              <w:rPr>
                <w:rFonts w:ascii="Arial" w:hAnsi="Arial" w:cs="Arial"/>
                <w:color w:val="000000"/>
                <w:sz w:val="16"/>
                <w:szCs w:val="16"/>
              </w:rPr>
              <w:t>13,860</w:t>
            </w:r>
          </w:p>
        </w:tc>
        <w:tc>
          <w:tcPr>
            <w:tcW w:w="542" w:type="pct"/>
            <w:tcBorders>
              <w:top w:val="nil"/>
              <w:left w:val="nil"/>
              <w:bottom w:val="nil"/>
              <w:right w:val="nil"/>
            </w:tcBorders>
            <w:shd w:val="clear" w:color="000000" w:fill="E6F2FF"/>
            <w:noWrap/>
            <w:vAlign w:val="center"/>
            <w:hideMark/>
          </w:tcPr>
          <w:p w14:paraId="668A105A" w14:textId="77777777" w:rsidR="00766B84" w:rsidRPr="00766B84" w:rsidRDefault="00766B84" w:rsidP="00766B84">
            <w:pPr>
              <w:spacing w:before="0" w:after="0" w:line="240" w:lineRule="auto"/>
              <w:jc w:val="right"/>
              <w:rPr>
                <w:rFonts w:ascii="Arial" w:hAnsi="Arial" w:cs="Arial"/>
                <w:color w:val="000000"/>
                <w:sz w:val="16"/>
                <w:szCs w:val="16"/>
              </w:rPr>
            </w:pPr>
            <w:r w:rsidRPr="00766B84">
              <w:rPr>
                <w:rFonts w:ascii="Arial" w:hAnsi="Arial" w:cs="Arial"/>
                <w:color w:val="000000"/>
                <w:sz w:val="16"/>
                <w:szCs w:val="16"/>
              </w:rPr>
              <w:t>13,363</w:t>
            </w:r>
          </w:p>
        </w:tc>
        <w:tc>
          <w:tcPr>
            <w:tcW w:w="542" w:type="pct"/>
            <w:tcBorders>
              <w:top w:val="nil"/>
              <w:left w:val="nil"/>
              <w:bottom w:val="nil"/>
              <w:right w:val="nil"/>
            </w:tcBorders>
            <w:shd w:val="clear" w:color="000000" w:fill="FFFFFF"/>
            <w:noWrap/>
            <w:vAlign w:val="center"/>
            <w:hideMark/>
          </w:tcPr>
          <w:p w14:paraId="59A233F2" w14:textId="77777777" w:rsidR="00766B84" w:rsidRPr="00766B84" w:rsidRDefault="00766B84" w:rsidP="00766B84">
            <w:pPr>
              <w:spacing w:before="0" w:after="0" w:line="240" w:lineRule="auto"/>
              <w:jc w:val="right"/>
              <w:rPr>
                <w:rFonts w:ascii="Arial" w:hAnsi="Arial" w:cs="Arial"/>
                <w:color w:val="000000"/>
                <w:sz w:val="16"/>
                <w:szCs w:val="16"/>
              </w:rPr>
            </w:pPr>
            <w:r w:rsidRPr="00766B84">
              <w:rPr>
                <w:rFonts w:ascii="Arial" w:hAnsi="Arial" w:cs="Arial"/>
                <w:color w:val="000000"/>
                <w:sz w:val="16"/>
                <w:szCs w:val="16"/>
              </w:rPr>
              <w:t>12,715</w:t>
            </w:r>
          </w:p>
        </w:tc>
        <w:tc>
          <w:tcPr>
            <w:tcW w:w="542" w:type="pct"/>
            <w:tcBorders>
              <w:top w:val="nil"/>
              <w:left w:val="nil"/>
              <w:bottom w:val="nil"/>
              <w:right w:val="nil"/>
            </w:tcBorders>
            <w:shd w:val="clear" w:color="000000" w:fill="FFFFFF"/>
            <w:noWrap/>
            <w:vAlign w:val="center"/>
            <w:hideMark/>
          </w:tcPr>
          <w:p w14:paraId="3EAFB04B" w14:textId="77777777" w:rsidR="00766B84" w:rsidRPr="00766B84" w:rsidRDefault="00766B84" w:rsidP="00766B84">
            <w:pPr>
              <w:spacing w:before="0" w:after="0" w:line="240" w:lineRule="auto"/>
              <w:jc w:val="right"/>
              <w:rPr>
                <w:rFonts w:ascii="Arial" w:hAnsi="Arial" w:cs="Arial"/>
                <w:color w:val="000000"/>
                <w:sz w:val="16"/>
                <w:szCs w:val="16"/>
              </w:rPr>
            </w:pPr>
            <w:r w:rsidRPr="00766B84">
              <w:rPr>
                <w:rFonts w:ascii="Arial" w:hAnsi="Arial" w:cs="Arial"/>
                <w:color w:val="000000"/>
                <w:sz w:val="16"/>
                <w:szCs w:val="16"/>
              </w:rPr>
              <w:t>12,423</w:t>
            </w:r>
          </w:p>
        </w:tc>
        <w:tc>
          <w:tcPr>
            <w:tcW w:w="542" w:type="pct"/>
            <w:tcBorders>
              <w:top w:val="nil"/>
              <w:left w:val="nil"/>
              <w:bottom w:val="nil"/>
              <w:right w:val="nil"/>
            </w:tcBorders>
            <w:shd w:val="clear" w:color="000000" w:fill="FFFFFF"/>
            <w:noWrap/>
            <w:vAlign w:val="center"/>
            <w:hideMark/>
          </w:tcPr>
          <w:p w14:paraId="750AFDDE" w14:textId="77777777" w:rsidR="00766B84" w:rsidRPr="00766B84" w:rsidRDefault="00766B84" w:rsidP="00766B84">
            <w:pPr>
              <w:spacing w:before="0" w:after="0" w:line="240" w:lineRule="auto"/>
              <w:jc w:val="right"/>
              <w:rPr>
                <w:rFonts w:ascii="Arial" w:hAnsi="Arial" w:cs="Arial"/>
                <w:color w:val="000000"/>
                <w:sz w:val="16"/>
                <w:szCs w:val="16"/>
              </w:rPr>
            </w:pPr>
            <w:r w:rsidRPr="00766B84">
              <w:rPr>
                <w:rFonts w:ascii="Arial" w:hAnsi="Arial" w:cs="Arial"/>
                <w:color w:val="000000"/>
                <w:sz w:val="16"/>
                <w:szCs w:val="16"/>
              </w:rPr>
              <w:t>12,515</w:t>
            </w:r>
          </w:p>
        </w:tc>
      </w:tr>
      <w:tr w:rsidR="00766B84" w:rsidRPr="00766B84" w14:paraId="3F100027" w14:textId="77777777" w:rsidTr="00396E68">
        <w:trPr>
          <w:trHeight w:hRule="exact" w:val="225"/>
        </w:trPr>
        <w:tc>
          <w:tcPr>
            <w:tcW w:w="2289" w:type="pct"/>
            <w:tcBorders>
              <w:top w:val="nil"/>
              <w:left w:val="nil"/>
              <w:bottom w:val="nil"/>
              <w:right w:val="nil"/>
            </w:tcBorders>
            <w:shd w:val="clear" w:color="000000" w:fill="FFFFFF"/>
            <w:noWrap/>
            <w:vAlign w:val="center"/>
            <w:hideMark/>
          </w:tcPr>
          <w:p w14:paraId="1B4D7AAC" w14:textId="77777777" w:rsidR="00766B84" w:rsidRPr="00766B84" w:rsidRDefault="00766B84" w:rsidP="00766B84">
            <w:pPr>
              <w:spacing w:before="0" w:after="0" w:line="240" w:lineRule="auto"/>
              <w:rPr>
                <w:rFonts w:ascii="Arial" w:hAnsi="Arial" w:cs="Arial"/>
                <w:color w:val="000000"/>
                <w:sz w:val="16"/>
                <w:szCs w:val="16"/>
              </w:rPr>
            </w:pPr>
            <w:r w:rsidRPr="00766B84">
              <w:rPr>
                <w:rFonts w:ascii="Arial" w:hAnsi="Arial" w:cs="Arial"/>
                <w:color w:val="000000"/>
                <w:sz w:val="16"/>
                <w:szCs w:val="16"/>
              </w:rPr>
              <w:t>General administration</w:t>
            </w:r>
          </w:p>
        </w:tc>
        <w:tc>
          <w:tcPr>
            <w:tcW w:w="543" w:type="pct"/>
            <w:tcBorders>
              <w:top w:val="nil"/>
              <w:left w:val="nil"/>
              <w:bottom w:val="nil"/>
              <w:right w:val="nil"/>
            </w:tcBorders>
            <w:shd w:val="clear" w:color="000000" w:fill="FFFFFF"/>
            <w:noWrap/>
            <w:vAlign w:val="center"/>
            <w:hideMark/>
          </w:tcPr>
          <w:p w14:paraId="0667E5F7" w14:textId="77777777" w:rsidR="00766B84" w:rsidRPr="00766B84" w:rsidRDefault="00766B84" w:rsidP="00766B84">
            <w:pPr>
              <w:spacing w:before="0" w:after="0" w:line="240" w:lineRule="auto"/>
              <w:jc w:val="right"/>
              <w:rPr>
                <w:rFonts w:ascii="Arial" w:hAnsi="Arial" w:cs="Arial"/>
                <w:color w:val="000000"/>
                <w:sz w:val="16"/>
                <w:szCs w:val="16"/>
              </w:rPr>
            </w:pPr>
            <w:r w:rsidRPr="00766B84">
              <w:rPr>
                <w:rFonts w:ascii="Arial" w:hAnsi="Arial" w:cs="Arial"/>
                <w:color w:val="000000"/>
                <w:sz w:val="16"/>
                <w:szCs w:val="16"/>
              </w:rPr>
              <w:t>4,460</w:t>
            </w:r>
          </w:p>
        </w:tc>
        <w:tc>
          <w:tcPr>
            <w:tcW w:w="542" w:type="pct"/>
            <w:tcBorders>
              <w:top w:val="nil"/>
              <w:left w:val="nil"/>
              <w:bottom w:val="nil"/>
              <w:right w:val="nil"/>
            </w:tcBorders>
            <w:shd w:val="clear" w:color="000000" w:fill="E6F2FF"/>
            <w:noWrap/>
            <w:vAlign w:val="center"/>
            <w:hideMark/>
          </w:tcPr>
          <w:p w14:paraId="5AEDE129" w14:textId="77777777" w:rsidR="00766B84" w:rsidRPr="00766B84" w:rsidRDefault="00766B84" w:rsidP="00766B84">
            <w:pPr>
              <w:spacing w:before="0" w:after="0" w:line="240" w:lineRule="auto"/>
              <w:jc w:val="right"/>
              <w:rPr>
                <w:rFonts w:ascii="Arial" w:hAnsi="Arial" w:cs="Arial"/>
                <w:color w:val="000000"/>
                <w:sz w:val="16"/>
                <w:szCs w:val="16"/>
              </w:rPr>
            </w:pPr>
            <w:r w:rsidRPr="00766B84">
              <w:rPr>
                <w:rFonts w:ascii="Arial" w:hAnsi="Arial" w:cs="Arial"/>
                <w:color w:val="000000"/>
                <w:sz w:val="16"/>
                <w:szCs w:val="16"/>
              </w:rPr>
              <w:t>4,900</w:t>
            </w:r>
          </w:p>
        </w:tc>
        <w:tc>
          <w:tcPr>
            <w:tcW w:w="542" w:type="pct"/>
            <w:tcBorders>
              <w:top w:val="nil"/>
              <w:left w:val="nil"/>
              <w:bottom w:val="nil"/>
              <w:right w:val="nil"/>
            </w:tcBorders>
            <w:shd w:val="clear" w:color="000000" w:fill="FFFFFF"/>
            <w:noWrap/>
            <w:vAlign w:val="center"/>
            <w:hideMark/>
          </w:tcPr>
          <w:p w14:paraId="72E3D714" w14:textId="77777777" w:rsidR="00766B84" w:rsidRPr="00766B84" w:rsidRDefault="00766B84" w:rsidP="00766B84">
            <w:pPr>
              <w:spacing w:before="0" w:after="0" w:line="240" w:lineRule="auto"/>
              <w:jc w:val="right"/>
              <w:rPr>
                <w:rFonts w:ascii="Arial" w:hAnsi="Arial" w:cs="Arial"/>
                <w:color w:val="000000"/>
                <w:sz w:val="16"/>
                <w:szCs w:val="16"/>
              </w:rPr>
            </w:pPr>
            <w:r w:rsidRPr="00766B84">
              <w:rPr>
                <w:rFonts w:ascii="Arial" w:hAnsi="Arial" w:cs="Arial"/>
                <w:color w:val="000000"/>
                <w:sz w:val="16"/>
                <w:szCs w:val="16"/>
              </w:rPr>
              <w:t>4,434</w:t>
            </w:r>
          </w:p>
        </w:tc>
        <w:tc>
          <w:tcPr>
            <w:tcW w:w="542" w:type="pct"/>
            <w:tcBorders>
              <w:top w:val="nil"/>
              <w:left w:val="nil"/>
              <w:bottom w:val="nil"/>
              <w:right w:val="nil"/>
            </w:tcBorders>
            <w:shd w:val="clear" w:color="000000" w:fill="FFFFFF"/>
            <w:noWrap/>
            <w:vAlign w:val="center"/>
            <w:hideMark/>
          </w:tcPr>
          <w:p w14:paraId="29BF1DC4" w14:textId="77777777" w:rsidR="00766B84" w:rsidRPr="00766B84" w:rsidRDefault="00766B84" w:rsidP="00766B84">
            <w:pPr>
              <w:spacing w:before="0" w:after="0" w:line="240" w:lineRule="auto"/>
              <w:jc w:val="right"/>
              <w:rPr>
                <w:rFonts w:ascii="Arial" w:hAnsi="Arial" w:cs="Arial"/>
                <w:color w:val="000000"/>
                <w:sz w:val="16"/>
                <w:szCs w:val="16"/>
              </w:rPr>
            </w:pPr>
            <w:r w:rsidRPr="00766B84">
              <w:rPr>
                <w:rFonts w:ascii="Arial" w:hAnsi="Arial" w:cs="Arial"/>
                <w:color w:val="000000"/>
                <w:sz w:val="16"/>
                <w:szCs w:val="16"/>
              </w:rPr>
              <w:t>3,701</w:t>
            </w:r>
          </w:p>
        </w:tc>
        <w:tc>
          <w:tcPr>
            <w:tcW w:w="542" w:type="pct"/>
            <w:tcBorders>
              <w:top w:val="nil"/>
              <w:left w:val="nil"/>
              <w:bottom w:val="nil"/>
              <w:right w:val="nil"/>
            </w:tcBorders>
            <w:shd w:val="clear" w:color="000000" w:fill="FFFFFF"/>
            <w:noWrap/>
            <w:vAlign w:val="center"/>
            <w:hideMark/>
          </w:tcPr>
          <w:p w14:paraId="23E5B9A7" w14:textId="77777777" w:rsidR="00766B84" w:rsidRPr="00766B84" w:rsidRDefault="00766B84" w:rsidP="00766B84">
            <w:pPr>
              <w:spacing w:before="0" w:after="0" w:line="240" w:lineRule="auto"/>
              <w:jc w:val="right"/>
              <w:rPr>
                <w:rFonts w:ascii="Arial" w:hAnsi="Arial" w:cs="Arial"/>
                <w:color w:val="000000"/>
                <w:sz w:val="16"/>
                <w:szCs w:val="16"/>
              </w:rPr>
            </w:pPr>
            <w:r w:rsidRPr="00766B84">
              <w:rPr>
                <w:rFonts w:ascii="Arial" w:hAnsi="Arial" w:cs="Arial"/>
                <w:color w:val="000000"/>
                <w:sz w:val="16"/>
                <w:szCs w:val="16"/>
              </w:rPr>
              <w:t>3,476</w:t>
            </w:r>
          </w:p>
        </w:tc>
      </w:tr>
      <w:tr w:rsidR="00766B84" w:rsidRPr="00766B84" w14:paraId="7F718BFB" w14:textId="77777777" w:rsidTr="00396E68">
        <w:trPr>
          <w:trHeight w:hRule="exact" w:val="225"/>
        </w:trPr>
        <w:tc>
          <w:tcPr>
            <w:tcW w:w="2289" w:type="pct"/>
            <w:tcBorders>
              <w:top w:val="nil"/>
              <w:left w:val="nil"/>
              <w:bottom w:val="nil"/>
              <w:right w:val="nil"/>
            </w:tcBorders>
            <w:shd w:val="clear" w:color="000000" w:fill="FFFFFF"/>
            <w:noWrap/>
            <w:vAlign w:val="center"/>
            <w:hideMark/>
          </w:tcPr>
          <w:p w14:paraId="63E2B2C1" w14:textId="77777777" w:rsidR="00766B84" w:rsidRPr="00766B84" w:rsidRDefault="00766B84" w:rsidP="00766B84">
            <w:pPr>
              <w:spacing w:before="0" w:after="0" w:line="240" w:lineRule="auto"/>
              <w:rPr>
                <w:rFonts w:ascii="Arial" w:hAnsi="Arial" w:cs="Arial"/>
                <w:color w:val="000000"/>
                <w:sz w:val="16"/>
                <w:szCs w:val="16"/>
              </w:rPr>
            </w:pPr>
            <w:r w:rsidRPr="00766B84">
              <w:rPr>
                <w:rFonts w:ascii="Arial" w:hAnsi="Arial" w:cs="Arial"/>
                <w:color w:val="000000"/>
                <w:sz w:val="16"/>
                <w:szCs w:val="16"/>
              </w:rPr>
              <w:t>Aboriginal and Torres Strait Islander health</w:t>
            </w:r>
          </w:p>
        </w:tc>
        <w:tc>
          <w:tcPr>
            <w:tcW w:w="543" w:type="pct"/>
            <w:tcBorders>
              <w:top w:val="nil"/>
              <w:left w:val="nil"/>
              <w:bottom w:val="nil"/>
              <w:right w:val="nil"/>
            </w:tcBorders>
            <w:shd w:val="clear" w:color="000000" w:fill="FFFFFF"/>
            <w:noWrap/>
            <w:vAlign w:val="center"/>
            <w:hideMark/>
          </w:tcPr>
          <w:p w14:paraId="0AF0871C" w14:textId="77777777" w:rsidR="00766B84" w:rsidRPr="00766B84" w:rsidRDefault="00766B84" w:rsidP="00766B84">
            <w:pPr>
              <w:spacing w:before="0" w:after="0" w:line="240" w:lineRule="auto"/>
              <w:jc w:val="right"/>
              <w:rPr>
                <w:rFonts w:ascii="Arial" w:hAnsi="Arial" w:cs="Arial"/>
                <w:color w:val="000000"/>
                <w:sz w:val="16"/>
                <w:szCs w:val="16"/>
              </w:rPr>
            </w:pPr>
            <w:r w:rsidRPr="00766B84">
              <w:rPr>
                <w:rFonts w:ascii="Arial" w:hAnsi="Arial" w:cs="Arial"/>
                <w:color w:val="000000"/>
                <w:sz w:val="16"/>
                <w:szCs w:val="16"/>
              </w:rPr>
              <w:t>1,235</w:t>
            </w:r>
          </w:p>
        </w:tc>
        <w:tc>
          <w:tcPr>
            <w:tcW w:w="542" w:type="pct"/>
            <w:tcBorders>
              <w:top w:val="nil"/>
              <w:left w:val="nil"/>
              <w:bottom w:val="nil"/>
              <w:right w:val="nil"/>
            </w:tcBorders>
            <w:shd w:val="clear" w:color="000000" w:fill="E6F2FF"/>
            <w:noWrap/>
            <w:vAlign w:val="center"/>
            <w:hideMark/>
          </w:tcPr>
          <w:p w14:paraId="487BED5A" w14:textId="77777777" w:rsidR="00766B84" w:rsidRPr="00766B84" w:rsidRDefault="00766B84" w:rsidP="00766B84">
            <w:pPr>
              <w:spacing w:before="0" w:after="0" w:line="240" w:lineRule="auto"/>
              <w:jc w:val="right"/>
              <w:rPr>
                <w:rFonts w:ascii="Arial" w:hAnsi="Arial" w:cs="Arial"/>
                <w:color w:val="000000"/>
                <w:sz w:val="16"/>
                <w:szCs w:val="16"/>
              </w:rPr>
            </w:pPr>
            <w:r w:rsidRPr="00766B84">
              <w:rPr>
                <w:rFonts w:ascii="Arial" w:hAnsi="Arial" w:cs="Arial"/>
                <w:color w:val="000000"/>
                <w:sz w:val="16"/>
                <w:szCs w:val="16"/>
              </w:rPr>
              <w:t>1,344</w:t>
            </w:r>
          </w:p>
        </w:tc>
        <w:tc>
          <w:tcPr>
            <w:tcW w:w="542" w:type="pct"/>
            <w:tcBorders>
              <w:top w:val="nil"/>
              <w:left w:val="nil"/>
              <w:bottom w:val="nil"/>
              <w:right w:val="nil"/>
            </w:tcBorders>
            <w:shd w:val="clear" w:color="000000" w:fill="FFFFFF"/>
            <w:noWrap/>
            <w:vAlign w:val="center"/>
            <w:hideMark/>
          </w:tcPr>
          <w:p w14:paraId="554D67AA" w14:textId="77777777" w:rsidR="00766B84" w:rsidRPr="00766B84" w:rsidRDefault="00766B84" w:rsidP="00766B84">
            <w:pPr>
              <w:spacing w:before="0" w:after="0" w:line="240" w:lineRule="auto"/>
              <w:jc w:val="right"/>
              <w:rPr>
                <w:rFonts w:ascii="Arial" w:hAnsi="Arial" w:cs="Arial"/>
                <w:color w:val="000000"/>
                <w:sz w:val="16"/>
                <w:szCs w:val="16"/>
              </w:rPr>
            </w:pPr>
            <w:r w:rsidRPr="00766B84">
              <w:rPr>
                <w:rFonts w:ascii="Arial" w:hAnsi="Arial" w:cs="Arial"/>
                <w:color w:val="000000"/>
                <w:sz w:val="16"/>
                <w:szCs w:val="16"/>
              </w:rPr>
              <w:t>1,308</w:t>
            </w:r>
          </w:p>
        </w:tc>
        <w:tc>
          <w:tcPr>
            <w:tcW w:w="542" w:type="pct"/>
            <w:tcBorders>
              <w:top w:val="nil"/>
              <w:left w:val="nil"/>
              <w:bottom w:val="nil"/>
              <w:right w:val="nil"/>
            </w:tcBorders>
            <w:shd w:val="clear" w:color="000000" w:fill="FFFFFF"/>
            <w:noWrap/>
            <w:vAlign w:val="center"/>
            <w:hideMark/>
          </w:tcPr>
          <w:p w14:paraId="158EDA06" w14:textId="77777777" w:rsidR="00766B84" w:rsidRPr="00766B84" w:rsidRDefault="00766B84" w:rsidP="00766B84">
            <w:pPr>
              <w:spacing w:before="0" w:after="0" w:line="240" w:lineRule="auto"/>
              <w:jc w:val="right"/>
              <w:rPr>
                <w:rFonts w:ascii="Arial" w:hAnsi="Arial" w:cs="Arial"/>
                <w:color w:val="000000"/>
                <w:sz w:val="16"/>
                <w:szCs w:val="16"/>
              </w:rPr>
            </w:pPr>
            <w:r w:rsidRPr="00766B84">
              <w:rPr>
                <w:rFonts w:ascii="Arial" w:hAnsi="Arial" w:cs="Arial"/>
                <w:color w:val="000000"/>
                <w:sz w:val="16"/>
                <w:szCs w:val="16"/>
              </w:rPr>
              <w:t>1,286</w:t>
            </w:r>
          </w:p>
        </w:tc>
        <w:tc>
          <w:tcPr>
            <w:tcW w:w="542" w:type="pct"/>
            <w:tcBorders>
              <w:top w:val="nil"/>
              <w:left w:val="nil"/>
              <w:bottom w:val="nil"/>
              <w:right w:val="nil"/>
            </w:tcBorders>
            <w:shd w:val="clear" w:color="000000" w:fill="FFFFFF"/>
            <w:noWrap/>
            <w:vAlign w:val="center"/>
            <w:hideMark/>
          </w:tcPr>
          <w:p w14:paraId="244ED5EC" w14:textId="77777777" w:rsidR="00766B84" w:rsidRPr="00766B84" w:rsidRDefault="00766B84" w:rsidP="00766B84">
            <w:pPr>
              <w:spacing w:before="0" w:after="0" w:line="240" w:lineRule="auto"/>
              <w:jc w:val="right"/>
              <w:rPr>
                <w:rFonts w:ascii="Arial" w:hAnsi="Arial" w:cs="Arial"/>
                <w:color w:val="000000"/>
                <w:sz w:val="16"/>
                <w:szCs w:val="16"/>
              </w:rPr>
            </w:pPr>
            <w:r w:rsidRPr="00766B84">
              <w:rPr>
                <w:rFonts w:ascii="Arial" w:hAnsi="Arial" w:cs="Arial"/>
                <w:color w:val="000000"/>
                <w:sz w:val="16"/>
                <w:szCs w:val="16"/>
              </w:rPr>
              <w:t>1,260</w:t>
            </w:r>
          </w:p>
        </w:tc>
      </w:tr>
      <w:tr w:rsidR="00766B84" w:rsidRPr="00766B84" w14:paraId="7F5A1931" w14:textId="77777777" w:rsidTr="00396E68">
        <w:trPr>
          <w:trHeight w:hRule="exact" w:val="225"/>
        </w:trPr>
        <w:tc>
          <w:tcPr>
            <w:tcW w:w="2289" w:type="pct"/>
            <w:tcBorders>
              <w:top w:val="nil"/>
              <w:left w:val="nil"/>
              <w:bottom w:val="single" w:sz="4" w:space="0" w:color="293F5B"/>
              <w:right w:val="nil"/>
            </w:tcBorders>
            <w:shd w:val="clear" w:color="000000" w:fill="FFFFFF"/>
            <w:noWrap/>
            <w:vAlign w:val="center"/>
            <w:hideMark/>
          </w:tcPr>
          <w:p w14:paraId="421426CD" w14:textId="77777777" w:rsidR="00766B84" w:rsidRPr="00766B84" w:rsidRDefault="00766B84" w:rsidP="00766B84">
            <w:pPr>
              <w:spacing w:before="0" w:after="0" w:line="240" w:lineRule="auto"/>
              <w:rPr>
                <w:rFonts w:ascii="Arial" w:hAnsi="Arial" w:cs="Arial"/>
                <w:b/>
                <w:bCs/>
                <w:color w:val="000000"/>
                <w:sz w:val="16"/>
                <w:szCs w:val="16"/>
              </w:rPr>
            </w:pPr>
            <w:r w:rsidRPr="00766B84">
              <w:rPr>
                <w:rFonts w:ascii="Arial" w:hAnsi="Arial" w:cs="Arial"/>
                <w:b/>
                <w:bCs/>
                <w:color w:val="000000"/>
                <w:sz w:val="16"/>
                <w:szCs w:val="16"/>
              </w:rPr>
              <w:t>Total health</w:t>
            </w:r>
          </w:p>
        </w:tc>
        <w:tc>
          <w:tcPr>
            <w:tcW w:w="543" w:type="pct"/>
            <w:tcBorders>
              <w:top w:val="single" w:sz="4" w:space="0" w:color="293F5B"/>
              <w:left w:val="nil"/>
              <w:bottom w:val="single" w:sz="4" w:space="0" w:color="293F5B"/>
              <w:right w:val="nil"/>
            </w:tcBorders>
            <w:shd w:val="clear" w:color="000000" w:fill="FFFFFF"/>
            <w:noWrap/>
            <w:vAlign w:val="center"/>
            <w:hideMark/>
          </w:tcPr>
          <w:p w14:paraId="1A2161D0" w14:textId="77777777" w:rsidR="00766B84" w:rsidRPr="00766B84" w:rsidRDefault="00766B84" w:rsidP="00766B84">
            <w:pPr>
              <w:spacing w:before="0" w:after="0" w:line="240" w:lineRule="auto"/>
              <w:jc w:val="right"/>
              <w:rPr>
                <w:rFonts w:ascii="Arial" w:hAnsi="Arial" w:cs="Arial"/>
                <w:b/>
                <w:bCs/>
                <w:color w:val="000000"/>
                <w:sz w:val="16"/>
                <w:szCs w:val="16"/>
              </w:rPr>
            </w:pPr>
            <w:r w:rsidRPr="00766B84">
              <w:rPr>
                <w:rFonts w:ascii="Arial" w:hAnsi="Arial" w:cs="Arial"/>
                <w:b/>
                <w:bCs/>
                <w:color w:val="000000"/>
                <w:sz w:val="16"/>
                <w:szCs w:val="16"/>
              </w:rPr>
              <w:t>107,416</w:t>
            </w:r>
          </w:p>
        </w:tc>
        <w:tc>
          <w:tcPr>
            <w:tcW w:w="542" w:type="pct"/>
            <w:tcBorders>
              <w:top w:val="single" w:sz="4" w:space="0" w:color="293F5B"/>
              <w:left w:val="nil"/>
              <w:bottom w:val="single" w:sz="4" w:space="0" w:color="293F5B"/>
              <w:right w:val="nil"/>
            </w:tcBorders>
            <w:shd w:val="clear" w:color="000000" w:fill="E6F2FF"/>
            <w:noWrap/>
            <w:vAlign w:val="center"/>
            <w:hideMark/>
          </w:tcPr>
          <w:p w14:paraId="0DB22C27" w14:textId="77777777" w:rsidR="00766B84" w:rsidRPr="00766B84" w:rsidRDefault="00766B84" w:rsidP="00766B84">
            <w:pPr>
              <w:spacing w:before="0" w:after="0" w:line="240" w:lineRule="auto"/>
              <w:jc w:val="right"/>
              <w:rPr>
                <w:rFonts w:ascii="Arial" w:hAnsi="Arial" w:cs="Arial"/>
                <w:b/>
                <w:bCs/>
                <w:color w:val="000000"/>
                <w:sz w:val="16"/>
                <w:szCs w:val="16"/>
              </w:rPr>
            </w:pPr>
            <w:r w:rsidRPr="00766B84">
              <w:rPr>
                <w:rFonts w:ascii="Arial" w:hAnsi="Arial" w:cs="Arial"/>
                <w:b/>
                <w:bCs/>
                <w:color w:val="000000"/>
                <w:sz w:val="16"/>
                <w:szCs w:val="16"/>
              </w:rPr>
              <w:t>112,693</w:t>
            </w:r>
          </w:p>
        </w:tc>
        <w:tc>
          <w:tcPr>
            <w:tcW w:w="542" w:type="pct"/>
            <w:tcBorders>
              <w:top w:val="single" w:sz="4" w:space="0" w:color="293F5B"/>
              <w:left w:val="nil"/>
              <w:bottom w:val="single" w:sz="4" w:space="0" w:color="293F5B"/>
              <w:right w:val="nil"/>
            </w:tcBorders>
            <w:shd w:val="clear" w:color="000000" w:fill="FFFFFF"/>
            <w:noWrap/>
            <w:vAlign w:val="center"/>
            <w:hideMark/>
          </w:tcPr>
          <w:p w14:paraId="07548181" w14:textId="77777777" w:rsidR="00766B84" w:rsidRPr="00766B84" w:rsidRDefault="00766B84" w:rsidP="00766B84">
            <w:pPr>
              <w:spacing w:before="0" w:after="0" w:line="240" w:lineRule="auto"/>
              <w:jc w:val="right"/>
              <w:rPr>
                <w:rFonts w:ascii="Arial" w:hAnsi="Arial" w:cs="Arial"/>
                <w:b/>
                <w:bCs/>
                <w:color w:val="000000"/>
                <w:sz w:val="16"/>
                <w:szCs w:val="16"/>
              </w:rPr>
            </w:pPr>
            <w:r w:rsidRPr="00766B84">
              <w:rPr>
                <w:rFonts w:ascii="Arial" w:hAnsi="Arial" w:cs="Arial"/>
                <w:b/>
                <w:bCs/>
                <w:color w:val="000000"/>
                <w:sz w:val="16"/>
                <w:szCs w:val="16"/>
              </w:rPr>
              <w:t>115,913</w:t>
            </w:r>
          </w:p>
        </w:tc>
        <w:tc>
          <w:tcPr>
            <w:tcW w:w="542" w:type="pct"/>
            <w:tcBorders>
              <w:top w:val="single" w:sz="4" w:space="0" w:color="293F5B"/>
              <w:left w:val="nil"/>
              <w:bottom w:val="single" w:sz="4" w:space="0" w:color="293F5B"/>
              <w:right w:val="nil"/>
            </w:tcBorders>
            <w:shd w:val="clear" w:color="000000" w:fill="FFFFFF"/>
            <w:noWrap/>
            <w:vAlign w:val="center"/>
            <w:hideMark/>
          </w:tcPr>
          <w:p w14:paraId="4FF8E138" w14:textId="77777777" w:rsidR="00766B84" w:rsidRPr="00766B84" w:rsidRDefault="00766B84" w:rsidP="00766B84">
            <w:pPr>
              <w:spacing w:before="0" w:after="0" w:line="240" w:lineRule="auto"/>
              <w:jc w:val="right"/>
              <w:rPr>
                <w:rFonts w:ascii="Arial" w:hAnsi="Arial" w:cs="Arial"/>
                <w:b/>
                <w:bCs/>
                <w:color w:val="000000"/>
                <w:sz w:val="16"/>
                <w:szCs w:val="16"/>
              </w:rPr>
            </w:pPr>
            <w:r w:rsidRPr="00766B84">
              <w:rPr>
                <w:rFonts w:ascii="Arial" w:hAnsi="Arial" w:cs="Arial"/>
                <w:b/>
                <w:bCs/>
                <w:color w:val="000000"/>
                <w:sz w:val="16"/>
                <w:szCs w:val="16"/>
              </w:rPr>
              <w:t>118,512</w:t>
            </w:r>
          </w:p>
        </w:tc>
        <w:tc>
          <w:tcPr>
            <w:tcW w:w="542" w:type="pct"/>
            <w:tcBorders>
              <w:top w:val="single" w:sz="4" w:space="0" w:color="293F5B"/>
              <w:left w:val="nil"/>
              <w:bottom w:val="single" w:sz="4" w:space="0" w:color="293F5B"/>
              <w:right w:val="nil"/>
            </w:tcBorders>
            <w:shd w:val="clear" w:color="000000" w:fill="FFFFFF"/>
            <w:noWrap/>
            <w:vAlign w:val="center"/>
            <w:hideMark/>
          </w:tcPr>
          <w:p w14:paraId="19E4F365" w14:textId="77777777" w:rsidR="00766B84" w:rsidRPr="00766B84" w:rsidRDefault="00766B84" w:rsidP="00766B84">
            <w:pPr>
              <w:spacing w:before="0" w:after="0" w:line="240" w:lineRule="auto"/>
              <w:jc w:val="right"/>
              <w:rPr>
                <w:rFonts w:ascii="Arial" w:hAnsi="Arial" w:cs="Arial"/>
                <w:b/>
                <w:bCs/>
                <w:color w:val="000000"/>
                <w:sz w:val="16"/>
                <w:szCs w:val="16"/>
              </w:rPr>
            </w:pPr>
            <w:r w:rsidRPr="00766B84">
              <w:rPr>
                <w:rFonts w:ascii="Arial" w:hAnsi="Arial" w:cs="Arial"/>
                <w:b/>
                <w:bCs/>
                <w:color w:val="000000"/>
                <w:sz w:val="16"/>
                <w:szCs w:val="16"/>
              </w:rPr>
              <w:t>122,801</w:t>
            </w:r>
          </w:p>
        </w:tc>
      </w:tr>
    </w:tbl>
    <w:p w14:paraId="6512B6F8" w14:textId="45B6B9D1" w:rsidR="00E32E1B" w:rsidRDefault="00E32E1B" w:rsidP="00E87DDC">
      <w:pPr>
        <w:pStyle w:val="ChartandTableFootnoteAlpha"/>
        <w:numPr>
          <w:ilvl w:val="0"/>
          <w:numId w:val="25"/>
        </w:numPr>
      </w:pPr>
      <w:r w:rsidRPr="00F63221">
        <w:t>A further breakdown of the medical services and benefits sub</w:t>
      </w:r>
      <w:r w:rsidR="008D4F6B">
        <w:noBreakHyphen/>
      </w:r>
      <w:r w:rsidRPr="00F63221">
        <w:t xml:space="preserve">function is provided in </w:t>
      </w:r>
      <w:r>
        <w:t>Table </w:t>
      </w:r>
      <w:r w:rsidRPr="00F63221">
        <w:t>6.8.1.</w:t>
      </w:r>
    </w:p>
    <w:p w14:paraId="1A024347" w14:textId="7CB1D0E4" w:rsidR="00E32E1B" w:rsidRDefault="00E32E1B" w:rsidP="00E87DDC">
      <w:pPr>
        <w:pStyle w:val="ChartandTableFootnoteAlpha"/>
        <w:numPr>
          <w:ilvl w:val="0"/>
          <w:numId w:val="25"/>
        </w:numPr>
      </w:pPr>
      <w:r w:rsidRPr="00C077F0">
        <w:t>A further breakdown of the pharmaceutical benefits and services sub</w:t>
      </w:r>
      <w:r w:rsidR="008D4F6B">
        <w:noBreakHyphen/>
      </w:r>
      <w:r w:rsidRPr="00C077F0">
        <w:t xml:space="preserve">function is provided in </w:t>
      </w:r>
      <w:r>
        <w:t>Table </w:t>
      </w:r>
      <w:r w:rsidRPr="00C077F0">
        <w:t>6.8.2.</w:t>
      </w:r>
    </w:p>
    <w:p w14:paraId="63DBC5F2" w14:textId="688F90F3" w:rsidR="00E32E1B" w:rsidRPr="001F19DB" w:rsidRDefault="00E32E1B" w:rsidP="00E87DDC">
      <w:pPr>
        <w:pStyle w:val="ChartandTableFootnoteAlpha"/>
        <w:numPr>
          <w:ilvl w:val="0"/>
          <w:numId w:val="25"/>
        </w:numPr>
      </w:pPr>
      <w:r w:rsidRPr="00C077F0">
        <w:t>The hospital services sub</w:t>
      </w:r>
      <w:r w:rsidR="008D4F6B">
        <w:noBreakHyphen/>
      </w:r>
      <w:r w:rsidRPr="00C077F0">
        <w:t>function predominantly reflects Commonwealth funding to the states and territories for veterans</w:t>
      </w:r>
      <w:r w:rsidR="008D4F6B">
        <w:t>’</w:t>
      </w:r>
      <w:r w:rsidRPr="00C077F0">
        <w:t xml:space="preserve"> hospital services.</w:t>
      </w:r>
    </w:p>
    <w:p w14:paraId="0145B5E0" w14:textId="77777777" w:rsidR="00E32E1B" w:rsidRPr="00DD6804" w:rsidRDefault="00E32E1B" w:rsidP="00D33D2C">
      <w:pPr>
        <w:pStyle w:val="TableLine"/>
      </w:pPr>
      <w:bookmarkStart w:id="97" w:name="_Hlk164079454"/>
    </w:p>
    <w:bookmarkEnd w:id="97"/>
    <w:p w14:paraId="6A0000A4" w14:textId="349C3890" w:rsidR="00370237" w:rsidRPr="00205DF4" w:rsidRDefault="00370237" w:rsidP="00370237">
      <w:r w:rsidRPr="00205DF4">
        <w:t xml:space="preserve">Expenses for </w:t>
      </w:r>
      <w:r w:rsidR="005F7A06">
        <w:t xml:space="preserve">the </w:t>
      </w:r>
      <w:r w:rsidRPr="00205DF4">
        <w:t xml:space="preserve">health </w:t>
      </w:r>
      <w:r w:rsidR="005F7A06">
        <w:t xml:space="preserve">function </w:t>
      </w:r>
      <w:r w:rsidRPr="00205DF4">
        <w:t>are expected to increase by 9</w:t>
      </w:r>
      <w:r w:rsidR="00446EC2" w:rsidRPr="00205DF4">
        <w:t>.0</w:t>
      </w:r>
      <w:r w:rsidRPr="00205DF4">
        <w:t> per cent</w:t>
      </w:r>
      <w:r w:rsidR="00B76600" w:rsidRPr="00205DF4">
        <w:t xml:space="preserve"> </w:t>
      </w:r>
      <w:r w:rsidRPr="00205DF4">
        <w:t>over the period 2024</w:t>
      </w:r>
      <w:r w:rsidRPr="00205DF4">
        <w:rPr>
          <w:rFonts w:cs="Book Antiqua"/>
        </w:rPr>
        <w:t>–</w:t>
      </w:r>
      <w:r w:rsidRPr="00205DF4">
        <w:t>25 to 2027</w:t>
      </w:r>
      <w:r w:rsidRPr="00205DF4">
        <w:rPr>
          <w:rFonts w:cs="Book Antiqua"/>
        </w:rPr>
        <w:t>–</w:t>
      </w:r>
      <w:r w:rsidRPr="00205DF4">
        <w:t xml:space="preserve">28. The largest movement in expenses </w:t>
      </w:r>
      <w:r w:rsidR="00326A2C">
        <w:t xml:space="preserve">for the </w:t>
      </w:r>
      <w:r w:rsidRPr="00205DF4">
        <w:t xml:space="preserve">health function is estimated to occur in </w:t>
      </w:r>
      <w:r w:rsidRPr="00DB247D">
        <w:rPr>
          <w:rStyle w:val="Strong"/>
        </w:rPr>
        <w:t>assistance to the states for public hospitals</w:t>
      </w:r>
      <w:r w:rsidRPr="00205DF4">
        <w:t xml:space="preserve">, with other significant movements in </w:t>
      </w:r>
      <w:r w:rsidRPr="00DB247D">
        <w:rPr>
          <w:rStyle w:val="Strong"/>
        </w:rPr>
        <w:t>medical services and benefits</w:t>
      </w:r>
      <w:r w:rsidRPr="00204B48">
        <w:rPr>
          <w:rStyle w:val="Strong"/>
          <w:b w:val="0"/>
        </w:rPr>
        <w:t xml:space="preserve"> and</w:t>
      </w:r>
      <w:r w:rsidRPr="00DB247D">
        <w:rPr>
          <w:rStyle w:val="Strong"/>
        </w:rPr>
        <w:t xml:space="preserve"> health services</w:t>
      </w:r>
      <w:r w:rsidRPr="00205DF4">
        <w:t>. Expenses for the remaining sub</w:t>
      </w:r>
      <w:r w:rsidR="008D4F6B">
        <w:noBreakHyphen/>
      </w:r>
      <w:r w:rsidRPr="00205DF4">
        <w:t xml:space="preserve">functions are expected to </w:t>
      </w:r>
      <w:r w:rsidR="008356C2" w:rsidRPr="00205DF4">
        <w:t xml:space="preserve">largely </w:t>
      </w:r>
      <w:r w:rsidRPr="00205DF4">
        <w:t>remain stable</w:t>
      </w:r>
      <w:r w:rsidR="00F2334A" w:rsidRPr="00205DF4">
        <w:t xml:space="preserve"> </w:t>
      </w:r>
      <w:r w:rsidR="00957B9D" w:rsidRPr="00205DF4">
        <w:t>over the period 2024–25 to 2027–28</w:t>
      </w:r>
      <w:r w:rsidR="00F2334A" w:rsidRPr="00205DF4">
        <w:t>.</w:t>
      </w:r>
    </w:p>
    <w:p w14:paraId="4416832D" w14:textId="3F737A09" w:rsidR="00370237" w:rsidRDefault="009C3273" w:rsidP="00370237">
      <w:r w:rsidRPr="00DB247D">
        <w:rPr>
          <w:rStyle w:val="Strong"/>
        </w:rPr>
        <w:t>M</w:t>
      </w:r>
      <w:r w:rsidR="00370237" w:rsidRPr="00DB247D">
        <w:rPr>
          <w:rStyle w:val="Strong"/>
        </w:rPr>
        <w:t>edical services and benefits</w:t>
      </w:r>
      <w:r>
        <w:rPr>
          <w:b/>
          <w:bCs/>
        </w:rPr>
        <w:t xml:space="preserve"> </w:t>
      </w:r>
      <w:r>
        <w:t>expenses</w:t>
      </w:r>
      <w:r w:rsidR="00370237">
        <w:t>,</w:t>
      </w:r>
      <w:bookmarkStart w:id="98" w:name="_Hlk163583168"/>
      <w:r w:rsidR="00370237">
        <w:t xml:space="preserve"> </w:t>
      </w:r>
      <w:r w:rsidR="00370237" w:rsidRPr="000B2F87">
        <w:t xml:space="preserve">which primarily consists of </w:t>
      </w:r>
      <w:r w:rsidR="00370237" w:rsidRPr="00B20445">
        <w:t>Medica</w:t>
      </w:r>
      <w:r w:rsidR="00370237" w:rsidRPr="00374D53">
        <w:t xml:space="preserve">l </w:t>
      </w:r>
      <w:r w:rsidR="00370237" w:rsidRPr="00B20445">
        <w:t xml:space="preserve">Benefits and Private Health Insurance expenses, </w:t>
      </w:r>
      <w:r w:rsidR="00370237" w:rsidRPr="00BB782A">
        <w:t>comprises 36.</w:t>
      </w:r>
      <w:r w:rsidR="000373CE" w:rsidRPr="00BB782A">
        <w:t>6</w:t>
      </w:r>
      <w:r w:rsidR="00370237" w:rsidRPr="00BB782A">
        <w:t xml:space="preserve"> per c</w:t>
      </w:r>
      <w:r w:rsidR="00370237">
        <w:t>ent</w:t>
      </w:r>
      <w:r w:rsidR="00370237" w:rsidRPr="00B20445">
        <w:t xml:space="preserve"> of total estimated</w:t>
      </w:r>
      <w:r w:rsidR="00370237">
        <w:t xml:space="preserve"> </w:t>
      </w:r>
      <w:r w:rsidR="00370237" w:rsidRPr="00B20445">
        <w:t xml:space="preserve">health expenses </w:t>
      </w:r>
      <w:r w:rsidR="00370237">
        <w:t>for</w:t>
      </w:r>
      <w:r w:rsidR="00370237" w:rsidRPr="00B20445">
        <w:t xml:space="preserve"> 2024</w:t>
      </w:r>
      <w:r w:rsidR="00370237">
        <w:t>–</w:t>
      </w:r>
      <w:r w:rsidR="00370237" w:rsidRPr="00B20445">
        <w:t xml:space="preserve">25. </w:t>
      </w:r>
      <w:r w:rsidR="0088257B">
        <w:t>Expenses are</w:t>
      </w:r>
      <w:r w:rsidR="00370237" w:rsidRPr="00B20445">
        <w:t xml:space="preserve"> expected to increase over the period 2024</w:t>
      </w:r>
      <w:r w:rsidR="00370237" w:rsidRPr="00002DB4">
        <w:rPr>
          <w:rFonts w:cs="Book Antiqua"/>
        </w:rPr>
        <w:t>–</w:t>
      </w:r>
      <w:r w:rsidR="00370237" w:rsidRPr="00B20445">
        <w:t>25 to 2027</w:t>
      </w:r>
      <w:r w:rsidR="00370237">
        <w:t>–</w:t>
      </w:r>
      <w:r w:rsidR="00370237" w:rsidRPr="00B20445">
        <w:t>28</w:t>
      </w:r>
      <w:r w:rsidR="00370237">
        <w:t>, primarily</w:t>
      </w:r>
      <w:r w:rsidR="00370237" w:rsidRPr="00B20445">
        <w:t xml:space="preserve"> drive</w:t>
      </w:r>
      <w:r w:rsidR="00370237">
        <w:t>n</w:t>
      </w:r>
      <w:r w:rsidR="00370237" w:rsidRPr="00B20445">
        <w:t xml:space="preserve"> </w:t>
      </w:r>
      <w:r w:rsidR="00370237">
        <w:t>by growth in</w:t>
      </w:r>
      <w:r w:rsidR="00370237" w:rsidRPr="00B20445">
        <w:t xml:space="preserve"> the Medica</w:t>
      </w:r>
      <w:r w:rsidR="00370237" w:rsidRPr="00374D53">
        <w:t>l Benefits</w:t>
      </w:r>
      <w:r w:rsidR="000373CE">
        <w:t xml:space="preserve"> component</w:t>
      </w:r>
      <w:r w:rsidR="00370237" w:rsidRPr="00B20445">
        <w:t xml:space="preserve">. </w:t>
      </w:r>
      <w:r w:rsidR="00370237">
        <w:t>The increase</w:t>
      </w:r>
      <w:r w:rsidR="00370237" w:rsidRPr="00B20445">
        <w:t> is a result of ongoing growth in the use of medical services, particularly primary care and diagnostic imaging services</w:t>
      </w:r>
      <w:r w:rsidR="00370237">
        <w:t xml:space="preserve">, </w:t>
      </w:r>
      <w:r w:rsidR="003F2E6F">
        <w:t>mostly</w:t>
      </w:r>
      <w:r w:rsidR="003F2E6F" w:rsidRPr="00B20445" w:rsidDel="003F2E6F">
        <w:t xml:space="preserve"> </w:t>
      </w:r>
      <w:r w:rsidR="00370237" w:rsidRPr="00B20445">
        <w:t>driven by population growth</w:t>
      </w:r>
      <w:r w:rsidR="003F2E6F">
        <w:t>.</w:t>
      </w:r>
      <w:bookmarkEnd w:id="98"/>
    </w:p>
    <w:p w14:paraId="3CD503F7" w14:textId="7ECBD921" w:rsidR="00A9609A" w:rsidRDefault="00370237" w:rsidP="00BC1D68">
      <w:pPr>
        <w:rPr>
          <w:rFonts w:ascii="Arial" w:hAnsi="Arial"/>
          <w:b/>
          <w:sz w:val="20"/>
        </w:rPr>
      </w:pPr>
      <w:r>
        <w:lastRenderedPageBreak/>
        <w:t>Table </w:t>
      </w:r>
      <w:r w:rsidRPr="000177D7">
        <w:t>6.</w:t>
      </w:r>
      <w:r>
        <w:t>8</w:t>
      </w:r>
      <w:r w:rsidRPr="000177D7">
        <w:t>.</w:t>
      </w:r>
      <w:r>
        <w:t>1</w:t>
      </w:r>
      <w:r w:rsidRPr="000177D7">
        <w:t xml:space="preserve"> sets out the major components of the </w:t>
      </w:r>
      <w:r w:rsidRPr="00BC1D68">
        <w:rPr>
          <w:rStyle w:val="Strong"/>
        </w:rPr>
        <w:t>medical services and benefits</w:t>
      </w:r>
      <w:r w:rsidRPr="00002DB4">
        <w:rPr>
          <w:b/>
          <w:bCs/>
        </w:rPr>
        <w:t xml:space="preserve"> </w:t>
      </w:r>
      <w:r w:rsidRPr="000177D7">
        <w:t>sub</w:t>
      </w:r>
      <w:r w:rsidR="008D4F6B">
        <w:noBreakHyphen/>
      </w:r>
      <w:r w:rsidRPr="000177D7">
        <w:t>function.</w:t>
      </w:r>
    </w:p>
    <w:p w14:paraId="1D7C3FCC" w14:textId="4F17236C" w:rsidR="00EE1324" w:rsidRDefault="00E32E1B" w:rsidP="00EE1324">
      <w:pPr>
        <w:pStyle w:val="TableHeading"/>
        <w:rPr>
          <w:rFonts w:asciiTheme="minorHAnsi" w:eastAsiaTheme="minorHAnsi" w:hAnsiTheme="minorHAnsi" w:cstheme="minorBidi"/>
          <w:sz w:val="22"/>
          <w:szCs w:val="22"/>
          <w:lang w:eastAsia="en-US"/>
        </w:rPr>
      </w:pPr>
      <w:r>
        <w:t>Table </w:t>
      </w:r>
      <w:r w:rsidRPr="000177D7">
        <w:t xml:space="preserve">6.8.1: Trends in the major components of </w:t>
      </w:r>
      <w:r>
        <w:t xml:space="preserve">the </w:t>
      </w:r>
      <w:r w:rsidRPr="000177D7">
        <w:t>medical services and benefits sub</w:t>
      </w:r>
      <w:r w:rsidR="008D4F6B">
        <w:noBreakHyphen/>
      </w:r>
      <w:r w:rsidRPr="000177D7">
        <w:t xml:space="preserve">function </w:t>
      </w:r>
      <w:r w:rsidRPr="00F50C8A">
        <w:t>expense</w:t>
      </w:r>
    </w:p>
    <w:tbl>
      <w:tblPr>
        <w:tblW w:w="5000" w:type="pct"/>
        <w:tblCellMar>
          <w:left w:w="0" w:type="dxa"/>
          <w:right w:w="28" w:type="dxa"/>
        </w:tblCellMar>
        <w:tblLook w:val="04A0" w:firstRow="1" w:lastRow="0" w:firstColumn="1" w:lastColumn="0" w:noHBand="0" w:noVBand="1"/>
      </w:tblPr>
      <w:tblGrid>
        <w:gridCol w:w="3366"/>
        <w:gridCol w:w="105"/>
        <w:gridCol w:w="848"/>
        <w:gridCol w:w="848"/>
        <w:gridCol w:w="848"/>
        <w:gridCol w:w="848"/>
        <w:gridCol w:w="847"/>
      </w:tblGrid>
      <w:tr w:rsidR="00EE1324" w:rsidRPr="00EE1324" w14:paraId="0195866C" w14:textId="77777777" w:rsidTr="00EE1324">
        <w:trPr>
          <w:trHeight w:hRule="exact" w:val="20"/>
        </w:trPr>
        <w:tc>
          <w:tcPr>
            <w:tcW w:w="2183" w:type="pct"/>
            <w:tcBorders>
              <w:top w:val="nil"/>
              <w:left w:val="nil"/>
              <w:bottom w:val="single" w:sz="4" w:space="0" w:color="293F5B"/>
              <w:right w:val="nil"/>
            </w:tcBorders>
            <w:shd w:val="clear" w:color="000000" w:fill="FFFFFF"/>
            <w:noWrap/>
            <w:vAlign w:val="center"/>
            <w:hideMark/>
          </w:tcPr>
          <w:p w14:paraId="4E9E4DD0" w14:textId="78E2524D" w:rsidR="00EE1324" w:rsidRPr="00EE1324" w:rsidRDefault="00EE1324" w:rsidP="00EE1324">
            <w:pPr>
              <w:spacing w:before="0" w:after="0" w:line="240" w:lineRule="auto"/>
              <w:rPr>
                <w:rFonts w:ascii="Arial" w:hAnsi="Arial" w:cs="Arial"/>
                <w:b/>
                <w:bCs/>
                <w:color w:val="000000"/>
                <w:sz w:val="16"/>
                <w:szCs w:val="16"/>
              </w:rPr>
            </w:pPr>
            <w:r w:rsidRPr="00EE1324">
              <w:rPr>
                <w:rFonts w:ascii="Arial" w:hAnsi="Arial" w:cs="Arial"/>
                <w:b/>
                <w:bCs/>
                <w:color w:val="000000"/>
                <w:sz w:val="16"/>
                <w:szCs w:val="16"/>
              </w:rPr>
              <w:t> </w:t>
            </w:r>
          </w:p>
        </w:tc>
        <w:tc>
          <w:tcPr>
            <w:tcW w:w="68" w:type="pct"/>
            <w:tcBorders>
              <w:top w:val="nil"/>
              <w:left w:val="nil"/>
              <w:bottom w:val="single" w:sz="4" w:space="0" w:color="293F5B"/>
              <w:right w:val="nil"/>
            </w:tcBorders>
            <w:shd w:val="clear" w:color="000000" w:fill="FFFFFF"/>
            <w:noWrap/>
            <w:vAlign w:val="center"/>
            <w:hideMark/>
          </w:tcPr>
          <w:p w14:paraId="2A1BF99C" w14:textId="77777777" w:rsidR="00EE1324" w:rsidRPr="00EE1324" w:rsidRDefault="00EE1324" w:rsidP="00EE1324">
            <w:pPr>
              <w:spacing w:before="0" w:after="0" w:line="240" w:lineRule="auto"/>
              <w:rPr>
                <w:rFonts w:ascii="Arial" w:hAnsi="Arial" w:cs="Arial"/>
                <w:b/>
                <w:bCs/>
                <w:color w:val="000000"/>
                <w:sz w:val="16"/>
                <w:szCs w:val="16"/>
              </w:rPr>
            </w:pPr>
            <w:r w:rsidRPr="00EE1324">
              <w:rPr>
                <w:rFonts w:ascii="Arial" w:hAnsi="Arial" w:cs="Arial"/>
                <w:b/>
                <w:bCs/>
                <w:color w:val="000000"/>
                <w:sz w:val="16"/>
                <w:szCs w:val="16"/>
              </w:rPr>
              <w:t> </w:t>
            </w:r>
          </w:p>
        </w:tc>
        <w:tc>
          <w:tcPr>
            <w:tcW w:w="550" w:type="pct"/>
            <w:tcBorders>
              <w:top w:val="nil"/>
              <w:left w:val="nil"/>
              <w:bottom w:val="single" w:sz="4" w:space="0" w:color="293F5B"/>
              <w:right w:val="nil"/>
            </w:tcBorders>
            <w:shd w:val="clear" w:color="000000" w:fill="FFFFFF"/>
            <w:noWrap/>
            <w:vAlign w:val="center"/>
            <w:hideMark/>
          </w:tcPr>
          <w:p w14:paraId="0E438F5F" w14:textId="77777777" w:rsidR="00EE1324" w:rsidRPr="00EE1324" w:rsidRDefault="00EE1324" w:rsidP="00EE1324">
            <w:pPr>
              <w:spacing w:before="0" w:after="0" w:line="240" w:lineRule="auto"/>
              <w:rPr>
                <w:rFonts w:ascii="Arial" w:hAnsi="Arial" w:cs="Arial"/>
                <w:color w:val="000000"/>
                <w:sz w:val="16"/>
                <w:szCs w:val="16"/>
              </w:rPr>
            </w:pPr>
            <w:r w:rsidRPr="00EE1324">
              <w:rPr>
                <w:rFonts w:ascii="Arial" w:hAnsi="Arial" w:cs="Arial"/>
                <w:color w:val="000000"/>
                <w:sz w:val="16"/>
                <w:szCs w:val="16"/>
              </w:rPr>
              <w:t> </w:t>
            </w:r>
          </w:p>
        </w:tc>
        <w:tc>
          <w:tcPr>
            <w:tcW w:w="550" w:type="pct"/>
            <w:tcBorders>
              <w:top w:val="nil"/>
              <w:left w:val="nil"/>
              <w:bottom w:val="single" w:sz="4" w:space="0" w:color="293F5B"/>
              <w:right w:val="nil"/>
            </w:tcBorders>
            <w:shd w:val="clear" w:color="000000" w:fill="FFFFFF"/>
            <w:noWrap/>
            <w:vAlign w:val="center"/>
            <w:hideMark/>
          </w:tcPr>
          <w:p w14:paraId="50DFDDBE" w14:textId="77777777" w:rsidR="00EE1324" w:rsidRPr="00EE1324" w:rsidRDefault="00EE1324" w:rsidP="00EE1324">
            <w:pPr>
              <w:spacing w:before="0" w:after="0" w:line="240" w:lineRule="auto"/>
              <w:rPr>
                <w:rFonts w:ascii="Arial" w:hAnsi="Arial" w:cs="Arial"/>
                <w:color w:val="000000"/>
                <w:sz w:val="16"/>
                <w:szCs w:val="16"/>
              </w:rPr>
            </w:pPr>
            <w:r w:rsidRPr="00EE1324">
              <w:rPr>
                <w:rFonts w:ascii="Arial" w:hAnsi="Arial" w:cs="Arial"/>
                <w:color w:val="000000"/>
                <w:sz w:val="16"/>
                <w:szCs w:val="16"/>
              </w:rPr>
              <w:t> </w:t>
            </w:r>
          </w:p>
        </w:tc>
        <w:tc>
          <w:tcPr>
            <w:tcW w:w="550" w:type="pct"/>
            <w:tcBorders>
              <w:top w:val="nil"/>
              <w:left w:val="nil"/>
              <w:bottom w:val="single" w:sz="4" w:space="0" w:color="293F5B"/>
              <w:right w:val="nil"/>
            </w:tcBorders>
            <w:shd w:val="clear" w:color="000000" w:fill="FFFFFF"/>
            <w:noWrap/>
            <w:vAlign w:val="center"/>
            <w:hideMark/>
          </w:tcPr>
          <w:p w14:paraId="374A9EA3" w14:textId="77777777" w:rsidR="00EE1324" w:rsidRPr="00EE1324" w:rsidRDefault="00EE1324" w:rsidP="00EE1324">
            <w:pPr>
              <w:spacing w:before="0" w:after="0" w:line="240" w:lineRule="auto"/>
              <w:rPr>
                <w:rFonts w:ascii="Arial" w:hAnsi="Arial" w:cs="Arial"/>
                <w:color w:val="000000"/>
                <w:sz w:val="16"/>
                <w:szCs w:val="16"/>
              </w:rPr>
            </w:pPr>
            <w:r w:rsidRPr="00EE1324">
              <w:rPr>
                <w:rFonts w:ascii="Arial" w:hAnsi="Arial" w:cs="Arial"/>
                <w:color w:val="000000"/>
                <w:sz w:val="16"/>
                <w:szCs w:val="16"/>
              </w:rPr>
              <w:t> </w:t>
            </w:r>
          </w:p>
        </w:tc>
        <w:tc>
          <w:tcPr>
            <w:tcW w:w="550" w:type="pct"/>
            <w:tcBorders>
              <w:top w:val="nil"/>
              <w:left w:val="nil"/>
              <w:bottom w:val="single" w:sz="4" w:space="0" w:color="293F5B"/>
              <w:right w:val="nil"/>
            </w:tcBorders>
            <w:shd w:val="clear" w:color="000000" w:fill="FFFFFF"/>
            <w:noWrap/>
            <w:vAlign w:val="center"/>
            <w:hideMark/>
          </w:tcPr>
          <w:p w14:paraId="44B49A2C" w14:textId="77777777" w:rsidR="00EE1324" w:rsidRPr="00EE1324" w:rsidRDefault="00EE1324" w:rsidP="00EE1324">
            <w:pPr>
              <w:spacing w:before="0" w:after="0" w:line="240" w:lineRule="auto"/>
              <w:rPr>
                <w:rFonts w:ascii="Arial" w:hAnsi="Arial" w:cs="Arial"/>
                <w:color w:val="000000"/>
                <w:sz w:val="16"/>
                <w:szCs w:val="16"/>
              </w:rPr>
            </w:pPr>
            <w:r w:rsidRPr="00EE1324">
              <w:rPr>
                <w:rFonts w:ascii="Arial" w:hAnsi="Arial" w:cs="Arial"/>
                <w:color w:val="000000"/>
                <w:sz w:val="16"/>
                <w:szCs w:val="16"/>
              </w:rPr>
              <w:t> </w:t>
            </w:r>
          </w:p>
        </w:tc>
        <w:tc>
          <w:tcPr>
            <w:tcW w:w="550" w:type="pct"/>
            <w:tcBorders>
              <w:top w:val="nil"/>
              <w:left w:val="nil"/>
              <w:bottom w:val="single" w:sz="4" w:space="0" w:color="293F5B"/>
              <w:right w:val="nil"/>
            </w:tcBorders>
            <w:shd w:val="clear" w:color="000000" w:fill="FFFFFF"/>
            <w:noWrap/>
            <w:vAlign w:val="center"/>
            <w:hideMark/>
          </w:tcPr>
          <w:p w14:paraId="5F8B6459" w14:textId="77777777" w:rsidR="00EE1324" w:rsidRPr="00EE1324" w:rsidRDefault="00EE1324" w:rsidP="00EE1324">
            <w:pPr>
              <w:spacing w:before="0" w:after="0" w:line="240" w:lineRule="auto"/>
              <w:rPr>
                <w:rFonts w:ascii="Arial" w:hAnsi="Arial" w:cs="Arial"/>
                <w:color w:val="000000"/>
                <w:sz w:val="16"/>
                <w:szCs w:val="16"/>
              </w:rPr>
            </w:pPr>
            <w:r w:rsidRPr="00EE1324">
              <w:rPr>
                <w:rFonts w:ascii="Arial" w:hAnsi="Arial" w:cs="Arial"/>
                <w:color w:val="000000"/>
                <w:sz w:val="16"/>
                <w:szCs w:val="16"/>
              </w:rPr>
              <w:t> </w:t>
            </w:r>
          </w:p>
        </w:tc>
      </w:tr>
      <w:tr w:rsidR="00EE1324" w:rsidRPr="00EE1324" w14:paraId="17A3F3E8" w14:textId="77777777" w:rsidTr="00F50C8A">
        <w:trPr>
          <w:trHeight w:hRule="exact" w:val="226"/>
        </w:trPr>
        <w:tc>
          <w:tcPr>
            <w:tcW w:w="2183" w:type="pct"/>
            <w:tcBorders>
              <w:top w:val="nil"/>
              <w:left w:val="nil"/>
              <w:bottom w:val="nil"/>
              <w:right w:val="nil"/>
            </w:tcBorders>
            <w:shd w:val="clear" w:color="000000" w:fill="FFFFFF"/>
            <w:noWrap/>
            <w:vAlign w:val="center"/>
            <w:hideMark/>
          </w:tcPr>
          <w:p w14:paraId="605299C6" w14:textId="77777777" w:rsidR="00EE1324" w:rsidRPr="00EE1324" w:rsidRDefault="00EE1324" w:rsidP="00EE1324">
            <w:pPr>
              <w:spacing w:before="0" w:after="0" w:line="240" w:lineRule="auto"/>
              <w:rPr>
                <w:rFonts w:ascii="Arial" w:hAnsi="Arial" w:cs="Arial"/>
                <w:b/>
                <w:bCs/>
                <w:color w:val="000000"/>
                <w:sz w:val="16"/>
                <w:szCs w:val="16"/>
              </w:rPr>
            </w:pPr>
            <w:r w:rsidRPr="00EE1324">
              <w:rPr>
                <w:rFonts w:ascii="Arial" w:hAnsi="Arial" w:cs="Arial"/>
                <w:b/>
                <w:bCs/>
                <w:color w:val="000000"/>
                <w:sz w:val="16"/>
                <w:szCs w:val="16"/>
              </w:rPr>
              <w:t>Component(a)</w:t>
            </w:r>
          </w:p>
        </w:tc>
        <w:tc>
          <w:tcPr>
            <w:tcW w:w="68" w:type="pct"/>
            <w:tcBorders>
              <w:top w:val="nil"/>
              <w:left w:val="nil"/>
              <w:bottom w:val="nil"/>
              <w:right w:val="nil"/>
            </w:tcBorders>
            <w:shd w:val="clear" w:color="000000" w:fill="FFFFFF"/>
            <w:noWrap/>
            <w:vAlign w:val="center"/>
            <w:hideMark/>
          </w:tcPr>
          <w:p w14:paraId="5BE23824" w14:textId="77777777" w:rsidR="00EE1324" w:rsidRPr="00EE1324" w:rsidRDefault="00EE1324" w:rsidP="00EE1324">
            <w:pPr>
              <w:spacing w:before="0" w:after="0" w:line="240" w:lineRule="auto"/>
              <w:rPr>
                <w:rFonts w:ascii="Arial" w:hAnsi="Arial" w:cs="Arial"/>
                <w:color w:val="000000"/>
                <w:sz w:val="16"/>
                <w:szCs w:val="16"/>
              </w:rPr>
            </w:pPr>
            <w:r w:rsidRPr="00EE1324">
              <w:rPr>
                <w:rFonts w:ascii="Arial" w:hAnsi="Arial" w:cs="Arial"/>
                <w:color w:val="000000"/>
                <w:sz w:val="16"/>
                <w:szCs w:val="16"/>
              </w:rPr>
              <w:t> </w:t>
            </w:r>
          </w:p>
        </w:tc>
        <w:tc>
          <w:tcPr>
            <w:tcW w:w="2748" w:type="pct"/>
            <w:gridSpan w:val="5"/>
            <w:tcBorders>
              <w:top w:val="single" w:sz="4" w:space="0" w:color="293F5B"/>
              <w:left w:val="nil"/>
              <w:bottom w:val="single" w:sz="4" w:space="0" w:color="293F5B"/>
              <w:right w:val="nil"/>
            </w:tcBorders>
            <w:shd w:val="clear" w:color="000000" w:fill="FFFFFF"/>
            <w:noWrap/>
            <w:vAlign w:val="center"/>
            <w:hideMark/>
          </w:tcPr>
          <w:p w14:paraId="1090A202" w14:textId="77777777" w:rsidR="00EE1324" w:rsidRPr="00EE1324" w:rsidRDefault="00EE1324" w:rsidP="00EE1324">
            <w:pPr>
              <w:spacing w:before="0" w:after="0" w:line="240" w:lineRule="auto"/>
              <w:jc w:val="center"/>
              <w:rPr>
                <w:rFonts w:ascii="Arial" w:hAnsi="Arial" w:cs="Arial"/>
                <w:color w:val="000000"/>
                <w:sz w:val="16"/>
                <w:szCs w:val="16"/>
              </w:rPr>
            </w:pPr>
            <w:r w:rsidRPr="00EE1324">
              <w:rPr>
                <w:rFonts w:ascii="Arial" w:hAnsi="Arial" w:cs="Arial"/>
                <w:color w:val="000000"/>
                <w:sz w:val="16"/>
                <w:szCs w:val="16"/>
              </w:rPr>
              <w:t>Estimates</w:t>
            </w:r>
          </w:p>
        </w:tc>
      </w:tr>
      <w:tr w:rsidR="00EE1324" w:rsidRPr="00EE1324" w14:paraId="0C17017B" w14:textId="77777777" w:rsidTr="00EE1324">
        <w:trPr>
          <w:trHeight w:hRule="exact" w:val="226"/>
        </w:trPr>
        <w:tc>
          <w:tcPr>
            <w:tcW w:w="2183" w:type="pct"/>
            <w:tcBorders>
              <w:top w:val="nil"/>
              <w:left w:val="nil"/>
              <w:bottom w:val="nil"/>
              <w:right w:val="nil"/>
            </w:tcBorders>
            <w:shd w:val="clear" w:color="000000" w:fill="FFFFFF"/>
            <w:noWrap/>
            <w:vAlign w:val="bottom"/>
            <w:hideMark/>
          </w:tcPr>
          <w:p w14:paraId="07D0C235" w14:textId="77777777" w:rsidR="00EE1324" w:rsidRPr="00EE1324" w:rsidRDefault="00EE1324" w:rsidP="00EE1324">
            <w:pPr>
              <w:spacing w:before="0" w:after="0" w:line="240" w:lineRule="auto"/>
              <w:rPr>
                <w:rFonts w:ascii="Arial" w:hAnsi="Arial" w:cs="Arial"/>
                <w:color w:val="000000"/>
                <w:sz w:val="16"/>
                <w:szCs w:val="16"/>
              </w:rPr>
            </w:pPr>
            <w:r w:rsidRPr="00EE1324">
              <w:rPr>
                <w:rFonts w:ascii="Arial" w:hAnsi="Arial" w:cs="Arial"/>
                <w:color w:val="000000"/>
                <w:sz w:val="16"/>
                <w:szCs w:val="16"/>
              </w:rPr>
              <w:t> </w:t>
            </w:r>
          </w:p>
        </w:tc>
        <w:tc>
          <w:tcPr>
            <w:tcW w:w="68" w:type="pct"/>
            <w:tcBorders>
              <w:top w:val="nil"/>
              <w:left w:val="nil"/>
              <w:bottom w:val="nil"/>
              <w:right w:val="nil"/>
            </w:tcBorders>
            <w:shd w:val="clear" w:color="000000" w:fill="FFFFFF"/>
            <w:noWrap/>
            <w:vAlign w:val="center"/>
            <w:hideMark/>
          </w:tcPr>
          <w:p w14:paraId="6EB72432" w14:textId="77777777" w:rsidR="00EE1324" w:rsidRPr="00EE1324" w:rsidRDefault="00EE1324" w:rsidP="00EE1324">
            <w:pPr>
              <w:spacing w:before="0" w:after="0" w:line="240" w:lineRule="auto"/>
              <w:jc w:val="right"/>
              <w:rPr>
                <w:rFonts w:ascii="Arial" w:hAnsi="Arial" w:cs="Arial"/>
                <w:sz w:val="16"/>
                <w:szCs w:val="16"/>
              </w:rPr>
            </w:pPr>
            <w:r w:rsidRPr="00EE1324">
              <w:rPr>
                <w:rFonts w:ascii="Arial" w:hAnsi="Arial" w:cs="Arial"/>
                <w:sz w:val="16"/>
                <w:szCs w:val="16"/>
              </w:rPr>
              <w:t> </w:t>
            </w:r>
          </w:p>
        </w:tc>
        <w:tc>
          <w:tcPr>
            <w:tcW w:w="550" w:type="pct"/>
            <w:tcBorders>
              <w:top w:val="single" w:sz="4" w:space="0" w:color="293F5B"/>
              <w:left w:val="nil"/>
              <w:bottom w:val="nil"/>
              <w:right w:val="nil"/>
            </w:tcBorders>
            <w:shd w:val="clear" w:color="000000" w:fill="FFFFFF"/>
            <w:noWrap/>
            <w:vAlign w:val="center"/>
            <w:hideMark/>
          </w:tcPr>
          <w:p w14:paraId="02F4942B" w14:textId="4DAEB7CE" w:rsidR="00EE1324" w:rsidRPr="00EE1324" w:rsidRDefault="00EE1324" w:rsidP="00EE1324">
            <w:pPr>
              <w:spacing w:before="0" w:after="0" w:line="240" w:lineRule="auto"/>
              <w:jc w:val="right"/>
              <w:rPr>
                <w:rFonts w:ascii="Arial" w:hAnsi="Arial" w:cs="Arial"/>
                <w:sz w:val="16"/>
                <w:szCs w:val="16"/>
              </w:rPr>
            </w:pPr>
            <w:r w:rsidRPr="00EE1324">
              <w:rPr>
                <w:rFonts w:ascii="Arial" w:hAnsi="Arial" w:cs="Arial"/>
                <w:sz w:val="16"/>
                <w:szCs w:val="16"/>
              </w:rPr>
              <w:t>2023</w:t>
            </w:r>
            <w:r w:rsidR="008D4F6B">
              <w:rPr>
                <w:rFonts w:ascii="Arial" w:hAnsi="Arial" w:cs="Arial"/>
                <w:sz w:val="16"/>
                <w:szCs w:val="16"/>
              </w:rPr>
              <w:noBreakHyphen/>
            </w:r>
            <w:r w:rsidRPr="00EE1324">
              <w:rPr>
                <w:rFonts w:ascii="Arial" w:hAnsi="Arial" w:cs="Arial"/>
                <w:sz w:val="16"/>
                <w:szCs w:val="16"/>
              </w:rPr>
              <w:t>24</w:t>
            </w:r>
          </w:p>
        </w:tc>
        <w:tc>
          <w:tcPr>
            <w:tcW w:w="550" w:type="pct"/>
            <w:tcBorders>
              <w:top w:val="single" w:sz="4" w:space="0" w:color="293F5B"/>
              <w:left w:val="nil"/>
              <w:bottom w:val="nil"/>
              <w:right w:val="nil"/>
            </w:tcBorders>
            <w:shd w:val="clear" w:color="000000" w:fill="E6F2FF"/>
            <w:noWrap/>
            <w:vAlign w:val="center"/>
            <w:hideMark/>
          </w:tcPr>
          <w:p w14:paraId="7BE4EECA" w14:textId="7F10DDF1" w:rsidR="00EE1324" w:rsidRPr="00EE1324" w:rsidRDefault="00EE1324" w:rsidP="00EE1324">
            <w:pPr>
              <w:spacing w:before="0" w:after="0" w:line="240" w:lineRule="auto"/>
              <w:jc w:val="right"/>
              <w:rPr>
                <w:rFonts w:ascii="Arial" w:hAnsi="Arial" w:cs="Arial"/>
                <w:sz w:val="16"/>
                <w:szCs w:val="16"/>
              </w:rPr>
            </w:pPr>
            <w:r w:rsidRPr="00EE1324">
              <w:rPr>
                <w:rFonts w:ascii="Arial" w:hAnsi="Arial" w:cs="Arial"/>
                <w:sz w:val="16"/>
                <w:szCs w:val="16"/>
              </w:rPr>
              <w:t>2024</w:t>
            </w:r>
            <w:r w:rsidR="008D4F6B">
              <w:rPr>
                <w:rFonts w:ascii="Arial" w:hAnsi="Arial" w:cs="Arial"/>
                <w:sz w:val="16"/>
                <w:szCs w:val="16"/>
              </w:rPr>
              <w:noBreakHyphen/>
            </w:r>
            <w:r w:rsidRPr="00EE1324">
              <w:rPr>
                <w:rFonts w:ascii="Arial" w:hAnsi="Arial" w:cs="Arial"/>
                <w:sz w:val="16"/>
                <w:szCs w:val="16"/>
              </w:rPr>
              <w:t>25</w:t>
            </w:r>
          </w:p>
        </w:tc>
        <w:tc>
          <w:tcPr>
            <w:tcW w:w="550" w:type="pct"/>
            <w:tcBorders>
              <w:top w:val="single" w:sz="4" w:space="0" w:color="293F5B"/>
              <w:left w:val="nil"/>
              <w:bottom w:val="nil"/>
              <w:right w:val="nil"/>
            </w:tcBorders>
            <w:shd w:val="clear" w:color="000000" w:fill="FFFFFF"/>
            <w:noWrap/>
            <w:vAlign w:val="center"/>
            <w:hideMark/>
          </w:tcPr>
          <w:p w14:paraId="18A9ABEE" w14:textId="61624419" w:rsidR="00EE1324" w:rsidRPr="00EE1324" w:rsidRDefault="00EE1324" w:rsidP="00EE1324">
            <w:pPr>
              <w:spacing w:before="0" w:after="0" w:line="240" w:lineRule="auto"/>
              <w:jc w:val="right"/>
              <w:rPr>
                <w:rFonts w:ascii="Arial" w:hAnsi="Arial" w:cs="Arial"/>
                <w:sz w:val="16"/>
                <w:szCs w:val="16"/>
              </w:rPr>
            </w:pPr>
            <w:r w:rsidRPr="00EE1324">
              <w:rPr>
                <w:rFonts w:ascii="Arial" w:hAnsi="Arial" w:cs="Arial"/>
                <w:sz w:val="16"/>
                <w:szCs w:val="16"/>
              </w:rPr>
              <w:t>2025</w:t>
            </w:r>
            <w:r w:rsidR="008D4F6B">
              <w:rPr>
                <w:rFonts w:ascii="Arial" w:hAnsi="Arial" w:cs="Arial"/>
                <w:sz w:val="16"/>
                <w:szCs w:val="16"/>
              </w:rPr>
              <w:noBreakHyphen/>
            </w:r>
            <w:r w:rsidRPr="00EE1324">
              <w:rPr>
                <w:rFonts w:ascii="Arial" w:hAnsi="Arial" w:cs="Arial"/>
                <w:sz w:val="16"/>
                <w:szCs w:val="16"/>
              </w:rPr>
              <w:t>26</w:t>
            </w:r>
          </w:p>
        </w:tc>
        <w:tc>
          <w:tcPr>
            <w:tcW w:w="550" w:type="pct"/>
            <w:tcBorders>
              <w:top w:val="single" w:sz="4" w:space="0" w:color="293F5B"/>
              <w:left w:val="nil"/>
              <w:bottom w:val="nil"/>
              <w:right w:val="nil"/>
            </w:tcBorders>
            <w:shd w:val="clear" w:color="000000" w:fill="FFFFFF"/>
            <w:noWrap/>
            <w:vAlign w:val="center"/>
            <w:hideMark/>
          </w:tcPr>
          <w:p w14:paraId="40358D45" w14:textId="294D3B6E" w:rsidR="00EE1324" w:rsidRPr="00EE1324" w:rsidRDefault="00EE1324" w:rsidP="00EE1324">
            <w:pPr>
              <w:spacing w:before="0" w:after="0" w:line="240" w:lineRule="auto"/>
              <w:jc w:val="right"/>
              <w:rPr>
                <w:rFonts w:ascii="Arial" w:hAnsi="Arial" w:cs="Arial"/>
                <w:sz w:val="16"/>
                <w:szCs w:val="16"/>
              </w:rPr>
            </w:pPr>
            <w:r w:rsidRPr="00EE1324">
              <w:rPr>
                <w:rFonts w:ascii="Arial" w:hAnsi="Arial" w:cs="Arial"/>
                <w:sz w:val="16"/>
                <w:szCs w:val="16"/>
              </w:rPr>
              <w:t>2026</w:t>
            </w:r>
            <w:r w:rsidR="008D4F6B">
              <w:rPr>
                <w:rFonts w:ascii="Arial" w:hAnsi="Arial" w:cs="Arial"/>
                <w:sz w:val="16"/>
                <w:szCs w:val="16"/>
              </w:rPr>
              <w:noBreakHyphen/>
            </w:r>
            <w:r w:rsidRPr="00EE1324">
              <w:rPr>
                <w:rFonts w:ascii="Arial" w:hAnsi="Arial" w:cs="Arial"/>
                <w:sz w:val="16"/>
                <w:szCs w:val="16"/>
              </w:rPr>
              <w:t>27</w:t>
            </w:r>
          </w:p>
        </w:tc>
        <w:tc>
          <w:tcPr>
            <w:tcW w:w="550" w:type="pct"/>
            <w:tcBorders>
              <w:top w:val="single" w:sz="4" w:space="0" w:color="293F5B"/>
              <w:left w:val="nil"/>
              <w:bottom w:val="nil"/>
              <w:right w:val="nil"/>
            </w:tcBorders>
            <w:shd w:val="clear" w:color="000000" w:fill="FFFFFF"/>
            <w:noWrap/>
            <w:vAlign w:val="center"/>
            <w:hideMark/>
          </w:tcPr>
          <w:p w14:paraId="617978AA" w14:textId="41AA5770" w:rsidR="00EE1324" w:rsidRPr="00EE1324" w:rsidRDefault="00EE1324" w:rsidP="00EE1324">
            <w:pPr>
              <w:spacing w:before="0" w:after="0" w:line="240" w:lineRule="auto"/>
              <w:jc w:val="right"/>
              <w:rPr>
                <w:rFonts w:ascii="Arial" w:hAnsi="Arial" w:cs="Arial"/>
                <w:color w:val="000000"/>
                <w:sz w:val="16"/>
                <w:szCs w:val="16"/>
              </w:rPr>
            </w:pPr>
            <w:r w:rsidRPr="00EE1324">
              <w:rPr>
                <w:rFonts w:ascii="Arial" w:hAnsi="Arial" w:cs="Arial"/>
                <w:color w:val="000000"/>
                <w:sz w:val="16"/>
                <w:szCs w:val="16"/>
              </w:rPr>
              <w:t>2027</w:t>
            </w:r>
            <w:r w:rsidR="008D4F6B">
              <w:rPr>
                <w:rFonts w:ascii="Arial" w:hAnsi="Arial" w:cs="Arial"/>
                <w:color w:val="000000"/>
                <w:sz w:val="16"/>
                <w:szCs w:val="16"/>
              </w:rPr>
              <w:noBreakHyphen/>
            </w:r>
            <w:r w:rsidRPr="00EE1324">
              <w:rPr>
                <w:rFonts w:ascii="Arial" w:hAnsi="Arial" w:cs="Arial"/>
                <w:color w:val="000000"/>
                <w:sz w:val="16"/>
                <w:szCs w:val="16"/>
              </w:rPr>
              <w:t>28</w:t>
            </w:r>
          </w:p>
        </w:tc>
      </w:tr>
      <w:tr w:rsidR="00EE1324" w:rsidRPr="00EE1324" w14:paraId="1868047D" w14:textId="77777777" w:rsidTr="00EE1324">
        <w:trPr>
          <w:trHeight w:hRule="exact" w:val="226"/>
        </w:trPr>
        <w:tc>
          <w:tcPr>
            <w:tcW w:w="2183" w:type="pct"/>
            <w:tcBorders>
              <w:top w:val="nil"/>
              <w:left w:val="nil"/>
              <w:bottom w:val="nil"/>
              <w:right w:val="nil"/>
            </w:tcBorders>
            <w:shd w:val="clear" w:color="000000" w:fill="FFFFFF"/>
            <w:noWrap/>
            <w:vAlign w:val="center"/>
            <w:hideMark/>
          </w:tcPr>
          <w:p w14:paraId="69A0787D" w14:textId="77777777" w:rsidR="00EE1324" w:rsidRPr="00EE1324" w:rsidRDefault="00EE1324" w:rsidP="00EE1324">
            <w:pPr>
              <w:spacing w:before="0" w:after="0" w:line="240" w:lineRule="auto"/>
              <w:rPr>
                <w:rFonts w:ascii="Arial" w:hAnsi="Arial" w:cs="Arial"/>
                <w:color w:val="000000"/>
                <w:sz w:val="16"/>
                <w:szCs w:val="16"/>
              </w:rPr>
            </w:pPr>
            <w:r w:rsidRPr="00EE1324">
              <w:rPr>
                <w:rFonts w:ascii="Arial" w:hAnsi="Arial" w:cs="Arial"/>
                <w:color w:val="000000"/>
                <w:sz w:val="16"/>
                <w:szCs w:val="16"/>
              </w:rPr>
              <w:t> </w:t>
            </w:r>
          </w:p>
        </w:tc>
        <w:tc>
          <w:tcPr>
            <w:tcW w:w="68" w:type="pct"/>
            <w:tcBorders>
              <w:top w:val="nil"/>
              <w:left w:val="nil"/>
              <w:bottom w:val="nil"/>
              <w:right w:val="nil"/>
            </w:tcBorders>
            <w:shd w:val="clear" w:color="000000" w:fill="FFFFFF"/>
            <w:noWrap/>
            <w:vAlign w:val="center"/>
            <w:hideMark/>
          </w:tcPr>
          <w:p w14:paraId="4C3B4513" w14:textId="77777777" w:rsidR="00EE1324" w:rsidRPr="00EE1324" w:rsidRDefault="00EE1324" w:rsidP="00EE1324">
            <w:pPr>
              <w:spacing w:before="0" w:after="0" w:line="240" w:lineRule="auto"/>
              <w:jc w:val="right"/>
              <w:rPr>
                <w:rFonts w:ascii="Arial" w:hAnsi="Arial" w:cs="Arial"/>
                <w:color w:val="000000"/>
                <w:sz w:val="16"/>
                <w:szCs w:val="16"/>
              </w:rPr>
            </w:pPr>
            <w:r w:rsidRPr="00EE1324">
              <w:rPr>
                <w:rFonts w:ascii="Arial" w:hAnsi="Arial" w:cs="Arial"/>
                <w:color w:val="000000"/>
                <w:sz w:val="16"/>
                <w:szCs w:val="16"/>
              </w:rPr>
              <w:t> </w:t>
            </w:r>
          </w:p>
        </w:tc>
        <w:tc>
          <w:tcPr>
            <w:tcW w:w="550" w:type="pct"/>
            <w:tcBorders>
              <w:top w:val="nil"/>
              <w:left w:val="nil"/>
              <w:bottom w:val="single" w:sz="4" w:space="0" w:color="293F5B"/>
              <w:right w:val="nil"/>
            </w:tcBorders>
            <w:shd w:val="clear" w:color="000000" w:fill="FFFFFF"/>
            <w:noWrap/>
            <w:vAlign w:val="center"/>
            <w:hideMark/>
          </w:tcPr>
          <w:p w14:paraId="18D5D8CD" w14:textId="77777777" w:rsidR="00EE1324" w:rsidRPr="00EE1324" w:rsidRDefault="00EE1324" w:rsidP="00EE1324">
            <w:pPr>
              <w:spacing w:before="0" w:after="0" w:line="240" w:lineRule="auto"/>
              <w:jc w:val="right"/>
              <w:rPr>
                <w:rFonts w:ascii="Arial" w:hAnsi="Arial" w:cs="Arial"/>
                <w:color w:val="000000"/>
                <w:sz w:val="16"/>
                <w:szCs w:val="16"/>
              </w:rPr>
            </w:pPr>
            <w:r w:rsidRPr="00EE1324">
              <w:rPr>
                <w:rFonts w:ascii="Arial" w:hAnsi="Arial" w:cs="Arial"/>
                <w:color w:val="000000"/>
                <w:sz w:val="16"/>
                <w:szCs w:val="16"/>
              </w:rPr>
              <w:t>$m</w:t>
            </w:r>
          </w:p>
        </w:tc>
        <w:tc>
          <w:tcPr>
            <w:tcW w:w="550" w:type="pct"/>
            <w:tcBorders>
              <w:top w:val="nil"/>
              <w:left w:val="nil"/>
              <w:bottom w:val="single" w:sz="4" w:space="0" w:color="293F5B"/>
              <w:right w:val="nil"/>
            </w:tcBorders>
            <w:shd w:val="clear" w:color="000000" w:fill="E6F2FF"/>
            <w:noWrap/>
            <w:vAlign w:val="center"/>
            <w:hideMark/>
          </w:tcPr>
          <w:p w14:paraId="5EEADD5A" w14:textId="77777777" w:rsidR="00EE1324" w:rsidRPr="00EE1324" w:rsidRDefault="00EE1324" w:rsidP="00EE1324">
            <w:pPr>
              <w:spacing w:before="0" w:after="0" w:line="240" w:lineRule="auto"/>
              <w:jc w:val="right"/>
              <w:rPr>
                <w:rFonts w:ascii="Arial" w:hAnsi="Arial" w:cs="Arial"/>
                <w:color w:val="000000"/>
                <w:sz w:val="16"/>
                <w:szCs w:val="16"/>
              </w:rPr>
            </w:pPr>
            <w:r w:rsidRPr="00EE1324">
              <w:rPr>
                <w:rFonts w:ascii="Arial" w:hAnsi="Arial" w:cs="Arial"/>
                <w:color w:val="000000"/>
                <w:sz w:val="16"/>
                <w:szCs w:val="16"/>
              </w:rPr>
              <w:t>$m</w:t>
            </w:r>
          </w:p>
        </w:tc>
        <w:tc>
          <w:tcPr>
            <w:tcW w:w="550" w:type="pct"/>
            <w:tcBorders>
              <w:top w:val="nil"/>
              <w:left w:val="nil"/>
              <w:bottom w:val="single" w:sz="4" w:space="0" w:color="293F5B"/>
              <w:right w:val="nil"/>
            </w:tcBorders>
            <w:shd w:val="clear" w:color="000000" w:fill="FFFFFF"/>
            <w:noWrap/>
            <w:vAlign w:val="center"/>
            <w:hideMark/>
          </w:tcPr>
          <w:p w14:paraId="733ABE54" w14:textId="77777777" w:rsidR="00EE1324" w:rsidRPr="00EE1324" w:rsidRDefault="00EE1324" w:rsidP="00EE1324">
            <w:pPr>
              <w:spacing w:before="0" w:after="0" w:line="240" w:lineRule="auto"/>
              <w:jc w:val="right"/>
              <w:rPr>
                <w:rFonts w:ascii="Arial" w:hAnsi="Arial" w:cs="Arial"/>
                <w:color w:val="000000"/>
                <w:sz w:val="16"/>
                <w:szCs w:val="16"/>
              </w:rPr>
            </w:pPr>
            <w:r w:rsidRPr="00EE1324">
              <w:rPr>
                <w:rFonts w:ascii="Arial" w:hAnsi="Arial" w:cs="Arial"/>
                <w:color w:val="000000"/>
                <w:sz w:val="16"/>
                <w:szCs w:val="16"/>
              </w:rPr>
              <w:t>$m</w:t>
            </w:r>
          </w:p>
        </w:tc>
        <w:tc>
          <w:tcPr>
            <w:tcW w:w="550" w:type="pct"/>
            <w:tcBorders>
              <w:top w:val="nil"/>
              <w:left w:val="nil"/>
              <w:bottom w:val="single" w:sz="4" w:space="0" w:color="293F5B"/>
              <w:right w:val="nil"/>
            </w:tcBorders>
            <w:shd w:val="clear" w:color="000000" w:fill="FFFFFF"/>
            <w:noWrap/>
            <w:vAlign w:val="center"/>
            <w:hideMark/>
          </w:tcPr>
          <w:p w14:paraId="2FA4874A" w14:textId="77777777" w:rsidR="00EE1324" w:rsidRPr="00EE1324" w:rsidRDefault="00EE1324" w:rsidP="00EE1324">
            <w:pPr>
              <w:spacing w:before="0" w:after="0" w:line="240" w:lineRule="auto"/>
              <w:jc w:val="right"/>
              <w:rPr>
                <w:rFonts w:ascii="Arial" w:hAnsi="Arial" w:cs="Arial"/>
                <w:color w:val="000000"/>
                <w:sz w:val="16"/>
                <w:szCs w:val="16"/>
              </w:rPr>
            </w:pPr>
            <w:r w:rsidRPr="00EE1324">
              <w:rPr>
                <w:rFonts w:ascii="Arial" w:hAnsi="Arial" w:cs="Arial"/>
                <w:color w:val="000000"/>
                <w:sz w:val="16"/>
                <w:szCs w:val="16"/>
              </w:rPr>
              <w:t>$m</w:t>
            </w:r>
          </w:p>
        </w:tc>
        <w:tc>
          <w:tcPr>
            <w:tcW w:w="550" w:type="pct"/>
            <w:tcBorders>
              <w:top w:val="nil"/>
              <w:left w:val="nil"/>
              <w:bottom w:val="single" w:sz="4" w:space="0" w:color="293F5B"/>
              <w:right w:val="nil"/>
            </w:tcBorders>
            <w:shd w:val="clear" w:color="000000" w:fill="FFFFFF"/>
            <w:noWrap/>
            <w:vAlign w:val="center"/>
            <w:hideMark/>
          </w:tcPr>
          <w:p w14:paraId="55E6F594" w14:textId="77777777" w:rsidR="00EE1324" w:rsidRPr="00EE1324" w:rsidRDefault="00EE1324" w:rsidP="00EE1324">
            <w:pPr>
              <w:spacing w:before="0" w:after="0" w:line="240" w:lineRule="auto"/>
              <w:jc w:val="right"/>
              <w:rPr>
                <w:rFonts w:ascii="Arial" w:hAnsi="Arial" w:cs="Arial"/>
                <w:color w:val="000000"/>
                <w:sz w:val="16"/>
                <w:szCs w:val="16"/>
              </w:rPr>
            </w:pPr>
            <w:r w:rsidRPr="00EE1324">
              <w:rPr>
                <w:rFonts w:ascii="Arial" w:hAnsi="Arial" w:cs="Arial"/>
                <w:color w:val="000000"/>
                <w:sz w:val="16"/>
                <w:szCs w:val="16"/>
              </w:rPr>
              <w:t>$m</w:t>
            </w:r>
          </w:p>
        </w:tc>
      </w:tr>
      <w:tr w:rsidR="00EE1324" w:rsidRPr="00EE1324" w14:paraId="15A8AE08" w14:textId="77777777" w:rsidTr="00EE1324">
        <w:trPr>
          <w:trHeight w:hRule="exact" w:val="226"/>
        </w:trPr>
        <w:tc>
          <w:tcPr>
            <w:tcW w:w="2183" w:type="pct"/>
            <w:tcBorders>
              <w:top w:val="nil"/>
              <w:left w:val="nil"/>
              <w:bottom w:val="nil"/>
              <w:right w:val="nil"/>
            </w:tcBorders>
            <w:shd w:val="clear" w:color="000000" w:fill="FFFFFF"/>
            <w:noWrap/>
            <w:vAlign w:val="center"/>
            <w:hideMark/>
          </w:tcPr>
          <w:p w14:paraId="6980DB17" w14:textId="77777777" w:rsidR="00EE1324" w:rsidRPr="00EE1324" w:rsidRDefault="00EE1324" w:rsidP="00EE1324">
            <w:pPr>
              <w:spacing w:before="0" w:after="0" w:line="240" w:lineRule="auto"/>
              <w:rPr>
                <w:rFonts w:ascii="Arial" w:hAnsi="Arial" w:cs="Arial"/>
                <w:color w:val="000000"/>
                <w:sz w:val="16"/>
                <w:szCs w:val="16"/>
              </w:rPr>
            </w:pPr>
            <w:r w:rsidRPr="00EE1324">
              <w:rPr>
                <w:rFonts w:ascii="Arial" w:hAnsi="Arial" w:cs="Arial"/>
                <w:color w:val="000000"/>
                <w:sz w:val="16"/>
                <w:szCs w:val="16"/>
              </w:rPr>
              <w:t>Medical benefits</w:t>
            </w:r>
          </w:p>
        </w:tc>
        <w:tc>
          <w:tcPr>
            <w:tcW w:w="68" w:type="pct"/>
            <w:tcBorders>
              <w:top w:val="nil"/>
              <w:left w:val="nil"/>
              <w:bottom w:val="nil"/>
              <w:right w:val="nil"/>
            </w:tcBorders>
            <w:shd w:val="clear" w:color="000000" w:fill="FFFFFF"/>
            <w:noWrap/>
            <w:vAlign w:val="center"/>
            <w:hideMark/>
          </w:tcPr>
          <w:p w14:paraId="0F61FD97" w14:textId="77777777" w:rsidR="00EE1324" w:rsidRPr="00EE1324" w:rsidRDefault="00EE1324" w:rsidP="00EE1324">
            <w:pPr>
              <w:spacing w:before="0" w:after="0" w:line="240" w:lineRule="auto"/>
              <w:rPr>
                <w:rFonts w:ascii="Arial" w:hAnsi="Arial" w:cs="Arial"/>
                <w:color w:val="000000"/>
                <w:sz w:val="16"/>
                <w:szCs w:val="16"/>
              </w:rPr>
            </w:pPr>
            <w:r w:rsidRPr="00EE1324">
              <w:rPr>
                <w:rFonts w:ascii="Arial" w:hAnsi="Arial" w:cs="Arial"/>
                <w:color w:val="000000"/>
                <w:sz w:val="16"/>
                <w:szCs w:val="16"/>
              </w:rPr>
              <w:t> </w:t>
            </w:r>
          </w:p>
        </w:tc>
        <w:tc>
          <w:tcPr>
            <w:tcW w:w="550" w:type="pct"/>
            <w:tcBorders>
              <w:top w:val="nil"/>
              <w:left w:val="nil"/>
              <w:bottom w:val="nil"/>
              <w:right w:val="nil"/>
            </w:tcBorders>
            <w:shd w:val="clear" w:color="000000" w:fill="FFFFFF"/>
            <w:noWrap/>
            <w:vAlign w:val="center"/>
            <w:hideMark/>
          </w:tcPr>
          <w:p w14:paraId="3D4A437A" w14:textId="77777777" w:rsidR="00EE1324" w:rsidRPr="00EE1324" w:rsidRDefault="00EE1324" w:rsidP="00EE1324">
            <w:pPr>
              <w:spacing w:before="0" w:after="0" w:line="240" w:lineRule="auto"/>
              <w:jc w:val="right"/>
              <w:rPr>
                <w:rFonts w:ascii="Arial" w:hAnsi="Arial" w:cs="Arial"/>
                <w:color w:val="000000"/>
                <w:sz w:val="16"/>
                <w:szCs w:val="16"/>
              </w:rPr>
            </w:pPr>
            <w:r w:rsidRPr="00EE1324">
              <w:rPr>
                <w:rFonts w:ascii="Arial" w:hAnsi="Arial" w:cs="Arial"/>
                <w:color w:val="000000"/>
                <w:sz w:val="16"/>
                <w:szCs w:val="16"/>
              </w:rPr>
              <w:t>29,763</w:t>
            </w:r>
          </w:p>
        </w:tc>
        <w:tc>
          <w:tcPr>
            <w:tcW w:w="550" w:type="pct"/>
            <w:tcBorders>
              <w:top w:val="nil"/>
              <w:left w:val="nil"/>
              <w:bottom w:val="nil"/>
              <w:right w:val="nil"/>
            </w:tcBorders>
            <w:shd w:val="clear" w:color="000000" w:fill="E6F2FF"/>
            <w:noWrap/>
            <w:vAlign w:val="center"/>
            <w:hideMark/>
          </w:tcPr>
          <w:p w14:paraId="650B6CF2" w14:textId="77777777" w:rsidR="00EE1324" w:rsidRPr="00EE1324" w:rsidRDefault="00EE1324" w:rsidP="00EE1324">
            <w:pPr>
              <w:spacing w:before="0" w:after="0" w:line="240" w:lineRule="auto"/>
              <w:jc w:val="right"/>
              <w:rPr>
                <w:rFonts w:ascii="Arial" w:hAnsi="Arial" w:cs="Arial"/>
                <w:color w:val="000000"/>
                <w:sz w:val="16"/>
                <w:szCs w:val="16"/>
              </w:rPr>
            </w:pPr>
            <w:r w:rsidRPr="00EE1324">
              <w:rPr>
                <w:rFonts w:ascii="Arial" w:hAnsi="Arial" w:cs="Arial"/>
                <w:color w:val="000000"/>
                <w:sz w:val="16"/>
                <w:szCs w:val="16"/>
              </w:rPr>
              <w:t>31,983</w:t>
            </w:r>
          </w:p>
        </w:tc>
        <w:tc>
          <w:tcPr>
            <w:tcW w:w="550" w:type="pct"/>
            <w:tcBorders>
              <w:top w:val="nil"/>
              <w:left w:val="nil"/>
              <w:bottom w:val="nil"/>
              <w:right w:val="nil"/>
            </w:tcBorders>
            <w:shd w:val="clear" w:color="000000" w:fill="FFFFFF"/>
            <w:noWrap/>
            <w:vAlign w:val="center"/>
            <w:hideMark/>
          </w:tcPr>
          <w:p w14:paraId="025F60A7" w14:textId="77777777" w:rsidR="00EE1324" w:rsidRPr="00EE1324" w:rsidRDefault="00EE1324" w:rsidP="00EE1324">
            <w:pPr>
              <w:spacing w:before="0" w:after="0" w:line="240" w:lineRule="auto"/>
              <w:jc w:val="right"/>
              <w:rPr>
                <w:rFonts w:ascii="Arial" w:hAnsi="Arial" w:cs="Arial"/>
                <w:color w:val="000000"/>
                <w:sz w:val="16"/>
                <w:szCs w:val="16"/>
              </w:rPr>
            </w:pPr>
            <w:r w:rsidRPr="00EE1324">
              <w:rPr>
                <w:rFonts w:ascii="Arial" w:hAnsi="Arial" w:cs="Arial"/>
                <w:color w:val="000000"/>
                <w:sz w:val="16"/>
                <w:szCs w:val="16"/>
              </w:rPr>
              <w:t>33,915</w:t>
            </w:r>
          </w:p>
        </w:tc>
        <w:tc>
          <w:tcPr>
            <w:tcW w:w="550" w:type="pct"/>
            <w:tcBorders>
              <w:top w:val="nil"/>
              <w:left w:val="nil"/>
              <w:bottom w:val="nil"/>
              <w:right w:val="nil"/>
            </w:tcBorders>
            <w:shd w:val="clear" w:color="000000" w:fill="FFFFFF"/>
            <w:noWrap/>
            <w:vAlign w:val="center"/>
            <w:hideMark/>
          </w:tcPr>
          <w:p w14:paraId="200B86E4" w14:textId="77777777" w:rsidR="00EE1324" w:rsidRPr="00EE1324" w:rsidRDefault="00EE1324" w:rsidP="00EE1324">
            <w:pPr>
              <w:spacing w:before="0" w:after="0" w:line="240" w:lineRule="auto"/>
              <w:jc w:val="right"/>
              <w:rPr>
                <w:rFonts w:ascii="Arial" w:hAnsi="Arial" w:cs="Arial"/>
                <w:color w:val="000000"/>
                <w:sz w:val="16"/>
                <w:szCs w:val="16"/>
              </w:rPr>
            </w:pPr>
            <w:r w:rsidRPr="00EE1324">
              <w:rPr>
                <w:rFonts w:ascii="Arial" w:hAnsi="Arial" w:cs="Arial"/>
                <w:color w:val="000000"/>
                <w:sz w:val="16"/>
                <w:szCs w:val="16"/>
              </w:rPr>
              <w:t>35,497</w:t>
            </w:r>
          </w:p>
        </w:tc>
        <w:tc>
          <w:tcPr>
            <w:tcW w:w="550" w:type="pct"/>
            <w:tcBorders>
              <w:top w:val="nil"/>
              <w:left w:val="nil"/>
              <w:bottom w:val="nil"/>
              <w:right w:val="nil"/>
            </w:tcBorders>
            <w:shd w:val="clear" w:color="000000" w:fill="FFFFFF"/>
            <w:noWrap/>
            <w:vAlign w:val="center"/>
            <w:hideMark/>
          </w:tcPr>
          <w:p w14:paraId="75429059" w14:textId="77777777" w:rsidR="00EE1324" w:rsidRPr="00EE1324" w:rsidRDefault="00EE1324" w:rsidP="00EE1324">
            <w:pPr>
              <w:spacing w:before="0" w:after="0" w:line="240" w:lineRule="auto"/>
              <w:jc w:val="right"/>
              <w:rPr>
                <w:rFonts w:ascii="Arial" w:hAnsi="Arial" w:cs="Arial"/>
                <w:color w:val="000000"/>
                <w:sz w:val="16"/>
                <w:szCs w:val="16"/>
              </w:rPr>
            </w:pPr>
            <w:r w:rsidRPr="00EE1324">
              <w:rPr>
                <w:rFonts w:ascii="Arial" w:hAnsi="Arial" w:cs="Arial"/>
                <w:color w:val="000000"/>
                <w:sz w:val="16"/>
                <w:szCs w:val="16"/>
              </w:rPr>
              <w:t>37,344</w:t>
            </w:r>
          </w:p>
        </w:tc>
      </w:tr>
      <w:tr w:rsidR="00EE1324" w:rsidRPr="00EE1324" w14:paraId="1BC81FC7" w14:textId="77777777" w:rsidTr="00EE1324">
        <w:trPr>
          <w:trHeight w:hRule="exact" w:val="226"/>
        </w:trPr>
        <w:tc>
          <w:tcPr>
            <w:tcW w:w="2183" w:type="pct"/>
            <w:tcBorders>
              <w:top w:val="nil"/>
              <w:left w:val="nil"/>
              <w:bottom w:val="nil"/>
              <w:right w:val="nil"/>
            </w:tcBorders>
            <w:shd w:val="clear" w:color="000000" w:fill="FFFFFF"/>
            <w:noWrap/>
            <w:vAlign w:val="center"/>
            <w:hideMark/>
          </w:tcPr>
          <w:p w14:paraId="03291A96" w14:textId="77777777" w:rsidR="00EE1324" w:rsidRPr="00EE1324" w:rsidRDefault="00EE1324" w:rsidP="00EE1324">
            <w:pPr>
              <w:spacing w:before="0" w:after="0" w:line="240" w:lineRule="auto"/>
              <w:rPr>
                <w:rFonts w:ascii="Arial" w:hAnsi="Arial" w:cs="Arial"/>
                <w:color w:val="000000"/>
                <w:sz w:val="16"/>
                <w:szCs w:val="16"/>
              </w:rPr>
            </w:pPr>
            <w:r w:rsidRPr="00EE1324">
              <w:rPr>
                <w:rFonts w:ascii="Arial" w:hAnsi="Arial" w:cs="Arial"/>
                <w:color w:val="000000"/>
                <w:sz w:val="16"/>
                <w:szCs w:val="16"/>
              </w:rPr>
              <w:t>Private health insurance</w:t>
            </w:r>
          </w:p>
        </w:tc>
        <w:tc>
          <w:tcPr>
            <w:tcW w:w="68" w:type="pct"/>
            <w:tcBorders>
              <w:top w:val="nil"/>
              <w:left w:val="nil"/>
              <w:bottom w:val="nil"/>
              <w:right w:val="nil"/>
            </w:tcBorders>
            <w:shd w:val="clear" w:color="000000" w:fill="FFFFFF"/>
            <w:noWrap/>
            <w:vAlign w:val="center"/>
            <w:hideMark/>
          </w:tcPr>
          <w:p w14:paraId="5AEDB060" w14:textId="77777777" w:rsidR="00EE1324" w:rsidRPr="00EE1324" w:rsidRDefault="00EE1324" w:rsidP="00EE1324">
            <w:pPr>
              <w:spacing w:before="0" w:after="0" w:line="240" w:lineRule="auto"/>
              <w:rPr>
                <w:rFonts w:ascii="Arial" w:hAnsi="Arial" w:cs="Arial"/>
                <w:color w:val="000000"/>
                <w:sz w:val="16"/>
                <w:szCs w:val="16"/>
              </w:rPr>
            </w:pPr>
            <w:r w:rsidRPr="00EE1324">
              <w:rPr>
                <w:rFonts w:ascii="Arial" w:hAnsi="Arial" w:cs="Arial"/>
                <w:color w:val="000000"/>
                <w:sz w:val="16"/>
                <w:szCs w:val="16"/>
              </w:rPr>
              <w:t> </w:t>
            </w:r>
          </w:p>
        </w:tc>
        <w:tc>
          <w:tcPr>
            <w:tcW w:w="550" w:type="pct"/>
            <w:tcBorders>
              <w:top w:val="nil"/>
              <w:left w:val="nil"/>
              <w:bottom w:val="nil"/>
              <w:right w:val="nil"/>
            </w:tcBorders>
            <w:shd w:val="clear" w:color="000000" w:fill="FFFFFF"/>
            <w:noWrap/>
            <w:vAlign w:val="center"/>
            <w:hideMark/>
          </w:tcPr>
          <w:p w14:paraId="6B944271" w14:textId="77777777" w:rsidR="00EE1324" w:rsidRPr="00EE1324" w:rsidRDefault="00EE1324" w:rsidP="00EE1324">
            <w:pPr>
              <w:spacing w:before="0" w:after="0" w:line="240" w:lineRule="auto"/>
              <w:jc w:val="right"/>
              <w:rPr>
                <w:rFonts w:ascii="Arial" w:hAnsi="Arial" w:cs="Arial"/>
                <w:color w:val="000000"/>
                <w:sz w:val="16"/>
                <w:szCs w:val="16"/>
              </w:rPr>
            </w:pPr>
            <w:r w:rsidRPr="00EE1324">
              <w:rPr>
                <w:rFonts w:ascii="Arial" w:hAnsi="Arial" w:cs="Arial"/>
                <w:color w:val="000000"/>
                <w:sz w:val="16"/>
                <w:szCs w:val="16"/>
              </w:rPr>
              <w:t>7,325</w:t>
            </w:r>
          </w:p>
        </w:tc>
        <w:tc>
          <w:tcPr>
            <w:tcW w:w="550" w:type="pct"/>
            <w:tcBorders>
              <w:top w:val="nil"/>
              <w:left w:val="nil"/>
              <w:bottom w:val="nil"/>
              <w:right w:val="nil"/>
            </w:tcBorders>
            <w:shd w:val="clear" w:color="000000" w:fill="E6F2FF"/>
            <w:noWrap/>
            <w:vAlign w:val="center"/>
            <w:hideMark/>
          </w:tcPr>
          <w:p w14:paraId="31C5EBA7" w14:textId="77777777" w:rsidR="00EE1324" w:rsidRPr="00EE1324" w:rsidRDefault="00EE1324" w:rsidP="00EE1324">
            <w:pPr>
              <w:spacing w:before="0" w:after="0" w:line="240" w:lineRule="auto"/>
              <w:jc w:val="right"/>
              <w:rPr>
                <w:rFonts w:ascii="Arial" w:hAnsi="Arial" w:cs="Arial"/>
                <w:color w:val="000000"/>
                <w:sz w:val="16"/>
                <w:szCs w:val="16"/>
              </w:rPr>
            </w:pPr>
            <w:r w:rsidRPr="00EE1324">
              <w:rPr>
                <w:rFonts w:ascii="Arial" w:hAnsi="Arial" w:cs="Arial"/>
                <w:color w:val="000000"/>
                <w:sz w:val="16"/>
                <w:szCs w:val="16"/>
              </w:rPr>
              <w:t>7,533</w:t>
            </w:r>
          </w:p>
        </w:tc>
        <w:tc>
          <w:tcPr>
            <w:tcW w:w="550" w:type="pct"/>
            <w:tcBorders>
              <w:top w:val="nil"/>
              <w:left w:val="nil"/>
              <w:bottom w:val="nil"/>
              <w:right w:val="nil"/>
            </w:tcBorders>
            <w:shd w:val="clear" w:color="000000" w:fill="FFFFFF"/>
            <w:noWrap/>
            <w:vAlign w:val="center"/>
            <w:hideMark/>
          </w:tcPr>
          <w:p w14:paraId="10EE303A" w14:textId="77777777" w:rsidR="00EE1324" w:rsidRPr="00EE1324" w:rsidRDefault="00EE1324" w:rsidP="00EE1324">
            <w:pPr>
              <w:spacing w:before="0" w:after="0" w:line="240" w:lineRule="auto"/>
              <w:jc w:val="right"/>
              <w:rPr>
                <w:rFonts w:ascii="Arial" w:hAnsi="Arial" w:cs="Arial"/>
                <w:color w:val="000000"/>
                <w:sz w:val="16"/>
                <w:szCs w:val="16"/>
              </w:rPr>
            </w:pPr>
            <w:r w:rsidRPr="00EE1324">
              <w:rPr>
                <w:rFonts w:ascii="Arial" w:hAnsi="Arial" w:cs="Arial"/>
                <w:color w:val="000000"/>
                <w:sz w:val="16"/>
                <w:szCs w:val="16"/>
              </w:rPr>
              <w:t>7,750</w:t>
            </w:r>
          </w:p>
        </w:tc>
        <w:tc>
          <w:tcPr>
            <w:tcW w:w="550" w:type="pct"/>
            <w:tcBorders>
              <w:top w:val="nil"/>
              <w:left w:val="nil"/>
              <w:bottom w:val="nil"/>
              <w:right w:val="nil"/>
            </w:tcBorders>
            <w:shd w:val="clear" w:color="000000" w:fill="FFFFFF"/>
            <w:noWrap/>
            <w:vAlign w:val="center"/>
            <w:hideMark/>
          </w:tcPr>
          <w:p w14:paraId="1CBCCA49" w14:textId="77777777" w:rsidR="00EE1324" w:rsidRPr="00EE1324" w:rsidRDefault="00EE1324" w:rsidP="00EE1324">
            <w:pPr>
              <w:spacing w:before="0" w:after="0" w:line="240" w:lineRule="auto"/>
              <w:jc w:val="right"/>
              <w:rPr>
                <w:rFonts w:ascii="Arial" w:hAnsi="Arial" w:cs="Arial"/>
                <w:color w:val="000000"/>
                <w:sz w:val="16"/>
                <w:szCs w:val="16"/>
              </w:rPr>
            </w:pPr>
            <w:r w:rsidRPr="00EE1324">
              <w:rPr>
                <w:rFonts w:ascii="Arial" w:hAnsi="Arial" w:cs="Arial"/>
                <w:color w:val="000000"/>
                <w:sz w:val="16"/>
                <w:szCs w:val="16"/>
              </w:rPr>
              <w:t>7,929</w:t>
            </w:r>
          </w:p>
        </w:tc>
        <w:tc>
          <w:tcPr>
            <w:tcW w:w="550" w:type="pct"/>
            <w:tcBorders>
              <w:top w:val="nil"/>
              <w:left w:val="nil"/>
              <w:bottom w:val="nil"/>
              <w:right w:val="nil"/>
            </w:tcBorders>
            <w:shd w:val="clear" w:color="000000" w:fill="FFFFFF"/>
            <w:noWrap/>
            <w:vAlign w:val="center"/>
            <w:hideMark/>
          </w:tcPr>
          <w:p w14:paraId="11A90241" w14:textId="77777777" w:rsidR="00EE1324" w:rsidRPr="00EE1324" w:rsidRDefault="00EE1324" w:rsidP="00EE1324">
            <w:pPr>
              <w:spacing w:before="0" w:after="0" w:line="240" w:lineRule="auto"/>
              <w:jc w:val="right"/>
              <w:rPr>
                <w:rFonts w:ascii="Arial" w:hAnsi="Arial" w:cs="Arial"/>
                <w:color w:val="000000"/>
                <w:sz w:val="16"/>
                <w:szCs w:val="16"/>
              </w:rPr>
            </w:pPr>
            <w:r w:rsidRPr="00EE1324">
              <w:rPr>
                <w:rFonts w:ascii="Arial" w:hAnsi="Arial" w:cs="Arial"/>
                <w:color w:val="000000"/>
                <w:sz w:val="16"/>
                <w:szCs w:val="16"/>
              </w:rPr>
              <w:t>8,095</w:t>
            </w:r>
          </w:p>
        </w:tc>
      </w:tr>
      <w:tr w:rsidR="00EE1324" w:rsidRPr="00EE1324" w14:paraId="371D9D4A" w14:textId="77777777" w:rsidTr="00EE1324">
        <w:trPr>
          <w:trHeight w:hRule="exact" w:val="226"/>
        </w:trPr>
        <w:tc>
          <w:tcPr>
            <w:tcW w:w="2183" w:type="pct"/>
            <w:tcBorders>
              <w:top w:val="nil"/>
              <w:left w:val="nil"/>
              <w:bottom w:val="nil"/>
              <w:right w:val="nil"/>
            </w:tcBorders>
            <w:shd w:val="clear" w:color="000000" w:fill="FFFFFF"/>
            <w:noWrap/>
            <w:vAlign w:val="center"/>
            <w:hideMark/>
          </w:tcPr>
          <w:p w14:paraId="6777D68E" w14:textId="77777777" w:rsidR="00EE1324" w:rsidRPr="00EE1324" w:rsidRDefault="00EE1324" w:rsidP="00EE1324">
            <w:pPr>
              <w:spacing w:before="0" w:after="0" w:line="240" w:lineRule="auto"/>
              <w:rPr>
                <w:rFonts w:ascii="Arial" w:hAnsi="Arial" w:cs="Arial"/>
                <w:color w:val="000000"/>
                <w:sz w:val="16"/>
                <w:szCs w:val="16"/>
              </w:rPr>
            </w:pPr>
            <w:r w:rsidRPr="00EE1324">
              <w:rPr>
                <w:rFonts w:ascii="Arial" w:hAnsi="Arial" w:cs="Arial"/>
                <w:color w:val="000000"/>
                <w:sz w:val="16"/>
                <w:szCs w:val="16"/>
              </w:rPr>
              <w:t>General medical consultations and</w:t>
            </w:r>
          </w:p>
        </w:tc>
        <w:tc>
          <w:tcPr>
            <w:tcW w:w="68" w:type="pct"/>
            <w:tcBorders>
              <w:top w:val="nil"/>
              <w:left w:val="nil"/>
              <w:bottom w:val="nil"/>
              <w:right w:val="nil"/>
            </w:tcBorders>
            <w:shd w:val="clear" w:color="000000" w:fill="FFFFFF"/>
            <w:noWrap/>
            <w:vAlign w:val="center"/>
            <w:hideMark/>
          </w:tcPr>
          <w:p w14:paraId="7B6EE770" w14:textId="77777777" w:rsidR="00EE1324" w:rsidRPr="00EE1324" w:rsidRDefault="00EE1324" w:rsidP="00EE1324">
            <w:pPr>
              <w:spacing w:before="0" w:after="0" w:line="240" w:lineRule="auto"/>
              <w:rPr>
                <w:rFonts w:ascii="Arial" w:hAnsi="Arial" w:cs="Arial"/>
                <w:color w:val="000000"/>
                <w:sz w:val="16"/>
                <w:szCs w:val="16"/>
              </w:rPr>
            </w:pPr>
            <w:r w:rsidRPr="00EE1324">
              <w:rPr>
                <w:rFonts w:ascii="Arial" w:hAnsi="Arial" w:cs="Arial"/>
                <w:color w:val="000000"/>
                <w:sz w:val="16"/>
                <w:szCs w:val="16"/>
              </w:rPr>
              <w:t> </w:t>
            </w:r>
          </w:p>
        </w:tc>
        <w:tc>
          <w:tcPr>
            <w:tcW w:w="550" w:type="pct"/>
            <w:tcBorders>
              <w:top w:val="nil"/>
              <w:left w:val="nil"/>
              <w:bottom w:val="nil"/>
              <w:right w:val="nil"/>
            </w:tcBorders>
            <w:shd w:val="clear" w:color="000000" w:fill="FFFFFF"/>
            <w:noWrap/>
            <w:vAlign w:val="center"/>
            <w:hideMark/>
          </w:tcPr>
          <w:p w14:paraId="68B1BC6E" w14:textId="77777777" w:rsidR="00EE1324" w:rsidRPr="00EE1324" w:rsidRDefault="00EE1324" w:rsidP="00EE1324">
            <w:pPr>
              <w:spacing w:before="0" w:after="0" w:line="240" w:lineRule="auto"/>
              <w:rPr>
                <w:rFonts w:ascii="Arial" w:hAnsi="Arial" w:cs="Arial"/>
                <w:color w:val="000000"/>
                <w:sz w:val="16"/>
                <w:szCs w:val="16"/>
              </w:rPr>
            </w:pPr>
            <w:r w:rsidRPr="00EE1324">
              <w:rPr>
                <w:rFonts w:ascii="Arial" w:hAnsi="Arial" w:cs="Arial"/>
                <w:color w:val="000000"/>
                <w:sz w:val="16"/>
                <w:szCs w:val="16"/>
              </w:rPr>
              <w:t> </w:t>
            </w:r>
          </w:p>
        </w:tc>
        <w:tc>
          <w:tcPr>
            <w:tcW w:w="550" w:type="pct"/>
            <w:tcBorders>
              <w:top w:val="nil"/>
              <w:left w:val="nil"/>
              <w:bottom w:val="nil"/>
              <w:right w:val="nil"/>
            </w:tcBorders>
            <w:shd w:val="clear" w:color="000000" w:fill="E6F2FF"/>
            <w:noWrap/>
            <w:vAlign w:val="center"/>
            <w:hideMark/>
          </w:tcPr>
          <w:p w14:paraId="0596B4D6" w14:textId="77777777" w:rsidR="00EE1324" w:rsidRPr="00EE1324" w:rsidRDefault="00EE1324" w:rsidP="00EE1324">
            <w:pPr>
              <w:spacing w:before="0" w:after="0" w:line="240" w:lineRule="auto"/>
              <w:rPr>
                <w:rFonts w:ascii="Arial" w:hAnsi="Arial" w:cs="Arial"/>
                <w:color w:val="000000"/>
                <w:sz w:val="16"/>
                <w:szCs w:val="16"/>
              </w:rPr>
            </w:pPr>
            <w:r w:rsidRPr="00EE1324">
              <w:rPr>
                <w:rFonts w:ascii="Arial" w:hAnsi="Arial" w:cs="Arial"/>
                <w:color w:val="000000"/>
                <w:sz w:val="16"/>
                <w:szCs w:val="16"/>
              </w:rPr>
              <w:t> </w:t>
            </w:r>
          </w:p>
        </w:tc>
        <w:tc>
          <w:tcPr>
            <w:tcW w:w="550" w:type="pct"/>
            <w:tcBorders>
              <w:top w:val="nil"/>
              <w:left w:val="nil"/>
              <w:bottom w:val="nil"/>
              <w:right w:val="nil"/>
            </w:tcBorders>
            <w:shd w:val="clear" w:color="000000" w:fill="FFFFFF"/>
            <w:noWrap/>
            <w:vAlign w:val="center"/>
            <w:hideMark/>
          </w:tcPr>
          <w:p w14:paraId="01A4264D" w14:textId="77777777" w:rsidR="00EE1324" w:rsidRPr="00EE1324" w:rsidRDefault="00EE1324" w:rsidP="00EE1324">
            <w:pPr>
              <w:spacing w:before="0" w:after="0" w:line="240" w:lineRule="auto"/>
              <w:rPr>
                <w:rFonts w:ascii="Arial" w:hAnsi="Arial" w:cs="Arial"/>
                <w:color w:val="000000"/>
                <w:sz w:val="16"/>
                <w:szCs w:val="16"/>
              </w:rPr>
            </w:pPr>
            <w:r w:rsidRPr="00EE1324">
              <w:rPr>
                <w:rFonts w:ascii="Arial" w:hAnsi="Arial" w:cs="Arial"/>
                <w:color w:val="000000"/>
                <w:sz w:val="16"/>
                <w:szCs w:val="16"/>
              </w:rPr>
              <w:t> </w:t>
            </w:r>
          </w:p>
        </w:tc>
        <w:tc>
          <w:tcPr>
            <w:tcW w:w="550" w:type="pct"/>
            <w:tcBorders>
              <w:top w:val="nil"/>
              <w:left w:val="nil"/>
              <w:bottom w:val="nil"/>
              <w:right w:val="nil"/>
            </w:tcBorders>
            <w:shd w:val="clear" w:color="000000" w:fill="FFFFFF"/>
            <w:noWrap/>
            <w:vAlign w:val="center"/>
            <w:hideMark/>
          </w:tcPr>
          <w:p w14:paraId="115E0010" w14:textId="77777777" w:rsidR="00EE1324" w:rsidRPr="00EE1324" w:rsidRDefault="00EE1324" w:rsidP="00EE1324">
            <w:pPr>
              <w:spacing w:before="0" w:after="0" w:line="240" w:lineRule="auto"/>
              <w:rPr>
                <w:rFonts w:ascii="Arial" w:hAnsi="Arial" w:cs="Arial"/>
                <w:color w:val="000000"/>
                <w:sz w:val="16"/>
                <w:szCs w:val="16"/>
              </w:rPr>
            </w:pPr>
            <w:r w:rsidRPr="00EE1324">
              <w:rPr>
                <w:rFonts w:ascii="Arial" w:hAnsi="Arial" w:cs="Arial"/>
                <w:color w:val="000000"/>
                <w:sz w:val="16"/>
                <w:szCs w:val="16"/>
              </w:rPr>
              <w:t> </w:t>
            </w:r>
          </w:p>
        </w:tc>
        <w:tc>
          <w:tcPr>
            <w:tcW w:w="550" w:type="pct"/>
            <w:tcBorders>
              <w:top w:val="nil"/>
              <w:left w:val="nil"/>
              <w:bottom w:val="nil"/>
              <w:right w:val="nil"/>
            </w:tcBorders>
            <w:shd w:val="clear" w:color="000000" w:fill="FFFFFF"/>
            <w:noWrap/>
            <w:vAlign w:val="center"/>
            <w:hideMark/>
          </w:tcPr>
          <w:p w14:paraId="5E35201B" w14:textId="77777777" w:rsidR="00EE1324" w:rsidRPr="00EE1324" w:rsidRDefault="00EE1324" w:rsidP="00EE1324">
            <w:pPr>
              <w:spacing w:before="0" w:after="0" w:line="240" w:lineRule="auto"/>
              <w:rPr>
                <w:rFonts w:ascii="Arial" w:hAnsi="Arial" w:cs="Arial"/>
                <w:color w:val="000000"/>
                <w:sz w:val="16"/>
                <w:szCs w:val="16"/>
              </w:rPr>
            </w:pPr>
            <w:r w:rsidRPr="00EE1324">
              <w:rPr>
                <w:rFonts w:ascii="Arial" w:hAnsi="Arial" w:cs="Arial"/>
                <w:color w:val="000000"/>
                <w:sz w:val="16"/>
                <w:szCs w:val="16"/>
              </w:rPr>
              <w:t> </w:t>
            </w:r>
          </w:p>
        </w:tc>
      </w:tr>
      <w:tr w:rsidR="00EE1324" w:rsidRPr="00EE1324" w14:paraId="00673DB5" w14:textId="77777777" w:rsidTr="00EE1324">
        <w:trPr>
          <w:trHeight w:hRule="exact" w:val="226"/>
        </w:trPr>
        <w:tc>
          <w:tcPr>
            <w:tcW w:w="2183" w:type="pct"/>
            <w:tcBorders>
              <w:top w:val="nil"/>
              <w:left w:val="nil"/>
              <w:bottom w:val="nil"/>
              <w:right w:val="nil"/>
            </w:tcBorders>
            <w:shd w:val="clear" w:color="000000" w:fill="FFFFFF"/>
            <w:noWrap/>
            <w:vAlign w:val="center"/>
            <w:hideMark/>
          </w:tcPr>
          <w:p w14:paraId="0627EA37" w14:textId="77777777" w:rsidR="00EE1324" w:rsidRPr="00EE1324" w:rsidRDefault="00EE1324" w:rsidP="00EE1324">
            <w:pPr>
              <w:spacing w:before="0" w:after="0" w:line="240" w:lineRule="auto"/>
              <w:ind w:left="170"/>
              <w:rPr>
                <w:rFonts w:ascii="Arial" w:hAnsi="Arial" w:cs="Arial"/>
                <w:color w:val="000000"/>
                <w:sz w:val="16"/>
                <w:szCs w:val="16"/>
              </w:rPr>
            </w:pPr>
            <w:r w:rsidRPr="00EE1324">
              <w:rPr>
                <w:rFonts w:ascii="Arial" w:hAnsi="Arial" w:cs="Arial"/>
                <w:color w:val="000000"/>
                <w:sz w:val="16"/>
                <w:szCs w:val="16"/>
              </w:rPr>
              <w:t>services</w:t>
            </w:r>
          </w:p>
        </w:tc>
        <w:tc>
          <w:tcPr>
            <w:tcW w:w="68" w:type="pct"/>
            <w:tcBorders>
              <w:top w:val="nil"/>
              <w:left w:val="nil"/>
              <w:bottom w:val="nil"/>
              <w:right w:val="nil"/>
            </w:tcBorders>
            <w:shd w:val="clear" w:color="000000" w:fill="FFFFFF"/>
            <w:noWrap/>
            <w:vAlign w:val="center"/>
            <w:hideMark/>
          </w:tcPr>
          <w:p w14:paraId="4450FAA6" w14:textId="77777777" w:rsidR="00EE1324" w:rsidRPr="00EE1324" w:rsidRDefault="00EE1324" w:rsidP="00EE1324">
            <w:pPr>
              <w:spacing w:before="0" w:after="0" w:line="240" w:lineRule="auto"/>
              <w:rPr>
                <w:rFonts w:ascii="Arial" w:hAnsi="Arial" w:cs="Arial"/>
                <w:color w:val="000000"/>
                <w:sz w:val="16"/>
                <w:szCs w:val="16"/>
              </w:rPr>
            </w:pPr>
            <w:r w:rsidRPr="00EE1324">
              <w:rPr>
                <w:rFonts w:ascii="Arial" w:hAnsi="Arial" w:cs="Arial"/>
                <w:color w:val="000000"/>
                <w:sz w:val="16"/>
                <w:szCs w:val="16"/>
              </w:rPr>
              <w:t> </w:t>
            </w:r>
          </w:p>
        </w:tc>
        <w:tc>
          <w:tcPr>
            <w:tcW w:w="550" w:type="pct"/>
            <w:tcBorders>
              <w:top w:val="nil"/>
              <w:left w:val="nil"/>
              <w:bottom w:val="nil"/>
              <w:right w:val="nil"/>
            </w:tcBorders>
            <w:shd w:val="clear" w:color="000000" w:fill="FFFFFF"/>
            <w:noWrap/>
            <w:vAlign w:val="center"/>
            <w:hideMark/>
          </w:tcPr>
          <w:p w14:paraId="71AC94C2" w14:textId="77777777" w:rsidR="00EE1324" w:rsidRPr="00EE1324" w:rsidRDefault="00EE1324" w:rsidP="00EE1324">
            <w:pPr>
              <w:spacing w:before="0" w:after="0" w:line="240" w:lineRule="auto"/>
              <w:jc w:val="right"/>
              <w:rPr>
                <w:rFonts w:ascii="Arial" w:hAnsi="Arial" w:cs="Arial"/>
                <w:color w:val="000000"/>
                <w:sz w:val="16"/>
                <w:szCs w:val="16"/>
              </w:rPr>
            </w:pPr>
            <w:r w:rsidRPr="00EE1324">
              <w:rPr>
                <w:rFonts w:ascii="Arial" w:hAnsi="Arial" w:cs="Arial"/>
                <w:color w:val="000000"/>
                <w:sz w:val="16"/>
                <w:szCs w:val="16"/>
              </w:rPr>
              <w:t>710</w:t>
            </w:r>
          </w:p>
        </w:tc>
        <w:tc>
          <w:tcPr>
            <w:tcW w:w="550" w:type="pct"/>
            <w:tcBorders>
              <w:top w:val="nil"/>
              <w:left w:val="nil"/>
              <w:bottom w:val="nil"/>
              <w:right w:val="nil"/>
            </w:tcBorders>
            <w:shd w:val="clear" w:color="000000" w:fill="E6F2FF"/>
            <w:noWrap/>
            <w:vAlign w:val="center"/>
            <w:hideMark/>
          </w:tcPr>
          <w:p w14:paraId="04D3CA3F" w14:textId="77777777" w:rsidR="00EE1324" w:rsidRPr="00EE1324" w:rsidRDefault="00EE1324" w:rsidP="00EE1324">
            <w:pPr>
              <w:spacing w:before="0" w:after="0" w:line="240" w:lineRule="auto"/>
              <w:jc w:val="right"/>
              <w:rPr>
                <w:rFonts w:ascii="Arial" w:hAnsi="Arial" w:cs="Arial"/>
                <w:color w:val="000000"/>
                <w:sz w:val="16"/>
                <w:szCs w:val="16"/>
              </w:rPr>
            </w:pPr>
            <w:r w:rsidRPr="00EE1324">
              <w:rPr>
                <w:rFonts w:ascii="Arial" w:hAnsi="Arial" w:cs="Arial"/>
                <w:color w:val="000000"/>
                <w:sz w:val="16"/>
                <w:szCs w:val="16"/>
              </w:rPr>
              <w:t>715</w:t>
            </w:r>
          </w:p>
        </w:tc>
        <w:tc>
          <w:tcPr>
            <w:tcW w:w="550" w:type="pct"/>
            <w:tcBorders>
              <w:top w:val="nil"/>
              <w:left w:val="nil"/>
              <w:bottom w:val="nil"/>
              <w:right w:val="nil"/>
            </w:tcBorders>
            <w:shd w:val="clear" w:color="000000" w:fill="FFFFFF"/>
            <w:noWrap/>
            <w:vAlign w:val="center"/>
            <w:hideMark/>
          </w:tcPr>
          <w:p w14:paraId="4C02786D" w14:textId="77777777" w:rsidR="00EE1324" w:rsidRPr="00EE1324" w:rsidRDefault="00EE1324" w:rsidP="00EE1324">
            <w:pPr>
              <w:spacing w:before="0" w:after="0" w:line="240" w:lineRule="auto"/>
              <w:jc w:val="right"/>
              <w:rPr>
                <w:rFonts w:ascii="Arial" w:hAnsi="Arial" w:cs="Arial"/>
                <w:color w:val="000000"/>
                <w:sz w:val="16"/>
                <w:szCs w:val="16"/>
              </w:rPr>
            </w:pPr>
            <w:r w:rsidRPr="00EE1324">
              <w:rPr>
                <w:rFonts w:ascii="Arial" w:hAnsi="Arial" w:cs="Arial"/>
                <w:color w:val="000000"/>
                <w:sz w:val="16"/>
                <w:szCs w:val="16"/>
              </w:rPr>
              <w:t>700</w:t>
            </w:r>
          </w:p>
        </w:tc>
        <w:tc>
          <w:tcPr>
            <w:tcW w:w="550" w:type="pct"/>
            <w:tcBorders>
              <w:top w:val="nil"/>
              <w:left w:val="nil"/>
              <w:bottom w:val="nil"/>
              <w:right w:val="nil"/>
            </w:tcBorders>
            <w:shd w:val="clear" w:color="000000" w:fill="FFFFFF"/>
            <w:noWrap/>
            <w:vAlign w:val="center"/>
            <w:hideMark/>
          </w:tcPr>
          <w:p w14:paraId="15D2C784" w14:textId="77777777" w:rsidR="00EE1324" w:rsidRPr="00EE1324" w:rsidRDefault="00EE1324" w:rsidP="00EE1324">
            <w:pPr>
              <w:spacing w:before="0" w:after="0" w:line="240" w:lineRule="auto"/>
              <w:jc w:val="right"/>
              <w:rPr>
                <w:rFonts w:ascii="Arial" w:hAnsi="Arial" w:cs="Arial"/>
                <w:color w:val="000000"/>
                <w:sz w:val="16"/>
                <w:szCs w:val="16"/>
              </w:rPr>
            </w:pPr>
            <w:r w:rsidRPr="00EE1324">
              <w:rPr>
                <w:rFonts w:ascii="Arial" w:hAnsi="Arial" w:cs="Arial"/>
                <w:color w:val="000000"/>
                <w:sz w:val="16"/>
                <w:szCs w:val="16"/>
              </w:rPr>
              <w:t>709</w:t>
            </w:r>
          </w:p>
        </w:tc>
        <w:tc>
          <w:tcPr>
            <w:tcW w:w="550" w:type="pct"/>
            <w:tcBorders>
              <w:top w:val="nil"/>
              <w:left w:val="nil"/>
              <w:bottom w:val="nil"/>
              <w:right w:val="nil"/>
            </w:tcBorders>
            <w:shd w:val="clear" w:color="000000" w:fill="FFFFFF"/>
            <w:noWrap/>
            <w:vAlign w:val="center"/>
            <w:hideMark/>
          </w:tcPr>
          <w:p w14:paraId="523CC53B" w14:textId="77777777" w:rsidR="00EE1324" w:rsidRPr="00EE1324" w:rsidRDefault="00EE1324" w:rsidP="00EE1324">
            <w:pPr>
              <w:spacing w:before="0" w:after="0" w:line="240" w:lineRule="auto"/>
              <w:jc w:val="right"/>
              <w:rPr>
                <w:rFonts w:ascii="Arial" w:hAnsi="Arial" w:cs="Arial"/>
                <w:color w:val="000000"/>
                <w:sz w:val="16"/>
                <w:szCs w:val="16"/>
              </w:rPr>
            </w:pPr>
            <w:r w:rsidRPr="00EE1324">
              <w:rPr>
                <w:rFonts w:ascii="Arial" w:hAnsi="Arial" w:cs="Arial"/>
                <w:color w:val="000000"/>
                <w:sz w:val="16"/>
                <w:szCs w:val="16"/>
              </w:rPr>
              <w:t>739</w:t>
            </w:r>
          </w:p>
        </w:tc>
      </w:tr>
      <w:tr w:rsidR="00EE1324" w:rsidRPr="00EE1324" w14:paraId="415A93EF" w14:textId="77777777" w:rsidTr="00EE1324">
        <w:trPr>
          <w:trHeight w:hRule="exact" w:val="226"/>
        </w:trPr>
        <w:tc>
          <w:tcPr>
            <w:tcW w:w="2183" w:type="pct"/>
            <w:tcBorders>
              <w:top w:val="nil"/>
              <w:left w:val="nil"/>
              <w:bottom w:val="nil"/>
              <w:right w:val="nil"/>
            </w:tcBorders>
            <w:shd w:val="clear" w:color="000000" w:fill="FFFFFF"/>
            <w:noWrap/>
            <w:vAlign w:val="center"/>
            <w:hideMark/>
          </w:tcPr>
          <w:p w14:paraId="13B6F0FE" w14:textId="77777777" w:rsidR="00EE1324" w:rsidRPr="00EE1324" w:rsidRDefault="00EE1324" w:rsidP="00EE1324">
            <w:pPr>
              <w:spacing w:before="0" w:after="0" w:line="240" w:lineRule="auto"/>
              <w:rPr>
                <w:rFonts w:ascii="Arial" w:hAnsi="Arial" w:cs="Arial"/>
                <w:color w:val="000000"/>
                <w:sz w:val="16"/>
                <w:szCs w:val="16"/>
              </w:rPr>
            </w:pPr>
            <w:r w:rsidRPr="00EE1324">
              <w:rPr>
                <w:rFonts w:ascii="Arial" w:hAnsi="Arial" w:cs="Arial"/>
                <w:color w:val="000000"/>
                <w:sz w:val="16"/>
                <w:szCs w:val="16"/>
              </w:rPr>
              <w:t>Dental services(b)</w:t>
            </w:r>
          </w:p>
        </w:tc>
        <w:tc>
          <w:tcPr>
            <w:tcW w:w="68" w:type="pct"/>
            <w:tcBorders>
              <w:top w:val="nil"/>
              <w:left w:val="nil"/>
              <w:bottom w:val="nil"/>
              <w:right w:val="nil"/>
            </w:tcBorders>
            <w:shd w:val="clear" w:color="000000" w:fill="FFFFFF"/>
            <w:noWrap/>
            <w:vAlign w:val="center"/>
            <w:hideMark/>
          </w:tcPr>
          <w:p w14:paraId="6C480881" w14:textId="77777777" w:rsidR="00EE1324" w:rsidRPr="00EE1324" w:rsidRDefault="00EE1324" w:rsidP="00EE1324">
            <w:pPr>
              <w:spacing w:before="0" w:after="0" w:line="240" w:lineRule="auto"/>
              <w:rPr>
                <w:rFonts w:ascii="Arial" w:hAnsi="Arial" w:cs="Arial"/>
                <w:color w:val="000000"/>
                <w:sz w:val="16"/>
                <w:szCs w:val="16"/>
              </w:rPr>
            </w:pPr>
            <w:r w:rsidRPr="00EE1324">
              <w:rPr>
                <w:rFonts w:ascii="Arial" w:hAnsi="Arial" w:cs="Arial"/>
                <w:color w:val="000000"/>
                <w:sz w:val="16"/>
                <w:szCs w:val="16"/>
              </w:rPr>
              <w:t> </w:t>
            </w:r>
          </w:p>
        </w:tc>
        <w:tc>
          <w:tcPr>
            <w:tcW w:w="550" w:type="pct"/>
            <w:tcBorders>
              <w:top w:val="nil"/>
              <w:left w:val="nil"/>
              <w:bottom w:val="nil"/>
              <w:right w:val="nil"/>
            </w:tcBorders>
            <w:shd w:val="clear" w:color="000000" w:fill="FFFFFF"/>
            <w:noWrap/>
            <w:vAlign w:val="center"/>
            <w:hideMark/>
          </w:tcPr>
          <w:p w14:paraId="227B28F8" w14:textId="77777777" w:rsidR="00EE1324" w:rsidRPr="00EE1324" w:rsidRDefault="00EE1324" w:rsidP="00EE1324">
            <w:pPr>
              <w:spacing w:before="0" w:after="0" w:line="240" w:lineRule="auto"/>
              <w:jc w:val="right"/>
              <w:rPr>
                <w:rFonts w:ascii="Arial" w:hAnsi="Arial" w:cs="Arial"/>
                <w:color w:val="000000"/>
                <w:sz w:val="16"/>
                <w:szCs w:val="16"/>
              </w:rPr>
            </w:pPr>
            <w:r w:rsidRPr="00EE1324">
              <w:rPr>
                <w:rFonts w:ascii="Arial" w:hAnsi="Arial" w:cs="Arial"/>
                <w:color w:val="000000"/>
                <w:sz w:val="16"/>
                <w:szCs w:val="16"/>
              </w:rPr>
              <w:t>340</w:t>
            </w:r>
          </w:p>
        </w:tc>
        <w:tc>
          <w:tcPr>
            <w:tcW w:w="550" w:type="pct"/>
            <w:tcBorders>
              <w:top w:val="nil"/>
              <w:left w:val="nil"/>
              <w:bottom w:val="nil"/>
              <w:right w:val="nil"/>
            </w:tcBorders>
            <w:shd w:val="clear" w:color="000000" w:fill="E6F2FF"/>
            <w:noWrap/>
            <w:vAlign w:val="center"/>
            <w:hideMark/>
          </w:tcPr>
          <w:p w14:paraId="69DF718E" w14:textId="77777777" w:rsidR="00EE1324" w:rsidRPr="00EE1324" w:rsidRDefault="00EE1324" w:rsidP="00EE1324">
            <w:pPr>
              <w:spacing w:before="0" w:after="0" w:line="240" w:lineRule="auto"/>
              <w:jc w:val="right"/>
              <w:rPr>
                <w:rFonts w:ascii="Arial" w:hAnsi="Arial" w:cs="Arial"/>
                <w:color w:val="000000"/>
                <w:sz w:val="16"/>
                <w:szCs w:val="16"/>
              </w:rPr>
            </w:pPr>
            <w:r w:rsidRPr="00EE1324">
              <w:rPr>
                <w:rFonts w:ascii="Arial" w:hAnsi="Arial" w:cs="Arial"/>
                <w:color w:val="000000"/>
                <w:sz w:val="16"/>
                <w:szCs w:val="16"/>
              </w:rPr>
              <w:t>328</w:t>
            </w:r>
          </w:p>
        </w:tc>
        <w:tc>
          <w:tcPr>
            <w:tcW w:w="550" w:type="pct"/>
            <w:tcBorders>
              <w:top w:val="nil"/>
              <w:left w:val="nil"/>
              <w:bottom w:val="nil"/>
              <w:right w:val="nil"/>
            </w:tcBorders>
            <w:shd w:val="clear" w:color="000000" w:fill="FFFFFF"/>
            <w:noWrap/>
            <w:vAlign w:val="center"/>
            <w:hideMark/>
          </w:tcPr>
          <w:p w14:paraId="3C144F05" w14:textId="77777777" w:rsidR="00EE1324" w:rsidRPr="00EE1324" w:rsidRDefault="00EE1324" w:rsidP="00EE1324">
            <w:pPr>
              <w:spacing w:before="0" w:after="0" w:line="240" w:lineRule="auto"/>
              <w:jc w:val="right"/>
              <w:rPr>
                <w:rFonts w:ascii="Arial" w:hAnsi="Arial" w:cs="Arial"/>
                <w:color w:val="000000"/>
                <w:sz w:val="16"/>
                <w:szCs w:val="16"/>
              </w:rPr>
            </w:pPr>
            <w:r w:rsidRPr="00EE1324">
              <w:rPr>
                <w:rFonts w:ascii="Arial" w:hAnsi="Arial" w:cs="Arial"/>
                <w:color w:val="000000"/>
                <w:sz w:val="16"/>
                <w:szCs w:val="16"/>
              </w:rPr>
              <w:t>326</w:t>
            </w:r>
          </w:p>
        </w:tc>
        <w:tc>
          <w:tcPr>
            <w:tcW w:w="550" w:type="pct"/>
            <w:tcBorders>
              <w:top w:val="nil"/>
              <w:left w:val="nil"/>
              <w:bottom w:val="nil"/>
              <w:right w:val="nil"/>
            </w:tcBorders>
            <w:shd w:val="clear" w:color="000000" w:fill="FFFFFF"/>
            <w:noWrap/>
            <w:vAlign w:val="center"/>
            <w:hideMark/>
          </w:tcPr>
          <w:p w14:paraId="72284503" w14:textId="77777777" w:rsidR="00EE1324" w:rsidRPr="00EE1324" w:rsidRDefault="00EE1324" w:rsidP="00EE1324">
            <w:pPr>
              <w:spacing w:before="0" w:after="0" w:line="240" w:lineRule="auto"/>
              <w:jc w:val="right"/>
              <w:rPr>
                <w:rFonts w:ascii="Arial" w:hAnsi="Arial" w:cs="Arial"/>
                <w:color w:val="000000"/>
                <w:sz w:val="16"/>
                <w:szCs w:val="16"/>
              </w:rPr>
            </w:pPr>
            <w:r w:rsidRPr="00EE1324">
              <w:rPr>
                <w:rFonts w:ascii="Arial" w:hAnsi="Arial" w:cs="Arial"/>
                <w:color w:val="000000"/>
                <w:sz w:val="16"/>
                <w:szCs w:val="16"/>
              </w:rPr>
              <w:t>325</w:t>
            </w:r>
          </w:p>
        </w:tc>
        <w:tc>
          <w:tcPr>
            <w:tcW w:w="550" w:type="pct"/>
            <w:tcBorders>
              <w:top w:val="nil"/>
              <w:left w:val="nil"/>
              <w:bottom w:val="nil"/>
              <w:right w:val="nil"/>
            </w:tcBorders>
            <w:shd w:val="clear" w:color="000000" w:fill="FFFFFF"/>
            <w:noWrap/>
            <w:vAlign w:val="center"/>
            <w:hideMark/>
          </w:tcPr>
          <w:p w14:paraId="0DEC67E6" w14:textId="77777777" w:rsidR="00EE1324" w:rsidRPr="00EE1324" w:rsidRDefault="00EE1324" w:rsidP="00EE1324">
            <w:pPr>
              <w:spacing w:before="0" w:after="0" w:line="240" w:lineRule="auto"/>
              <w:jc w:val="right"/>
              <w:rPr>
                <w:rFonts w:ascii="Arial" w:hAnsi="Arial" w:cs="Arial"/>
                <w:color w:val="000000"/>
                <w:sz w:val="16"/>
                <w:szCs w:val="16"/>
              </w:rPr>
            </w:pPr>
            <w:r w:rsidRPr="00EE1324">
              <w:rPr>
                <w:rFonts w:ascii="Arial" w:hAnsi="Arial" w:cs="Arial"/>
                <w:color w:val="000000"/>
                <w:sz w:val="16"/>
                <w:szCs w:val="16"/>
              </w:rPr>
              <w:t>324</w:t>
            </w:r>
          </w:p>
        </w:tc>
      </w:tr>
      <w:tr w:rsidR="00EE1324" w:rsidRPr="00EE1324" w14:paraId="6D3B9CFC" w14:textId="77777777" w:rsidTr="00EE1324">
        <w:trPr>
          <w:trHeight w:hRule="exact" w:val="226"/>
        </w:trPr>
        <w:tc>
          <w:tcPr>
            <w:tcW w:w="2183" w:type="pct"/>
            <w:tcBorders>
              <w:top w:val="nil"/>
              <w:left w:val="nil"/>
              <w:bottom w:val="nil"/>
              <w:right w:val="nil"/>
            </w:tcBorders>
            <w:shd w:val="clear" w:color="000000" w:fill="FFFFFF"/>
            <w:noWrap/>
            <w:vAlign w:val="center"/>
            <w:hideMark/>
          </w:tcPr>
          <w:p w14:paraId="4AEA0633" w14:textId="77777777" w:rsidR="00EE1324" w:rsidRPr="00EE1324" w:rsidRDefault="00EE1324" w:rsidP="00EE1324">
            <w:pPr>
              <w:spacing w:before="0" w:after="0" w:line="240" w:lineRule="auto"/>
              <w:rPr>
                <w:rFonts w:ascii="Arial" w:hAnsi="Arial" w:cs="Arial"/>
                <w:color w:val="000000"/>
                <w:sz w:val="16"/>
                <w:szCs w:val="16"/>
              </w:rPr>
            </w:pPr>
            <w:r w:rsidRPr="00EE1324">
              <w:rPr>
                <w:rFonts w:ascii="Arial" w:hAnsi="Arial" w:cs="Arial"/>
                <w:color w:val="000000"/>
                <w:sz w:val="16"/>
                <w:szCs w:val="16"/>
              </w:rPr>
              <w:t>Other</w:t>
            </w:r>
          </w:p>
        </w:tc>
        <w:tc>
          <w:tcPr>
            <w:tcW w:w="68" w:type="pct"/>
            <w:tcBorders>
              <w:top w:val="nil"/>
              <w:left w:val="nil"/>
              <w:bottom w:val="nil"/>
              <w:right w:val="nil"/>
            </w:tcBorders>
            <w:shd w:val="clear" w:color="000000" w:fill="FFFFFF"/>
            <w:noWrap/>
            <w:vAlign w:val="center"/>
            <w:hideMark/>
          </w:tcPr>
          <w:p w14:paraId="0EFCAC38" w14:textId="77777777" w:rsidR="00EE1324" w:rsidRPr="00EE1324" w:rsidRDefault="00EE1324" w:rsidP="00EE1324">
            <w:pPr>
              <w:spacing w:before="0" w:after="0" w:line="240" w:lineRule="auto"/>
              <w:rPr>
                <w:rFonts w:ascii="Arial" w:hAnsi="Arial" w:cs="Arial"/>
                <w:color w:val="000000"/>
                <w:sz w:val="16"/>
                <w:szCs w:val="16"/>
              </w:rPr>
            </w:pPr>
            <w:r w:rsidRPr="00EE1324">
              <w:rPr>
                <w:rFonts w:ascii="Arial" w:hAnsi="Arial" w:cs="Arial"/>
                <w:color w:val="000000"/>
                <w:sz w:val="16"/>
                <w:szCs w:val="16"/>
              </w:rPr>
              <w:t> </w:t>
            </w:r>
          </w:p>
        </w:tc>
        <w:tc>
          <w:tcPr>
            <w:tcW w:w="550" w:type="pct"/>
            <w:tcBorders>
              <w:top w:val="nil"/>
              <w:left w:val="nil"/>
              <w:bottom w:val="single" w:sz="4" w:space="0" w:color="293F5B"/>
              <w:right w:val="nil"/>
            </w:tcBorders>
            <w:shd w:val="clear" w:color="000000" w:fill="FFFFFF"/>
            <w:noWrap/>
            <w:vAlign w:val="center"/>
            <w:hideMark/>
          </w:tcPr>
          <w:p w14:paraId="0E67A415" w14:textId="77777777" w:rsidR="00EE1324" w:rsidRPr="00EE1324" w:rsidRDefault="00EE1324" w:rsidP="00EE1324">
            <w:pPr>
              <w:spacing w:before="0" w:after="0" w:line="240" w:lineRule="auto"/>
              <w:jc w:val="right"/>
              <w:rPr>
                <w:rFonts w:ascii="Arial" w:hAnsi="Arial" w:cs="Arial"/>
                <w:color w:val="000000"/>
                <w:sz w:val="16"/>
                <w:szCs w:val="16"/>
              </w:rPr>
            </w:pPr>
            <w:r w:rsidRPr="00EE1324">
              <w:rPr>
                <w:rFonts w:ascii="Arial" w:hAnsi="Arial" w:cs="Arial"/>
                <w:color w:val="000000"/>
                <w:sz w:val="16"/>
                <w:szCs w:val="16"/>
              </w:rPr>
              <w:t>640</w:t>
            </w:r>
          </w:p>
        </w:tc>
        <w:tc>
          <w:tcPr>
            <w:tcW w:w="550" w:type="pct"/>
            <w:tcBorders>
              <w:top w:val="nil"/>
              <w:left w:val="nil"/>
              <w:bottom w:val="single" w:sz="4" w:space="0" w:color="293F5B"/>
              <w:right w:val="nil"/>
            </w:tcBorders>
            <w:shd w:val="clear" w:color="000000" w:fill="E6F2FF"/>
            <w:noWrap/>
            <w:vAlign w:val="center"/>
            <w:hideMark/>
          </w:tcPr>
          <w:p w14:paraId="390E74E6" w14:textId="77777777" w:rsidR="00EE1324" w:rsidRPr="00EE1324" w:rsidRDefault="00EE1324" w:rsidP="00EE1324">
            <w:pPr>
              <w:spacing w:before="0" w:after="0" w:line="240" w:lineRule="auto"/>
              <w:jc w:val="right"/>
              <w:rPr>
                <w:rFonts w:ascii="Arial" w:hAnsi="Arial" w:cs="Arial"/>
                <w:color w:val="000000"/>
                <w:sz w:val="16"/>
                <w:szCs w:val="16"/>
              </w:rPr>
            </w:pPr>
            <w:r w:rsidRPr="00EE1324">
              <w:rPr>
                <w:rFonts w:ascii="Arial" w:hAnsi="Arial" w:cs="Arial"/>
                <w:color w:val="000000"/>
                <w:sz w:val="16"/>
                <w:szCs w:val="16"/>
              </w:rPr>
              <w:t>674</w:t>
            </w:r>
          </w:p>
        </w:tc>
        <w:tc>
          <w:tcPr>
            <w:tcW w:w="550" w:type="pct"/>
            <w:tcBorders>
              <w:top w:val="nil"/>
              <w:left w:val="nil"/>
              <w:bottom w:val="single" w:sz="4" w:space="0" w:color="293F5B"/>
              <w:right w:val="nil"/>
            </w:tcBorders>
            <w:shd w:val="clear" w:color="000000" w:fill="FFFFFF"/>
            <w:noWrap/>
            <w:vAlign w:val="center"/>
            <w:hideMark/>
          </w:tcPr>
          <w:p w14:paraId="7AA76907" w14:textId="77777777" w:rsidR="00EE1324" w:rsidRPr="00EE1324" w:rsidRDefault="00EE1324" w:rsidP="00EE1324">
            <w:pPr>
              <w:spacing w:before="0" w:after="0" w:line="240" w:lineRule="auto"/>
              <w:jc w:val="right"/>
              <w:rPr>
                <w:rFonts w:ascii="Arial" w:hAnsi="Arial" w:cs="Arial"/>
                <w:color w:val="000000"/>
                <w:sz w:val="16"/>
                <w:szCs w:val="16"/>
              </w:rPr>
            </w:pPr>
            <w:r w:rsidRPr="00EE1324">
              <w:rPr>
                <w:rFonts w:ascii="Arial" w:hAnsi="Arial" w:cs="Arial"/>
                <w:color w:val="000000"/>
                <w:sz w:val="16"/>
                <w:szCs w:val="16"/>
              </w:rPr>
              <w:t>650</w:t>
            </w:r>
          </w:p>
        </w:tc>
        <w:tc>
          <w:tcPr>
            <w:tcW w:w="550" w:type="pct"/>
            <w:tcBorders>
              <w:top w:val="nil"/>
              <w:left w:val="nil"/>
              <w:bottom w:val="single" w:sz="4" w:space="0" w:color="293F5B"/>
              <w:right w:val="nil"/>
            </w:tcBorders>
            <w:shd w:val="clear" w:color="000000" w:fill="FFFFFF"/>
            <w:noWrap/>
            <w:vAlign w:val="center"/>
            <w:hideMark/>
          </w:tcPr>
          <w:p w14:paraId="03752AB5" w14:textId="77777777" w:rsidR="00EE1324" w:rsidRPr="00EE1324" w:rsidRDefault="00EE1324" w:rsidP="00EE1324">
            <w:pPr>
              <w:spacing w:before="0" w:after="0" w:line="240" w:lineRule="auto"/>
              <w:jc w:val="right"/>
              <w:rPr>
                <w:rFonts w:ascii="Arial" w:hAnsi="Arial" w:cs="Arial"/>
                <w:color w:val="000000"/>
                <w:sz w:val="16"/>
                <w:szCs w:val="16"/>
              </w:rPr>
            </w:pPr>
            <w:r w:rsidRPr="00EE1324">
              <w:rPr>
                <w:rFonts w:ascii="Arial" w:hAnsi="Arial" w:cs="Arial"/>
                <w:color w:val="000000"/>
                <w:sz w:val="16"/>
                <w:szCs w:val="16"/>
              </w:rPr>
              <w:t>681</w:t>
            </w:r>
          </w:p>
        </w:tc>
        <w:tc>
          <w:tcPr>
            <w:tcW w:w="550" w:type="pct"/>
            <w:tcBorders>
              <w:top w:val="nil"/>
              <w:left w:val="nil"/>
              <w:bottom w:val="single" w:sz="4" w:space="0" w:color="293F5B"/>
              <w:right w:val="nil"/>
            </w:tcBorders>
            <w:shd w:val="clear" w:color="000000" w:fill="FFFFFF"/>
            <w:noWrap/>
            <w:vAlign w:val="center"/>
            <w:hideMark/>
          </w:tcPr>
          <w:p w14:paraId="40F40A4A" w14:textId="77777777" w:rsidR="00EE1324" w:rsidRPr="00EE1324" w:rsidRDefault="00EE1324" w:rsidP="00EE1324">
            <w:pPr>
              <w:spacing w:before="0" w:after="0" w:line="240" w:lineRule="auto"/>
              <w:jc w:val="right"/>
              <w:rPr>
                <w:rFonts w:ascii="Arial" w:hAnsi="Arial" w:cs="Arial"/>
                <w:color w:val="000000"/>
                <w:sz w:val="16"/>
                <w:szCs w:val="16"/>
              </w:rPr>
            </w:pPr>
            <w:r w:rsidRPr="00EE1324">
              <w:rPr>
                <w:rFonts w:ascii="Arial" w:hAnsi="Arial" w:cs="Arial"/>
                <w:color w:val="000000"/>
                <w:sz w:val="16"/>
                <w:szCs w:val="16"/>
              </w:rPr>
              <w:t>703</w:t>
            </w:r>
          </w:p>
        </w:tc>
      </w:tr>
      <w:tr w:rsidR="00EE1324" w:rsidRPr="00EE1324" w14:paraId="526ADD3A" w14:textId="77777777" w:rsidTr="00EE1324">
        <w:trPr>
          <w:trHeight w:hRule="exact" w:val="226"/>
        </w:trPr>
        <w:tc>
          <w:tcPr>
            <w:tcW w:w="2183" w:type="pct"/>
            <w:tcBorders>
              <w:top w:val="nil"/>
              <w:left w:val="nil"/>
              <w:bottom w:val="single" w:sz="4" w:space="0" w:color="293F5B"/>
              <w:right w:val="nil"/>
            </w:tcBorders>
            <w:shd w:val="clear" w:color="000000" w:fill="FFFFFF"/>
            <w:noWrap/>
            <w:vAlign w:val="center"/>
            <w:hideMark/>
          </w:tcPr>
          <w:p w14:paraId="2302632A" w14:textId="77777777" w:rsidR="00EE1324" w:rsidRPr="00EE1324" w:rsidRDefault="00EE1324" w:rsidP="00EE1324">
            <w:pPr>
              <w:spacing w:before="0" w:after="0" w:line="240" w:lineRule="auto"/>
              <w:rPr>
                <w:rFonts w:ascii="Arial" w:hAnsi="Arial" w:cs="Arial"/>
                <w:b/>
                <w:bCs/>
                <w:color w:val="000000"/>
                <w:sz w:val="16"/>
                <w:szCs w:val="16"/>
              </w:rPr>
            </w:pPr>
            <w:r w:rsidRPr="00EE1324">
              <w:rPr>
                <w:rFonts w:ascii="Arial" w:hAnsi="Arial" w:cs="Arial"/>
                <w:b/>
                <w:bCs/>
                <w:color w:val="000000"/>
                <w:sz w:val="16"/>
                <w:szCs w:val="16"/>
              </w:rPr>
              <w:t>Total</w:t>
            </w:r>
          </w:p>
        </w:tc>
        <w:tc>
          <w:tcPr>
            <w:tcW w:w="68" w:type="pct"/>
            <w:tcBorders>
              <w:top w:val="nil"/>
              <w:left w:val="nil"/>
              <w:bottom w:val="single" w:sz="4" w:space="0" w:color="293F5B"/>
              <w:right w:val="nil"/>
            </w:tcBorders>
            <w:shd w:val="clear" w:color="000000" w:fill="FFFFFF"/>
            <w:noWrap/>
            <w:vAlign w:val="center"/>
            <w:hideMark/>
          </w:tcPr>
          <w:p w14:paraId="2DA3003A" w14:textId="77777777" w:rsidR="00EE1324" w:rsidRPr="00EE1324" w:rsidRDefault="00EE1324" w:rsidP="00EE1324">
            <w:pPr>
              <w:spacing w:before="0" w:after="0" w:line="240" w:lineRule="auto"/>
              <w:rPr>
                <w:rFonts w:ascii="Arial" w:hAnsi="Arial" w:cs="Arial"/>
                <w:b/>
                <w:bCs/>
                <w:color w:val="000000"/>
                <w:sz w:val="16"/>
                <w:szCs w:val="16"/>
              </w:rPr>
            </w:pPr>
            <w:r w:rsidRPr="00EE1324">
              <w:rPr>
                <w:rFonts w:ascii="Arial" w:hAnsi="Arial" w:cs="Arial"/>
                <w:b/>
                <w:bCs/>
                <w:color w:val="000000"/>
                <w:sz w:val="16"/>
                <w:szCs w:val="16"/>
              </w:rPr>
              <w:t> </w:t>
            </w:r>
          </w:p>
        </w:tc>
        <w:tc>
          <w:tcPr>
            <w:tcW w:w="550" w:type="pct"/>
            <w:tcBorders>
              <w:top w:val="nil"/>
              <w:left w:val="nil"/>
              <w:bottom w:val="single" w:sz="4" w:space="0" w:color="293F5B"/>
              <w:right w:val="nil"/>
            </w:tcBorders>
            <w:shd w:val="clear" w:color="000000" w:fill="FFFFFF"/>
            <w:noWrap/>
            <w:vAlign w:val="center"/>
            <w:hideMark/>
          </w:tcPr>
          <w:p w14:paraId="614C6CDD" w14:textId="77777777" w:rsidR="00EE1324" w:rsidRPr="00EE1324" w:rsidRDefault="00EE1324" w:rsidP="00EE1324">
            <w:pPr>
              <w:spacing w:before="0" w:after="0" w:line="240" w:lineRule="auto"/>
              <w:jc w:val="right"/>
              <w:rPr>
                <w:rFonts w:ascii="Arial" w:hAnsi="Arial" w:cs="Arial"/>
                <w:b/>
                <w:bCs/>
                <w:color w:val="000000"/>
                <w:sz w:val="16"/>
                <w:szCs w:val="16"/>
              </w:rPr>
            </w:pPr>
            <w:r w:rsidRPr="00EE1324">
              <w:rPr>
                <w:rFonts w:ascii="Arial" w:hAnsi="Arial" w:cs="Arial"/>
                <w:b/>
                <w:bCs/>
                <w:color w:val="000000"/>
                <w:sz w:val="16"/>
                <w:szCs w:val="16"/>
              </w:rPr>
              <w:t>38,777</w:t>
            </w:r>
          </w:p>
        </w:tc>
        <w:tc>
          <w:tcPr>
            <w:tcW w:w="550" w:type="pct"/>
            <w:tcBorders>
              <w:top w:val="nil"/>
              <w:left w:val="nil"/>
              <w:bottom w:val="single" w:sz="4" w:space="0" w:color="293F5B"/>
              <w:right w:val="nil"/>
            </w:tcBorders>
            <w:shd w:val="clear" w:color="000000" w:fill="E6F2FF"/>
            <w:noWrap/>
            <w:vAlign w:val="center"/>
            <w:hideMark/>
          </w:tcPr>
          <w:p w14:paraId="4BF9322D" w14:textId="77777777" w:rsidR="00EE1324" w:rsidRPr="00EE1324" w:rsidRDefault="00EE1324" w:rsidP="00EE1324">
            <w:pPr>
              <w:spacing w:before="0" w:after="0" w:line="240" w:lineRule="auto"/>
              <w:jc w:val="right"/>
              <w:rPr>
                <w:rFonts w:ascii="Arial" w:hAnsi="Arial" w:cs="Arial"/>
                <w:b/>
                <w:bCs/>
                <w:color w:val="000000"/>
                <w:sz w:val="16"/>
                <w:szCs w:val="16"/>
              </w:rPr>
            </w:pPr>
            <w:r w:rsidRPr="00EE1324">
              <w:rPr>
                <w:rFonts w:ascii="Arial" w:hAnsi="Arial" w:cs="Arial"/>
                <w:b/>
                <w:bCs/>
                <w:color w:val="000000"/>
                <w:sz w:val="16"/>
                <w:szCs w:val="16"/>
              </w:rPr>
              <w:t>41,233</w:t>
            </w:r>
          </w:p>
        </w:tc>
        <w:tc>
          <w:tcPr>
            <w:tcW w:w="550" w:type="pct"/>
            <w:tcBorders>
              <w:top w:val="nil"/>
              <w:left w:val="nil"/>
              <w:bottom w:val="single" w:sz="4" w:space="0" w:color="293F5B"/>
              <w:right w:val="nil"/>
            </w:tcBorders>
            <w:shd w:val="clear" w:color="000000" w:fill="FFFFFF"/>
            <w:noWrap/>
            <w:vAlign w:val="center"/>
            <w:hideMark/>
          </w:tcPr>
          <w:p w14:paraId="3206C4A9" w14:textId="77777777" w:rsidR="00EE1324" w:rsidRPr="00EE1324" w:rsidRDefault="00EE1324" w:rsidP="00EE1324">
            <w:pPr>
              <w:spacing w:before="0" w:after="0" w:line="240" w:lineRule="auto"/>
              <w:jc w:val="right"/>
              <w:rPr>
                <w:rFonts w:ascii="Arial" w:hAnsi="Arial" w:cs="Arial"/>
                <w:b/>
                <w:bCs/>
                <w:color w:val="000000"/>
                <w:sz w:val="16"/>
                <w:szCs w:val="16"/>
              </w:rPr>
            </w:pPr>
            <w:r w:rsidRPr="00EE1324">
              <w:rPr>
                <w:rFonts w:ascii="Arial" w:hAnsi="Arial" w:cs="Arial"/>
                <w:b/>
                <w:bCs/>
                <w:color w:val="000000"/>
                <w:sz w:val="16"/>
                <w:szCs w:val="16"/>
              </w:rPr>
              <w:t>43,341</w:t>
            </w:r>
          </w:p>
        </w:tc>
        <w:tc>
          <w:tcPr>
            <w:tcW w:w="550" w:type="pct"/>
            <w:tcBorders>
              <w:top w:val="nil"/>
              <w:left w:val="nil"/>
              <w:bottom w:val="single" w:sz="4" w:space="0" w:color="293F5B"/>
              <w:right w:val="nil"/>
            </w:tcBorders>
            <w:shd w:val="clear" w:color="000000" w:fill="FFFFFF"/>
            <w:noWrap/>
            <w:vAlign w:val="center"/>
            <w:hideMark/>
          </w:tcPr>
          <w:p w14:paraId="48B358D7" w14:textId="77777777" w:rsidR="00EE1324" w:rsidRPr="00EE1324" w:rsidRDefault="00EE1324" w:rsidP="00EE1324">
            <w:pPr>
              <w:spacing w:before="0" w:after="0" w:line="240" w:lineRule="auto"/>
              <w:jc w:val="right"/>
              <w:rPr>
                <w:rFonts w:ascii="Arial" w:hAnsi="Arial" w:cs="Arial"/>
                <w:b/>
                <w:bCs/>
                <w:color w:val="000000"/>
                <w:sz w:val="16"/>
                <w:szCs w:val="16"/>
              </w:rPr>
            </w:pPr>
            <w:r w:rsidRPr="00EE1324">
              <w:rPr>
                <w:rFonts w:ascii="Arial" w:hAnsi="Arial" w:cs="Arial"/>
                <w:b/>
                <w:bCs/>
                <w:color w:val="000000"/>
                <w:sz w:val="16"/>
                <w:szCs w:val="16"/>
              </w:rPr>
              <w:t>45,141</w:t>
            </w:r>
          </w:p>
        </w:tc>
        <w:tc>
          <w:tcPr>
            <w:tcW w:w="550" w:type="pct"/>
            <w:tcBorders>
              <w:top w:val="nil"/>
              <w:left w:val="nil"/>
              <w:bottom w:val="single" w:sz="4" w:space="0" w:color="293F5B"/>
              <w:right w:val="nil"/>
            </w:tcBorders>
            <w:shd w:val="clear" w:color="000000" w:fill="FFFFFF"/>
            <w:noWrap/>
            <w:vAlign w:val="center"/>
            <w:hideMark/>
          </w:tcPr>
          <w:p w14:paraId="23641AF5" w14:textId="77777777" w:rsidR="00EE1324" w:rsidRPr="00EE1324" w:rsidRDefault="00EE1324" w:rsidP="00EE1324">
            <w:pPr>
              <w:spacing w:before="0" w:after="0" w:line="240" w:lineRule="auto"/>
              <w:jc w:val="right"/>
              <w:rPr>
                <w:rFonts w:ascii="Arial" w:hAnsi="Arial" w:cs="Arial"/>
                <w:b/>
                <w:bCs/>
                <w:color w:val="000000"/>
                <w:sz w:val="16"/>
                <w:szCs w:val="16"/>
              </w:rPr>
            </w:pPr>
            <w:r w:rsidRPr="00EE1324">
              <w:rPr>
                <w:rFonts w:ascii="Arial" w:hAnsi="Arial" w:cs="Arial"/>
                <w:b/>
                <w:bCs/>
                <w:color w:val="000000"/>
                <w:sz w:val="16"/>
                <w:szCs w:val="16"/>
              </w:rPr>
              <w:t>47,206</w:t>
            </w:r>
          </w:p>
        </w:tc>
      </w:tr>
    </w:tbl>
    <w:p w14:paraId="6DC1920C" w14:textId="155A951D" w:rsidR="00E32E1B" w:rsidRPr="000177D7" w:rsidRDefault="00E32E1B" w:rsidP="00E87DDC">
      <w:pPr>
        <w:pStyle w:val="ChartandTableFootnoteAlpha"/>
        <w:numPr>
          <w:ilvl w:val="0"/>
          <w:numId w:val="11"/>
        </w:numPr>
      </w:pPr>
      <w:r w:rsidRPr="000177D7">
        <w:t>The entry for each component includes eliminations for inter</w:t>
      </w:r>
      <w:r w:rsidR="008D4F6B">
        <w:noBreakHyphen/>
      </w:r>
      <w:r w:rsidRPr="000177D7">
        <w:t>agency transactions within that component.</w:t>
      </w:r>
    </w:p>
    <w:p w14:paraId="360CC687" w14:textId="18B8FAB5" w:rsidR="00E32E1B" w:rsidRPr="000177D7" w:rsidRDefault="00E32E1B" w:rsidP="00E87DDC">
      <w:pPr>
        <w:pStyle w:val="ChartandTableFootnoteAlpha"/>
        <w:numPr>
          <w:ilvl w:val="0"/>
          <w:numId w:val="11"/>
        </w:numPr>
      </w:pPr>
      <w:r w:rsidRPr="000177D7">
        <w:t>Payments under the funding agreements on Public Dental Services for Adults from 2020</w:t>
      </w:r>
      <w:r w:rsidRPr="00002DB4">
        <w:t>–</w:t>
      </w:r>
      <w:r w:rsidRPr="000177D7">
        <w:t>21 are provided for under the health services sub</w:t>
      </w:r>
      <w:r w:rsidR="008D4F6B">
        <w:noBreakHyphen/>
      </w:r>
      <w:r w:rsidRPr="000177D7">
        <w:t xml:space="preserve">function in </w:t>
      </w:r>
      <w:r>
        <w:t>Table </w:t>
      </w:r>
      <w:r w:rsidRPr="000177D7">
        <w:t>6.8.</w:t>
      </w:r>
    </w:p>
    <w:p w14:paraId="2328FFBD" w14:textId="77777777" w:rsidR="00E32E1B" w:rsidRPr="000177D7" w:rsidRDefault="00E32E1B" w:rsidP="00D91079">
      <w:pPr>
        <w:pStyle w:val="TableLine"/>
      </w:pPr>
    </w:p>
    <w:p w14:paraId="60CF351D" w14:textId="300A23D0" w:rsidR="00ED6D02" w:rsidRDefault="009C3273" w:rsidP="00ED6D02">
      <w:pPr>
        <w:rPr>
          <w:i/>
          <w:iCs/>
        </w:rPr>
      </w:pPr>
      <w:r w:rsidRPr="00BC1D68">
        <w:rPr>
          <w:rStyle w:val="Strong"/>
        </w:rPr>
        <w:t>P</w:t>
      </w:r>
      <w:r w:rsidR="00ED6D02" w:rsidRPr="00BC1D68">
        <w:rPr>
          <w:rStyle w:val="Strong"/>
        </w:rPr>
        <w:t>harmaceutical benefits and services</w:t>
      </w:r>
      <w:r w:rsidR="00E91994" w:rsidRPr="00BC1D68">
        <w:rPr>
          <w:rStyle w:val="Strong"/>
        </w:rPr>
        <w:t xml:space="preserve"> </w:t>
      </w:r>
      <w:r w:rsidR="00E91994" w:rsidRPr="00204B48">
        <w:rPr>
          <w:rStyle w:val="Strong"/>
          <w:b w:val="0"/>
        </w:rPr>
        <w:t>expenses</w:t>
      </w:r>
      <w:r w:rsidR="00ED6D02">
        <w:rPr>
          <w:szCs w:val="19"/>
        </w:rPr>
        <w:t>, which primarily consists</w:t>
      </w:r>
      <w:r w:rsidR="00A9609A">
        <w:rPr>
          <w:szCs w:val="19"/>
        </w:rPr>
        <w:t xml:space="preserve"> of</w:t>
      </w:r>
      <w:r w:rsidR="00ED6D02">
        <w:rPr>
          <w:szCs w:val="19"/>
        </w:rPr>
        <w:t xml:space="preserve"> Pharmaceutical Benefits Scheme expenses, </w:t>
      </w:r>
      <w:r w:rsidR="00ED6D02" w:rsidRPr="00BB782A">
        <w:rPr>
          <w:szCs w:val="19"/>
        </w:rPr>
        <w:t>comprises 18.3</w:t>
      </w:r>
      <w:r w:rsidR="00ED6D02">
        <w:rPr>
          <w:szCs w:val="19"/>
        </w:rPr>
        <w:t xml:space="preserve"> per cent of total estimated health expenses for 2024–25. </w:t>
      </w:r>
      <w:r w:rsidR="00ED6D02" w:rsidRPr="00002DB4">
        <w:rPr>
          <w:szCs w:val="19"/>
        </w:rPr>
        <w:t>The Government is investing $</w:t>
      </w:r>
      <w:r w:rsidR="00ED6D02">
        <w:rPr>
          <w:szCs w:val="19"/>
        </w:rPr>
        <w:t xml:space="preserve">3.9 billion over five years from </w:t>
      </w:r>
      <w:r w:rsidR="00173D67">
        <w:rPr>
          <w:szCs w:val="19"/>
        </w:rPr>
        <w:br/>
      </w:r>
      <w:r w:rsidR="00ED6D02">
        <w:rPr>
          <w:szCs w:val="19"/>
        </w:rPr>
        <w:t>2023</w:t>
      </w:r>
      <w:r w:rsidR="000373CE">
        <w:rPr>
          <w:szCs w:val="19"/>
        </w:rPr>
        <w:t>–</w:t>
      </w:r>
      <w:r w:rsidR="00ED6D02">
        <w:rPr>
          <w:szCs w:val="19"/>
        </w:rPr>
        <w:t>24</w:t>
      </w:r>
      <w:r w:rsidR="00ED6D02" w:rsidRPr="00002DB4">
        <w:rPr>
          <w:szCs w:val="19"/>
        </w:rPr>
        <w:t xml:space="preserve"> through a range of 2024–25 Budget measures to ensur</w:t>
      </w:r>
      <w:r w:rsidR="00ED6D02">
        <w:rPr>
          <w:szCs w:val="19"/>
        </w:rPr>
        <w:t>e</w:t>
      </w:r>
      <w:r w:rsidR="00ED6D02" w:rsidRPr="00002DB4">
        <w:rPr>
          <w:szCs w:val="19"/>
        </w:rPr>
        <w:t xml:space="preserve"> ongoing </w:t>
      </w:r>
      <w:r w:rsidR="00ED6D02">
        <w:rPr>
          <w:szCs w:val="19"/>
        </w:rPr>
        <w:t xml:space="preserve">affordable </w:t>
      </w:r>
      <w:r w:rsidR="00ED6D02" w:rsidRPr="00002DB4">
        <w:rPr>
          <w:szCs w:val="19"/>
        </w:rPr>
        <w:t>access to medicines</w:t>
      </w:r>
      <w:r w:rsidR="00ED6D02">
        <w:rPr>
          <w:szCs w:val="19"/>
        </w:rPr>
        <w:t xml:space="preserve">. This includes new and amended </w:t>
      </w:r>
      <w:r w:rsidR="00ED6D02" w:rsidRPr="00EE402F">
        <w:t>listing</w:t>
      </w:r>
      <w:r w:rsidR="00ED6D02">
        <w:t>s</w:t>
      </w:r>
      <w:r w:rsidR="00ED6D02" w:rsidRPr="00EE402F">
        <w:t xml:space="preserve"> on the </w:t>
      </w:r>
      <w:r w:rsidR="00ED6D02" w:rsidRPr="0068640B">
        <w:t xml:space="preserve">Pharmaceutical Benefits Scheme and </w:t>
      </w:r>
      <w:r w:rsidR="00ED6D02">
        <w:t xml:space="preserve">investment in the </w:t>
      </w:r>
      <w:r w:rsidR="00ED6D02" w:rsidRPr="00EE402F">
        <w:t xml:space="preserve">community pharmacy sector through </w:t>
      </w:r>
      <w:r w:rsidR="00ED6D02">
        <w:t xml:space="preserve">the </w:t>
      </w:r>
      <w:r w:rsidR="000373CE">
        <w:t xml:space="preserve">2024–25 Budget </w:t>
      </w:r>
      <w:r w:rsidR="00ED6D02">
        <w:t>measure</w:t>
      </w:r>
      <w:r w:rsidR="00ED6D02" w:rsidRPr="00EE402F">
        <w:t xml:space="preserve"> </w:t>
      </w:r>
      <w:r w:rsidR="00773992" w:rsidRPr="00A84D49">
        <w:rPr>
          <w:rStyle w:val="Emphasis"/>
        </w:rPr>
        <w:t>Securing Cheaper Medicines</w:t>
      </w:r>
      <w:r w:rsidR="00ED6D02" w:rsidRPr="00E91994">
        <w:rPr>
          <w:i/>
          <w:iCs/>
        </w:rPr>
        <w:t xml:space="preserve">. </w:t>
      </w:r>
      <w:r w:rsidR="00ED6D02" w:rsidRPr="00E91994">
        <w:t>I</w:t>
      </w:r>
      <w:r w:rsidR="00ED6D02">
        <w:t xml:space="preserve">n real terms, </w:t>
      </w:r>
      <w:r w:rsidR="00ED6D02">
        <w:rPr>
          <w:szCs w:val="19"/>
        </w:rPr>
        <w:t>expenditure is</w:t>
      </w:r>
      <w:r w:rsidR="00ED6D02" w:rsidRPr="00002DB4">
        <w:rPr>
          <w:szCs w:val="19"/>
        </w:rPr>
        <w:t xml:space="preserve"> expected to </w:t>
      </w:r>
      <w:r w:rsidR="00ED6D02">
        <w:rPr>
          <w:szCs w:val="19"/>
        </w:rPr>
        <w:t xml:space="preserve">decrease </w:t>
      </w:r>
      <w:r w:rsidR="00ED6D02" w:rsidRPr="00002DB4">
        <w:rPr>
          <w:rFonts w:cstheme="minorHAnsi"/>
          <w:szCs w:val="19"/>
        </w:rPr>
        <w:t>over the period 2024</w:t>
      </w:r>
      <w:r w:rsidR="00ED6D02">
        <w:rPr>
          <w:rFonts w:cs="Book Antiqua"/>
          <w:szCs w:val="19"/>
        </w:rPr>
        <w:t>–</w:t>
      </w:r>
      <w:r w:rsidR="00ED6D02" w:rsidRPr="00002DB4">
        <w:rPr>
          <w:rFonts w:cstheme="minorHAnsi"/>
          <w:szCs w:val="19"/>
        </w:rPr>
        <w:t>25 to 2027</w:t>
      </w:r>
      <w:r w:rsidR="00ED6D02">
        <w:rPr>
          <w:rFonts w:cs="Book Antiqua"/>
          <w:szCs w:val="19"/>
        </w:rPr>
        <w:t>–</w:t>
      </w:r>
      <w:r w:rsidR="00ED6D02" w:rsidRPr="00002DB4">
        <w:rPr>
          <w:rFonts w:cstheme="minorHAnsi"/>
          <w:szCs w:val="19"/>
        </w:rPr>
        <w:t>28</w:t>
      </w:r>
      <w:r w:rsidR="00ED6D02">
        <w:rPr>
          <w:rFonts w:cstheme="minorHAnsi"/>
          <w:szCs w:val="19"/>
        </w:rPr>
        <w:t xml:space="preserve">, </w:t>
      </w:r>
      <w:r w:rsidR="00ED6D02" w:rsidRPr="00002DB4">
        <w:rPr>
          <w:szCs w:val="19"/>
        </w:rPr>
        <w:t xml:space="preserve">primarily driven </w:t>
      </w:r>
      <w:r w:rsidR="00ED6D02">
        <w:rPr>
          <w:szCs w:val="19"/>
        </w:rPr>
        <w:t>by</w:t>
      </w:r>
      <w:r w:rsidR="00ED6D02" w:rsidRPr="00002DB4">
        <w:rPr>
          <w:szCs w:val="19"/>
        </w:rPr>
        <w:t xml:space="preserve"> the impact of existing pricing polices under the Pharmaceutical Benefits Scheme component</w:t>
      </w:r>
      <w:r w:rsidR="00ED6D02">
        <w:rPr>
          <w:szCs w:val="19"/>
        </w:rPr>
        <w:t>, which result</w:t>
      </w:r>
      <w:r w:rsidR="00DB0167">
        <w:rPr>
          <w:szCs w:val="19"/>
        </w:rPr>
        <w:t>s</w:t>
      </w:r>
      <w:r w:rsidR="00ED6D02">
        <w:rPr>
          <w:szCs w:val="19"/>
        </w:rPr>
        <w:t xml:space="preserve"> in decreases to the price of subsidised medicines</w:t>
      </w:r>
      <w:r w:rsidR="00ED6D02" w:rsidRPr="00002DB4">
        <w:rPr>
          <w:szCs w:val="19"/>
        </w:rPr>
        <w:t>.</w:t>
      </w:r>
    </w:p>
    <w:p w14:paraId="08357FE4" w14:textId="1E8F3829" w:rsidR="00ED6D02" w:rsidRPr="005C35C5" w:rsidRDefault="00ED6D02" w:rsidP="00ED6D02">
      <w:pPr>
        <w:rPr>
          <w:szCs w:val="19"/>
        </w:rPr>
      </w:pPr>
      <w:r>
        <w:t>Table </w:t>
      </w:r>
      <w:r w:rsidRPr="000177D7">
        <w:t>6.</w:t>
      </w:r>
      <w:r>
        <w:t>8</w:t>
      </w:r>
      <w:r w:rsidRPr="000177D7">
        <w:t>.</w:t>
      </w:r>
      <w:r>
        <w:t>2</w:t>
      </w:r>
      <w:r w:rsidRPr="000177D7">
        <w:t xml:space="preserve"> sets out the major components of the </w:t>
      </w:r>
      <w:r w:rsidRPr="000D0E61">
        <w:rPr>
          <w:rStyle w:val="Strong"/>
        </w:rPr>
        <w:t>pharmaceutical benefits and services</w:t>
      </w:r>
      <w:r w:rsidRPr="00002DB4">
        <w:rPr>
          <w:b/>
          <w:bCs/>
        </w:rPr>
        <w:t xml:space="preserve"> </w:t>
      </w:r>
      <w:r w:rsidRPr="000177D7">
        <w:t>sub</w:t>
      </w:r>
      <w:r w:rsidR="008D4F6B">
        <w:noBreakHyphen/>
      </w:r>
      <w:r w:rsidRPr="000177D7">
        <w:t>function.</w:t>
      </w:r>
    </w:p>
    <w:p w14:paraId="3F07BC57" w14:textId="0196E84D" w:rsidR="002337D1" w:rsidRDefault="00ED6D02" w:rsidP="002337D1">
      <w:pPr>
        <w:pStyle w:val="TableHeading"/>
        <w:rPr>
          <w:rFonts w:asciiTheme="minorHAnsi" w:eastAsiaTheme="minorHAnsi" w:hAnsiTheme="minorHAnsi" w:cstheme="minorBidi"/>
          <w:sz w:val="22"/>
          <w:szCs w:val="22"/>
          <w:lang w:eastAsia="en-US"/>
        </w:rPr>
      </w:pPr>
      <w:r>
        <w:t>Table </w:t>
      </w:r>
      <w:r w:rsidRPr="000177D7">
        <w:t xml:space="preserve">6.8.2: Trends in the major components of </w:t>
      </w:r>
      <w:r>
        <w:t xml:space="preserve">the </w:t>
      </w:r>
      <w:r w:rsidRPr="000177D7">
        <w:t>pharmaceutical benefits and services sub</w:t>
      </w:r>
      <w:r w:rsidR="008D4F6B">
        <w:noBreakHyphen/>
      </w:r>
      <w:r w:rsidRPr="000177D7">
        <w:t xml:space="preserve">function </w:t>
      </w:r>
      <w:r w:rsidRPr="00C525F5">
        <w:t>expense</w:t>
      </w:r>
    </w:p>
    <w:tbl>
      <w:tblPr>
        <w:tblW w:w="5000" w:type="pct"/>
        <w:tblCellMar>
          <w:left w:w="0" w:type="dxa"/>
          <w:right w:w="28" w:type="dxa"/>
        </w:tblCellMar>
        <w:tblLook w:val="04A0" w:firstRow="1" w:lastRow="0" w:firstColumn="1" w:lastColumn="0" w:noHBand="0" w:noVBand="1"/>
      </w:tblPr>
      <w:tblGrid>
        <w:gridCol w:w="3366"/>
        <w:gridCol w:w="105"/>
        <w:gridCol w:w="848"/>
        <w:gridCol w:w="848"/>
        <w:gridCol w:w="848"/>
        <w:gridCol w:w="848"/>
        <w:gridCol w:w="847"/>
      </w:tblGrid>
      <w:tr w:rsidR="002337D1" w:rsidRPr="002337D1" w14:paraId="5F2A3EF8" w14:textId="77777777" w:rsidTr="002337D1">
        <w:trPr>
          <w:trHeight w:hRule="exact" w:val="20"/>
        </w:trPr>
        <w:tc>
          <w:tcPr>
            <w:tcW w:w="2183" w:type="pct"/>
            <w:tcBorders>
              <w:top w:val="nil"/>
              <w:left w:val="nil"/>
              <w:bottom w:val="single" w:sz="4" w:space="0" w:color="293F5B"/>
              <w:right w:val="nil"/>
            </w:tcBorders>
            <w:shd w:val="clear" w:color="000000" w:fill="FFFFFF"/>
            <w:noWrap/>
            <w:vAlign w:val="center"/>
            <w:hideMark/>
          </w:tcPr>
          <w:p w14:paraId="5C0F5E6C" w14:textId="033FBB79" w:rsidR="002337D1" w:rsidRPr="002337D1" w:rsidRDefault="002337D1" w:rsidP="002337D1">
            <w:pPr>
              <w:spacing w:before="0" w:after="0" w:line="240" w:lineRule="auto"/>
              <w:rPr>
                <w:rFonts w:ascii="Arial" w:hAnsi="Arial" w:cs="Arial"/>
                <w:b/>
                <w:bCs/>
                <w:color w:val="000000"/>
                <w:sz w:val="16"/>
                <w:szCs w:val="16"/>
              </w:rPr>
            </w:pPr>
            <w:r w:rsidRPr="002337D1">
              <w:rPr>
                <w:rFonts w:ascii="Arial" w:hAnsi="Arial" w:cs="Arial"/>
                <w:b/>
                <w:bCs/>
                <w:color w:val="000000"/>
                <w:sz w:val="16"/>
                <w:szCs w:val="16"/>
              </w:rPr>
              <w:t> </w:t>
            </w:r>
          </w:p>
        </w:tc>
        <w:tc>
          <w:tcPr>
            <w:tcW w:w="68" w:type="pct"/>
            <w:tcBorders>
              <w:top w:val="nil"/>
              <w:left w:val="nil"/>
              <w:bottom w:val="single" w:sz="4" w:space="0" w:color="293F5B"/>
              <w:right w:val="nil"/>
            </w:tcBorders>
            <w:shd w:val="clear" w:color="000000" w:fill="FFFFFF"/>
            <w:noWrap/>
            <w:vAlign w:val="center"/>
            <w:hideMark/>
          </w:tcPr>
          <w:p w14:paraId="54A64540" w14:textId="77777777" w:rsidR="002337D1" w:rsidRPr="002337D1" w:rsidRDefault="002337D1" w:rsidP="002337D1">
            <w:pPr>
              <w:spacing w:before="0" w:after="0" w:line="240" w:lineRule="auto"/>
              <w:rPr>
                <w:rFonts w:ascii="Arial" w:hAnsi="Arial" w:cs="Arial"/>
                <w:b/>
                <w:bCs/>
                <w:color w:val="000000"/>
                <w:sz w:val="16"/>
                <w:szCs w:val="16"/>
              </w:rPr>
            </w:pPr>
            <w:r w:rsidRPr="002337D1">
              <w:rPr>
                <w:rFonts w:ascii="Arial" w:hAnsi="Arial" w:cs="Arial"/>
                <w:b/>
                <w:bCs/>
                <w:color w:val="000000"/>
                <w:sz w:val="16"/>
                <w:szCs w:val="16"/>
              </w:rPr>
              <w:t> </w:t>
            </w:r>
          </w:p>
        </w:tc>
        <w:tc>
          <w:tcPr>
            <w:tcW w:w="550" w:type="pct"/>
            <w:tcBorders>
              <w:top w:val="nil"/>
              <w:left w:val="nil"/>
              <w:bottom w:val="single" w:sz="4" w:space="0" w:color="293F5B"/>
              <w:right w:val="nil"/>
            </w:tcBorders>
            <w:shd w:val="clear" w:color="000000" w:fill="FFFFFF"/>
            <w:noWrap/>
            <w:vAlign w:val="center"/>
            <w:hideMark/>
          </w:tcPr>
          <w:p w14:paraId="09BB974C" w14:textId="77777777" w:rsidR="002337D1" w:rsidRPr="002337D1" w:rsidRDefault="002337D1" w:rsidP="002337D1">
            <w:pPr>
              <w:spacing w:before="0" w:after="0" w:line="240" w:lineRule="auto"/>
              <w:rPr>
                <w:rFonts w:ascii="Arial" w:hAnsi="Arial" w:cs="Arial"/>
                <w:color w:val="000000"/>
                <w:sz w:val="16"/>
                <w:szCs w:val="16"/>
              </w:rPr>
            </w:pPr>
            <w:r w:rsidRPr="002337D1">
              <w:rPr>
                <w:rFonts w:ascii="Arial" w:hAnsi="Arial" w:cs="Arial"/>
                <w:color w:val="000000"/>
                <w:sz w:val="16"/>
                <w:szCs w:val="16"/>
              </w:rPr>
              <w:t> </w:t>
            </w:r>
          </w:p>
        </w:tc>
        <w:tc>
          <w:tcPr>
            <w:tcW w:w="550" w:type="pct"/>
            <w:tcBorders>
              <w:top w:val="nil"/>
              <w:left w:val="nil"/>
              <w:bottom w:val="single" w:sz="4" w:space="0" w:color="293F5B"/>
              <w:right w:val="nil"/>
            </w:tcBorders>
            <w:shd w:val="clear" w:color="000000" w:fill="FFFFFF"/>
            <w:noWrap/>
            <w:vAlign w:val="center"/>
            <w:hideMark/>
          </w:tcPr>
          <w:p w14:paraId="7CA7F96D" w14:textId="77777777" w:rsidR="002337D1" w:rsidRPr="002337D1" w:rsidRDefault="002337D1" w:rsidP="002337D1">
            <w:pPr>
              <w:spacing w:before="0" w:after="0" w:line="240" w:lineRule="auto"/>
              <w:rPr>
                <w:rFonts w:ascii="Arial" w:hAnsi="Arial" w:cs="Arial"/>
                <w:color w:val="000000"/>
                <w:sz w:val="16"/>
                <w:szCs w:val="16"/>
              </w:rPr>
            </w:pPr>
            <w:r w:rsidRPr="002337D1">
              <w:rPr>
                <w:rFonts w:ascii="Arial" w:hAnsi="Arial" w:cs="Arial"/>
                <w:color w:val="000000"/>
                <w:sz w:val="16"/>
                <w:szCs w:val="16"/>
              </w:rPr>
              <w:t> </w:t>
            </w:r>
          </w:p>
        </w:tc>
        <w:tc>
          <w:tcPr>
            <w:tcW w:w="550" w:type="pct"/>
            <w:tcBorders>
              <w:top w:val="nil"/>
              <w:left w:val="nil"/>
              <w:bottom w:val="single" w:sz="4" w:space="0" w:color="293F5B"/>
              <w:right w:val="nil"/>
            </w:tcBorders>
            <w:shd w:val="clear" w:color="000000" w:fill="FFFFFF"/>
            <w:noWrap/>
            <w:vAlign w:val="center"/>
            <w:hideMark/>
          </w:tcPr>
          <w:p w14:paraId="5318BAFD" w14:textId="77777777" w:rsidR="002337D1" w:rsidRPr="002337D1" w:rsidRDefault="002337D1" w:rsidP="002337D1">
            <w:pPr>
              <w:spacing w:before="0" w:after="0" w:line="240" w:lineRule="auto"/>
              <w:rPr>
                <w:rFonts w:ascii="Arial" w:hAnsi="Arial" w:cs="Arial"/>
                <w:color w:val="000000"/>
                <w:sz w:val="16"/>
                <w:szCs w:val="16"/>
              </w:rPr>
            </w:pPr>
            <w:r w:rsidRPr="002337D1">
              <w:rPr>
                <w:rFonts w:ascii="Arial" w:hAnsi="Arial" w:cs="Arial"/>
                <w:color w:val="000000"/>
                <w:sz w:val="16"/>
                <w:szCs w:val="16"/>
              </w:rPr>
              <w:t> </w:t>
            </w:r>
          </w:p>
        </w:tc>
        <w:tc>
          <w:tcPr>
            <w:tcW w:w="550" w:type="pct"/>
            <w:tcBorders>
              <w:top w:val="nil"/>
              <w:left w:val="nil"/>
              <w:bottom w:val="single" w:sz="4" w:space="0" w:color="293F5B"/>
              <w:right w:val="nil"/>
            </w:tcBorders>
            <w:shd w:val="clear" w:color="000000" w:fill="FFFFFF"/>
            <w:noWrap/>
            <w:vAlign w:val="center"/>
            <w:hideMark/>
          </w:tcPr>
          <w:p w14:paraId="76CA676E" w14:textId="77777777" w:rsidR="002337D1" w:rsidRPr="002337D1" w:rsidRDefault="002337D1" w:rsidP="002337D1">
            <w:pPr>
              <w:spacing w:before="0" w:after="0" w:line="240" w:lineRule="auto"/>
              <w:rPr>
                <w:rFonts w:ascii="Arial" w:hAnsi="Arial" w:cs="Arial"/>
                <w:color w:val="000000"/>
                <w:sz w:val="16"/>
                <w:szCs w:val="16"/>
              </w:rPr>
            </w:pPr>
            <w:r w:rsidRPr="002337D1">
              <w:rPr>
                <w:rFonts w:ascii="Arial" w:hAnsi="Arial" w:cs="Arial"/>
                <w:color w:val="000000"/>
                <w:sz w:val="16"/>
                <w:szCs w:val="16"/>
              </w:rPr>
              <w:t> </w:t>
            </w:r>
          </w:p>
        </w:tc>
        <w:tc>
          <w:tcPr>
            <w:tcW w:w="550" w:type="pct"/>
            <w:tcBorders>
              <w:top w:val="nil"/>
              <w:left w:val="nil"/>
              <w:bottom w:val="single" w:sz="4" w:space="0" w:color="293F5B"/>
              <w:right w:val="nil"/>
            </w:tcBorders>
            <w:shd w:val="clear" w:color="000000" w:fill="FFFFFF"/>
            <w:noWrap/>
            <w:vAlign w:val="center"/>
            <w:hideMark/>
          </w:tcPr>
          <w:p w14:paraId="4DEED9E7" w14:textId="77777777" w:rsidR="002337D1" w:rsidRPr="002337D1" w:rsidRDefault="002337D1" w:rsidP="002337D1">
            <w:pPr>
              <w:spacing w:before="0" w:after="0" w:line="240" w:lineRule="auto"/>
              <w:rPr>
                <w:rFonts w:ascii="Arial" w:hAnsi="Arial" w:cs="Arial"/>
                <w:color w:val="000000"/>
                <w:sz w:val="16"/>
                <w:szCs w:val="16"/>
              </w:rPr>
            </w:pPr>
            <w:r w:rsidRPr="002337D1">
              <w:rPr>
                <w:rFonts w:ascii="Arial" w:hAnsi="Arial" w:cs="Arial"/>
                <w:color w:val="000000"/>
                <w:sz w:val="16"/>
                <w:szCs w:val="16"/>
              </w:rPr>
              <w:t> </w:t>
            </w:r>
          </w:p>
        </w:tc>
      </w:tr>
      <w:tr w:rsidR="002337D1" w:rsidRPr="002337D1" w14:paraId="3C671B0F" w14:textId="77777777" w:rsidTr="00C525F5">
        <w:trPr>
          <w:trHeight w:hRule="exact" w:val="226"/>
        </w:trPr>
        <w:tc>
          <w:tcPr>
            <w:tcW w:w="2183" w:type="pct"/>
            <w:tcBorders>
              <w:top w:val="nil"/>
              <w:left w:val="nil"/>
              <w:bottom w:val="nil"/>
              <w:right w:val="nil"/>
            </w:tcBorders>
            <w:shd w:val="clear" w:color="000000" w:fill="FFFFFF"/>
            <w:noWrap/>
            <w:vAlign w:val="center"/>
            <w:hideMark/>
          </w:tcPr>
          <w:p w14:paraId="72BE97F1" w14:textId="77777777" w:rsidR="002337D1" w:rsidRPr="002337D1" w:rsidRDefault="002337D1" w:rsidP="002337D1">
            <w:pPr>
              <w:spacing w:before="0" w:after="0" w:line="240" w:lineRule="auto"/>
              <w:rPr>
                <w:rFonts w:ascii="Arial" w:hAnsi="Arial" w:cs="Arial"/>
                <w:b/>
                <w:bCs/>
                <w:color w:val="000000"/>
                <w:sz w:val="16"/>
                <w:szCs w:val="16"/>
              </w:rPr>
            </w:pPr>
            <w:r w:rsidRPr="002337D1">
              <w:rPr>
                <w:rFonts w:ascii="Arial" w:hAnsi="Arial" w:cs="Arial"/>
                <w:b/>
                <w:bCs/>
                <w:color w:val="000000"/>
                <w:sz w:val="16"/>
                <w:szCs w:val="16"/>
              </w:rPr>
              <w:t>Component(a)</w:t>
            </w:r>
          </w:p>
        </w:tc>
        <w:tc>
          <w:tcPr>
            <w:tcW w:w="68" w:type="pct"/>
            <w:tcBorders>
              <w:top w:val="nil"/>
              <w:left w:val="nil"/>
              <w:bottom w:val="nil"/>
              <w:right w:val="nil"/>
            </w:tcBorders>
            <w:shd w:val="clear" w:color="000000" w:fill="FFFFFF"/>
            <w:noWrap/>
            <w:vAlign w:val="center"/>
            <w:hideMark/>
          </w:tcPr>
          <w:p w14:paraId="14D7EF51" w14:textId="77777777" w:rsidR="002337D1" w:rsidRPr="002337D1" w:rsidRDefault="002337D1" w:rsidP="002337D1">
            <w:pPr>
              <w:spacing w:before="0" w:after="0" w:line="240" w:lineRule="auto"/>
              <w:rPr>
                <w:rFonts w:ascii="Arial" w:hAnsi="Arial" w:cs="Arial"/>
                <w:color w:val="000000"/>
                <w:sz w:val="16"/>
                <w:szCs w:val="16"/>
              </w:rPr>
            </w:pPr>
            <w:r w:rsidRPr="002337D1">
              <w:rPr>
                <w:rFonts w:ascii="Arial" w:hAnsi="Arial" w:cs="Arial"/>
                <w:color w:val="000000"/>
                <w:sz w:val="16"/>
                <w:szCs w:val="16"/>
              </w:rPr>
              <w:t> </w:t>
            </w:r>
          </w:p>
        </w:tc>
        <w:tc>
          <w:tcPr>
            <w:tcW w:w="2748" w:type="pct"/>
            <w:gridSpan w:val="5"/>
            <w:tcBorders>
              <w:top w:val="single" w:sz="4" w:space="0" w:color="293F5B"/>
              <w:left w:val="nil"/>
              <w:bottom w:val="single" w:sz="4" w:space="0" w:color="293F5B"/>
              <w:right w:val="nil"/>
            </w:tcBorders>
            <w:shd w:val="clear" w:color="000000" w:fill="FFFFFF"/>
            <w:noWrap/>
            <w:vAlign w:val="center"/>
            <w:hideMark/>
          </w:tcPr>
          <w:p w14:paraId="3B04A628" w14:textId="77777777" w:rsidR="002337D1" w:rsidRPr="002337D1" w:rsidRDefault="002337D1" w:rsidP="002337D1">
            <w:pPr>
              <w:spacing w:before="0" w:after="0" w:line="240" w:lineRule="auto"/>
              <w:jc w:val="center"/>
              <w:rPr>
                <w:rFonts w:ascii="Arial" w:hAnsi="Arial" w:cs="Arial"/>
                <w:color w:val="000000"/>
                <w:sz w:val="16"/>
                <w:szCs w:val="16"/>
              </w:rPr>
            </w:pPr>
            <w:r w:rsidRPr="002337D1">
              <w:rPr>
                <w:rFonts w:ascii="Arial" w:hAnsi="Arial" w:cs="Arial"/>
                <w:color w:val="000000"/>
                <w:sz w:val="16"/>
                <w:szCs w:val="16"/>
              </w:rPr>
              <w:t>Estimates</w:t>
            </w:r>
          </w:p>
        </w:tc>
      </w:tr>
      <w:tr w:rsidR="002337D1" w:rsidRPr="002337D1" w14:paraId="5ACBECBD" w14:textId="77777777" w:rsidTr="002337D1">
        <w:trPr>
          <w:trHeight w:hRule="exact" w:val="226"/>
        </w:trPr>
        <w:tc>
          <w:tcPr>
            <w:tcW w:w="2183" w:type="pct"/>
            <w:tcBorders>
              <w:top w:val="nil"/>
              <w:left w:val="nil"/>
              <w:bottom w:val="nil"/>
              <w:right w:val="nil"/>
            </w:tcBorders>
            <w:shd w:val="clear" w:color="000000" w:fill="FFFFFF"/>
            <w:noWrap/>
            <w:vAlign w:val="bottom"/>
            <w:hideMark/>
          </w:tcPr>
          <w:p w14:paraId="5A85CFB6" w14:textId="77777777" w:rsidR="002337D1" w:rsidRPr="002337D1" w:rsidRDefault="002337D1" w:rsidP="002337D1">
            <w:pPr>
              <w:spacing w:before="0" w:after="0" w:line="240" w:lineRule="auto"/>
              <w:rPr>
                <w:rFonts w:ascii="Arial" w:hAnsi="Arial" w:cs="Arial"/>
                <w:color w:val="000000"/>
                <w:sz w:val="16"/>
                <w:szCs w:val="16"/>
              </w:rPr>
            </w:pPr>
            <w:r w:rsidRPr="002337D1">
              <w:rPr>
                <w:rFonts w:ascii="Arial" w:hAnsi="Arial" w:cs="Arial"/>
                <w:color w:val="000000"/>
                <w:sz w:val="16"/>
                <w:szCs w:val="16"/>
              </w:rPr>
              <w:t> </w:t>
            </w:r>
          </w:p>
        </w:tc>
        <w:tc>
          <w:tcPr>
            <w:tcW w:w="68" w:type="pct"/>
            <w:tcBorders>
              <w:top w:val="nil"/>
              <w:left w:val="nil"/>
              <w:bottom w:val="nil"/>
              <w:right w:val="nil"/>
            </w:tcBorders>
            <w:shd w:val="clear" w:color="000000" w:fill="FFFFFF"/>
            <w:noWrap/>
            <w:vAlign w:val="center"/>
            <w:hideMark/>
          </w:tcPr>
          <w:p w14:paraId="5A7E5AF9" w14:textId="77777777" w:rsidR="002337D1" w:rsidRPr="002337D1" w:rsidRDefault="002337D1" w:rsidP="002337D1">
            <w:pPr>
              <w:spacing w:before="0" w:after="0" w:line="240" w:lineRule="auto"/>
              <w:jc w:val="right"/>
              <w:rPr>
                <w:rFonts w:ascii="Arial" w:hAnsi="Arial" w:cs="Arial"/>
                <w:sz w:val="16"/>
                <w:szCs w:val="16"/>
              </w:rPr>
            </w:pPr>
            <w:r w:rsidRPr="002337D1">
              <w:rPr>
                <w:rFonts w:ascii="Arial" w:hAnsi="Arial" w:cs="Arial"/>
                <w:sz w:val="16"/>
                <w:szCs w:val="16"/>
              </w:rPr>
              <w:t> </w:t>
            </w:r>
          </w:p>
        </w:tc>
        <w:tc>
          <w:tcPr>
            <w:tcW w:w="550" w:type="pct"/>
            <w:tcBorders>
              <w:top w:val="single" w:sz="4" w:space="0" w:color="293F5B"/>
              <w:left w:val="nil"/>
              <w:bottom w:val="nil"/>
              <w:right w:val="nil"/>
            </w:tcBorders>
            <w:shd w:val="clear" w:color="000000" w:fill="FFFFFF"/>
            <w:noWrap/>
            <w:vAlign w:val="center"/>
            <w:hideMark/>
          </w:tcPr>
          <w:p w14:paraId="3C74E4D7" w14:textId="1EAC7757" w:rsidR="002337D1" w:rsidRPr="002337D1" w:rsidRDefault="002337D1" w:rsidP="002337D1">
            <w:pPr>
              <w:spacing w:before="0" w:after="0" w:line="240" w:lineRule="auto"/>
              <w:jc w:val="right"/>
              <w:rPr>
                <w:rFonts w:ascii="Arial" w:hAnsi="Arial" w:cs="Arial"/>
                <w:sz w:val="16"/>
                <w:szCs w:val="16"/>
              </w:rPr>
            </w:pPr>
            <w:r w:rsidRPr="002337D1">
              <w:rPr>
                <w:rFonts w:ascii="Arial" w:hAnsi="Arial" w:cs="Arial"/>
                <w:sz w:val="16"/>
                <w:szCs w:val="16"/>
              </w:rPr>
              <w:t>2023</w:t>
            </w:r>
            <w:r w:rsidR="008D4F6B">
              <w:rPr>
                <w:rFonts w:ascii="Arial" w:hAnsi="Arial" w:cs="Arial"/>
                <w:sz w:val="16"/>
                <w:szCs w:val="16"/>
              </w:rPr>
              <w:noBreakHyphen/>
            </w:r>
            <w:r w:rsidRPr="002337D1">
              <w:rPr>
                <w:rFonts w:ascii="Arial" w:hAnsi="Arial" w:cs="Arial"/>
                <w:sz w:val="16"/>
                <w:szCs w:val="16"/>
              </w:rPr>
              <w:t>24</w:t>
            </w:r>
          </w:p>
        </w:tc>
        <w:tc>
          <w:tcPr>
            <w:tcW w:w="550" w:type="pct"/>
            <w:tcBorders>
              <w:top w:val="single" w:sz="4" w:space="0" w:color="293F5B"/>
              <w:left w:val="nil"/>
              <w:bottom w:val="nil"/>
              <w:right w:val="nil"/>
            </w:tcBorders>
            <w:shd w:val="clear" w:color="000000" w:fill="E6F2FF"/>
            <w:noWrap/>
            <w:vAlign w:val="center"/>
            <w:hideMark/>
          </w:tcPr>
          <w:p w14:paraId="6B7BD289" w14:textId="7806CBEF" w:rsidR="002337D1" w:rsidRPr="002337D1" w:rsidRDefault="002337D1" w:rsidP="002337D1">
            <w:pPr>
              <w:spacing w:before="0" w:after="0" w:line="240" w:lineRule="auto"/>
              <w:jc w:val="right"/>
              <w:rPr>
                <w:rFonts w:ascii="Arial" w:hAnsi="Arial" w:cs="Arial"/>
                <w:sz w:val="16"/>
                <w:szCs w:val="16"/>
              </w:rPr>
            </w:pPr>
            <w:r w:rsidRPr="002337D1">
              <w:rPr>
                <w:rFonts w:ascii="Arial" w:hAnsi="Arial" w:cs="Arial"/>
                <w:sz w:val="16"/>
                <w:szCs w:val="16"/>
              </w:rPr>
              <w:t>2024</w:t>
            </w:r>
            <w:r w:rsidR="008D4F6B">
              <w:rPr>
                <w:rFonts w:ascii="Arial" w:hAnsi="Arial" w:cs="Arial"/>
                <w:sz w:val="16"/>
                <w:szCs w:val="16"/>
              </w:rPr>
              <w:noBreakHyphen/>
            </w:r>
            <w:r w:rsidRPr="002337D1">
              <w:rPr>
                <w:rFonts w:ascii="Arial" w:hAnsi="Arial" w:cs="Arial"/>
                <w:sz w:val="16"/>
                <w:szCs w:val="16"/>
              </w:rPr>
              <w:t>25</w:t>
            </w:r>
          </w:p>
        </w:tc>
        <w:tc>
          <w:tcPr>
            <w:tcW w:w="550" w:type="pct"/>
            <w:tcBorders>
              <w:top w:val="single" w:sz="4" w:space="0" w:color="293F5B"/>
              <w:left w:val="nil"/>
              <w:bottom w:val="nil"/>
              <w:right w:val="nil"/>
            </w:tcBorders>
            <w:shd w:val="clear" w:color="000000" w:fill="FFFFFF"/>
            <w:noWrap/>
            <w:vAlign w:val="center"/>
            <w:hideMark/>
          </w:tcPr>
          <w:p w14:paraId="0848C816" w14:textId="7223A15B" w:rsidR="002337D1" w:rsidRPr="002337D1" w:rsidRDefault="002337D1" w:rsidP="002337D1">
            <w:pPr>
              <w:spacing w:before="0" w:after="0" w:line="240" w:lineRule="auto"/>
              <w:jc w:val="right"/>
              <w:rPr>
                <w:rFonts w:ascii="Arial" w:hAnsi="Arial" w:cs="Arial"/>
                <w:sz w:val="16"/>
                <w:szCs w:val="16"/>
              </w:rPr>
            </w:pPr>
            <w:r w:rsidRPr="002337D1">
              <w:rPr>
                <w:rFonts w:ascii="Arial" w:hAnsi="Arial" w:cs="Arial"/>
                <w:sz w:val="16"/>
                <w:szCs w:val="16"/>
              </w:rPr>
              <w:t>2025</w:t>
            </w:r>
            <w:r w:rsidR="008D4F6B">
              <w:rPr>
                <w:rFonts w:ascii="Arial" w:hAnsi="Arial" w:cs="Arial"/>
                <w:sz w:val="16"/>
                <w:szCs w:val="16"/>
              </w:rPr>
              <w:noBreakHyphen/>
            </w:r>
            <w:r w:rsidRPr="002337D1">
              <w:rPr>
                <w:rFonts w:ascii="Arial" w:hAnsi="Arial" w:cs="Arial"/>
                <w:sz w:val="16"/>
                <w:szCs w:val="16"/>
              </w:rPr>
              <w:t>26</w:t>
            </w:r>
          </w:p>
        </w:tc>
        <w:tc>
          <w:tcPr>
            <w:tcW w:w="550" w:type="pct"/>
            <w:tcBorders>
              <w:top w:val="single" w:sz="4" w:space="0" w:color="293F5B"/>
              <w:left w:val="nil"/>
              <w:bottom w:val="nil"/>
              <w:right w:val="nil"/>
            </w:tcBorders>
            <w:shd w:val="clear" w:color="000000" w:fill="FFFFFF"/>
            <w:noWrap/>
            <w:vAlign w:val="center"/>
            <w:hideMark/>
          </w:tcPr>
          <w:p w14:paraId="6B30A046" w14:textId="6F82420D" w:rsidR="002337D1" w:rsidRPr="002337D1" w:rsidRDefault="002337D1" w:rsidP="002337D1">
            <w:pPr>
              <w:spacing w:before="0" w:after="0" w:line="240" w:lineRule="auto"/>
              <w:jc w:val="right"/>
              <w:rPr>
                <w:rFonts w:ascii="Arial" w:hAnsi="Arial" w:cs="Arial"/>
                <w:sz w:val="16"/>
                <w:szCs w:val="16"/>
              </w:rPr>
            </w:pPr>
            <w:r w:rsidRPr="002337D1">
              <w:rPr>
                <w:rFonts w:ascii="Arial" w:hAnsi="Arial" w:cs="Arial"/>
                <w:sz w:val="16"/>
                <w:szCs w:val="16"/>
              </w:rPr>
              <w:t>2026</w:t>
            </w:r>
            <w:r w:rsidR="008D4F6B">
              <w:rPr>
                <w:rFonts w:ascii="Arial" w:hAnsi="Arial" w:cs="Arial"/>
                <w:sz w:val="16"/>
                <w:szCs w:val="16"/>
              </w:rPr>
              <w:noBreakHyphen/>
            </w:r>
            <w:r w:rsidRPr="002337D1">
              <w:rPr>
                <w:rFonts w:ascii="Arial" w:hAnsi="Arial" w:cs="Arial"/>
                <w:sz w:val="16"/>
                <w:szCs w:val="16"/>
              </w:rPr>
              <w:t>27</w:t>
            </w:r>
          </w:p>
        </w:tc>
        <w:tc>
          <w:tcPr>
            <w:tcW w:w="550" w:type="pct"/>
            <w:tcBorders>
              <w:top w:val="single" w:sz="4" w:space="0" w:color="293F5B"/>
              <w:left w:val="nil"/>
              <w:bottom w:val="nil"/>
              <w:right w:val="nil"/>
            </w:tcBorders>
            <w:shd w:val="clear" w:color="000000" w:fill="FFFFFF"/>
            <w:noWrap/>
            <w:vAlign w:val="center"/>
            <w:hideMark/>
          </w:tcPr>
          <w:p w14:paraId="438184AE" w14:textId="1C8A3D6F" w:rsidR="002337D1" w:rsidRPr="002337D1" w:rsidRDefault="002337D1" w:rsidP="002337D1">
            <w:pPr>
              <w:spacing w:before="0" w:after="0" w:line="240" w:lineRule="auto"/>
              <w:jc w:val="right"/>
              <w:rPr>
                <w:rFonts w:ascii="Arial" w:hAnsi="Arial" w:cs="Arial"/>
                <w:color w:val="000000"/>
                <w:sz w:val="16"/>
                <w:szCs w:val="16"/>
              </w:rPr>
            </w:pPr>
            <w:r w:rsidRPr="002337D1">
              <w:rPr>
                <w:rFonts w:ascii="Arial" w:hAnsi="Arial" w:cs="Arial"/>
                <w:color w:val="000000"/>
                <w:sz w:val="16"/>
                <w:szCs w:val="16"/>
              </w:rPr>
              <w:t>2027</w:t>
            </w:r>
            <w:r w:rsidR="008D4F6B">
              <w:rPr>
                <w:rFonts w:ascii="Arial" w:hAnsi="Arial" w:cs="Arial"/>
                <w:color w:val="000000"/>
                <w:sz w:val="16"/>
                <w:szCs w:val="16"/>
              </w:rPr>
              <w:noBreakHyphen/>
            </w:r>
            <w:r w:rsidRPr="002337D1">
              <w:rPr>
                <w:rFonts w:ascii="Arial" w:hAnsi="Arial" w:cs="Arial"/>
                <w:color w:val="000000"/>
                <w:sz w:val="16"/>
                <w:szCs w:val="16"/>
              </w:rPr>
              <w:t>28</w:t>
            </w:r>
          </w:p>
        </w:tc>
      </w:tr>
      <w:tr w:rsidR="002337D1" w:rsidRPr="002337D1" w14:paraId="2547F22B" w14:textId="77777777" w:rsidTr="002337D1">
        <w:trPr>
          <w:trHeight w:hRule="exact" w:val="226"/>
        </w:trPr>
        <w:tc>
          <w:tcPr>
            <w:tcW w:w="2183" w:type="pct"/>
            <w:tcBorders>
              <w:top w:val="nil"/>
              <w:left w:val="nil"/>
              <w:bottom w:val="nil"/>
              <w:right w:val="nil"/>
            </w:tcBorders>
            <w:shd w:val="clear" w:color="000000" w:fill="FFFFFF"/>
            <w:noWrap/>
            <w:vAlign w:val="center"/>
            <w:hideMark/>
          </w:tcPr>
          <w:p w14:paraId="5C45ED38" w14:textId="77777777" w:rsidR="002337D1" w:rsidRPr="002337D1" w:rsidRDefault="002337D1" w:rsidP="002337D1">
            <w:pPr>
              <w:spacing w:before="0" w:after="0" w:line="240" w:lineRule="auto"/>
              <w:rPr>
                <w:rFonts w:ascii="Arial" w:hAnsi="Arial" w:cs="Arial"/>
                <w:color w:val="000000"/>
                <w:sz w:val="16"/>
                <w:szCs w:val="16"/>
              </w:rPr>
            </w:pPr>
            <w:r w:rsidRPr="002337D1">
              <w:rPr>
                <w:rFonts w:ascii="Arial" w:hAnsi="Arial" w:cs="Arial"/>
                <w:color w:val="000000"/>
                <w:sz w:val="16"/>
                <w:szCs w:val="16"/>
              </w:rPr>
              <w:t> </w:t>
            </w:r>
          </w:p>
        </w:tc>
        <w:tc>
          <w:tcPr>
            <w:tcW w:w="68" w:type="pct"/>
            <w:tcBorders>
              <w:top w:val="nil"/>
              <w:left w:val="nil"/>
              <w:bottom w:val="nil"/>
              <w:right w:val="nil"/>
            </w:tcBorders>
            <w:shd w:val="clear" w:color="000000" w:fill="FFFFFF"/>
            <w:noWrap/>
            <w:vAlign w:val="center"/>
            <w:hideMark/>
          </w:tcPr>
          <w:p w14:paraId="01AA6007" w14:textId="77777777" w:rsidR="002337D1" w:rsidRPr="002337D1" w:rsidRDefault="002337D1" w:rsidP="002337D1">
            <w:pPr>
              <w:spacing w:before="0" w:after="0" w:line="240" w:lineRule="auto"/>
              <w:jc w:val="right"/>
              <w:rPr>
                <w:rFonts w:ascii="Arial" w:hAnsi="Arial" w:cs="Arial"/>
                <w:color w:val="000000"/>
                <w:sz w:val="16"/>
                <w:szCs w:val="16"/>
              </w:rPr>
            </w:pPr>
            <w:r w:rsidRPr="002337D1">
              <w:rPr>
                <w:rFonts w:ascii="Arial" w:hAnsi="Arial" w:cs="Arial"/>
                <w:color w:val="000000"/>
                <w:sz w:val="16"/>
                <w:szCs w:val="16"/>
              </w:rPr>
              <w:t> </w:t>
            </w:r>
          </w:p>
        </w:tc>
        <w:tc>
          <w:tcPr>
            <w:tcW w:w="550" w:type="pct"/>
            <w:tcBorders>
              <w:top w:val="nil"/>
              <w:left w:val="nil"/>
              <w:bottom w:val="single" w:sz="4" w:space="0" w:color="293F5B"/>
              <w:right w:val="nil"/>
            </w:tcBorders>
            <w:shd w:val="clear" w:color="000000" w:fill="FFFFFF"/>
            <w:noWrap/>
            <w:vAlign w:val="center"/>
            <w:hideMark/>
          </w:tcPr>
          <w:p w14:paraId="0032A87D" w14:textId="77777777" w:rsidR="002337D1" w:rsidRPr="002337D1" w:rsidRDefault="002337D1" w:rsidP="002337D1">
            <w:pPr>
              <w:spacing w:before="0" w:after="0" w:line="240" w:lineRule="auto"/>
              <w:jc w:val="right"/>
              <w:rPr>
                <w:rFonts w:ascii="Arial" w:hAnsi="Arial" w:cs="Arial"/>
                <w:color w:val="000000"/>
                <w:sz w:val="16"/>
                <w:szCs w:val="16"/>
              </w:rPr>
            </w:pPr>
            <w:r w:rsidRPr="002337D1">
              <w:rPr>
                <w:rFonts w:ascii="Arial" w:hAnsi="Arial" w:cs="Arial"/>
                <w:color w:val="000000"/>
                <w:sz w:val="16"/>
                <w:szCs w:val="16"/>
              </w:rPr>
              <w:t>$m</w:t>
            </w:r>
          </w:p>
        </w:tc>
        <w:tc>
          <w:tcPr>
            <w:tcW w:w="550" w:type="pct"/>
            <w:tcBorders>
              <w:top w:val="nil"/>
              <w:left w:val="nil"/>
              <w:bottom w:val="single" w:sz="4" w:space="0" w:color="293F5B"/>
              <w:right w:val="nil"/>
            </w:tcBorders>
            <w:shd w:val="clear" w:color="000000" w:fill="E6F2FF"/>
            <w:noWrap/>
            <w:vAlign w:val="center"/>
            <w:hideMark/>
          </w:tcPr>
          <w:p w14:paraId="327682E1" w14:textId="77777777" w:rsidR="002337D1" w:rsidRPr="002337D1" w:rsidRDefault="002337D1" w:rsidP="002337D1">
            <w:pPr>
              <w:spacing w:before="0" w:after="0" w:line="240" w:lineRule="auto"/>
              <w:jc w:val="right"/>
              <w:rPr>
                <w:rFonts w:ascii="Arial" w:hAnsi="Arial" w:cs="Arial"/>
                <w:color w:val="000000"/>
                <w:sz w:val="16"/>
                <w:szCs w:val="16"/>
              </w:rPr>
            </w:pPr>
            <w:r w:rsidRPr="002337D1">
              <w:rPr>
                <w:rFonts w:ascii="Arial" w:hAnsi="Arial" w:cs="Arial"/>
                <w:color w:val="000000"/>
                <w:sz w:val="16"/>
                <w:szCs w:val="16"/>
              </w:rPr>
              <w:t>$m</w:t>
            </w:r>
          </w:p>
        </w:tc>
        <w:tc>
          <w:tcPr>
            <w:tcW w:w="550" w:type="pct"/>
            <w:tcBorders>
              <w:top w:val="nil"/>
              <w:left w:val="nil"/>
              <w:bottom w:val="single" w:sz="4" w:space="0" w:color="293F5B"/>
              <w:right w:val="nil"/>
            </w:tcBorders>
            <w:shd w:val="clear" w:color="000000" w:fill="FFFFFF"/>
            <w:noWrap/>
            <w:vAlign w:val="center"/>
            <w:hideMark/>
          </w:tcPr>
          <w:p w14:paraId="0787B672" w14:textId="77777777" w:rsidR="002337D1" w:rsidRPr="002337D1" w:rsidRDefault="002337D1" w:rsidP="002337D1">
            <w:pPr>
              <w:spacing w:before="0" w:after="0" w:line="240" w:lineRule="auto"/>
              <w:jc w:val="right"/>
              <w:rPr>
                <w:rFonts w:ascii="Arial" w:hAnsi="Arial" w:cs="Arial"/>
                <w:color w:val="000000"/>
                <w:sz w:val="16"/>
                <w:szCs w:val="16"/>
              </w:rPr>
            </w:pPr>
            <w:r w:rsidRPr="002337D1">
              <w:rPr>
                <w:rFonts w:ascii="Arial" w:hAnsi="Arial" w:cs="Arial"/>
                <w:color w:val="000000"/>
                <w:sz w:val="16"/>
                <w:szCs w:val="16"/>
              </w:rPr>
              <w:t>$m</w:t>
            </w:r>
          </w:p>
        </w:tc>
        <w:tc>
          <w:tcPr>
            <w:tcW w:w="550" w:type="pct"/>
            <w:tcBorders>
              <w:top w:val="nil"/>
              <w:left w:val="nil"/>
              <w:bottom w:val="single" w:sz="4" w:space="0" w:color="293F5B"/>
              <w:right w:val="nil"/>
            </w:tcBorders>
            <w:shd w:val="clear" w:color="000000" w:fill="FFFFFF"/>
            <w:noWrap/>
            <w:vAlign w:val="center"/>
            <w:hideMark/>
          </w:tcPr>
          <w:p w14:paraId="7C6EEC48" w14:textId="77777777" w:rsidR="002337D1" w:rsidRPr="002337D1" w:rsidRDefault="002337D1" w:rsidP="002337D1">
            <w:pPr>
              <w:spacing w:before="0" w:after="0" w:line="240" w:lineRule="auto"/>
              <w:jc w:val="right"/>
              <w:rPr>
                <w:rFonts w:ascii="Arial" w:hAnsi="Arial" w:cs="Arial"/>
                <w:color w:val="000000"/>
                <w:sz w:val="16"/>
                <w:szCs w:val="16"/>
              </w:rPr>
            </w:pPr>
            <w:r w:rsidRPr="002337D1">
              <w:rPr>
                <w:rFonts w:ascii="Arial" w:hAnsi="Arial" w:cs="Arial"/>
                <w:color w:val="000000"/>
                <w:sz w:val="16"/>
                <w:szCs w:val="16"/>
              </w:rPr>
              <w:t>$m</w:t>
            </w:r>
          </w:p>
        </w:tc>
        <w:tc>
          <w:tcPr>
            <w:tcW w:w="550" w:type="pct"/>
            <w:tcBorders>
              <w:top w:val="nil"/>
              <w:left w:val="nil"/>
              <w:bottom w:val="single" w:sz="4" w:space="0" w:color="293F5B"/>
              <w:right w:val="nil"/>
            </w:tcBorders>
            <w:shd w:val="clear" w:color="000000" w:fill="FFFFFF"/>
            <w:noWrap/>
            <w:vAlign w:val="center"/>
            <w:hideMark/>
          </w:tcPr>
          <w:p w14:paraId="466B8130" w14:textId="77777777" w:rsidR="002337D1" w:rsidRPr="002337D1" w:rsidRDefault="002337D1" w:rsidP="002337D1">
            <w:pPr>
              <w:spacing w:before="0" w:after="0" w:line="240" w:lineRule="auto"/>
              <w:jc w:val="right"/>
              <w:rPr>
                <w:rFonts w:ascii="Arial" w:hAnsi="Arial" w:cs="Arial"/>
                <w:color w:val="000000"/>
                <w:sz w:val="16"/>
                <w:szCs w:val="16"/>
              </w:rPr>
            </w:pPr>
            <w:r w:rsidRPr="002337D1">
              <w:rPr>
                <w:rFonts w:ascii="Arial" w:hAnsi="Arial" w:cs="Arial"/>
                <w:color w:val="000000"/>
                <w:sz w:val="16"/>
                <w:szCs w:val="16"/>
              </w:rPr>
              <w:t>$m</w:t>
            </w:r>
          </w:p>
        </w:tc>
      </w:tr>
      <w:tr w:rsidR="002337D1" w:rsidRPr="002337D1" w14:paraId="75D81E55" w14:textId="77777777" w:rsidTr="002337D1">
        <w:trPr>
          <w:trHeight w:hRule="exact" w:val="226"/>
        </w:trPr>
        <w:tc>
          <w:tcPr>
            <w:tcW w:w="2183" w:type="pct"/>
            <w:tcBorders>
              <w:top w:val="nil"/>
              <w:left w:val="nil"/>
              <w:bottom w:val="nil"/>
              <w:right w:val="nil"/>
            </w:tcBorders>
            <w:shd w:val="clear" w:color="000000" w:fill="FFFFFF"/>
            <w:noWrap/>
            <w:vAlign w:val="center"/>
            <w:hideMark/>
          </w:tcPr>
          <w:p w14:paraId="54222C65" w14:textId="77777777" w:rsidR="002337D1" w:rsidRPr="002337D1" w:rsidRDefault="002337D1" w:rsidP="002337D1">
            <w:pPr>
              <w:spacing w:before="0" w:after="0" w:line="240" w:lineRule="auto"/>
              <w:rPr>
                <w:rFonts w:ascii="Arial" w:hAnsi="Arial" w:cs="Arial"/>
                <w:color w:val="000000"/>
                <w:sz w:val="16"/>
                <w:szCs w:val="16"/>
              </w:rPr>
            </w:pPr>
            <w:r w:rsidRPr="002337D1">
              <w:rPr>
                <w:rFonts w:ascii="Arial" w:hAnsi="Arial" w:cs="Arial"/>
                <w:color w:val="000000"/>
                <w:sz w:val="16"/>
                <w:szCs w:val="16"/>
              </w:rPr>
              <w:t>Pharmaceutical benefits, services and</w:t>
            </w:r>
          </w:p>
        </w:tc>
        <w:tc>
          <w:tcPr>
            <w:tcW w:w="68" w:type="pct"/>
            <w:tcBorders>
              <w:top w:val="nil"/>
              <w:left w:val="nil"/>
              <w:bottom w:val="nil"/>
              <w:right w:val="nil"/>
            </w:tcBorders>
            <w:shd w:val="clear" w:color="000000" w:fill="FFFFFF"/>
            <w:noWrap/>
            <w:vAlign w:val="center"/>
            <w:hideMark/>
          </w:tcPr>
          <w:p w14:paraId="3E0DF130" w14:textId="77777777" w:rsidR="002337D1" w:rsidRPr="002337D1" w:rsidRDefault="002337D1" w:rsidP="002337D1">
            <w:pPr>
              <w:spacing w:before="0" w:after="0" w:line="240" w:lineRule="auto"/>
              <w:rPr>
                <w:rFonts w:ascii="Arial" w:hAnsi="Arial" w:cs="Arial"/>
                <w:color w:val="000000"/>
                <w:sz w:val="16"/>
                <w:szCs w:val="16"/>
              </w:rPr>
            </w:pPr>
            <w:r w:rsidRPr="002337D1">
              <w:rPr>
                <w:rFonts w:ascii="Arial" w:hAnsi="Arial" w:cs="Arial"/>
                <w:color w:val="000000"/>
                <w:sz w:val="16"/>
                <w:szCs w:val="16"/>
              </w:rPr>
              <w:t> </w:t>
            </w:r>
          </w:p>
        </w:tc>
        <w:tc>
          <w:tcPr>
            <w:tcW w:w="550" w:type="pct"/>
            <w:tcBorders>
              <w:top w:val="nil"/>
              <w:left w:val="nil"/>
              <w:bottom w:val="nil"/>
              <w:right w:val="nil"/>
            </w:tcBorders>
            <w:shd w:val="clear" w:color="000000" w:fill="FFFFFF"/>
            <w:noWrap/>
            <w:vAlign w:val="center"/>
            <w:hideMark/>
          </w:tcPr>
          <w:p w14:paraId="37EA97C1" w14:textId="77777777" w:rsidR="002337D1" w:rsidRPr="002337D1" w:rsidRDefault="002337D1" w:rsidP="002337D1">
            <w:pPr>
              <w:spacing w:before="0" w:after="0" w:line="240" w:lineRule="auto"/>
              <w:rPr>
                <w:rFonts w:ascii="Arial" w:hAnsi="Arial" w:cs="Arial"/>
                <w:color w:val="000000"/>
                <w:sz w:val="16"/>
                <w:szCs w:val="16"/>
              </w:rPr>
            </w:pPr>
            <w:r w:rsidRPr="002337D1">
              <w:rPr>
                <w:rFonts w:ascii="Arial" w:hAnsi="Arial" w:cs="Arial"/>
                <w:color w:val="000000"/>
                <w:sz w:val="16"/>
                <w:szCs w:val="16"/>
              </w:rPr>
              <w:t> </w:t>
            </w:r>
          </w:p>
        </w:tc>
        <w:tc>
          <w:tcPr>
            <w:tcW w:w="550" w:type="pct"/>
            <w:tcBorders>
              <w:top w:val="nil"/>
              <w:left w:val="nil"/>
              <w:bottom w:val="nil"/>
              <w:right w:val="nil"/>
            </w:tcBorders>
            <w:shd w:val="clear" w:color="000000" w:fill="E6F2FF"/>
            <w:noWrap/>
            <w:vAlign w:val="center"/>
            <w:hideMark/>
          </w:tcPr>
          <w:p w14:paraId="3DCC8E5F" w14:textId="77777777" w:rsidR="002337D1" w:rsidRPr="002337D1" w:rsidRDefault="002337D1" w:rsidP="002337D1">
            <w:pPr>
              <w:spacing w:before="0" w:after="0" w:line="240" w:lineRule="auto"/>
              <w:rPr>
                <w:rFonts w:ascii="Arial" w:hAnsi="Arial" w:cs="Arial"/>
                <w:color w:val="000000"/>
                <w:sz w:val="16"/>
                <w:szCs w:val="16"/>
              </w:rPr>
            </w:pPr>
            <w:r w:rsidRPr="002337D1">
              <w:rPr>
                <w:rFonts w:ascii="Arial" w:hAnsi="Arial" w:cs="Arial"/>
                <w:color w:val="000000"/>
                <w:sz w:val="16"/>
                <w:szCs w:val="16"/>
              </w:rPr>
              <w:t> </w:t>
            </w:r>
          </w:p>
        </w:tc>
        <w:tc>
          <w:tcPr>
            <w:tcW w:w="550" w:type="pct"/>
            <w:tcBorders>
              <w:top w:val="nil"/>
              <w:left w:val="nil"/>
              <w:bottom w:val="nil"/>
              <w:right w:val="nil"/>
            </w:tcBorders>
            <w:shd w:val="clear" w:color="000000" w:fill="FFFFFF"/>
            <w:noWrap/>
            <w:vAlign w:val="center"/>
            <w:hideMark/>
          </w:tcPr>
          <w:p w14:paraId="6B7EA262" w14:textId="77777777" w:rsidR="002337D1" w:rsidRPr="002337D1" w:rsidRDefault="002337D1" w:rsidP="002337D1">
            <w:pPr>
              <w:spacing w:before="0" w:after="0" w:line="240" w:lineRule="auto"/>
              <w:rPr>
                <w:rFonts w:ascii="Arial" w:hAnsi="Arial" w:cs="Arial"/>
                <w:color w:val="000000"/>
                <w:sz w:val="16"/>
                <w:szCs w:val="16"/>
              </w:rPr>
            </w:pPr>
            <w:r w:rsidRPr="002337D1">
              <w:rPr>
                <w:rFonts w:ascii="Arial" w:hAnsi="Arial" w:cs="Arial"/>
                <w:color w:val="000000"/>
                <w:sz w:val="16"/>
                <w:szCs w:val="16"/>
              </w:rPr>
              <w:t> </w:t>
            </w:r>
          </w:p>
        </w:tc>
        <w:tc>
          <w:tcPr>
            <w:tcW w:w="550" w:type="pct"/>
            <w:tcBorders>
              <w:top w:val="nil"/>
              <w:left w:val="nil"/>
              <w:bottom w:val="nil"/>
              <w:right w:val="nil"/>
            </w:tcBorders>
            <w:shd w:val="clear" w:color="000000" w:fill="FFFFFF"/>
            <w:noWrap/>
            <w:vAlign w:val="center"/>
            <w:hideMark/>
          </w:tcPr>
          <w:p w14:paraId="74287B91" w14:textId="77777777" w:rsidR="002337D1" w:rsidRPr="002337D1" w:rsidRDefault="002337D1" w:rsidP="002337D1">
            <w:pPr>
              <w:spacing w:before="0" w:after="0" w:line="240" w:lineRule="auto"/>
              <w:rPr>
                <w:rFonts w:ascii="Arial" w:hAnsi="Arial" w:cs="Arial"/>
                <w:color w:val="000000"/>
                <w:sz w:val="16"/>
                <w:szCs w:val="16"/>
              </w:rPr>
            </w:pPr>
            <w:r w:rsidRPr="002337D1">
              <w:rPr>
                <w:rFonts w:ascii="Arial" w:hAnsi="Arial" w:cs="Arial"/>
                <w:color w:val="000000"/>
                <w:sz w:val="16"/>
                <w:szCs w:val="16"/>
              </w:rPr>
              <w:t> </w:t>
            </w:r>
          </w:p>
        </w:tc>
        <w:tc>
          <w:tcPr>
            <w:tcW w:w="550" w:type="pct"/>
            <w:tcBorders>
              <w:top w:val="nil"/>
              <w:left w:val="nil"/>
              <w:bottom w:val="nil"/>
              <w:right w:val="nil"/>
            </w:tcBorders>
            <w:shd w:val="clear" w:color="000000" w:fill="FFFFFF"/>
            <w:noWrap/>
            <w:vAlign w:val="center"/>
            <w:hideMark/>
          </w:tcPr>
          <w:p w14:paraId="50194E27" w14:textId="77777777" w:rsidR="002337D1" w:rsidRPr="002337D1" w:rsidRDefault="002337D1" w:rsidP="002337D1">
            <w:pPr>
              <w:spacing w:before="0" w:after="0" w:line="240" w:lineRule="auto"/>
              <w:rPr>
                <w:rFonts w:ascii="Arial" w:hAnsi="Arial" w:cs="Arial"/>
                <w:color w:val="000000"/>
                <w:sz w:val="16"/>
                <w:szCs w:val="16"/>
              </w:rPr>
            </w:pPr>
            <w:r w:rsidRPr="002337D1">
              <w:rPr>
                <w:rFonts w:ascii="Arial" w:hAnsi="Arial" w:cs="Arial"/>
                <w:color w:val="000000"/>
                <w:sz w:val="16"/>
                <w:szCs w:val="16"/>
              </w:rPr>
              <w:t> </w:t>
            </w:r>
          </w:p>
        </w:tc>
      </w:tr>
      <w:tr w:rsidR="002337D1" w:rsidRPr="002337D1" w14:paraId="037DE0C0" w14:textId="77777777" w:rsidTr="002337D1">
        <w:trPr>
          <w:trHeight w:hRule="exact" w:val="226"/>
        </w:trPr>
        <w:tc>
          <w:tcPr>
            <w:tcW w:w="2183" w:type="pct"/>
            <w:tcBorders>
              <w:top w:val="nil"/>
              <w:left w:val="nil"/>
              <w:bottom w:val="nil"/>
              <w:right w:val="nil"/>
            </w:tcBorders>
            <w:shd w:val="clear" w:color="000000" w:fill="FFFFFF"/>
            <w:noWrap/>
            <w:vAlign w:val="center"/>
            <w:hideMark/>
          </w:tcPr>
          <w:p w14:paraId="7F109FDB" w14:textId="77777777" w:rsidR="002337D1" w:rsidRPr="002337D1" w:rsidRDefault="002337D1" w:rsidP="002337D1">
            <w:pPr>
              <w:spacing w:before="0" w:after="0" w:line="240" w:lineRule="auto"/>
              <w:ind w:left="170"/>
              <w:rPr>
                <w:rFonts w:ascii="Arial" w:hAnsi="Arial" w:cs="Arial"/>
                <w:color w:val="000000"/>
                <w:sz w:val="16"/>
                <w:szCs w:val="16"/>
              </w:rPr>
            </w:pPr>
            <w:r w:rsidRPr="002337D1">
              <w:rPr>
                <w:rFonts w:ascii="Arial" w:hAnsi="Arial" w:cs="Arial"/>
                <w:color w:val="000000"/>
                <w:sz w:val="16"/>
                <w:szCs w:val="16"/>
              </w:rPr>
              <w:t>supply</w:t>
            </w:r>
          </w:p>
        </w:tc>
        <w:tc>
          <w:tcPr>
            <w:tcW w:w="68" w:type="pct"/>
            <w:tcBorders>
              <w:top w:val="nil"/>
              <w:left w:val="nil"/>
              <w:bottom w:val="nil"/>
              <w:right w:val="nil"/>
            </w:tcBorders>
            <w:shd w:val="clear" w:color="000000" w:fill="FFFFFF"/>
            <w:noWrap/>
            <w:vAlign w:val="center"/>
            <w:hideMark/>
          </w:tcPr>
          <w:p w14:paraId="3BD193DD" w14:textId="77777777" w:rsidR="002337D1" w:rsidRPr="002337D1" w:rsidRDefault="002337D1" w:rsidP="002337D1">
            <w:pPr>
              <w:spacing w:before="0" w:after="0" w:line="240" w:lineRule="auto"/>
              <w:rPr>
                <w:rFonts w:ascii="Arial" w:hAnsi="Arial" w:cs="Arial"/>
                <w:color w:val="000000"/>
                <w:sz w:val="16"/>
                <w:szCs w:val="16"/>
              </w:rPr>
            </w:pPr>
            <w:r w:rsidRPr="002337D1">
              <w:rPr>
                <w:rFonts w:ascii="Arial" w:hAnsi="Arial" w:cs="Arial"/>
                <w:color w:val="000000"/>
                <w:sz w:val="16"/>
                <w:szCs w:val="16"/>
              </w:rPr>
              <w:t> </w:t>
            </w:r>
          </w:p>
        </w:tc>
        <w:tc>
          <w:tcPr>
            <w:tcW w:w="550" w:type="pct"/>
            <w:tcBorders>
              <w:top w:val="nil"/>
              <w:left w:val="nil"/>
              <w:bottom w:val="nil"/>
              <w:right w:val="nil"/>
            </w:tcBorders>
            <w:shd w:val="clear" w:color="000000" w:fill="FFFFFF"/>
            <w:noWrap/>
            <w:vAlign w:val="center"/>
            <w:hideMark/>
          </w:tcPr>
          <w:p w14:paraId="72225023" w14:textId="77777777" w:rsidR="002337D1" w:rsidRPr="002337D1" w:rsidRDefault="002337D1" w:rsidP="002337D1">
            <w:pPr>
              <w:spacing w:before="0" w:after="0" w:line="240" w:lineRule="auto"/>
              <w:jc w:val="right"/>
              <w:rPr>
                <w:rFonts w:ascii="Arial" w:hAnsi="Arial" w:cs="Arial"/>
                <w:color w:val="000000"/>
                <w:sz w:val="16"/>
                <w:szCs w:val="16"/>
              </w:rPr>
            </w:pPr>
            <w:r w:rsidRPr="002337D1">
              <w:rPr>
                <w:rFonts w:ascii="Arial" w:hAnsi="Arial" w:cs="Arial"/>
                <w:color w:val="000000"/>
                <w:sz w:val="16"/>
                <w:szCs w:val="16"/>
              </w:rPr>
              <w:t>19,009</w:t>
            </w:r>
          </w:p>
        </w:tc>
        <w:tc>
          <w:tcPr>
            <w:tcW w:w="550" w:type="pct"/>
            <w:tcBorders>
              <w:top w:val="nil"/>
              <w:left w:val="nil"/>
              <w:bottom w:val="nil"/>
              <w:right w:val="nil"/>
            </w:tcBorders>
            <w:shd w:val="clear" w:color="000000" w:fill="E6F2FF"/>
            <w:noWrap/>
            <w:vAlign w:val="center"/>
            <w:hideMark/>
          </w:tcPr>
          <w:p w14:paraId="29693A2A" w14:textId="77777777" w:rsidR="002337D1" w:rsidRPr="002337D1" w:rsidRDefault="002337D1" w:rsidP="002337D1">
            <w:pPr>
              <w:spacing w:before="0" w:after="0" w:line="240" w:lineRule="auto"/>
              <w:jc w:val="right"/>
              <w:rPr>
                <w:rFonts w:ascii="Arial" w:hAnsi="Arial" w:cs="Arial"/>
                <w:color w:val="000000"/>
                <w:sz w:val="16"/>
                <w:szCs w:val="16"/>
              </w:rPr>
            </w:pPr>
            <w:r w:rsidRPr="002337D1">
              <w:rPr>
                <w:rFonts w:ascii="Arial" w:hAnsi="Arial" w:cs="Arial"/>
                <w:color w:val="000000"/>
                <w:sz w:val="16"/>
                <w:szCs w:val="16"/>
              </w:rPr>
              <w:t>19,543</w:t>
            </w:r>
          </w:p>
        </w:tc>
        <w:tc>
          <w:tcPr>
            <w:tcW w:w="550" w:type="pct"/>
            <w:tcBorders>
              <w:top w:val="nil"/>
              <w:left w:val="nil"/>
              <w:bottom w:val="nil"/>
              <w:right w:val="nil"/>
            </w:tcBorders>
            <w:shd w:val="clear" w:color="000000" w:fill="FFFFFF"/>
            <w:noWrap/>
            <w:vAlign w:val="center"/>
            <w:hideMark/>
          </w:tcPr>
          <w:p w14:paraId="44E92304" w14:textId="77777777" w:rsidR="002337D1" w:rsidRPr="002337D1" w:rsidRDefault="002337D1" w:rsidP="002337D1">
            <w:pPr>
              <w:spacing w:before="0" w:after="0" w:line="240" w:lineRule="auto"/>
              <w:jc w:val="right"/>
              <w:rPr>
                <w:rFonts w:ascii="Arial" w:hAnsi="Arial" w:cs="Arial"/>
                <w:color w:val="000000"/>
                <w:sz w:val="16"/>
                <w:szCs w:val="16"/>
              </w:rPr>
            </w:pPr>
            <w:r w:rsidRPr="002337D1">
              <w:rPr>
                <w:rFonts w:ascii="Arial" w:hAnsi="Arial" w:cs="Arial"/>
                <w:color w:val="000000"/>
                <w:sz w:val="16"/>
                <w:szCs w:val="16"/>
              </w:rPr>
              <w:t>19,760</w:t>
            </w:r>
          </w:p>
        </w:tc>
        <w:tc>
          <w:tcPr>
            <w:tcW w:w="550" w:type="pct"/>
            <w:tcBorders>
              <w:top w:val="nil"/>
              <w:left w:val="nil"/>
              <w:bottom w:val="nil"/>
              <w:right w:val="nil"/>
            </w:tcBorders>
            <w:shd w:val="clear" w:color="000000" w:fill="FFFFFF"/>
            <w:noWrap/>
            <w:vAlign w:val="center"/>
            <w:hideMark/>
          </w:tcPr>
          <w:p w14:paraId="3EF12E6A" w14:textId="77777777" w:rsidR="002337D1" w:rsidRPr="002337D1" w:rsidRDefault="002337D1" w:rsidP="002337D1">
            <w:pPr>
              <w:spacing w:before="0" w:after="0" w:line="240" w:lineRule="auto"/>
              <w:jc w:val="right"/>
              <w:rPr>
                <w:rFonts w:ascii="Arial" w:hAnsi="Arial" w:cs="Arial"/>
                <w:color w:val="000000"/>
                <w:sz w:val="16"/>
                <w:szCs w:val="16"/>
              </w:rPr>
            </w:pPr>
            <w:r w:rsidRPr="002337D1">
              <w:rPr>
                <w:rFonts w:ascii="Arial" w:hAnsi="Arial" w:cs="Arial"/>
                <w:color w:val="000000"/>
                <w:sz w:val="16"/>
                <w:szCs w:val="16"/>
              </w:rPr>
              <w:t>19,545</w:t>
            </w:r>
          </w:p>
        </w:tc>
        <w:tc>
          <w:tcPr>
            <w:tcW w:w="550" w:type="pct"/>
            <w:tcBorders>
              <w:top w:val="nil"/>
              <w:left w:val="nil"/>
              <w:bottom w:val="nil"/>
              <w:right w:val="nil"/>
            </w:tcBorders>
            <w:shd w:val="clear" w:color="000000" w:fill="FFFFFF"/>
            <w:noWrap/>
            <w:vAlign w:val="center"/>
            <w:hideMark/>
          </w:tcPr>
          <w:p w14:paraId="458E69CE" w14:textId="77777777" w:rsidR="002337D1" w:rsidRPr="002337D1" w:rsidRDefault="002337D1" w:rsidP="002337D1">
            <w:pPr>
              <w:spacing w:before="0" w:after="0" w:line="240" w:lineRule="auto"/>
              <w:jc w:val="right"/>
              <w:rPr>
                <w:rFonts w:ascii="Arial" w:hAnsi="Arial" w:cs="Arial"/>
                <w:color w:val="000000"/>
                <w:sz w:val="16"/>
                <w:szCs w:val="16"/>
              </w:rPr>
            </w:pPr>
            <w:r w:rsidRPr="002337D1">
              <w:rPr>
                <w:rFonts w:ascii="Arial" w:hAnsi="Arial" w:cs="Arial"/>
                <w:color w:val="000000"/>
                <w:sz w:val="16"/>
                <w:szCs w:val="16"/>
              </w:rPr>
              <w:t>19,717</w:t>
            </w:r>
          </w:p>
        </w:tc>
      </w:tr>
      <w:tr w:rsidR="002337D1" w:rsidRPr="002337D1" w14:paraId="44E3CB74" w14:textId="77777777" w:rsidTr="002337D1">
        <w:trPr>
          <w:trHeight w:hRule="exact" w:val="226"/>
        </w:trPr>
        <w:tc>
          <w:tcPr>
            <w:tcW w:w="2183" w:type="pct"/>
            <w:tcBorders>
              <w:top w:val="nil"/>
              <w:left w:val="nil"/>
              <w:bottom w:val="nil"/>
              <w:right w:val="nil"/>
            </w:tcBorders>
            <w:shd w:val="clear" w:color="000000" w:fill="FFFFFF"/>
            <w:noWrap/>
            <w:vAlign w:val="center"/>
            <w:hideMark/>
          </w:tcPr>
          <w:p w14:paraId="0F23E238" w14:textId="77777777" w:rsidR="002337D1" w:rsidRPr="002337D1" w:rsidRDefault="002337D1" w:rsidP="002337D1">
            <w:pPr>
              <w:spacing w:before="0" w:after="0" w:line="240" w:lineRule="auto"/>
              <w:rPr>
                <w:rFonts w:ascii="Arial" w:hAnsi="Arial" w:cs="Arial"/>
                <w:color w:val="000000"/>
                <w:sz w:val="16"/>
                <w:szCs w:val="16"/>
              </w:rPr>
            </w:pPr>
            <w:r w:rsidRPr="002337D1">
              <w:rPr>
                <w:rFonts w:ascii="Arial" w:hAnsi="Arial" w:cs="Arial"/>
                <w:color w:val="000000"/>
                <w:sz w:val="16"/>
                <w:szCs w:val="16"/>
              </w:rPr>
              <w:t>Immunisation</w:t>
            </w:r>
          </w:p>
        </w:tc>
        <w:tc>
          <w:tcPr>
            <w:tcW w:w="68" w:type="pct"/>
            <w:tcBorders>
              <w:top w:val="nil"/>
              <w:left w:val="nil"/>
              <w:bottom w:val="nil"/>
              <w:right w:val="nil"/>
            </w:tcBorders>
            <w:shd w:val="clear" w:color="000000" w:fill="FFFFFF"/>
            <w:noWrap/>
            <w:vAlign w:val="center"/>
            <w:hideMark/>
          </w:tcPr>
          <w:p w14:paraId="6EAA4838" w14:textId="77777777" w:rsidR="002337D1" w:rsidRPr="002337D1" w:rsidRDefault="002337D1" w:rsidP="002337D1">
            <w:pPr>
              <w:spacing w:before="0" w:after="0" w:line="240" w:lineRule="auto"/>
              <w:rPr>
                <w:rFonts w:ascii="Arial" w:hAnsi="Arial" w:cs="Arial"/>
                <w:color w:val="000000"/>
                <w:sz w:val="16"/>
                <w:szCs w:val="16"/>
              </w:rPr>
            </w:pPr>
            <w:r w:rsidRPr="002337D1">
              <w:rPr>
                <w:rFonts w:ascii="Arial" w:hAnsi="Arial" w:cs="Arial"/>
                <w:color w:val="000000"/>
                <w:sz w:val="16"/>
                <w:szCs w:val="16"/>
              </w:rPr>
              <w:t> </w:t>
            </w:r>
          </w:p>
        </w:tc>
        <w:tc>
          <w:tcPr>
            <w:tcW w:w="550" w:type="pct"/>
            <w:tcBorders>
              <w:top w:val="nil"/>
              <w:left w:val="nil"/>
              <w:bottom w:val="nil"/>
              <w:right w:val="nil"/>
            </w:tcBorders>
            <w:shd w:val="clear" w:color="000000" w:fill="FFFFFF"/>
            <w:noWrap/>
            <w:vAlign w:val="center"/>
            <w:hideMark/>
          </w:tcPr>
          <w:p w14:paraId="15A1904C" w14:textId="77777777" w:rsidR="002337D1" w:rsidRPr="002337D1" w:rsidRDefault="002337D1" w:rsidP="002337D1">
            <w:pPr>
              <w:spacing w:before="0" w:after="0" w:line="240" w:lineRule="auto"/>
              <w:jc w:val="right"/>
              <w:rPr>
                <w:rFonts w:ascii="Arial" w:hAnsi="Arial" w:cs="Arial"/>
                <w:color w:val="000000"/>
                <w:sz w:val="16"/>
                <w:szCs w:val="16"/>
              </w:rPr>
            </w:pPr>
            <w:r w:rsidRPr="002337D1">
              <w:rPr>
                <w:rFonts w:ascii="Arial" w:hAnsi="Arial" w:cs="Arial"/>
                <w:color w:val="000000"/>
                <w:sz w:val="16"/>
                <w:szCs w:val="16"/>
              </w:rPr>
              <w:t>768</w:t>
            </w:r>
          </w:p>
        </w:tc>
        <w:tc>
          <w:tcPr>
            <w:tcW w:w="550" w:type="pct"/>
            <w:tcBorders>
              <w:top w:val="nil"/>
              <w:left w:val="nil"/>
              <w:bottom w:val="nil"/>
              <w:right w:val="nil"/>
            </w:tcBorders>
            <w:shd w:val="clear" w:color="000000" w:fill="E6F2FF"/>
            <w:noWrap/>
            <w:vAlign w:val="center"/>
            <w:hideMark/>
          </w:tcPr>
          <w:p w14:paraId="72296223" w14:textId="77777777" w:rsidR="002337D1" w:rsidRPr="002337D1" w:rsidRDefault="002337D1" w:rsidP="002337D1">
            <w:pPr>
              <w:spacing w:before="0" w:after="0" w:line="240" w:lineRule="auto"/>
              <w:jc w:val="right"/>
              <w:rPr>
                <w:rFonts w:ascii="Arial" w:hAnsi="Arial" w:cs="Arial"/>
                <w:color w:val="000000"/>
                <w:sz w:val="16"/>
                <w:szCs w:val="16"/>
              </w:rPr>
            </w:pPr>
            <w:r w:rsidRPr="002337D1">
              <w:rPr>
                <w:rFonts w:ascii="Arial" w:hAnsi="Arial" w:cs="Arial"/>
                <w:color w:val="000000"/>
                <w:sz w:val="16"/>
                <w:szCs w:val="16"/>
              </w:rPr>
              <w:t>662</w:t>
            </w:r>
          </w:p>
        </w:tc>
        <w:tc>
          <w:tcPr>
            <w:tcW w:w="550" w:type="pct"/>
            <w:tcBorders>
              <w:top w:val="nil"/>
              <w:left w:val="nil"/>
              <w:bottom w:val="nil"/>
              <w:right w:val="nil"/>
            </w:tcBorders>
            <w:shd w:val="clear" w:color="000000" w:fill="FFFFFF"/>
            <w:noWrap/>
            <w:vAlign w:val="center"/>
            <w:hideMark/>
          </w:tcPr>
          <w:p w14:paraId="38A6D133" w14:textId="77777777" w:rsidR="002337D1" w:rsidRPr="002337D1" w:rsidRDefault="002337D1" w:rsidP="002337D1">
            <w:pPr>
              <w:spacing w:before="0" w:after="0" w:line="240" w:lineRule="auto"/>
              <w:jc w:val="right"/>
              <w:rPr>
                <w:rFonts w:ascii="Arial" w:hAnsi="Arial" w:cs="Arial"/>
                <w:color w:val="000000"/>
                <w:sz w:val="16"/>
                <w:szCs w:val="16"/>
              </w:rPr>
            </w:pPr>
            <w:r w:rsidRPr="002337D1">
              <w:rPr>
                <w:rFonts w:ascii="Arial" w:hAnsi="Arial" w:cs="Arial"/>
                <w:color w:val="000000"/>
                <w:sz w:val="16"/>
                <w:szCs w:val="16"/>
              </w:rPr>
              <w:t>612</w:t>
            </w:r>
          </w:p>
        </w:tc>
        <w:tc>
          <w:tcPr>
            <w:tcW w:w="550" w:type="pct"/>
            <w:tcBorders>
              <w:top w:val="nil"/>
              <w:left w:val="nil"/>
              <w:bottom w:val="nil"/>
              <w:right w:val="nil"/>
            </w:tcBorders>
            <w:shd w:val="clear" w:color="000000" w:fill="FFFFFF"/>
            <w:noWrap/>
            <w:vAlign w:val="center"/>
            <w:hideMark/>
          </w:tcPr>
          <w:p w14:paraId="72B46E5C" w14:textId="77777777" w:rsidR="002337D1" w:rsidRPr="002337D1" w:rsidRDefault="002337D1" w:rsidP="002337D1">
            <w:pPr>
              <w:spacing w:before="0" w:after="0" w:line="240" w:lineRule="auto"/>
              <w:jc w:val="right"/>
              <w:rPr>
                <w:rFonts w:ascii="Arial" w:hAnsi="Arial" w:cs="Arial"/>
                <w:color w:val="000000"/>
                <w:sz w:val="16"/>
                <w:szCs w:val="16"/>
              </w:rPr>
            </w:pPr>
            <w:r w:rsidRPr="002337D1">
              <w:rPr>
                <w:rFonts w:ascii="Arial" w:hAnsi="Arial" w:cs="Arial"/>
                <w:color w:val="000000"/>
                <w:sz w:val="16"/>
                <w:szCs w:val="16"/>
              </w:rPr>
              <w:t>607</w:t>
            </w:r>
          </w:p>
        </w:tc>
        <w:tc>
          <w:tcPr>
            <w:tcW w:w="550" w:type="pct"/>
            <w:tcBorders>
              <w:top w:val="nil"/>
              <w:left w:val="nil"/>
              <w:bottom w:val="nil"/>
              <w:right w:val="nil"/>
            </w:tcBorders>
            <w:shd w:val="clear" w:color="000000" w:fill="FFFFFF"/>
            <w:noWrap/>
            <w:vAlign w:val="center"/>
            <w:hideMark/>
          </w:tcPr>
          <w:p w14:paraId="0EFAC1A7" w14:textId="77777777" w:rsidR="002337D1" w:rsidRPr="002337D1" w:rsidRDefault="002337D1" w:rsidP="002337D1">
            <w:pPr>
              <w:spacing w:before="0" w:after="0" w:line="240" w:lineRule="auto"/>
              <w:jc w:val="right"/>
              <w:rPr>
                <w:rFonts w:ascii="Arial" w:hAnsi="Arial" w:cs="Arial"/>
                <w:color w:val="000000"/>
                <w:sz w:val="16"/>
                <w:szCs w:val="16"/>
              </w:rPr>
            </w:pPr>
            <w:r w:rsidRPr="002337D1">
              <w:rPr>
                <w:rFonts w:ascii="Arial" w:hAnsi="Arial" w:cs="Arial"/>
                <w:color w:val="000000"/>
                <w:sz w:val="16"/>
                <w:szCs w:val="16"/>
              </w:rPr>
              <w:t>555</w:t>
            </w:r>
          </w:p>
        </w:tc>
      </w:tr>
      <w:tr w:rsidR="002337D1" w:rsidRPr="002337D1" w14:paraId="23C9EF08" w14:textId="77777777" w:rsidTr="002337D1">
        <w:trPr>
          <w:trHeight w:hRule="exact" w:val="226"/>
        </w:trPr>
        <w:tc>
          <w:tcPr>
            <w:tcW w:w="2183" w:type="pct"/>
            <w:tcBorders>
              <w:top w:val="nil"/>
              <w:left w:val="nil"/>
              <w:bottom w:val="nil"/>
              <w:right w:val="nil"/>
            </w:tcBorders>
            <w:shd w:val="clear" w:color="000000" w:fill="FFFFFF"/>
            <w:noWrap/>
            <w:vAlign w:val="center"/>
            <w:hideMark/>
          </w:tcPr>
          <w:p w14:paraId="72010C49" w14:textId="57F670EF" w:rsidR="002337D1" w:rsidRPr="002337D1" w:rsidRDefault="002337D1" w:rsidP="002337D1">
            <w:pPr>
              <w:spacing w:before="0" w:after="0" w:line="240" w:lineRule="auto"/>
              <w:rPr>
                <w:rFonts w:ascii="Arial" w:hAnsi="Arial" w:cs="Arial"/>
                <w:color w:val="000000"/>
                <w:sz w:val="16"/>
                <w:szCs w:val="16"/>
              </w:rPr>
            </w:pPr>
            <w:r w:rsidRPr="002337D1">
              <w:rPr>
                <w:rFonts w:ascii="Arial" w:hAnsi="Arial" w:cs="Arial"/>
                <w:color w:val="000000"/>
                <w:sz w:val="16"/>
                <w:szCs w:val="16"/>
              </w:rPr>
              <w:t>Veterans</w:t>
            </w:r>
            <w:r w:rsidR="008D4F6B">
              <w:rPr>
                <w:rFonts w:ascii="Arial" w:hAnsi="Arial" w:cs="Arial"/>
                <w:color w:val="000000"/>
                <w:sz w:val="16"/>
                <w:szCs w:val="16"/>
              </w:rPr>
              <w:t>’</w:t>
            </w:r>
            <w:r w:rsidRPr="002337D1">
              <w:rPr>
                <w:rFonts w:ascii="Arial" w:hAnsi="Arial" w:cs="Arial"/>
                <w:color w:val="000000"/>
                <w:sz w:val="16"/>
                <w:szCs w:val="16"/>
              </w:rPr>
              <w:t xml:space="preserve"> pharmaceutical benefits</w:t>
            </w:r>
          </w:p>
        </w:tc>
        <w:tc>
          <w:tcPr>
            <w:tcW w:w="68" w:type="pct"/>
            <w:tcBorders>
              <w:top w:val="nil"/>
              <w:left w:val="nil"/>
              <w:bottom w:val="nil"/>
              <w:right w:val="nil"/>
            </w:tcBorders>
            <w:shd w:val="clear" w:color="000000" w:fill="FFFFFF"/>
            <w:noWrap/>
            <w:vAlign w:val="center"/>
            <w:hideMark/>
          </w:tcPr>
          <w:p w14:paraId="2D4142FC" w14:textId="77777777" w:rsidR="002337D1" w:rsidRPr="002337D1" w:rsidRDefault="002337D1" w:rsidP="002337D1">
            <w:pPr>
              <w:spacing w:before="0" w:after="0" w:line="240" w:lineRule="auto"/>
              <w:rPr>
                <w:rFonts w:ascii="Arial" w:hAnsi="Arial" w:cs="Arial"/>
                <w:color w:val="000000"/>
                <w:sz w:val="16"/>
                <w:szCs w:val="16"/>
              </w:rPr>
            </w:pPr>
            <w:r w:rsidRPr="002337D1">
              <w:rPr>
                <w:rFonts w:ascii="Arial" w:hAnsi="Arial" w:cs="Arial"/>
                <w:color w:val="000000"/>
                <w:sz w:val="16"/>
                <w:szCs w:val="16"/>
              </w:rPr>
              <w:t> </w:t>
            </w:r>
          </w:p>
        </w:tc>
        <w:tc>
          <w:tcPr>
            <w:tcW w:w="550" w:type="pct"/>
            <w:tcBorders>
              <w:top w:val="nil"/>
              <w:left w:val="nil"/>
              <w:bottom w:val="single" w:sz="4" w:space="0" w:color="293F5B"/>
              <w:right w:val="nil"/>
            </w:tcBorders>
            <w:shd w:val="clear" w:color="000000" w:fill="FFFFFF"/>
            <w:noWrap/>
            <w:vAlign w:val="center"/>
            <w:hideMark/>
          </w:tcPr>
          <w:p w14:paraId="3BB377C4" w14:textId="77777777" w:rsidR="002337D1" w:rsidRPr="002337D1" w:rsidRDefault="002337D1" w:rsidP="002337D1">
            <w:pPr>
              <w:spacing w:before="0" w:after="0" w:line="240" w:lineRule="auto"/>
              <w:jc w:val="right"/>
              <w:rPr>
                <w:rFonts w:ascii="Arial" w:hAnsi="Arial" w:cs="Arial"/>
                <w:color w:val="000000"/>
                <w:sz w:val="16"/>
                <w:szCs w:val="16"/>
              </w:rPr>
            </w:pPr>
            <w:r w:rsidRPr="002337D1">
              <w:rPr>
                <w:rFonts w:ascii="Arial" w:hAnsi="Arial" w:cs="Arial"/>
                <w:color w:val="000000"/>
                <w:sz w:val="16"/>
                <w:szCs w:val="16"/>
              </w:rPr>
              <w:t>354</w:t>
            </w:r>
          </w:p>
        </w:tc>
        <w:tc>
          <w:tcPr>
            <w:tcW w:w="550" w:type="pct"/>
            <w:tcBorders>
              <w:top w:val="nil"/>
              <w:left w:val="nil"/>
              <w:bottom w:val="single" w:sz="4" w:space="0" w:color="293F5B"/>
              <w:right w:val="nil"/>
            </w:tcBorders>
            <w:shd w:val="clear" w:color="000000" w:fill="E6F2FF"/>
            <w:noWrap/>
            <w:vAlign w:val="center"/>
            <w:hideMark/>
          </w:tcPr>
          <w:p w14:paraId="6F067936" w14:textId="77777777" w:rsidR="002337D1" w:rsidRPr="002337D1" w:rsidRDefault="002337D1" w:rsidP="002337D1">
            <w:pPr>
              <w:spacing w:before="0" w:after="0" w:line="240" w:lineRule="auto"/>
              <w:jc w:val="right"/>
              <w:rPr>
                <w:rFonts w:ascii="Arial" w:hAnsi="Arial" w:cs="Arial"/>
                <w:color w:val="000000"/>
                <w:sz w:val="16"/>
                <w:szCs w:val="16"/>
              </w:rPr>
            </w:pPr>
            <w:r w:rsidRPr="002337D1">
              <w:rPr>
                <w:rFonts w:ascii="Arial" w:hAnsi="Arial" w:cs="Arial"/>
                <w:color w:val="000000"/>
                <w:sz w:val="16"/>
                <w:szCs w:val="16"/>
              </w:rPr>
              <w:t>369</w:t>
            </w:r>
          </w:p>
        </w:tc>
        <w:tc>
          <w:tcPr>
            <w:tcW w:w="550" w:type="pct"/>
            <w:tcBorders>
              <w:top w:val="nil"/>
              <w:left w:val="nil"/>
              <w:bottom w:val="single" w:sz="4" w:space="0" w:color="293F5B"/>
              <w:right w:val="nil"/>
            </w:tcBorders>
            <w:shd w:val="clear" w:color="000000" w:fill="FFFFFF"/>
            <w:noWrap/>
            <w:vAlign w:val="center"/>
            <w:hideMark/>
          </w:tcPr>
          <w:p w14:paraId="6664F2BE" w14:textId="77777777" w:rsidR="002337D1" w:rsidRPr="002337D1" w:rsidRDefault="002337D1" w:rsidP="002337D1">
            <w:pPr>
              <w:spacing w:before="0" w:after="0" w:line="240" w:lineRule="auto"/>
              <w:jc w:val="right"/>
              <w:rPr>
                <w:rFonts w:ascii="Arial" w:hAnsi="Arial" w:cs="Arial"/>
                <w:color w:val="000000"/>
                <w:sz w:val="16"/>
                <w:szCs w:val="16"/>
              </w:rPr>
            </w:pPr>
            <w:r w:rsidRPr="002337D1">
              <w:rPr>
                <w:rFonts w:ascii="Arial" w:hAnsi="Arial" w:cs="Arial"/>
                <w:color w:val="000000"/>
                <w:sz w:val="16"/>
                <w:szCs w:val="16"/>
              </w:rPr>
              <w:t>367</w:t>
            </w:r>
          </w:p>
        </w:tc>
        <w:tc>
          <w:tcPr>
            <w:tcW w:w="550" w:type="pct"/>
            <w:tcBorders>
              <w:top w:val="nil"/>
              <w:left w:val="nil"/>
              <w:bottom w:val="single" w:sz="4" w:space="0" w:color="293F5B"/>
              <w:right w:val="nil"/>
            </w:tcBorders>
            <w:shd w:val="clear" w:color="000000" w:fill="FFFFFF"/>
            <w:noWrap/>
            <w:vAlign w:val="center"/>
            <w:hideMark/>
          </w:tcPr>
          <w:p w14:paraId="49C1530A" w14:textId="77777777" w:rsidR="002337D1" w:rsidRPr="002337D1" w:rsidRDefault="002337D1" w:rsidP="002337D1">
            <w:pPr>
              <w:spacing w:before="0" w:after="0" w:line="240" w:lineRule="auto"/>
              <w:jc w:val="right"/>
              <w:rPr>
                <w:rFonts w:ascii="Arial" w:hAnsi="Arial" w:cs="Arial"/>
                <w:color w:val="000000"/>
                <w:sz w:val="16"/>
                <w:szCs w:val="16"/>
              </w:rPr>
            </w:pPr>
            <w:r w:rsidRPr="002337D1">
              <w:rPr>
                <w:rFonts w:ascii="Arial" w:hAnsi="Arial" w:cs="Arial"/>
                <w:color w:val="000000"/>
                <w:sz w:val="16"/>
                <w:szCs w:val="16"/>
              </w:rPr>
              <w:t>364</w:t>
            </w:r>
          </w:p>
        </w:tc>
        <w:tc>
          <w:tcPr>
            <w:tcW w:w="550" w:type="pct"/>
            <w:tcBorders>
              <w:top w:val="nil"/>
              <w:left w:val="nil"/>
              <w:bottom w:val="single" w:sz="4" w:space="0" w:color="293F5B"/>
              <w:right w:val="nil"/>
            </w:tcBorders>
            <w:shd w:val="clear" w:color="000000" w:fill="FFFFFF"/>
            <w:noWrap/>
            <w:vAlign w:val="center"/>
            <w:hideMark/>
          </w:tcPr>
          <w:p w14:paraId="189B95AE" w14:textId="77777777" w:rsidR="002337D1" w:rsidRPr="002337D1" w:rsidRDefault="002337D1" w:rsidP="002337D1">
            <w:pPr>
              <w:spacing w:before="0" w:after="0" w:line="240" w:lineRule="auto"/>
              <w:jc w:val="right"/>
              <w:rPr>
                <w:rFonts w:ascii="Arial" w:hAnsi="Arial" w:cs="Arial"/>
                <w:color w:val="000000"/>
                <w:sz w:val="16"/>
                <w:szCs w:val="16"/>
              </w:rPr>
            </w:pPr>
            <w:r w:rsidRPr="002337D1">
              <w:rPr>
                <w:rFonts w:ascii="Arial" w:hAnsi="Arial" w:cs="Arial"/>
                <w:color w:val="000000"/>
                <w:sz w:val="16"/>
                <w:szCs w:val="16"/>
              </w:rPr>
              <w:t>369</w:t>
            </w:r>
          </w:p>
        </w:tc>
      </w:tr>
      <w:tr w:rsidR="002337D1" w:rsidRPr="002337D1" w14:paraId="5E0C8A96" w14:textId="77777777" w:rsidTr="00C525F5">
        <w:trPr>
          <w:trHeight w:hRule="exact" w:val="226"/>
        </w:trPr>
        <w:tc>
          <w:tcPr>
            <w:tcW w:w="2183" w:type="pct"/>
            <w:tcBorders>
              <w:top w:val="nil"/>
              <w:left w:val="nil"/>
              <w:bottom w:val="single" w:sz="4" w:space="0" w:color="293F5B"/>
              <w:right w:val="nil"/>
            </w:tcBorders>
            <w:shd w:val="clear" w:color="000000" w:fill="FFFFFF"/>
            <w:noWrap/>
            <w:vAlign w:val="center"/>
            <w:hideMark/>
          </w:tcPr>
          <w:p w14:paraId="14E3CFF0" w14:textId="77777777" w:rsidR="002337D1" w:rsidRPr="002337D1" w:rsidRDefault="002337D1" w:rsidP="002337D1">
            <w:pPr>
              <w:spacing w:before="0" w:after="0" w:line="240" w:lineRule="auto"/>
              <w:rPr>
                <w:rFonts w:ascii="Arial" w:hAnsi="Arial" w:cs="Arial"/>
                <w:b/>
                <w:bCs/>
                <w:color w:val="000000"/>
                <w:sz w:val="16"/>
                <w:szCs w:val="16"/>
              </w:rPr>
            </w:pPr>
            <w:r w:rsidRPr="002337D1">
              <w:rPr>
                <w:rFonts w:ascii="Arial" w:hAnsi="Arial" w:cs="Arial"/>
                <w:b/>
                <w:bCs/>
                <w:color w:val="000000"/>
                <w:sz w:val="16"/>
                <w:szCs w:val="16"/>
              </w:rPr>
              <w:t>Total</w:t>
            </w:r>
          </w:p>
        </w:tc>
        <w:tc>
          <w:tcPr>
            <w:tcW w:w="68" w:type="pct"/>
            <w:tcBorders>
              <w:top w:val="nil"/>
              <w:left w:val="nil"/>
              <w:bottom w:val="single" w:sz="4" w:space="0" w:color="293F5B"/>
              <w:right w:val="nil"/>
            </w:tcBorders>
            <w:shd w:val="clear" w:color="000000" w:fill="FFFFFF"/>
            <w:noWrap/>
            <w:vAlign w:val="center"/>
            <w:hideMark/>
          </w:tcPr>
          <w:p w14:paraId="02ACEF5A" w14:textId="77777777" w:rsidR="002337D1" w:rsidRPr="002337D1" w:rsidRDefault="002337D1" w:rsidP="002337D1">
            <w:pPr>
              <w:spacing w:before="0" w:after="0" w:line="240" w:lineRule="auto"/>
              <w:rPr>
                <w:rFonts w:ascii="Arial" w:hAnsi="Arial" w:cs="Arial"/>
                <w:b/>
                <w:bCs/>
                <w:color w:val="000000"/>
                <w:sz w:val="16"/>
                <w:szCs w:val="16"/>
              </w:rPr>
            </w:pPr>
            <w:r w:rsidRPr="002337D1">
              <w:rPr>
                <w:rFonts w:ascii="Arial" w:hAnsi="Arial" w:cs="Arial"/>
                <w:b/>
                <w:bCs/>
                <w:color w:val="000000"/>
                <w:sz w:val="16"/>
                <w:szCs w:val="16"/>
              </w:rPr>
              <w:t> </w:t>
            </w:r>
          </w:p>
        </w:tc>
        <w:tc>
          <w:tcPr>
            <w:tcW w:w="550" w:type="pct"/>
            <w:tcBorders>
              <w:top w:val="single" w:sz="4" w:space="0" w:color="293F5B"/>
              <w:left w:val="nil"/>
              <w:bottom w:val="single" w:sz="4" w:space="0" w:color="293F5B"/>
              <w:right w:val="nil"/>
            </w:tcBorders>
            <w:shd w:val="clear" w:color="000000" w:fill="FFFFFF"/>
            <w:noWrap/>
            <w:vAlign w:val="center"/>
            <w:hideMark/>
          </w:tcPr>
          <w:p w14:paraId="3F66F5E9" w14:textId="77777777" w:rsidR="002337D1" w:rsidRPr="002337D1" w:rsidRDefault="002337D1" w:rsidP="002337D1">
            <w:pPr>
              <w:spacing w:before="0" w:after="0" w:line="240" w:lineRule="auto"/>
              <w:jc w:val="right"/>
              <w:rPr>
                <w:rFonts w:ascii="Arial" w:hAnsi="Arial" w:cs="Arial"/>
                <w:b/>
                <w:bCs/>
                <w:color w:val="000000"/>
                <w:sz w:val="16"/>
                <w:szCs w:val="16"/>
              </w:rPr>
            </w:pPr>
            <w:r w:rsidRPr="002337D1">
              <w:rPr>
                <w:rFonts w:ascii="Arial" w:hAnsi="Arial" w:cs="Arial"/>
                <w:b/>
                <w:bCs/>
                <w:color w:val="000000"/>
                <w:sz w:val="16"/>
                <w:szCs w:val="16"/>
              </w:rPr>
              <w:t>20,131</w:t>
            </w:r>
          </w:p>
        </w:tc>
        <w:tc>
          <w:tcPr>
            <w:tcW w:w="550" w:type="pct"/>
            <w:tcBorders>
              <w:top w:val="single" w:sz="4" w:space="0" w:color="293F5B"/>
              <w:left w:val="nil"/>
              <w:bottom w:val="single" w:sz="4" w:space="0" w:color="293F5B"/>
              <w:right w:val="nil"/>
            </w:tcBorders>
            <w:shd w:val="clear" w:color="000000" w:fill="E6F2FF"/>
            <w:noWrap/>
            <w:vAlign w:val="center"/>
            <w:hideMark/>
          </w:tcPr>
          <w:p w14:paraId="6BF4B78C" w14:textId="77777777" w:rsidR="002337D1" w:rsidRPr="002337D1" w:rsidRDefault="002337D1" w:rsidP="002337D1">
            <w:pPr>
              <w:spacing w:before="0" w:after="0" w:line="240" w:lineRule="auto"/>
              <w:jc w:val="right"/>
              <w:rPr>
                <w:rFonts w:ascii="Arial" w:hAnsi="Arial" w:cs="Arial"/>
                <w:b/>
                <w:bCs/>
                <w:color w:val="000000"/>
                <w:sz w:val="16"/>
                <w:szCs w:val="16"/>
              </w:rPr>
            </w:pPr>
            <w:r w:rsidRPr="002337D1">
              <w:rPr>
                <w:rFonts w:ascii="Arial" w:hAnsi="Arial" w:cs="Arial"/>
                <w:b/>
                <w:bCs/>
                <w:color w:val="000000"/>
                <w:sz w:val="16"/>
                <w:szCs w:val="16"/>
              </w:rPr>
              <w:t>20,574</w:t>
            </w:r>
          </w:p>
        </w:tc>
        <w:tc>
          <w:tcPr>
            <w:tcW w:w="550" w:type="pct"/>
            <w:tcBorders>
              <w:top w:val="single" w:sz="4" w:space="0" w:color="293F5B"/>
              <w:left w:val="nil"/>
              <w:bottom w:val="single" w:sz="4" w:space="0" w:color="293F5B"/>
              <w:right w:val="nil"/>
            </w:tcBorders>
            <w:shd w:val="clear" w:color="000000" w:fill="FFFFFF"/>
            <w:noWrap/>
            <w:vAlign w:val="center"/>
            <w:hideMark/>
          </w:tcPr>
          <w:p w14:paraId="263266C7" w14:textId="77777777" w:rsidR="002337D1" w:rsidRPr="002337D1" w:rsidRDefault="002337D1" w:rsidP="002337D1">
            <w:pPr>
              <w:spacing w:before="0" w:after="0" w:line="240" w:lineRule="auto"/>
              <w:jc w:val="right"/>
              <w:rPr>
                <w:rFonts w:ascii="Arial" w:hAnsi="Arial" w:cs="Arial"/>
                <w:b/>
                <w:bCs/>
                <w:color w:val="000000"/>
                <w:sz w:val="16"/>
                <w:szCs w:val="16"/>
              </w:rPr>
            </w:pPr>
            <w:r w:rsidRPr="002337D1">
              <w:rPr>
                <w:rFonts w:ascii="Arial" w:hAnsi="Arial" w:cs="Arial"/>
                <w:b/>
                <w:bCs/>
                <w:color w:val="000000"/>
                <w:sz w:val="16"/>
                <w:szCs w:val="16"/>
              </w:rPr>
              <w:t>20,740</w:t>
            </w:r>
          </w:p>
        </w:tc>
        <w:tc>
          <w:tcPr>
            <w:tcW w:w="550" w:type="pct"/>
            <w:tcBorders>
              <w:top w:val="single" w:sz="4" w:space="0" w:color="293F5B"/>
              <w:left w:val="nil"/>
              <w:bottom w:val="single" w:sz="4" w:space="0" w:color="293F5B"/>
              <w:right w:val="nil"/>
            </w:tcBorders>
            <w:shd w:val="clear" w:color="000000" w:fill="FFFFFF"/>
            <w:noWrap/>
            <w:vAlign w:val="center"/>
            <w:hideMark/>
          </w:tcPr>
          <w:p w14:paraId="769DAFF0" w14:textId="77777777" w:rsidR="002337D1" w:rsidRPr="002337D1" w:rsidRDefault="002337D1" w:rsidP="002337D1">
            <w:pPr>
              <w:spacing w:before="0" w:after="0" w:line="240" w:lineRule="auto"/>
              <w:jc w:val="right"/>
              <w:rPr>
                <w:rFonts w:ascii="Arial" w:hAnsi="Arial" w:cs="Arial"/>
                <w:b/>
                <w:bCs/>
                <w:color w:val="000000"/>
                <w:sz w:val="16"/>
                <w:szCs w:val="16"/>
              </w:rPr>
            </w:pPr>
            <w:r w:rsidRPr="002337D1">
              <w:rPr>
                <w:rFonts w:ascii="Arial" w:hAnsi="Arial" w:cs="Arial"/>
                <w:b/>
                <w:bCs/>
                <w:color w:val="000000"/>
                <w:sz w:val="16"/>
                <w:szCs w:val="16"/>
              </w:rPr>
              <w:t>20,516</w:t>
            </w:r>
          </w:p>
        </w:tc>
        <w:tc>
          <w:tcPr>
            <w:tcW w:w="550" w:type="pct"/>
            <w:tcBorders>
              <w:top w:val="single" w:sz="4" w:space="0" w:color="293F5B"/>
              <w:left w:val="nil"/>
              <w:bottom w:val="single" w:sz="4" w:space="0" w:color="293F5B"/>
              <w:right w:val="nil"/>
            </w:tcBorders>
            <w:shd w:val="clear" w:color="000000" w:fill="FFFFFF"/>
            <w:noWrap/>
            <w:vAlign w:val="center"/>
            <w:hideMark/>
          </w:tcPr>
          <w:p w14:paraId="1A738D9D" w14:textId="77777777" w:rsidR="002337D1" w:rsidRPr="002337D1" w:rsidRDefault="002337D1" w:rsidP="002337D1">
            <w:pPr>
              <w:spacing w:before="0" w:after="0" w:line="240" w:lineRule="auto"/>
              <w:jc w:val="right"/>
              <w:rPr>
                <w:rFonts w:ascii="Arial" w:hAnsi="Arial" w:cs="Arial"/>
                <w:b/>
                <w:bCs/>
                <w:color w:val="000000"/>
                <w:sz w:val="16"/>
                <w:szCs w:val="16"/>
              </w:rPr>
            </w:pPr>
            <w:r w:rsidRPr="002337D1">
              <w:rPr>
                <w:rFonts w:ascii="Arial" w:hAnsi="Arial" w:cs="Arial"/>
                <w:b/>
                <w:bCs/>
                <w:color w:val="000000"/>
                <w:sz w:val="16"/>
                <w:szCs w:val="16"/>
              </w:rPr>
              <w:t>20,640</w:t>
            </w:r>
          </w:p>
        </w:tc>
      </w:tr>
    </w:tbl>
    <w:p w14:paraId="675DDF84" w14:textId="22891FD5" w:rsidR="00ED6D02" w:rsidRDefault="00ED6D02" w:rsidP="00E87DDC">
      <w:pPr>
        <w:pStyle w:val="ChartandTableFootnoteAlpha"/>
        <w:numPr>
          <w:ilvl w:val="0"/>
          <w:numId w:val="12"/>
        </w:numPr>
      </w:pPr>
      <w:r w:rsidRPr="000177D7">
        <w:t>The entry for each component includes eliminations for inter</w:t>
      </w:r>
      <w:r w:rsidR="008D4F6B">
        <w:noBreakHyphen/>
      </w:r>
      <w:r w:rsidRPr="000177D7">
        <w:t>agency transactions within that component.</w:t>
      </w:r>
    </w:p>
    <w:p w14:paraId="1754BAE6" w14:textId="77777777" w:rsidR="00ED6D02" w:rsidRPr="000177D7" w:rsidRDefault="00ED6D02" w:rsidP="00ED6D02">
      <w:pPr>
        <w:pStyle w:val="ChartLine"/>
      </w:pPr>
    </w:p>
    <w:p w14:paraId="73088982" w14:textId="14D11624" w:rsidR="00A9609A" w:rsidRDefault="00991A5D" w:rsidP="005F4DA2">
      <w:pPr>
        <w:keepLines/>
      </w:pPr>
      <w:r>
        <w:lastRenderedPageBreak/>
        <w:t>The Government</w:t>
      </w:r>
      <w:r w:rsidR="008D4F6B">
        <w:t>’</w:t>
      </w:r>
      <w:r>
        <w:t>s contribution to public hospitals is reported th</w:t>
      </w:r>
      <w:r w:rsidR="00DB0167">
        <w:t>r</w:t>
      </w:r>
      <w:r>
        <w:t xml:space="preserve">ough </w:t>
      </w:r>
      <w:r w:rsidRPr="00DB0167">
        <w:t>the </w:t>
      </w:r>
      <w:r w:rsidRPr="00DB0167">
        <w:rPr>
          <w:rStyle w:val="Strong"/>
        </w:rPr>
        <w:t>assistance to the states for public hospitals </w:t>
      </w:r>
      <w:r w:rsidRPr="00DB0167">
        <w:t>sub</w:t>
      </w:r>
      <w:r w:rsidR="008D4F6B">
        <w:noBreakHyphen/>
      </w:r>
      <w:r w:rsidRPr="00DB0167">
        <w:t>function. Hospital services covered by this sub</w:t>
      </w:r>
      <w:r w:rsidR="008D4F6B">
        <w:noBreakHyphen/>
      </w:r>
      <w:r>
        <w:t>function include all admitted services, programs that deliver hospital services in the home, and emergency department services. </w:t>
      </w:r>
      <w:r w:rsidRPr="00E40434">
        <w:t>Expenditure for this sub</w:t>
      </w:r>
      <w:r w:rsidR="008D4F6B">
        <w:noBreakHyphen/>
      </w:r>
      <w:r w:rsidRPr="00E40434">
        <w:t>function is expected to increase reflecting the Government</w:t>
      </w:r>
      <w:r w:rsidR="008D4F6B">
        <w:t>’</w:t>
      </w:r>
      <w:r w:rsidRPr="00E40434">
        <w:t>s current agreement under the 2020</w:t>
      </w:r>
      <w:r w:rsidR="00DB0167">
        <w:t>–</w:t>
      </w:r>
      <w:r w:rsidRPr="00E40434">
        <w:t>2025 N</w:t>
      </w:r>
      <w:r w:rsidR="00A9609A">
        <w:t xml:space="preserve">ational </w:t>
      </w:r>
      <w:r w:rsidRPr="00E40434">
        <w:t>H</w:t>
      </w:r>
      <w:r w:rsidR="00A9609A">
        <w:t xml:space="preserve">ealth </w:t>
      </w:r>
      <w:r w:rsidRPr="00E40434">
        <w:t>R</w:t>
      </w:r>
      <w:r w:rsidR="00A9609A">
        <w:t xml:space="preserve">eform </w:t>
      </w:r>
      <w:r w:rsidRPr="00E40434">
        <w:t>A</w:t>
      </w:r>
      <w:r w:rsidR="00A9609A">
        <w:t>greement</w:t>
      </w:r>
      <w:r w:rsidRPr="00E40434">
        <w:t xml:space="preserve"> Addendum with states and territories.</w:t>
      </w:r>
    </w:p>
    <w:p w14:paraId="5E3FB1D4" w14:textId="422A7CF5" w:rsidR="00F2334A" w:rsidRDefault="00E91994" w:rsidP="00BC14CB">
      <w:r w:rsidRPr="000D0E61">
        <w:rPr>
          <w:rStyle w:val="Strong"/>
        </w:rPr>
        <w:t>Health</w:t>
      </w:r>
      <w:r w:rsidR="00370237" w:rsidRPr="000D0E61">
        <w:rPr>
          <w:rStyle w:val="Strong"/>
        </w:rPr>
        <w:t xml:space="preserve"> services</w:t>
      </w:r>
      <w:r w:rsidR="00370237" w:rsidRPr="007751C2">
        <w:t xml:space="preserve"> </w:t>
      </w:r>
      <w:r w:rsidR="00370237" w:rsidRPr="003314E1">
        <w:t xml:space="preserve">include expenses </w:t>
      </w:r>
      <w:bookmarkEnd w:id="87"/>
      <w:bookmarkEnd w:id="88"/>
      <w:r w:rsidR="00F2334A" w:rsidRPr="003314E1">
        <w:t>associated with the delivery of population health, medical research, mental health, blood and blood products, other allied health services, health infrastructure and disbursements from the Medical Research Future Fund.</w:t>
      </w:r>
      <w:r w:rsidR="00F2334A">
        <w:t xml:space="preserve"> Expenses are expected to decrease as a result of </w:t>
      </w:r>
      <w:r w:rsidR="00A94161">
        <w:t>a number of terminating measures</w:t>
      </w:r>
      <w:r w:rsidR="00A94161" w:rsidRPr="00D44A8D">
        <w:t xml:space="preserve"> for preventive health and chronic disease</w:t>
      </w:r>
      <w:r w:rsidR="00A94161">
        <w:t>.</w:t>
      </w:r>
      <w:r w:rsidR="00A94161" w:rsidRPr="00D44A8D">
        <w:t xml:space="preserve"> </w:t>
      </w:r>
      <w:r w:rsidR="00A94161">
        <w:t xml:space="preserve">Funding for terminating measures will be considered in future economic updates. </w:t>
      </w:r>
      <w:r w:rsidR="00A94161" w:rsidRPr="00D44A8D">
        <w:t>The decrease in expenses is partly offset by increases</w:t>
      </w:r>
      <w:r w:rsidR="00A94161">
        <w:t xml:space="preserve"> in estimated expenses for </w:t>
      </w:r>
      <w:r w:rsidR="00A94161" w:rsidRPr="00D44A8D">
        <w:t>blood products and mental health.</w:t>
      </w:r>
    </w:p>
    <w:p w14:paraId="27FACBA7" w14:textId="71F27B38" w:rsidR="00F2334A" w:rsidRDefault="00326A2C" w:rsidP="00F2334A">
      <w:pPr>
        <w:rPr>
          <w:szCs w:val="19"/>
        </w:rPr>
      </w:pPr>
      <w:r w:rsidRPr="00326A2C">
        <w:t>Expenses for</w:t>
      </w:r>
      <w:r>
        <w:rPr>
          <w:b/>
          <w:bCs/>
        </w:rPr>
        <w:t xml:space="preserve"> </w:t>
      </w:r>
      <w:r w:rsidRPr="000D0E61">
        <w:rPr>
          <w:rStyle w:val="Strong"/>
        </w:rPr>
        <w:t>g</w:t>
      </w:r>
      <w:r w:rsidR="00F2334A" w:rsidRPr="000D0E61">
        <w:rPr>
          <w:rStyle w:val="Strong"/>
        </w:rPr>
        <w:t>eneral administration</w:t>
      </w:r>
      <w:r w:rsidR="00F2334A">
        <w:t xml:space="preserve"> include the Government</w:t>
      </w:r>
      <w:r w:rsidR="008D4F6B">
        <w:t>’</w:t>
      </w:r>
      <w:r w:rsidR="00F2334A">
        <w:t>s general administrative costs associated with health and aged care, funding for primary health care and coordination, investment in health workforce measures, and support for rural health initiatives. Expenditure for this sub</w:t>
      </w:r>
      <w:r w:rsidR="008D4F6B">
        <w:noBreakHyphen/>
      </w:r>
      <w:r w:rsidR="00F2334A">
        <w:t>function is expected to decrease for the period 2024–25 to 2027–28, largely reflecting the gradual scaling down of the Government</w:t>
      </w:r>
      <w:r w:rsidR="008D4F6B">
        <w:t>’</w:t>
      </w:r>
      <w:r w:rsidR="00F2334A">
        <w:t>s COVID</w:t>
      </w:r>
      <w:r w:rsidR="008D4F6B">
        <w:noBreakHyphen/>
      </w:r>
      <w:r w:rsidR="00F2334A">
        <w:t>19 pandemic response, and the completion of ICT projects to deliver essential enhancements to critical aged care digital systems.</w:t>
      </w:r>
    </w:p>
    <w:p w14:paraId="69C3C332" w14:textId="613727F5" w:rsidR="009C3273" w:rsidRPr="00370237" w:rsidRDefault="009C3273" w:rsidP="009C3273">
      <w:r w:rsidRPr="00374D53">
        <w:t xml:space="preserve">Expenditure for </w:t>
      </w:r>
      <w:r w:rsidRPr="0014375F">
        <w:rPr>
          <w:rStyle w:val="Strong"/>
        </w:rPr>
        <w:t>Aboriginal and Torres Strait Islander health</w:t>
      </w:r>
      <w:r w:rsidRPr="007751C2">
        <w:t xml:space="preserve"> </w:t>
      </w:r>
      <w:r>
        <w:t>is</w:t>
      </w:r>
      <w:r w:rsidRPr="00374D53">
        <w:t xml:space="preserve"> expected to </w:t>
      </w:r>
      <w:r>
        <w:t>increase from 2023–24 to 2024–25, reflecting the Government</w:t>
      </w:r>
      <w:r w:rsidR="008D4F6B">
        <w:t>’</w:t>
      </w:r>
      <w:r>
        <w:t>s commitment to closing the gap for First Nations people</w:t>
      </w:r>
      <w:r w:rsidR="008D4F6B">
        <w:t>’</w:t>
      </w:r>
      <w:r>
        <w:t xml:space="preserve">s health and wellbeing. </w:t>
      </w:r>
      <w:r w:rsidRPr="00002DB4">
        <w:t>Expenses are expected to marginally</w:t>
      </w:r>
      <w:r>
        <w:t xml:space="preserve"> decrease</w:t>
      </w:r>
      <w:r w:rsidRPr="00002DB4">
        <w:t xml:space="preserve"> over the</w:t>
      </w:r>
      <w:r>
        <w:t xml:space="preserve"> period 2024–25 to 202</w:t>
      </w:r>
      <w:r w:rsidR="0080554C">
        <w:t>7</w:t>
      </w:r>
      <w:r>
        <w:t>–2</w:t>
      </w:r>
      <w:r w:rsidR="0080554C">
        <w:t>8</w:t>
      </w:r>
      <w:r>
        <w:t xml:space="preserve">, </w:t>
      </w:r>
      <w:r w:rsidRPr="00CD2E44">
        <w:t>reflect</w:t>
      </w:r>
      <w:r>
        <w:t>ing</w:t>
      </w:r>
      <w:r w:rsidRPr="00CD2E44">
        <w:t xml:space="preserve"> a number of</w:t>
      </w:r>
      <w:r>
        <w:t xml:space="preserve"> </w:t>
      </w:r>
      <w:r w:rsidRPr="00CD2E44">
        <w:t>terminat</w:t>
      </w:r>
      <w:r>
        <w:t xml:space="preserve">ing </w:t>
      </w:r>
      <w:r w:rsidRPr="00CD2E44">
        <w:t>measures</w:t>
      </w:r>
      <w:r>
        <w:t xml:space="preserve">. </w:t>
      </w:r>
      <w:r w:rsidR="00A94161">
        <w:t>Funding for terminating measures will be considered in future economic updates.</w:t>
      </w:r>
    </w:p>
    <w:p w14:paraId="2A3418B5" w14:textId="77777777" w:rsidR="00D42939" w:rsidRDefault="00D42939">
      <w:pPr>
        <w:spacing w:before="0" w:after="160" w:line="259" w:lineRule="auto"/>
        <w:rPr>
          <w:rFonts w:ascii="Arial Bold" w:hAnsi="Arial Bold"/>
          <w:b/>
          <w:sz w:val="22"/>
        </w:rPr>
      </w:pPr>
      <w:r>
        <w:br w:type="page"/>
      </w:r>
    </w:p>
    <w:p w14:paraId="75E3DEE1" w14:textId="77777777" w:rsidR="00856202" w:rsidRPr="000177D7" w:rsidRDefault="00856202" w:rsidP="00856202">
      <w:pPr>
        <w:pStyle w:val="Heading3"/>
      </w:pPr>
      <w:bookmarkStart w:id="99" w:name="_Toc166369423"/>
      <w:r w:rsidRPr="000177D7">
        <w:lastRenderedPageBreak/>
        <w:t>Social security and welfare</w:t>
      </w:r>
      <w:bookmarkEnd w:id="99"/>
    </w:p>
    <w:bookmarkEnd w:id="89"/>
    <w:p w14:paraId="349970AE" w14:textId="41CF4555" w:rsidR="00CA1A3D" w:rsidRDefault="00E32E1B" w:rsidP="009734AB">
      <w:r w:rsidRPr="000177D7">
        <w:t>The social security and welfare function includes expenses for pensions and services to the aged</w:t>
      </w:r>
      <w:r>
        <w:t>,</w:t>
      </w:r>
      <w:r w:rsidRPr="000177D7">
        <w:t xml:space="preserve"> assistance to the unemployed and the sick, people with disabilities and families with children</w:t>
      </w:r>
      <w:r>
        <w:t>,</w:t>
      </w:r>
      <w:r w:rsidRPr="000177D7">
        <w:t xml:space="preserve"> and income support and compensation for veterans and their dependants. It also includes assistance provided to Indigenous Australians that has not been included under other functions.</w:t>
      </w:r>
    </w:p>
    <w:p w14:paraId="0ADE96DB" w14:textId="45A9EA2A" w:rsidR="00123018" w:rsidRDefault="00E32E1B" w:rsidP="00123018">
      <w:pPr>
        <w:pStyle w:val="TableHeading"/>
        <w:rPr>
          <w:rFonts w:asciiTheme="minorHAnsi" w:eastAsiaTheme="minorHAnsi" w:hAnsiTheme="minorHAnsi" w:cstheme="minorBidi"/>
          <w:sz w:val="22"/>
          <w:szCs w:val="22"/>
          <w:lang w:eastAsia="en-US"/>
        </w:rPr>
      </w:pPr>
      <w:r>
        <w:t>Table </w:t>
      </w:r>
      <w:r w:rsidRPr="000177D7">
        <w:t>6.9: Summary of expenses</w:t>
      </w:r>
      <w:r>
        <w:t xml:space="preserve"> – </w:t>
      </w:r>
      <w:r w:rsidRPr="000177D7">
        <w:t xml:space="preserve">social security and </w:t>
      </w:r>
      <w:r w:rsidRPr="00040BC6">
        <w:t>welfare</w:t>
      </w:r>
      <w:bookmarkStart w:id="100" w:name="_1727774312"/>
      <w:bookmarkStart w:id="101" w:name="_1776937802"/>
      <w:bookmarkStart w:id="102" w:name="_1776938127"/>
      <w:bookmarkStart w:id="103" w:name="_1776938705"/>
      <w:bookmarkEnd w:id="100"/>
      <w:bookmarkEnd w:id="101"/>
      <w:bookmarkEnd w:id="102"/>
      <w:bookmarkEnd w:id="103"/>
    </w:p>
    <w:tbl>
      <w:tblPr>
        <w:tblW w:w="5000" w:type="pct"/>
        <w:tblCellMar>
          <w:left w:w="0" w:type="dxa"/>
          <w:right w:w="28" w:type="dxa"/>
        </w:tblCellMar>
        <w:tblLook w:val="04A0" w:firstRow="1" w:lastRow="0" w:firstColumn="1" w:lastColumn="0" w:noHBand="0" w:noVBand="1"/>
      </w:tblPr>
      <w:tblGrid>
        <w:gridCol w:w="3683"/>
        <w:gridCol w:w="806"/>
        <w:gridCol w:w="805"/>
        <w:gridCol w:w="805"/>
        <w:gridCol w:w="805"/>
        <w:gridCol w:w="806"/>
      </w:tblGrid>
      <w:tr w:rsidR="00123018" w:rsidRPr="00123018" w14:paraId="1AE0A3DB" w14:textId="77777777" w:rsidTr="00FB3363">
        <w:trPr>
          <w:trHeight w:hRule="exact" w:val="225"/>
        </w:trPr>
        <w:tc>
          <w:tcPr>
            <w:tcW w:w="2388" w:type="pct"/>
            <w:tcBorders>
              <w:top w:val="single" w:sz="4" w:space="0" w:color="293F5B"/>
              <w:left w:val="nil"/>
              <w:bottom w:val="nil"/>
              <w:right w:val="nil"/>
            </w:tcBorders>
            <w:shd w:val="clear" w:color="000000" w:fill="FFFFFF"/>
            <w:noWrap/>
            <w:vAlign w:val="center"/>
            <w:hideMark/>
          </w:tcPr>
          <w:p w14:paraId="4A0FE639" w14:textId="6BA09770" w:rsidR="00123018" w:rsidRPr="00123018" w:rsidRDefault="00123018" w:rsidP="00123018">
            <w:pPr>
              <w:spacing w:before="0" w:after="0" w:line="240" w:lineRule="auto"/>
              <w:rPr>
                <w:rFonts w:ascii="Arial" w:hAnsi="Arial" w:cs="Arial"/>
                <w:b/>
                <w:bCs/>
                <w:color w:val="000000"/>
                <w:sz w:val="16"/>
                <w:szCs w:val="16"/>
              </w:rPr>
            </w:pPr>
            <w:r w:rsidRPr="00123018">
              <w:rPr>
                <w:rFonts w:ascii="Arial" w:hAnsi="Arial" w:cs="Arial"/>
                <w:b/>
                <w:bCs/>
                <w:color w:val="000000"/>
                <w:sz w:val="16"/>
                <w:szCs w:val="16"/>
              </w:rPr>
              <w:t>Sub-function</w:t>
            </w:r>
          </w:p>
        </w:tc>
        <w:tc>
          <w:tcPr>
            <w:tcW w:w="2612" w:type="pct"/>
            <w:gridSpan w:val="5"/>
            <w:tcBorders>
              <w:top w:val="single" w:sz="4" w:space="0" w:color="293F5B"/>
              <w:left w:val="nil"/>
              <w:bottom w:val="single" w:sz="4" w:space="0" w:color="293F5B"/>
              <w:right w:val="nil"/>
            </w:tcBorders>
            <w:shd w:val="clear" w:color="000000" w:fill="FFFFFF"/>
            <w:noWrap/>
            <w:vAlign w:val="center"/>
            <w:hideMark/>
          </w:tcPr>
          <w:p w14:paraId="5EFFEAD4" w14:textId="77777777" w:rsidR="00123018" w:rsidRPr="00123018" w:rsidRDefault="00123018" w:rsidP="00123018">
            <w:pPr>
              <w:spacing w:before="0" w:after="0" w:line="240" w:lineRule="auto"/>
              <w:jc w:val="center"/>
              <w:rPr>
                <w:rFonts w:ascii="Arial" w:hAnsi="Arial" w:cs="Arial"/>
                <w:color w:val="000000"/>
                <w:sz w:val="16"/>
                <w:szCs w:val="16"/>
              </w:rPr>
            </w:pPr>
            <w:r w:rsidRPr="00123018">
              <w:rPr>
                <w:rFonts w:ascii="Arial" w:hAnsi="Arial" w:cs="Arial"/>
                <w:color w:val="000000"/>
                <w:sz w:val="16"/>
                <w:szCs w:val="16"/>
              </w:rPr>
              <w:t>Estimates</w:t>
            </w:r>
          </w:p>
        </w:tc>
      </w:tr>
      <w:tr w:rsidR="00123018" w:rsidRPr="00123018" w14:paraId="1AF3F95F" w14:textId="77777777" w:rsidTr="00285ADA">
        <w:trPr>
          <w:trHeight w:hRule="exact" w:val="225"/>
        </w:trPr>
        <w:tc>
          <w:tcPr>
            <w:tcW w:w="2388" w:type="pct"/>
            <w:tcBorders>
              <w:top w:val="nil"/>
              <w:left w:val="nil"/>
              <w:bottom w:val="nil"/>
              <w:right w:val="nil"/>
            </w:tcBorders>
            <w:shd w:val="clear" w:color="000000" w:fill="FFFFFF"/>
            <w:noWrap/>
            <w:vAlign w:val="bottom"/>
            <w:hideMark/>
          </w:tcPr>
          <w:p w14:paraId="36FABE0F" w14:textId="77777777" w:rsidR="00123018" w:rsidRPr="00123018" w:rsidRDefault="00123018" w:rsidP="00123018">
            <w:pPr>
              <w:spacing w:before="0" w:after="0" w:line="240" w:lineRule="auto"/>
              <w:rPr>
                <w:rFonts w:ascii="Arial" w:hAnsi="Arial" w:cs="Arial"/>
                <w:color w:val="000000"/>
                <w:sz w:val="16"/>
                <w:szCs w:val="16"/>
              </w:rPr>
            </w:pPr>
            <w:r w:rsidRPr="00123018">
              <w:rPr>
                <w:rFonts w:ascii="Arial" w:hAnsi="Arial" w:cs="Arial"/>
                <w:color w:val="000000"/>
                <w:sz w:val="16"/>
                <w:szCs w:val="16"/>
              </w:rPr>
              <w:t> </w:t>
            </w:r>
          </w:p>
        </w:tc>
        <w:tc>
          <w:tcPr>
            <w:tcW w:w="523" w:type="pct"/>
            <w:tcBorders>
              <w:top w:val="single" w:sz="4" w:space="0" w:color="293F5B"/>
              <w:left w:val="nil"/>
              <w:bottom w:val="nil"/>
              <w:right w:val="nil"/>
            </w:tcBorders>
            <w:shd w:val="clear" w:color="000000" w:fill="FFFFFF"/>
            <w:noWrap/>
            <w:vAlign w:val="center"/>
            <w:hideMark/>
          </w:tcPr>
          <w:p w14:paraId="4C5A1373" w14:textId="77777777" w:rsidR="00123018" w:rsidRPr="00123018" w:rsidRDefault="00123018" w:rsidP="00123018">
            <w:pPr>
              <w:spacing w:before="0" w:after="0" w:line="240" w:lineRule="auto"/>
              <w:jc w:val="right"/>
              <w:rPr>
                <w:rFonts w:ascii="Arial" w:hAnsi="Arial" w:cs="Arial"/>
                <w:sz w:val="16"/>
                <w:szCs w:val="16"/>
              </w:rPr>
            </w:pPr>
            <w:r w:rsidRPr="00123018">
              <w:rPr>
                <w:rFonts w:ascii="Arial" w:hAnsi="Arial" w:cs="Arial"/>
                <w:sz w:val="16"/>
                <w:szCs w:val="16"/>
              </w:rPr>
              <w:t>2023-24</w:t>
            </w:r>
          </w:p>
        </w:tc>
        <w:tc>
          <w:tcPr>
            <w:tcW w:w="522" w:type="pct"/>
            <w:tcBorders>
              <w:top w:val="single" w:sz="4" w:space="0" w:color="293F5B"/>
              <w:left w:val="nil"/>
              <w:bottom w:val="nil"/>
              <w:right w:val="nil"/>
            </w:tcBorders>
            <w:shd w:val="clear" w:color="000000" w:fill="E6F2FF"/>
            <w:noWrap/>
            <w:vAlign w:val="center"/>
            <w:hideMark/>
          </w:tcPr>
          <w:p w14:paraId="36A8FFFD" w14:textId="77777777" w:rsidR="00123018" w:rsidRPr="00123018" w:rsidRDefault="00123018" w:rsidP="00123018">
            <w:pPr>
              <w:spacing w:before="0" w:after="0" w:line="240" w:lineRule="auto"/>
              <w:jc w:val="right"/>
              <w:rPr>
                <w:rFonts w:ascii="Arial" w:hAnsi="Arial" w:cs="Arial"/>
                <w:sz w:val="16"/>
                <w:szCs w:val="16"/>
              </w:rPr>
            </w:pPr>
            <w:r w:rsidRPr="00123018">
              <w:rPr>
                <w:rFonts w:ascii="Arial" w:hAnsi="Arial" w:cs="Arial"/>
                <w:sz w:val="16"/>
                <w:szCs w:val="16"/>
              </w:rPr>
              <w:t>2024-25</w:t>
            </w:r>
          </w:p>
        </w:tc>
        <w:tc>
          <w:tcPr>
            <w:tcW w:w="522" w:type="pct"/>
            <w:tcBorders>
              <w:top w:val="single" w:sz="4" w:space="0" w:color="293F5B"/>
              <w:left w:val="nil"/>
              <w:bottom w:val="nil"/>
              <w:right w:val="nil"/>
            </w:tcBorders>
            <w:shd w:val="clear" w:color="000000" w:fill="FFFFFF"/>
            <w:noWrap/>
            <w:vAlign w:val="center"/>
            <w:hideMark/>
          </w:tcPr>
          <w:p w14:paraId="0C716541" w14:textId="77777777" w:rsidR="00123018" w:rsidRPr="00123018" w:rsidRDefault="00123018" w:rsidP="00123018">
            <w:pPr>
              <w:spacing w:before="0" w:after="0" w:line="240" w:lineRule="auto"/>
              <w:jc w:val="right"/>
              <w:rPr>
                <w:rFonts w:ascii="Arial" w:hAnsi="Arial" w:cs="Arial"/>
                <w:sz w:val="16"/>
                <w:szCs w:val="16"/>
              </w:rPr>
            </w:pPr>
            <w:r w:rsidRPr="00123018">
              <w:rPr>
                <w:rFonts w:ascii="Arial" w:hAnsi="Arial" w:cs="Arial"/>
                <w:sz w:val="16"/>
                <w:szCs w:val="16"/>
              </w:rPr>
              <w:t>2025-26</w:t>
            </w:r>
          </w:p>
        </w:tc>
        <w:tc>
          <w:tcPr>
            <w:tcW w:w="522" w:type="pct"/>
            <w:tcBorders>
              <w:top w:val="single" w:sz="4" w:space="0" w:color="293F5B"/>
              <w:left w:val="nil"/>
              <w:bottom w:val="nil"/>
              <w:right w:val="nil"/>
            </w:tcBorders>
            <w:shd w:val="clear" w:color="000000" w:fill="FFFFFF"/>
            <w:noWrap/>
            <w:vAlign w:val="center"/>
            <w:hideMark/>
          </w:tcPr>
          <w:p w14:paraId="75462801" w14:textId="77777777" w:rsidR="00123018" w:rsidRPr="00123018" w:rsidRDefault="00123018" w:rsidP="00123018">
            <w:pPr>
              <w:spacing w:before="0" w:after="0" w:line="240" w:lineRule="auto"/>
              <w:jc w:val="right"/>
              <w:rPr>
                <w:rFonts w:ascii="Arial" w:hAnsi="Arial" w:cs="Arial"/>
                <w:sz w:val="16"/>
                <w:szCs w:val="16"/>
              </w:rPr>
            </w:pPr>
            <w:r w:rsidRPr="00123018">
              <w:rPr>
                <w:rFonts w:ascii="Arial" w:hAnsi="Arial" w:cs="Arial"/>
                <w:sz w:val="16"/>
                <w:szCs w:val="16"/>
              </w:rPr>
              <w:t>2026-27</w:t>
            </w:r>
          </w:p>
        </w:tc>
        <w:tc>
          <w:tcPr>
            <w:tcW w:w="522" w:type="pct"/>
            <w:tcBorders>
              <w:top w:val="single" w:sz="4" w:space="0" w:color="293F5B"/>
              <w:left w:val="nil"/>
              <w:bottom w:val="nil"/>
              <w:right w:val="nil"/>
            </w:tcBorders>
            <w:shd w:val="clear" w:color="000000" w:fill="FFFFFF"/>
            <w:noWrap/>
            <w:vAlign w:val="center"/>
            <w:hideMark/>
          </w:tcPr>
          <w:p w14:paraId="1F79B3D0" w14:textId="77777777" w:rsidR="00123018" w:rsidRPr="00123018" w:rsidRDefault="00123018" w:rsidP="00123018">
            <w:pPr>
              <w:spacing w:before="0" w:after="0" w:line="240" w:lineRule="auto"/>
              <w:jc w:val="right"/>
              <w:rPr>
                <w:rFonts w:ascii="Arial" w:hAnsi="Arial" w:cs="Arial"/>
                <w:color w:val="000000"/>
                <w:sz w:val="16"/>
                <w:szCs w:val="16"/>
              </w:rPr>
            </w:pPr>
            <w:r w:rsidRPr="00123018">
              <w:rPr>
                <w:rFonts w:ascii="Arial" w:hAnsi="Arial" w:cs="Arial"/>
                <w:color w:val="000000"/>
                <w:sz w:val="16"/>
                <w:szCs w:val="16"/>
              </w:rPr>
              <w:t>2027-28</w:t>
            </w:r>
          </w:p>
        </w:tc>
      </w:tr>
      <w:tr w:rsidR="00123018" w:rsidRPr="00123018" w14:paraId="18BB6864" w14:textId="77777777" w:rsidTr="00285ADA">
        <w:trPr>
          <w:trHeight w:hRule="exact" w:val="225"/>
        </w:trPr>
        <w:tc>
          <w:tcPr>
            <w:tcW w:w="2388" w:type="pct"/>
            <w:tcBorders>
              <w:top w:val="nil"/>
              <w:left w:val="nil"/>
              <w:bottom w:val="nil"/>
              <w:right w:val="nil"/>
            </w:tcBorders>
            <w:shd w:val="clear" w:color="000000" w:fill="FFFFFF"/>
            <w:noWrap/>
            <w:vAlign w:val="center"/>
            <w:hideMark/>
          </w:tcPr>
          <w:p w14:paraId="1CB27DF1" w14:textId="77777777" w:rsidR="00123018" w:rsidRPr="00123018" w:rsidRDefault="00123018" w:rsidP="00123018">
            <w:pPr>
              <w:spacing w:before="0" w:after="0" w:line="240" w:lineRule="auto"/>
              <w:rPr>
                <w:rFonts w:ascii="Arial" w:hAnsi="Arial" w:cs="Arial"/>
                <w:color w:val="000000"/>
                <w:sz w:val="16"/>
                <w:szCs w:val="16"/>
              </w:rPr>
            </w:pPr>
            <w:r w:rsidRPr="00123018">
              <w:rPr>
                <w:rFonts w:ascii="Arial" w:hAnsi="Arial" w:cs="Arial"/>
                <w:color w:val="000000"/>
                <w:sz w:val="16"/>
                <w:szCs w:val="16"/>
              </w:rPr>
              <w:t> </w:t>
            </w:r>
          </w:p>
        </w:tc>
        <w:tc>
          <w:tcPr>
            <w:tcW w:w="523" w:type="pct"/>
            <w:tcBorders>
              <w:top w:val="nil"/>
              <w:left w:val="nil"/>
              <w:bottom w:val="single" w:sz="4" w:space="0" w:color="293F5B"/>
              <w:right w:val="nil"/>
            </w:tcBorders>
            <w:shd w:val="clear" w:color="000000" w:fill="FFFFFF"/>
            <w:noWrap/>
            <w:vAlign w:val="center"/>
            <w:hideMark/>
          </w:tcPr>
          <w:p w14:paraId="06964485" w14:textId="77777777" w:rsidR="00123018" w:rsidRPr="00123018" w:rsidRDefault="00123018" w:rsidP="00123018">
            <w:pPr>
              <w:spacing w:before="0" w:after="0" w:line="240" w:lineRule="auto"/>
              <w:jc w:val="right"/>
              <w:rPr>
                <w:rFonts w:ascii="Arial" w:hAnsi="Arial" w:cs="Arial"/>
                <w:color w:val="000000"/>
                <w:sz w:val="16"/>
                <w:szCs w:val="16"/>
              </w:rPr>
            </w:pPr>
            <w:r w:rsidRPr="00123018">
              <w:rPr>
                <w:rFonts w:ascii="Arial" w:hAnsi="Arial" w:cs="Arial"/>
                <w:color w:val="000000"/>
                <w:sz w:val="16"/>
                <w:szCs w:val="16"/>
              </w:rPr>
              <w:t>$m</w:t>
            </w:r>
          </w:p>
        </w:tc>
        <w:tc>
          <w:tcPr>
            <w:tcW w:w="522" w:type="pct"/>
            <w:tcBorders>
              <w:top w:val="nil"/>
              <w:left w:val="nil"/>
              <w:bottom w:val="single" w:sz="4" w:space="0" w:color="293F5B"/>
              <w:right w:val="nil"/>
            </w:tcBorders>
            <w:shd w:val="clear" w:color="000000" w:fill="E6F2FF"/>
            <w:noWrap/>
            <w:vAlign w:val="center"/>
            <w:hideMark/>
          </w:tcPr>
          <w:p w14:paraId="4DCF5E1C" w14:textId="77777777" w:rsidR="00123018" w:rsidRPr="00123018" w:rsidRDefault="00123018" w:rsidP="00123018">
            <w:pPr>
              <w:spacing w:before="0" w:after="0" w:line="240" w:lineRule="auto"/>
              <w:jc w:val="right"/>
              <w:rPr>
                <w:rFonts w:ascii="Arial" w:hAnsi="Arial" w:cs="Arial"/>
                <w:color w:val="000000"/>
                <w:sz w:val="16"/>
                <w:szCs w:val="16"/>
              </w:rPr>
            </w:pPr>
            <w:r w:rsidRPr="00123018">
              <w:rPr>
                <w:rFonts w:ascii="Arial" w:hAnsi="Arial" w:cs="Arial"/>
                <w:color w:val="000000"/>
                <w:sz w:val="16"/>
                <w:szCs w:val="16"/>
              </w:rPr>
              <w:t>$m</w:t>
            </w:r>
          </w:p>
        </w:tc>
        <w:tc>
          <w:tcPr>
            <w:tcW w:w="522" w:type="pct"/>
            <w:tcBorders>
              <w:top w:val="nil"/>
              <w:left w:val="nil"/>
              <w:bottom w:val="single" w:sz="4" w:space="0" w:color="293F5B"/>
              <w:right w:val="nil"/>
            </w:tcBorders>
            <w:shd w:val="clear" w:color="000000" w:fill="FFFFFF"/>
            <w:noWrap/>
            <w:vAlign w:val="center"/>
            <w:hideMark/>
          </w:tcPr>
          <w:p w14:paraId="275A3011" w14:textId="77777777" w:rsidR="00123018" w:rsidRPr="00123018" w:rsidRDefault="00123018" w:rsidP="00123018">
            <w:pPr>
              <w:spacing w:before="0" w:after="0" w:line="240" w:lineRule="auto"/>
              <w:jc w:val="right"/>
              <w:rPr>
                <w:rFonts w:ascii="Arial" w:hAnsi="Arial" w:cs="Arial"/>
                <w:color w:val="000000"/>
                <w:sz w:val="16"/>
                <w:szCs w:val="16"/>
              </w:rPr>
            </w:pPr>
            <w:r w:rsidRPr="00123018">
              <w:rPr>
                <w:rFonts w:ascii="Arial" w:hAnsi="Arial" w:cs="Arial"/>
                <w:color w:val="000000"/>
                <w:sz w:val="16"/>
                <w:szCs w:val="16"/>
              </w:rPr>
              <w:t>$m</w:t>
            </w:r>
          </w:p>
        </w:tc>
        <w:tc>
          <w:tcPr>
            <w:tcW w:w="522" w:type="pct"/>
            <w:tcBorders>
              <w:top w:val="nil"/>
              <w:left w:val="nil"/>
              <w:bottom w:val="single" w:sz="4" w:space="0" w:color="293F5B"/>
              <w:right w:val="nil"/>
            </w:tcBorders>
            <w:shd w:val="clear" w:color="000000" w:fill="FFFFFF"/>
            <w:noWrap/>
            <w:vAlign w:val="center"/>
            <w:hideMark/>
          </w:tcPr>
          <w:p w14:paraId="49F2B220" w14:textId="77777777" w:rsidR="00123018" w:rsidRPr="00123018" w:rsidRDefault="00123018" w:rsidP="00123018">
            <w:pPr>
              <w:spacing w:before="0" w:after="0" w:line="240" w:lineRule="auto"/>
              <w:jc w:val="right"/>
              <w:rPr>
                <w:rFonts w:ascii="Arial" w:hAnsi="Arial" w:cs="Arial"/>
                <w:color w:val="000000"/>
                <w:sz w:val="16"/>
                <w:szCs w:val="16"/>
              </w:rPr>
            </w:pPr>
            <w:r w:rsidRPr="00123018">
              <w:rPr>
                <w:rFonts w:ascii="Arial" w:hAnsi="Arial" w:cs="Arial"/>
                <w:color w:val="000000"/>
                <w:sz w:val="16"/>
                <w:szCs w:val="16"/>
              </w:rPr>
              <w:t>$m</w:t>
            </w:r>
          </w:p>
        </w:tc>
        <w:tc>
          <w:tcPr>
            <w:tcW w:w="522" w:type="pct"/>
            <w:tcBorders>
              <w:top w:val="nil"/>
              <w:left w:val="nil"/>
              <w:bottom w:val="single" w:sz="4" w:space="0" w:color="293F5B"/>
              <w:right w:val="nil"/>
            </w:tcBorders>
            <w:shd w:val="clear" w:color="000000" w:fill="FFFFFF"/>
            <w:noWrap/>
            <w:vAlign w:val="center"/>
            <w:hideMark/>
          </w:tcPr>
          <w:p w14:paraId="7EA84712" w14:textId="77777777" w:rsidR="00123018" w:rsidRPr="00123018" w:rsidRDefault="00123018" w:rsidP="00123018">
            <w:pPr>
              <w:spacing w:before="0" w:after="0" w:line="240" w:lineRule="auto"/>
              <w:jc w:val="right"/>
              <w:rPr>
                <w:rFonts w:ascii="Arial" w:hAnsi="Arial" w:cs="Arial"/>
                <w:color w:val="000000"/>
                <w:sz w:val="16"/>
                <w:szCs w:val="16"/>
              </w:rPr>
            </w:pPr>
            <w:r w:rsidRPr="00123018">
              <w:rPr>
                <w:rFonts w:ascii="Arial" w:hAnsi="Arial" w:cs="Arial"/>
                <w:color w:val="000000"/>
                <w:sz w:val="16"/>
                <w:szCs w:val="16"/>
              </w:rPr>
              <w:t>$m</w:t>
            </w:r>
          </w:p>
        </w:tc>
      </w:tr>
      <w:tr w:rsidR="00123018" w:rsidRPr="00123018" w14:paraId="73216D6B" w14:textId="77777777" w:rsidTr="00FB3363">
        <w:trPr>
          <w:trHeight w:hRule="exact" w:val="225"/>
        </w:trPr>
        <w:tc>
          <w:tcPr>
            <w:tcW w:w="2388" w:type="pct"/>
            <w:tcBorders>
              <w:top w:val="nil"/>
              <w:left w:val="nil"/>
              <w:bottom w:val="nil"/>
              <w:right w:val="nil"/>
            </w:tcBorders>
            <w:shd w:val="clear" w:color="000000" w:fill="FFFFFF"/>
            <w:noWrap/>
            <w:vAlign w:val="center"/>
            <w:hideMark/>
          </w:tcPr>
          <w:p w14:paraId="68A078B3" w14:textId="77777777" w:rsidR="00123018" w:rsidRPr="00123018" w:rsidRDefault="00123018" w:rsidP="00123018">
            <w:pPr>
              <w:spacing w:before="0" w:after="0" w:line="240" w:lineRule="auto"/>
              <w:rPr>
                <w:rFonts w:ascii="Arial" w:hAnsi="Arial" w:cs="Arial"/>
                <w:color w:val="000000"/>
                <w:sz w:val="16"/>
                <w:szCs w:val="16"/>
              </w:rPr>
            </w:pPr>
            <w:r w:rsidRPr="00123018">
              <w:rPr>
                <w:rFonts w:ascii="Arial" w:hAnsi="Arial" w:cs="Arial"/>
                <w:color w:val="000000"/>
                <w:sz w:val="16"/>
                <w:szCs w:val="16"/>
              </w:rPr>
              <w:t>Assistance to the aged(a)</w:t>
            </w:r>
          </w:p>
        </w:tc>
        <w:tc>
          <w:tcPr>
            <w:tcW w:w="523" w:type="pct"/>
            <w:tcBorders>
              <w:top w:val="single" w:sz="4" w:space="0" w:color="293F5B"/>
              <w:left w:val="nil"/>
              <w:bottom w:val="nil"/>
              <w:right w:val="nil"/>
            </w:tcBorders>
            <w:shd w:val="clear" w:color="000000" w:fill="FFFFFF"/>
            <w:noWrap/>
            <w:vAlign w:val="center"/>
            <w:hideMark/>
          </w:tcPr>
          <w:p w14:paraId="6F4369F4" w14:textId="77777777" w:rsidR="00123018" w:rsidRPr="00123018" w:rsidRDefault="00123018" w:rsidP="00123018">
            <w:pPr>
              <w:spacing w:before="0" w:after="0" w:line="240" w:lineRule="auto"/>
              <w:jc w:val="right"/>
              <w:rPr>
                <w:rFonts w:ascii="Arial" w:hAnsi="Arial" w:cs="Arial"/>
                <w:color w:val="000000"/>
                <w:sz w:val="16"/>
                <w:szCs w:val="16"/>
              </w:rPr>
            </w:pPr>
            <w:r w:rsidRPr="00123018">
              <w:rPr>
                <w:rFonts w:ascii="Arial" w:hAnsi="Arial" w:cs="Arial"/>
                <w:color w:val="000000"/>
                <w:sz w:val="16"/>
                <w:szCs w:val="16"/>
              </w:rPr>
              <w:t>95,306</w:t>
            </w:r>
          </w:p>
        </w:tc>
        <w:tc>
          <w:tcPr>
            <w:tcW w:w="522" w:type="pct"/>
            <w:tcBorders>
              <w:top w:val="single" w:sz="4" w:space="0" w:color="293F5B"/>
              <w:left w:val="nil"/>
              <w:bottom w:val="nil"/>
              <w:right w:val="nil"/>
            </w:tcBorders>
            <w:shd w:val="clear" w:color="000000" w:fill="E6F2FF"/>
            <w:noWrap/>
            <w:vAlign w:val="center"/>
            <w:hideMark/>
          </w:tcPr>
          <w:p w14:paraId="0844AA4F" w14:textId="77777777" w:rsidR="00123018" w:rsidRPr="00123018" w:rsidRDefault="00123018" w:rsidP="00123018">
            <w:pPr>
              <w:spacing w:before="0" w:after="0" w:line="240" w:lineRule="auto"/>
              <w:jc w:val="right"/>
              <w:rPr>
                <w:rFonts w:ascii="Arial" w:hAnsi="Arial" w:cs="Arial"/>
                <w:color w:val="000000"/>
                <w:sz w:val="16"/>
                <w:szCs w:val="16"/>
              </w:rPr>
            </w:pPr>
            <w:r w:rsidRPr="00123018">
              <w:rPr>
                <w:rFonts w:ascii="Arial" w:hAnsi="Arial" w:cs="Arial"/>
                <w:color w:val="000000"/>
                <w:sz w:val="16"/>
                <w:szCs w:val="16"/>
              </w:rPr>
              <w:t>100,653</w:t>
            </w:r>
          </w:p>
        </w:tc>
        <w:tc>
          <w:tcPr>
            <w:tcW w:w="522" w:type="pct"/>
            <w:tcBorders>
              <w:top w:val="single" w:sz="4" w:space="0" w:color="293F5B"/>
              <w:left w:val="nil"/>
              <w:bottom w:val="nil"/>
              <w:right w:val="nil"/>
            </w:tcBorders>
            <w:shd w:val="clear" w:color="000000" w:fill="FFFFFF"/>
            <w:noWrap/>
            <w:vAlign w:val="center"/>
            <w:hideMark/>
          </w:tcPr>
          <w:p w14:paraId="4D464522" w14:textId="77777777" w:rsidR="00123018" w:rsidRPr="00123018" w:rsidRDefault="00123018" w:rsidP="00123018">
            <w:pPr>
              <w:spacing w:before="0" w:after="0" w:line="240" w:lineRule="auto"/>
              <w:jc w:val="right"/>
              <w:rPr>
                <w:rFonts w:ascii="Arial" w:hAnsi="Arial" w:cs="Arial"/>
                <w:color w:val="000000"/>
                <w:sz w:val="16"/>
                <w:szCs w:val="16"/>
              </w:rPr>
            </w:pPr>
            <w:r w:rsidRPr="00123018">
              <w:rPr>
                <w:rFonts w:ascii="Arial" w:hAnsi="Arial" w:cs="Arial"/>
                <w:color w:val="000000"/>
                <w:sz w:val="16"/>
                <w:szCs w:val="16"/>
              </w:rPr>
              <w:t>104,825</w:t>
            </w:r>
          </w:p>
        </w:tc>
        <w:tc>
          <w:tcPr>
            <w:tcW w:w="522" w:type="pct"/>
            <w:tcBorders>
              <w:top w:val="single" w:sz="4" w:space="0" w:color="293F5B"/>
              <w:left w:val="nil"/>
              <w:bottom w:val="nil"/>
              <w:right w:val="nil"/>
            </w:tcBorders>
            <w:shd w:val="clear" w:color="000000" w:fill="FFFFFF"/>
            <w:noWrap/>
            <w:vAlign w:val="center"/>
            <w:hideMark/>
          </w:tcPr>
          <w:p w14:paraId="1BD6F82E" w14:textId="77777777" w:rsidR="00123018" w:rsidRPr="00123018" w:rsidRDefault="00123018" w:rsidP="00123018">
            <w:pPr>
              <w:spacing w:before="0" w:after="0" w:line="240" w:lineRule="auto"/>
              <w:jc w:val="right"/>
              <w:rPr>
                <w:rFonts w:ascii="Arial" w:hAnsi="Arial" w:cs="Arial"/>
                <w:color w:val="000000"/>
                <w:sz w:val="16"/>
                <w:szCs w:val="16"/>
              </w:rPr>
            </w:pPr>
            <w:r w:rsidRPr="00123018">
              <w:rPr>
                <w:rFonts w:ascii="Arial" w:hAnsi="Arial" w:cs="Arial"/>
                <w:color w:val="000000"/>
                <w:sz w:val="16"/>
                <w:szCs w:val="16"/>
              </w:rPr>
              <w:t>109,575</w:t>
            </w:r>
          </w:p>
        </w:tc>
        <w:tc>
          <w:tcPr>
            <w:tcW w:w="522" w:type="pct"/>
            <w:tcBorders>
              <w:top w:val="single" w:sz="4" w:space="0" w:color="293F5B"/>
              <w:left w:val="nil"/>
              <w:bottom w:val="nil"/>
              <w:right w:val="nil"/>
            </w:tcBorders>
            <w:shd w:val="clear" w:color="000000" w:fill="FFFFFF"/>
            <w:noWrap/>
            <w:vAlign w:val="center"/>
            <w:hideMark/>
          </w:tcPr>
          <w:p w14:paraId="20FBB37C" w14:textId="77777777" w:rsidR="00123018" w:rsidRPr="00123018" w:rsidRDefault="00123018" w:rsidP="00123018">
            <w:pPr>
              <w:spacing w:before="0" w:after="0" w:line="240" w:lineRule="auto"/>
              <w:jc w:val="right"/>
              <w:rPr>
                <w:rFonts w:ascii="Arial" w:hAnsi="Arial" w:cs="Arial"/>
                <w:color w:val="000000"/>
                <w:sz w:val="16"/>
                <w:szCs w:val="16"/>
              </w:rPr>
            </w:pPr>
            <w:r w:rsidRPr="00123018">
              <w:rPr>
                <w:rFonts w:ascii="Arial" w:hAnsi="Arial" w:cs="Arial"/>
                <w:color w:val="000000"/>
                <w:sz w:val="16"/>
                <w:szCs w:val="16"/>
              </w:rPr>
              <w:t>115,972</w:t>
            </w:r>
          </w:p>
        </w:tc>
      </w:tr>
      <w:tr w:rsidR="00123018" w:rsidRPr="00123018" w14:paraId="120AD4A0" w14:textId="77777777" w:rsidTr="00285ADA">
        <w:trPr>
          <w:trHeight w:hRule="exact" w:val="225"/>
        </w:trPr>
        <w:tc>
          <w:tcPr>
            <w:tcW w:w="2388" w:type="pct"/>
            <w:tcBorders>
              <w:top w:val="nil"/>
              <w:left w:val="nil"/>
              <w:bottom w:val="nil"/>
              <w:right w:val="nil"/>
            </w:tcBorders>
            <w:shd w:val="clear" w:color="000000" w:fill="FFFFFF"/>
            <w:noWrap/>
            <w:vAlign w:val="center"/>
            <w:hideMark/>
          </w:tcPr>
          <w:p w14:paraId="646F85C0" w14:textId="77777777" w:rsidR="00123018" w:rsidRPr="00123018" w:rsidRDefault="00123018" w:rsidP="00123018">
            <w:pPr>
              <w:spacing w:before="0" w:after="0" w:line="240" w:lineRule="auto"/>
              <w:rPr>
                <w:rFonts w:ascii="Arial" w:hAnsi="Arial" w:cs="Arial"/>
                <w:color w:val="000000"/>
                <w:sz w:val="16"/>
                <w:szCs w:val="16"/>
              </w:rPr>
            </w:pPr>
            <w:r w:rsidRPr="00123018">
              <w:rPr>
                <w:rFonts w:ascii="Arial" w:hAnsi="Arial" w:cs="Arial"/>
                <w:color w:val="000000"/>
                <w:sz w:val="16"/>
                <w:szCs w:val="16"/>
              </w:rPr>
              <w:t>Assistance to veterans and dependants</w:t>
            </w:r>
          </w:p>
        </w:tc>
        <w:tc>
          <w:tcPr>
            <w:tcW w:w="523" w:type="pct"/>
            <w:tcBorders>
              <w:top w:val="nil"/>
              <w:left w:val="nil"/>
              <w:bottom w:val="nil"/>
              <w:right w:val="nil"/>
            </w:tcBorders>
            <w:shd w:val="clear" w:color="000000" w:fill="FFFFFF"/>
            <w:noWrap/>
            <w:vAlign w:val="center"/>
            <w:hideMark/>
          </w:tcPr>
          <w:p w14:paraId="256AF589" w14:textId="77777777" w:rsidR="00123018" w:rsidRPr="00123018" w:rsidRDefault="00123018" w:rsidP="00123018">
            <w:pPr>
              <w:spacing w:before="0" w:after="0" w:line="240" w:lineRule="auto"/>
              <w:jc w:val="right"/>
              <w:rPr>
                <w:rFonts w:ascii="Arial" w:hAnsi="Arial" w:cs="Arial"/>
                <w:color w:val="000000"/>
                <w:sz w:val="16"/>
                <w:szCs w:val="16"/>
              </w:rPr>
            </w:pPr>
            <w:r w:rsidRPr="00123018">
              <w:rPr>
                <w:rFonts w:ascii="Arial" w:hAnsi="Arial" w:cs="Arial"/>
                <w:color w:val="000000"/>
                <w:sz w:val="16"/>
                <w:szCs w:val="16"/>
              </w:rPr>
              <w:t>7,666</w:t>
            </w:r>
          </w:p>
        </w:tc>
        <w:tc>
          <w:tcPr>
            <w:tcW w:w="522" w:type="pct"/>
            <w:tcBorders>
              <w:top w:val="nil"/>
              <w:left w:val="nil"/>
              <w:bottom w:val="nil"/>
              <w:right w:val="nil"/>
            </w:tcBorders>
            <w:shd w:val="clear" w:color="000000" w:fill="E6F2FF"/>
            <w:noWrap/>
            <w:vAlign w:val="center"/>
            <w:hideMark/>
          </w:tcPr>
          <w:p w14:paraId="135A59FF" w14:textId="77777777" w:rsidR="00123018" w:rsidRPr="00123018" w:rsidRDefault="00123018" w:rsidP="00123018">
            <w:pPr>
              <w:spacing w:before="0" w:after="0" w:line="240" w:lineRule="auto"/>
              <w:jc w:val="right"/>
              <w:rPr>
                <w:rFonts w:ascii="Arial" w:hAnsi="Arial" w:cs="Arial"/>
                <w:color w:val="000000"/>
                <w:sz w:val="16"/>
                <w:szCs w:val="16"/>
              </w:rPr>
            </w:pPr>
            <w:r w:rsidRPr="00123018">
              <w:rPr>
                <w:rFonts w:ascii="Arial" w:hAnsi="Arial" w:cs="Arial"/>
                <w:color w:val="000000"/>
                <w:sz w:val="16"/>
                <w:szCs w:val="16"/>
              </w:rPr>
              <w:t>7,982</w:t>
            </w:r>
          </w:p>
        </w:tc>
        <w:tc>
          <w:tcPr>
            <w:tcW w:w="522" w:type="pct"/>
            <w:tcBorders>
              <w:top w:val="nil"/>
              <w:left w:val="nil"/>
              <w:bottom w:val="nil"/>
              <w:right w:val="nil"/>
            </w:tcBorders>
            <w:shd w:val="clear" w:color="000000" w:fill="FFFFFF"/>
            <w:noWrap/>
            <w:vAlign w:val="center"/>
            <w:hideMark/>
          </w:tcPr>
          <w:p w14:paraId="0C3B3B38" w14:textId="77777777" w:rsidR="00123018" w:rsidRPr="00123018" w:rsidRDefault="00123018" w:rsidP="00123018">
            <w:pPr>
              <w:spacing w:before="0" w:after="0" w:line="240" w:lineRule="auto"/>
              <w:jc w:val="right"/>
              <w:rPr>
                <w:rFonts w:ascii="Arial" w:hAnsi="Arial" w:cs="Arial"/>
                <w:color w:val="000000"/>
                <w:sz w:val="16"/>
                <w:szCs w:val="16"/>
              </w:rPr>
            </w:pPr>
            <w:r w:rsidRPr="00123018">
              <w:rPr>
                <w:rFonts w:ascii="Arial" w:hAnsi="Arial" w:cs="Arial"/>
                <w:color w:val="000000"/>
                <w:sz w:val="16"/>
                <w:szCs w:val="16"/>
              </w:rPr>
              <w:t>12,291</w:t>
            </w:r>
          </w:p>
        </w:tc>
        <w:tc>
          <w:tcPr>
            <w:tcW w:w="522" w:type="pct"/>
            <w:tcBorders>
              <w:top w:val="nil"/>
              <w:left w:val="nil"/>
              <w:bottom w:val="nil"/>
              <w:right w:val="nil"/>
            </w:tcBorders>
            <w:shd w:val="clear" w:color="000000" w:fill="FFFFFF"/>
            <w:noWrap/>
            <w:vAlign w:val="center"/>
            <w:hideMark/>
          </w:tcPr>
          <w:p w14:paraId="575B93EE" w14:textId="77777777" w:rsidR="00123018" w:rsidRPr="00123018" w:rsidRDefault="00123018" w:rsidP="00123018">
            <w:pPr>
              <w:spacing w:before="0" w:after="0" w:line="240" w:lineRule="auto"/>
              <w:jc w:val="right"/>
              <w:rPr>
                <w:rFonts w:ascii="Arial" w:hAnsi="Arial" w:cs="Arial"/>
                <w:color w:val="000000"/>
                <w:sz w:val="16"/>
                <w:szCs w:val="16"/>
              </w:rPr>
            </w:pPr>
            <w:r w:rsidRPr="00123018">
              <w:rPr>
                <w:rFonts w:ascii="Arial" w:hAnsi="Arial" w:cs="Arial"/>
                <w:color w:val="000000"/>
                <w:sz w:val="16"/>
                <w:szCs w:val="16"/>
              </w:rPr>
              <w:t>9,565</w:t>
            </w:r>
          </w:p>
        </w:tc>
        <w:tc>
          <w:tcPr>
            <w:tcW w:w="522" w:type="pct"/>
            <w:tcBorders>
              <w:top w:val="nil"/>
              <w:left w:val="nil"/>
              <w:bottom w:val="nil"/>
              <w:right w:val="nil"/>
            </w:tcBorders>
            <w:shd w:val="clear" w:color="000000" w:fill="FFFFFF"/>
            <w:noWrap/>
            <w:vAlign w:val="center"/>
            <w:hideMark/>
          </w:tcPr>
          <w:p w14:paraId="6F470154" w14:textId="77777777" w:rsidR="00123018" w:rsidRPr="00123018" w:rsidRDefault="00123018" w:rsidP="00123018">
            <w:pPr>
              <w:spacing w:before="0" w:after="0" w:line="240" w:lineRule="auto"/>
              <w:jc w:val="right"/>
              <w:rPr>
                <w:rFonts w:ascii="Arial" w:hAnsi="Arial" w:cs="Arial"/>
                <w:color w:val="000000"/>
                <w:sz w:val="16"/>
                <w:szCs w:val="16"/>
              </w:rPr>
            </w:pPr>
            <w:r w:rsidRPr="00123018">
              <w:rPr>
                <w:rFonts w:ascii="Arial" w:hAnsi="Arial" w:cs="Arial"/>
                <w:color w:val="000000"/>
                <w:sz w:val="16"/>
                <w:szCs w:val="16"/>
              </w:rPr>
              <w:t>9,576</w:t>
            </w:r>
          </w:p>
        </w:tc>
      </w:tr>
      <w:tr w:rsidR="00123018" w:rsidRPr="00123018" w14:paraId="5BA2A069" w14:textId="77777777" w:rsidTr="00285ADA">
        <w:trPr>
          <w:trHeight w:hRule="exact" w:val="225"/>
        </w:trPr>
        <w:tc>
          <w:tcPr>
            <w:tcW w:w="2388" w:type="pct"/>
            <w:tcBorders>
              <w:top w:val="nil"/>
              <w:left w:val="nil"/>
              <w:bottom w:val="nil"/>
              <w:right w:val="nil"/>
            </w:tcBorders>
            <w:shd w:val="clear" w:color="000000" w:fill="FFFFFF"/>
            <w:noWrap/>
            <w:vAlign w:val="center"/>
            <w:hideMark/>
          </w:tcPr>
          <w:p w14:paraId="448BC130" w14:textId="77777777" w:rsidR="00123018" w:rsidRPr="00123018" w:rsidRDefault="00123018" w:rsidP="00123018">
            <w:pPr>
              <w:spacing w:before="0" w:after="0" w:line="240" w:lineRule="auto"/>
              <w:rPr>
                <w:rFonts w:ascii="Arial" w:hAnsi="Arial" w:cs="Arial"/>
                <w:color w:val="000000"/>
                <w:sz w:val="16"/>
                <w:szCs w:val="16"/>
              </w:rPr>
            </w:pPr>
            <w:r w:rsidRPr="00123018">
              <w:rPr>
                <w:rFonts w:ascii="Arial" w:hAnsi="Arial" w:cs="Arial"/>
                <w:color w:val="000000"/>
                <w:sz w:val="16"/>
                <w:szCs w:val="16"/>
              </w:rPr>
              <w:t>Assistance to people with disabilities(b)</w:t>
            </w:r>
          </w:p>
        </w:tc>
        <w:tc>
          <w:tcPr>
            <w:tcW w:w="523" w:type="pct"/>
            <w:tcBorders>
              <w:top w:val="nil"/>
              <w:left w:val="nil"/>
              <w:bottom w:val="nil"/>
              <w:right w:val="nil"/>
            </w:tcBorders>
            <w:shd w:val="clear" w:color="000000" w:fill="FFFFFF"/>
            <w:noWrap/>
            <w:vAlign w:val="center"/>
            <w:hideMark/>
          </w:tcPr>
          <w:p w14:paraId="407F17B8" w14:textId="77777777" w:rsidR="00123018" w:rsidRPr="00123018" w:rsidRDefault="00123018" w:rsidP="00123018">
            <w:pPr>
              <w:spacing w:before="0" w:after="0" w:line="240" w:lineRule="auto"/>
              <w:jc w:val="right"/>
              <w:rPr>
                <w:rFonts w:ascii="Arial" w:hAnsi="Arial" w:cs="Arial"/>
                <w:color w:val="000000"/>
                <w:sz w:val="16"/>
                <w:szCs w:val="16"/>
              </w:rPr>
            </w:pPr>
            <w:r w:rsidRPr="00123018">
              <w:rPr>
                <w:rFonts w:ascii="Arial" w:hAnsi="Arial" w:cs="Arial"/>
                <w:color w:val="000000"/>
                <w:sz w:val="16"/>
                <w:szCs w:val="16"/>
              </w:rPr>
              <w:t>80,401</w:t>
            </w:r>
          </w:p>
        </w:tc>
        <w:tc>
          <w:tcPr>
            <w:tcW w:w="522" w:type="pct"/>
            <w:tcBorders>
              <w:top w:val="nil"/>
              <w:left w:val="nil"/>
              <w:bottom w:val="nil"/>
              <w:right w:val="nil"/>
            </w:tcBorders>
            <w:shd w:val="clear" w:color="000000" w:fill="E6F2FF"/>
            <w:noWrap/>
            <w:vAlign w:val="center"/>
            <w:hideMark/>
          </w:tcPr>
          <w:p w14:paraId="66BDBA0B" w14:textId="77777777" w:rsidR="00123018" w:rsidRPr="00123018" w:rsidRDefault="00123018" w:rsidP="00123018">
            <w:pPr>
              <w:spacing w:before="0" w:after="0" w:line="240" w:lineRule="auto"/>
              <w:jc w:val="right"/>
              <w:rPr>
                <w:rFonts w:ascii="Arial" w:hAnsi="Arial" w:cs="Arial"/>
                <w:color w:val="000000"/>
                <w:sz w:val="16"/>
                <w:szCs w:val="16"/>
              </w:rPr>
            </w:pPr>
            <w:r w:rsidRPr="00123018">
              <w:rPr>
                <w:rFonts w:ascii="Arial" w:hAnsi="Arial" w:cs="Arial"/>
                <w:color w:val="000000"/>
                <w:sz w:val="16"/>
                <w:szCs w:val="16"/>
              </w:rPr>
              <w:t>84,342</w:t>
            </w:r>
          </w:p>
        </w:tc>
        <w:tc>
          <w:tcPr>
            <w:tcW w:w="522" w:type="pct"/>
            <w:tcBorders>
              <w:top w:val="nil"/>
              <w:left w:val="nil"/>
              <w:bottom w:val="nil"/>
              <w:right w:val="nil"/>
            </w:tcBorders>
            <w:shd w:val="clear" w:color="000000" w:fill="FFFFFF"/>
            <w:noWrap/>
            <w:vAlign w:val="center"/>
            <w:hideMark/>
          </w:tcPr>
          <w:p w14:paraId="17972DC9" w14:textId="77777777" w:rsidR="00123018" w:rsidRPr="00123018" w:rsidRDefault="00123018" w:rsidP="00123018">
            <w:pPr>
              <w:spacing w:before="0" w:after="0" w:line="240" w:lineRule="auto"/>
              <w:jc w:val="right"/>
              <w:rPr>
                <w:rFonts w:ascii="Arial" w:hAnsi="Arial" w:cs="Arial"/>
                <w:color w:val="000000"/>
                <w:sz w:val="16"/>
                <w:szCs w:val="16"/>
              </w:rPr>
            </w:pPr>
            <w:r w:rsidRPr="00123018">
              <w:rPr>
                <w:rFonts w:ascii="Arial" w:hAnsi="Arial" w:cs="Arial"/>
                <w:color w:val="000000"/>
                <w:sz w:val="16"/>
                <w:szCs w:val="16"/>
              </w:rPr>
              <w:t>89,140</w:t>
            </w:r>
          </w:p>
        </w:tc>
        <w:tc>
          <w:tcPr>
            <w:tcW w:w="522" w:type="pct"/>
            <w:tcBorders>
              <w:top w:val="nil"/>
              <w:left w:val="nil"/>
              <w:bottom w:val="nil"/>
              <w:right w:val="nil"/>
            </w:tcBorders>
            <w:shd w:val="clear" w:color="000000" w:fill="FFFFFF"/>
            <w:noWrap/>
            <w:vAlign w:val="center"/>
            <w:hideMark/>
          </w:tcPr>
          <w:p w14:paraId="1DC4402E" w14:textId="77777777" w:rsidR="00123018" w:rsidRPr="00123018" w:rsidRDefault="00123018" w:rsidP="00123018">
            <w:pPr>
              <w:spacing w:before="0" w:after="0" w:line="240" w:lineRule="auto"/>
              <w:jc w:val="right"/>
              <w:rPr>
                <w:rFonts w:ascii="Arial" w:hAnsi="Arial" w:cs="Arial"/>
                <w:color w:val="000000"/>
                <w:sz w:val="16"/>
                <w:szCs w:val="16"/>
              </w:rPr>
            </w:pPr>
            <w:r w:rsidRPr="00123018">
              <w:rPr>
                <w:rFonts w:ascii="Arial" w:hAnsi="Arial" w:cs="Arial"/>
                <w:color w:val="000000"/>
                <w:sz w:val="16"/>
                <w:szCs w:val="16"/>
              </w:rPr>
              <w:t>94,510</w:t>
            </w:r>
          </w:p>
        </w:tc>
        <w:tc>
          <w:tcPr>
            <w:tcW w:w="522" w:type="pct"/>
            <w:tcBorders>
              <w:top w:val="nil"/>
              <w:left w:val="nil"/>
              <w:bottom w:val="nil"/>
              <w:right w:val="nil"/>
            </w:tcBorders>
            <w:shd w:val="clear" w:color="000000" w:fill="FFFFFF"/>
            <w:noWrap/>
            <w:vAlign w:val="center"/>
            <w:hideMark/>
          </w:tcPr>
          <w:p w14:paraId="0CDED51E" w14:textId="77777777" w:rsidR="00123018" w:rsidRPr="00123018" w:rsidRDefault="00123018" w:rsidP="00123018">
            <w:pPr>
              <w:spacing w:before="0" w:after="0" w:line="240" w:lineRule="auto"/>
              <w:jc w:val="right"/>
              <w:rPr>
                <w:rFonts w:ascii="Arial" w:hAnsi="Arial" w:cs="Arial"/>
                <w:color w:val="000000"/>
                <w:sz w:val="16"/>
                <w:szCs w:val="16"/>
              </w:rPr>
            </w:pPr>
            <w:r w:rsidRPr="00123018">
              <w:rPr>
                <w:rFonts w:ascii="Arial" w:hAnsi="Arial" w:cs="Arial"/>
                <w:color w:val="000000"/>
                <w:sz w:val="16"/>
                <w:szCs w:val="16"/>
              </w:rPr>
              <w:t>100,547</w:t>
            </w:r>
          </w:p>
        </w:tc>
      </w:tr>
      <w:tr w:rsidR="00123018" w:rsidRPr="00123018" w14:paraId="1E686CE7" w14:textId="77777777" w:rsidTr="00285ADA">
        <w:trPr>
          <w:trHeight w:hRule="exact" w:val="225"/>
        </w:trPr>
        <w:tc>
          <w:tcPr>
            <w:tcW w:w="2388" w:type="pct"/>
            <w:tcBorders>
              <w:top w:val="nil"/>
              <w:left w:val="nil"/>
              <w:bottom w:val="nil"/>
              <w:right w:val="nil"/>
            </w:tcBorders>
            <w:shd w:val="clear" w:color="000000" w:fill="FFFFFF"/>
            <w:noWrap/>
            <w:vAlign w:val="center"/>
            <w:hideMark/>
          </w:tcPr>
          <w:p w14:paraId="08F0C50C" w14:textId="77777777" w:rsidR="00123018" w:rsidRPr="00123018" w:rsidRDefault="00123018" w:rsidP="00123018">
            <w:pPr>
              <w:spacing w:before="0" w:after="0" w:line="240" w:lineRule="auto"/>
              <w:rPr>
                <w:rFonts w:ascii="Arial" w:hAnsi="Arial" w:cs="Arial"/>
                <w:color w:val="000000"/>
                <w:sz w:val="16"/>
                <w:szCs w:val="16"/>
              </w:rPr>
            </w:pPr>
            <w:r w:rsidRPr="00123018">
              <w:rPr>
                <w:rFonts w:ascii="Arial" w:hAnsi="Arial" w:cs="Arial"/>
                <w:color w:val="000000"/>
                <w:sz w:val="16"/>
                <w:szCs w:val="16"/>
              </w:rPr>
              <w:t>Assistance to families with children(c)</w:t>
            </w:r>
          </w:p>
        </w:tc>
        <w:tc>
          <w:tcPr>
            <w:tcW w:w="523" w:type="pct"/>
            <w:tcBorders>
              <w:top w:val="nil"/>
              <w:left w:val="nil"/>
              <w:bottom w:val="nil"/>
              <w:right w:val="nil"/>
            </w:tcBorders>
            <w:shd w:val="clear" w:color="000000" w:fill="FFFFFF"/>
            <w:noWrap/>
            <w:vAlign w:val="center"/>
            <w:hideMark/>
          </w:tcPr>
          <w:p w14:paraId="17C41C3A" w14:textId="77777777" w:rsidR="00123018" w:rsidRPr="00123018" w:rsidRDefault="00123018" w:rsidP="00123018">
            <w:pPr>
              <w:spacing w:before="0" w:after="0" w:line="240" w:lineRule="auto"/>
              <w:jc w:val="right"/>
              <w:rPr>
                <w:rFonts w:ascii="Arial" w:hAnsi="Arial" w:cs="Arial"/>
                <w:color w:val="000000"/>
                <w:sz w:val="16"/>
                <w:szCs w:val="16"/>
              </w:rPr>
            </w:pPr>
            <w:r w:rsidRPr="00123018">
              <w:rPr>
                <w:rFonts w:ascii="Arial" w:hAnsi="Arial" w:cs="Arial"/>
                <w:color w:val="000000"/>
                <w:sz w:val="16"/>
                <w:szCs w:val="16"/>
              </w:rPr>
              <w:t>44,381</w:t>
            </w:r>
          </w:p>
        </w:tc>
        <w:tc>
          <w:tcPr>
            <w:tcW w:w="522" w:type="pct"/>
            <w:tcBorders>
              <w:top w:val="nil"/>
              <w:left w:val="nil"/>
              <w:bottom w:val="nil"/>
              <w:right w:val="nil"/>
            </w:tcBorders>
            <w:shd w:val="clear" w:color="000000" w:fill="E6F2FF"/>
            <w:noWrap/>
            <w:vAlign w:val="center"/>
            <w:hideMark/>
          </w:tcPr>
          <w:p w14:paraId="597B9FC1" w14:textId="77777777" w:rsidR="00123018" w:rsidRPr="00123018" w:rsidRDefault="00123018" w:rsidP="00123018">
            <w:pPr>
              <w:spacing w:before="0" w:after="0" w:line="240" w:lineRule="auto"/>
              <w:jc w:val="right"/>
              <w:rPr>
                <w:rFonts w:ascii="Arial" w:hAnsi="Arial" w:cs="Arial"/>
                <w:color w:val="000000"/>
                <w:sz w:val="16"/>
                <w:szCs w:val="16"/>
              </w:rPr>
            </w:pPr>
            <w:r w:rsidRPr="00123018">
              <w:rPr>
                <w:rFonts w:ascii="Arial" w:hAnsi="Arial" w:cs="Arial"/>
                <w:color w:val="000000"/>
                <w:sz w:val="16"/>
                <w:szCs w:val="16"/>
              </w:rPr>
              <w:t>46,931</w:t>
            </w:r>
          </w:p>
        </w:tc>
        <w:tc>
          <w:tcPr>
            <w:tcW w:w="522" w:type="pct"/>
            <w:tcBorders>
              <w:top w:val="nil"/>
              <w:left w:val="nil"/>
              <w:bottom w:val="nil"/>
              <w:right w:val="nil"/>
            </w:tcBorders>
            <w:shd w:val="clear" w:color="000000" w:fill="FFFFFF"/>
            <w:noWrap/>
            <w:vAlign w:val="center"/>
            <w:hideMark/>
          </w:tcPr>
          <w:p w14:paraId="76ACA246" w14:textId="77777777" w:rsidR="00123018" w:rsidRPr="00123018" w:rsidRDefault="00123018" w:rsidP="00123018">
            <w:pPr>
              <w:spacing w:before="0" w:after="0" w:line="240" w:lineRule="auto"/>
              <w:jc w:val="right"/>
              <w:rPr>
                <w:rFonts w:ascii="Arial" w:hAnsi="Arial" w:cs="Arial"/>
                <w:color w:val="000000"/>
                <w:sz w:val="16"/>
                <w:szCs w:val="16"/>
              </w:rPr>
            </w:pPr>
            <w:r w:rsidRPr="00123018">
              <w:rPr>
                <w:rFonts w:ascii="Arial" w:hAnsi="Arial" w:cs="Arial"/>
                <w:color w:val="000000"/>
                <w:sz w:val="16"/>
                <w:szCs w:val="16"/>
              </w:rPr>
              <w:t>49,115</w:t>
            </w:r>
          </w:p>
        </w:tc>
        <w:tc>
          <w:tcPr>
            <w:tcW w:w="522" w:type="pct"/>
            <w:tcBorders>
              <w:top w:val="nil"/>
              <w:left w:val="nil"/>
              <w:bottom w:val="nil"/>
              <w:right w:val="nil"/>
            </w:tcBorders>
            <w:shd w:val="clear" w:color="000000" w:fill="FFFFFF"/>
            <w:noWrap/>
            <w:vAlign w:val="center"/>
            <w:hideMark/>
          </w:tcPr>
          <w:p w14:paraId="57DA5E99" w14:textId="77777777" w:rsidR="00123018" w:rsidRPr="00123018" w:rsidRDefault="00123018" w:rsidP="00123018">
            <w:pPr>
              <w:spacing w:before="0" w:after="0" w:line="240" w:lineRule="auto"/>
              <w:jc w:val="right"/>
              <w:rPr>
                <w:rFonts w:ascii="Arial" w:hAnsi="Arial" w:cs="Arial"/>
                <w:color w:val="000000"/>
                <w:sz w:val="16"/>
                <w:szCs w:val="16"/>
              </w:rPr>
            </w:pPr>
            <w:r w:rsidRPr="00123018">
              <w:rPr>
                <w:rFonts w:ascii="Arial" w:hAnsi="Arial" w:cs="Arial"/>
                <w:color w:val="000000"/>
                <w:sz w:val="16"/>
                <w:szCs w:val="16"/>
              </w:rPr>
              <w:t>51,190</w:t>
            </w:r>
          </w:p>
        </w:tc>
        <w:tc>
          <w:tcPr>
            <w:tcW w:w="522" w:type="pct"/>
            <w:tcBorders>
              <w:top w:val="nil"/>
              <w:left w:val="nil"/>
              <w:bottom w:val="nil"/>
              <w:right w:val="nil"/>
            </w:tcBorders>
            <w:shd w:val="clear" w:color="000000" w:fill="FFFFFF"/>
            <w:noWrap/>
            <w:vAlign w:val="center"/>
            <w:hideMark/>
          </w:tcPr>
          <w:p w14:paraId="6F6C077E" w14:textId="77777777" w:rsidR="00123018" w:rsidRPr="00123018" w:rsidRDefault="00123018" w:rsidP="00123018">
            <w:pPr>
              <w:spacing w:before="0" w:after="0" w:line="240" w:lineRule="auto"/>
              <w:jc w:val="right"/>
              <w:rPr>
                <w:rFonts w:ascii="Arial" w:hAnsi="Arial" w:cs="Arial"/>
                <w:color w:val="000000"/>
                <w:sz w:val="16"/>
                <w:szCs w:val="16"/>
              </w:rPr>
            </w:pPr>
            <w:r w:rsidRPr="00123018">
              <w:rPr>
                <w:rFonts w:ascii="Arial" w:hAnsi="Arial" w:cs="Arial"/>
                <w:color w:val="000000"/>
                <w:sz w:val="16"/>
                <w:szCs w:val="16"/>
              </w:rPr>
              <w:t>52,597</w:t>
            </w:r>
          </w:p>
        </w:tc>
      </w:tr>
      <w:tr w:rsidR="00123018" w:rsidRPr="00123018" w14:paraId="443C174D" w14:textId="77777777" w:rsidTr="00285ADA">
        <w:trPr>
          <w:trHeight w:hRule="exact" w:val="225"/>
        </w:trPr>
        <w:tc>
          <w:tcPr>
            <w:tcW w:w="2388" w:type="pct"/>
            <w:tcBorders>
              <w:top w:val="nil"/>
              <w:left w:val="nil"/>
              <w:bottom w:val="nil"/>
              <w:right w:val="nil"/>
            </w:tcBorders>
            <w:shd w:val="clear" w:color="000000" w:fill="FFFFFF"/>
            <w:noWrap/>
            <w:vAlign w:val="center"/>
            <w:hideMark/>
          </w:tcPr>
          <w:p w14:paraId="2726A4C6" w14:textId="77777777" w:rsidR="00123018" w:rsidRPr="00123018" w:rsidRDefault="00123018" w:rsidP="00123018">
            <w:pPr>
              <w:spacing w:before="0" w:after="0" w:line="240" w:lineRule="auto"/>
              <w:rPr>
                <w:rFonts w:ascii="Arial" w:hAnsi="Arial" w:cs="Arial"/>
                <w:sz w:val="16"/>
                <w:szCs w:val="16"/>
              </w:rPr>
            </w:pPr>
            <w:r w:rsidRPr="00123018">
              <w:rPr>
                <w:rFonts w:ascii="Arial" w:hAnsi="Arial" w:cs="Arial"/>
                <w:sz w:val="16"/>
                <w:szCs w:val="16"/>
              </w:rPr>
              <w:t>Assistance to the unemployed and the sick</w:t>
            </w:r>
          </w:p>
        </w:tc>
        <w:tc>
          <w:tcPr>
            <w:tcW w:w="523" w:type="pct"/>
            <w:tcBorders>
              <w:top w:val="nil"/>
              <w:left w:val="nil"/>
              <w:bottom w:val="nil"/>
              <w:right w:val="nil"/>
            </w:tcBorders>
            <w:shd w:val="clear" w:color="000000" w:fill="FFFFFF"/>
            <w:noWrap/>
            <w:vAlign w:val="center"/>
            <w:hideMark/>
          </w:tcPr>
          <w:p w14:paraId="108C0504" w14:textId="77777777" w:rsidR="00123018" w:rsidRPr="00123018" w:rsidRDefault="00123018" w:rsidP="00123018">
            <w:pPr>
              <w:spacing w:before="0" w:after="0" w:line="240" w:lineRule="auto"/>
              <w:jc w:val="right"/>
              <w:rPr>
                <w:rFonts w:ascii="Arial" w:hAnsi="Arial" w:cs="Arial"/>
                <w:sz w:val="16"/>
                <w:szCs w:val="16"/>
              </w:rPr>
            </w:pPr>
            <w:r w:rsidRPr="00123018">
              <w:rPr>
                <w:rFonts w:ascii="Arial" w:hAnsi="Arial" w:cs="Arial"/>
                <w:sz w:val="16"/>
                <w:szCs w:val="16"/>
              </w:rPr>
              <w:t>14,737</w:t>
            </w:r>
          </w:p>
        </w:tc>
        <w:tc>
          <w:tcPr>
            <w:tcW w:w="522" w:type="pct"/>
            <w:tcBorders>
              <w:top w:val="nil"/>
              <w:left w:val="nil"/>
              <w:bottom w:val="nil"/>
              <w:right w:val="nil"/>
            </w:tcBorders>
            <w:shd w:val="clear" w:color="000000" w:fill="E6F2FF"/>
            <w:noWrap/>
            <w:vAlign w:val="center"/>
            <w:hideMark/>
          </w:tcPr>
          <w:p w14:paraId="66A9300F" w14:textId="77777777" w:rsidR="00123018" w:rsidRPr="00123018" w:rsidRDefault="00123018" w:rsidP="00123018">
            <w:pPr>
              <w:spacing w:before="0" w:after="0" w:line="240" w:lineRule="auto"/>
              <w:jc w:val="right"/>
              <w:rPr>
                <w:rFonts w:ascii="Arial" w:hAnsi="Arial" w:cs="Arial"/>
                <w:sz w:val="16"/>
                <w:szCs w:val="16"/>
              </w:rPr>
            </w:pPr>
            <w:r w:rsidRPr="00123018">
              <w:rPr>
                <w:rFonts w:ascii="Arial" w:hAnsi="Arial" w:cs="Arial"/>
                <w:sz w:val="16"/>
                <w:szCs w:val="16"/>
              </w:rPr>
              <w:t>16,100</w:t>
            </w:r>
          </w:p>
        </w:tc>
        <w:tc>
          <w:tcPr>
            <w:tcW w:w="522" w:type="pct"/>
            <w:tcBorders>
              <w:top w:val="nil"/>
              <w:left w:val="nil"/>
              <w:bottom w:val="nil"/>
              <w:right w:val="nil"/>
            </w:tcBorders>
            <w:shd w:val="clear" w:color="000000" w:fill="FFFFFF"/>
            <w:noWrap/>
            <w:vAlign w:val="center"/>
            <w:hideMark/>
          </w:tcPr>
          <w:p w14:paraId="03A5A5D7" w14:textId="77777777" w:rsidR="00123018" w:rsidRPr="00123018" w:rsidRDefault="00123018" w:rsidP="00123018">
            <w:pPr>
              <w:spacing w:before="0" w:after="0" w:line="240" w:lineRule="auto"/>
              <w:jc w:val="right"/>
              <w:rPr>
                <w:rFonts w:ascii="Arial" w:hAnsi="Arial" w:cs="Arial"/>
                <w:sz w:val="16"/>
                <w:szCs w:val="16"/>
              </w:rPr>
            </w:pPr>
            <w:r w:rsidRPr="00123018">
              <w:rPr>
                <w:rFonts w:ascii="Arial" w:hAnsi="Arial" w:cs="Arial"/>
                <w:sz w:val="16"/>
                <w:szCs w:val="16"/>
              </w:rPr>
              <w:t>16,562</w:t>
            </w:r>
          </w:p>
        </w:tc>
        <w:tc>
          <w:tcPr>
            <w:tcW w:w="522" w:type="pct"/>
            <w:tcBorders>
              <w:top w:val="nil"/>
              <w:left w:val="nil"/>
              <w:bottom w:val="nil"/>
              <w:right w:val="nil"/>
            </w:tcBorders>
            <w:shd w:val="clear" w:color="000000" w:fill="FFFFFF"/>
            <w:noWrap/>
            <w:vAlign w:val="center"/>
            <w:hideMark/>
          </w:tcPr>
          <w:p w14:paraId="04D7DC49" w14:textId="77777777" w:rsidR="00123018" w:rsidRPr="00123018" w:rsidRDefault="00123018" w:rsidP="00123018">
            <w:pPr>
              <w:spacing w:before="0" w:after="0" w:line="240" w:lineRule="auto"/>
              <w:jc w:val="right"/>
              <w:rPr>
                <w:rFonts w:ascii="Arial" w:hAnsi="Arial" w:cs="Arial"/>
                <w:sz w:val="16"/>
                <w:szCs w:val="16"/>
              </w:rPr>
            </w:pPr>
            <w:r w:rsidRPr="00123018">
              <w:rPr>
                <w:rFonts w:ascii="Arial" w:hAnsi="Arial" w:cs="Arial"/>
                <w:sz w:val="16"/>
                <w:szCs w:val="16"/>
              </w:rPr>
              <w:t>16,760</w:t>
            </w:r>
          </w:p>
        </w:tc>
        <w:tc>
          <w:tcPr>
            <w:tcW w:w="522" w:type="pct"/>
            <w:tcBorders>
              <w:top w:val="nil"/>
              <w:left w:val="nil"/>
              <w:bottom w:val="nil"/>
              <w:right w:val="nil"/>
            </w:tcBorders>
            <w:shd w:val="clear" w:color="000000" w:fill="FFFFFF"/>
            <w:noWrap/>
            <w:vAlign w:val="center"/>
            <w:hideMark/>
          </w:tcPr>
          <w:p w14:paraId="682A9251" w14:textId="77777777" w:rsidR="00123018" w:rsidRPr="00123018" w:rsidRDefault="00123018" w:rsidP="00123018">
            <w:pPr>
              <w:spacing w:before="0" w:after="0" w:line="240" w:lineRule="auto"/>
              <w:jc w:val="right"/>
              <w:rPr>
                <w:rFonts w:ascii="Arial" w:hAnsi="Arial" w:cs="Arial"/>
                <w:sz w:val="16"/>
                <w:szCs w:val="16"/>
              </w:rPr>
            </w:pPr>
            <w:r w:rsidRPr="00123018">
              <w:rPr>
                <w:rFonts w:ascii="Arial" w:hAnsi="Arial" w:cs="Arial"/>
                <w:sz w:val="16"/>
                <w:szCs w:val="16"/>
              </w:rPr>
              <w:t>16,298</w:t>
            </w:r>
          </w:p>
        </w:tc>
      </w:tr>
      <w:tr w:rsidR="00123018" w:rsidRPr="00123018" w14:paraId="2C7E994A" w14:textId="77777777" w:rsidTr="00285ADA">
        <w:trPr>
          <w:trHeight w:hRule="exact" w:val="225"/>
        </w:trPr>
        <w:tc>
          <w:tcPr>
            <w:tcW w:w="2388" w:type="pct"/>
            <w:tcBorders>
              <w:top w:val="nil"/>
              <w:left w:val="nil"/>
              <w:bottom w:val="nil"/>
              <w:right w:val="nil"/>
            </w:tcBorders>
            <w:shd w:val="clear" w:color="000000" w:fill="FFFFFF"/>
            <w:noWrap/>
            <w:vAlign w:val="center"/>
            <w:hideMark/>
          </w:tcPr>
          <w:p w14:paraId="5056B1B3" w14:textId="77777777" w:rsidR="00123018" w:rsidRPr="00123018" w:rsidRDefault="00123018" w:rsidP="00123018">
            <w:pPr>
              <w:spacing w:before="0" w:after="0" w:line="240" w:lineRule="auto"/>
              <w:rPr>
                <w:rFonts w:ascii="Arial" w:hAnsi="Arial" w:cs="Arial"/>
                <w:color w:val="000000"/>
                <w:sz w:val="16"/>
                <w:szCs w:val="16"/>
              </w:rPr>
            </w:pPr>
            <w:r w:rsidRPr="00123018">
              <w:rPr>
                <w:rFonts w:ascii="Arial" w:hAnsi="Arial" w:cs="Arial"/>
                <w:color w:val="000000"/>
                <w:sz w:val="16"/>
                <w:szCs w:val="16"/>
              </w:rPr>
              <w:t>Other welfare programs</w:t>
            </w:r>
          </w:p>
        </w:tc>
        <w:tc>
          <w:tcPr>
            <w:tcW w:w="523" w:type="pct"/>
            <w:tcBorders>
              <w:top w:val="nil"/>
              <w:left w:val="nil"/>
              <w:bottom w:val="nil"/>
              <w:right w:val="nil"/>
            </w:tcBorders>
            <w:shd w:val="clear" w:color="000000" w:fill="FFFFFF"/>
            <w:noWrap/>
            <w:vAlign w:val="center"/>
            <w:hideMark/>
          </w:tcPr>
          <w:p w14:paraId="28EBF9DE" w14:textId="77777777" w:rsidR="00123018" w:rsidRPr="00123018" w:rsidRDefault="00123018" w:rsidP="00123018">
            <w:pPr>
              <w:spacing w:before="0" w:after="0" w:line="240" w:lineRule="auto"/>
              <w:jc w:val="right"/>
              <w:rPr>
                <w:rFonts w:ascii="Arial" w:hAnsi="Arial" w:cs="Arial"/>
                <w:color w:val="000000"/>
                <w:sz w:val="16"/>
                <w:szCs w:val="16"/>
              </w:rPr>
            </w:pPr>
            <w:r w:rsidRPr="00123018">
              <w:rPr>
                <w:rFonts w:ascii="Arial" w:hAnsi="Arial" w:cs="Arial"/>
                <w:color w:val="000000"/>
                <w:sz w:val="16"/>
                <w:szCs w:val="16"/>
              </w:rPr>
              <w:t>1,621</w:t>
            </w:r>
          </w:p>
        </w:tc>
        <w:tc>
          <w:tcPr>
            <w:tcW w:w="522" w:type="pct"/>
            <w:tcBorders>
              <w:top w:val="nil"/>
              <w:left w:val="nil"/>
              <w:bottom w:val="nil"/>
              <w:right w:val="nil"/>
            </w:tcBorders>
            <w:shd w:val="clear" w:color="000000" w:fill="E6F2FF"/>
            <w:noWrap/>
            <w:vAlign w:val="center"/>
            <w:hideMark/>
          </w:tcPr>
          <w:p w14:paraId="7FDD8B51" w14:textId="77777777" w:rsidR="00123018" w:rsidRPr="00123018" w:rsidRDefault="00123018" w:rsidP="00123018">
            <w:pPr>
              <w:spacing w:before="0" w:after="0" w:line="240" w:lineRule="auto"/>
              <w:jc w:val="right"/>
              <w:rPr>
                <w:rFonts w:ascii="Arial" w:hAnsi="Arial" w:cs="Arial"/>
                <w:color w:val="000000"/>
                <w:sz w:val="16"/>
                <w:szCs w:val="16"/>
              </w:rPr>
            </w:pPr>
            <w:r w:rsidRPr="00123018">
              <w:rPr>
                <w:rFonts w:ascii="Arial" w:hAnsi="Arial" w:cs="Arial"/>
                <w:color w:val="000000"/>
                <w:sz w:val="16"/>
                <w:szCs w:val="16"/>
              </w:rPr>
              <w:t>1,897</w:t>
            </w:r>
          </w:p>
        </w:tc>
        <w:tc>
          <w:tcPr>
            <w:tcW w:w="522" w:type="pct"/>
            <w:tcBorders>
              <w:top w:val="nil"/>
              <w:left w:val="nil"/>
              <w:bottom w:val="nil"/>
              <w:right w:val="nil"/>
            </w:tcBorders>
            <w:shd w:val="clear" w:color="000000" w:fill="FFFFFF"/>
            <w:noWrap/>
            <w:vAlign w:val="center"/>
            <w:hideMark/>
          </w:tcPr>
          <w:p w14:paraId="7136A22D" w14:textId="77777777" w:rsidR="00123018" w:rsidRPr="00123018" w:rsidRDefault="00123018" w:rsidP="00123018">
            <w:pPr>
              <w:spacing w:before="0" w:after="0" w:line="240" w:lineRule="auto"/>
              <w:jc w:val="right"/>
              <w:rPr>
                <w:rFonts w:ascii="Arial" w:hAnsi="Arial" w:cs="Arial"/>
                <w:color w:val="000000"/>
                <w:sz w:val="16"/>
                <w:szCs w:val="16"/>
              </w:rPr>
            </w:pPr>
            <w:r w:rsidRPr="00123018">
              <w:rPr>
                <w:rFonts w:ascii="Arial" w:hAnsi="Arial" w:cs="Arial"/>
                <w:color w:val="000000"/>
                <w:sz w:val="16"/>
                <w:szCs w:val="16"/>
              </w:rPr>
              <w:t>1,844</w:t>
            </w:r>
          </w:p>
        </w:tc>
        <w:tc>
          <w:tcPr>
            <w:tcW w:w="522" w:type="pct"/>
            <w:tcBorders>
              <w:top w:val="nil"/>
              <w:left w:val="nil"/>
              <w:bottom w:val="nil"/>
              <w:right w:val="nil"/>
            </w:tcBorders>
            <w:shd w:val="clear" w:color="000000" w:fill="FFFFFF"/>
            <w:noWrap/>
            <w:vAlign w:val="center"/>
            <w:hideMark/>
          </w:tcPr>
          <w:p w14:paraId="57F88D03" w14:textId="77777777" w:rsidR="00123018" w:rsidRPr="00123018" w:rsidRDefault="00123018" w:rsidP="00123018">
            <w:pPr>
              <w:spacing w:before="0" w:after="0" w:line="240" w:lineRule="auto"/>
              <w:jc w:val="right"/>
              <w:rPr>
                <w:rFonts w:ascii="Arial" w:hAnsi="Arial" w:cs="Arial"/>
                <w:color w:val="000000"/>
                <w:sz w:val="16"/>
                <w:szCs w:val="16"/>
              </w:rPr>
            </w:pPr>
            <w:r w:rsidRPr="00123018">
              <w:rPr>
                <w:rFonts w:ascii="Arial" w:hAnsi="Arial" w:cs="Arial"/>
                <w:color w:val="000000"/>
                <w:sz w:val="16"/>
                <w:szCs w:val="16"/>
              </w:rPr>
              <w:t>1,699</w:t>
            </w:r>
          </w:p>
        </w:tc>
        <w:tc>
          <w:tcPr>
            <w:tcW w:w="522" w:type="pct"/>
            <w:tcBorders>
              <w:top w:val="nil"/>
              <w:left w:val="nil"/>
              <w:bottom w:val="nil"/>
              <w:right w:val="nil"/>
            </w:tcBorders>
            <w:shd w:val="clear" w:color="000000" w:fill="FFFFFF"/>
            <w:noWrap/>
            <w:vAlign w:val="center"/>
            <w:hideMark/>
          </w:tcPr>
          <w:p w14:paraId="75467EE2" w14:textId="77777777" w:rsidR="00123018" w:rsidRPr="00123018" w:rsidRDefault="00123018" w:rsidP="00123018">
            <w:pPr>
              <w:spacing w:before="0" w:after="0" w:line="240" w:lineRule="auto"/>
              <w:jc w:val="right"/>
              <w:rPr>
                <w:rFonts w:ascii="Arial" w:hAnsi="Arial" w:cs="Arial"/>
                <w:color w:val="000000"/>
                <w:sz w:val="16"/>
                <w:szCs w:val="16"/>
              </w:rPr>
            </w:pPr>
            <w:r w:rsidRPr="00123018">
              <w:rPr>
                <w:rFonts w:ascii="Arial" w:hAnsi="Arial" w:cs="Arial"/>
                <w:color w:val="000000"/>
                <w:sz w:val="16"/>
                <w:szCs w:val="16"/>
              </w:rPr>
              <w:t>1,589</w:t>
            </w:r>
          </w:p>
        </w:tc>
      </w:tr>
      <w:tr w:rsidR="00123018" w:rsidRPr="00123018" w14:paraId="20076E43" w14:textId="77777777" w:rsidTr="00285ADA">
        <w:trPr>
          <w:trHeight w:hRule="exact" w:val="225"/>
        </w:trPr>
        <w:tc>
          <w:tcPr>
            <w:tcW w:w="2388" w:type="pct"/>
            <w:tcBorders>
              <w:top w:val="nil"/>
              <w:left w:val="nil"/>
              <w:bottom w:val="nil"/>
              <w:right w:val="nil"/>
            </w:tcBorders>
            <w:shd w:val="clear" w:color="000000" w:fill="FFFFFF"/>
            <w:noWrap/>
            <w:vAlign w:val="center"/>
            <w:hideMark/>
          </w:tcPr>
          <w:p w14:paraId="0FCB8906" w14:textId="77777777" w:rsidR="00123018" w:rsidRPr="00123018" w:rsidRDefault="00123018" w:rsidP="00123018">
            <w:pPr>
              <w:spacing w:before="0" w:after="0" w:line="240" w:lineRule="auto"/>
              <w:rPr>
                <w:rFonts w:ascii="Arial" w:hAnsi="Arial" w:cs="Arial"/>
                <w:color w:val="000000"/>
                <w:sz w:val="16"/>
                <w:szCs w:val="16"/>
              </w:rPr>
            </w:pPr>
            <w:r w:rsidRPr="00123018">
              <w:rPr>
                <w:rFonts w:ascii="Arial" w:hAnsi="Arial" w:cs="Arial"/>
                <w:color w:val="000000"/>
                <w:sz w:val="16"/>
                <w:szCs w:val="16"/>
              </w:rPr>
              <w:t>Assistance for Indigenous Australians nec</w:t>
            </w:r>
          </w:p>
        </w:tc>
        <w:tc>
          <w:tcPr>
            <w:tcW w:w="523" w:type="pct"/>
            <w:tcBorders>
              <w:top w:val="nil"/>
              <w:left w:val="nil"/>
              <w:bottom w:val="nil"/>
              <w:right w:val="nil"/>
            </w:tcBorders>
            <w:shd w:val="clear" w:color="000000" w:fill="FFFFFF"/>
            <w:noWrap/>
            <w:vAlign w:val="center"/>
            <w:hideMark/>
          </w:tcPr>
          <w:p w14:paraId="0E545631" w14:textId="77777777" w:rsidR="00123018" w:rsidRPr="00123018" w:rsidRDefault="00123018" w:rsidP="00123018">
            <w:pPr>
              <w:spacing w:before="0" w:after="0" w:line="240" w:lineRule="auto"/>
              <w:jc w:val="right"/>
              <w:rPr>
                <w:rFonts w:ascii="Arial" w:hAnsi="Arial" w:cs="Arial"/>
                <w:color w:val="000000"/>
                <w:sz w:val="16"/>
                <w:szCs w:val="16"/>
              </w:rPr>
            </w:pPr>
            <w:r w:rsidRPr="00123018">
              <w:rPr>
                <w:rFonts w:ascii="Arial" w:hAnsi="Arial" w:cs="Arial"/>
                <w:color w:val="000000"/>
                <w:sz w:val="16"/>
                <w:szCs w:val="16"/>
              </w:rPr>
              <w:t>3,279</w:t>
            </w:r>
          </w:p>
        </w:tc>
        <w:tc>
          <w:tcPr>
            <w:tcW w:w="522" w:type="pct"/>
            <w:tcBorders>
              <w:top w:val="nil"/>
              <w:left w:val="nil"/>
              <w:bottom w:val="nil"/>
              <w:right w:val="nil"/>
            </w:tcBorders>
            <w:shd w:val="clear" w:color="000000" w:fill="E6F2FF"/>
            <w:noWrap/>
            <w:vAlign w:val="center"/>
            <w:hideMark/>
          </w:tcPr>
          <w:p w14:paraId="547B5351" w14:textId="77777777" w:rsidR="00123018" w:rsidRPr="00123018" w:rsidRDefault="00123018" w:rsidP="00123018">
            <w:pPr>
              <w:spacing w:before="0" w:after="0" w:line="240" w:lineRule="auto"/>
              <w:jc w:val="right"/>
              <w:rPr>
                <w:rFonts w:ascii="Arial" w:hAnsi="Arial" w:cs="Arial"/>
                <w:color w:val="000000"/>
                <w:sz w:val="16"/>
                <w:szCs w:val="16"/>
              </w:rPr>
            </w:pPr>
            <w:r w:rsidRPr="00123018">
              <w:rPr>
                <w:rFonts w:ascii="Arial" w:hAnsi="Arial" w:cs="Arial"/>
                <w:color w:val="000000"/>
                <w:sz w:val="16"/>
                <w:szCs w:val="16"/>
              </w:rPr>
              <w:t>3,399</w:t>
            </w:r>
          </w:p>
        </w:tc>
        <w:tc>
          <w:tcPr>
            <w:tcW w:w="522" w:type="pct"/>
            <w:tcBorders>
              <w:top w:val="nil"/>
              <w:left w:val="nil"/>
              <w:bottom w:val="nil"/>
              <w:right w:val="nil"/>
            </w:tcBorders>
            <w:shd w:val="clear" w:color="000000" w:fill="FFFFFF"/>
            <w:noWrap/>
            <w:vAlign w:val="center"/>
            <w:hideMark/>
          </w:tcPr>
          <w:p w14:paraId="1A382923" w14:textId="77777777" w:rsidR="00123018" w:rsidRPr="00123018" w:rsidRDefault="00123018" w:rsidP="00123018">
            <w:pPr>
              <w:spacing w:before="0" w:after="0" w:line="240" w:lineRule="auto"/>
              <w:jc w:val="right"/>
              <w:rPr>
                <w:rFonts w:ascii="Arial" w:hAnsi="Arial" w:cs="Arial"/>
                <w:color w:val="000000"/>
                <w:sz w:val="16"/>
                <w:szCs w:val="16"/>
              </w:rPr>
            </w:pPr>
            <w:r w:rsidRPr="00123018">
              <w:rPr>
                <w:rFonts w:ascii="Arial" w:hAnsi="Arial" w:cs="Arial"/>
                <w:color w:val="000000"/>
                <w:sz w:val="16"/>
                <w:szCs w:val="16"/>
              </w:rPr>
              <w:t>3,191</w:t>
            </w:r>
          </w:p>
        </w:tc>
        <w:tc>
          <w:tcPr>
            <w:tcW w:w="522" w:type="pct"/>
            <w:tcBorders>
              <w:top w:val="nil"/>
              <w:left w:val="nil"/>
              <w:bottom w:val="nil"/>
              <w:right w:val="nil"/>
            </w:tcBorders>
            <w:shd w:val="clear" w:color="000000" w:fill="FFFFFF"/>
            <w:noWrap/>
            <w:vAlign w:val="center"/>
            <w:hideMark/>
          </w:tcPr>
          <w:p w14:paraId="778EEDF7" w14:textId="77777777" w:rsidR="00123018" w:rsidRPr="00123018" w:rsidRDefault="00123018" w:rsidP="00123018">
            <w:pPr>
              <w:spacing w:before="0" w:after="0" w:line="240" w:lineRule="auto"/>
              <w:jc w:val="right"/>
              <w:rPr>
                <w:rFonts w:ascii="Arial" w:hAnsi="Arial" w:cs="Arial"/>
                <w:color w:val="000000"/>
                <w:sz w:val="16"/>
                <w:szCs w:val="16"/>
              </w:rPr>
            </w:pPr>
            <w:r w:rsidRPr="00123018">
              <w:rPr>
                <w:rFonts w:ascii="Arial" w:hAnsi="Arial" w:cs="Arial"/>
                <w:color w:val="000000"/>
                <w:sz w:val="16"/>
                <w:szCs w:val="16"/>
              </w:rPr>
              <w:t>3,054</w:t>
            </w:r>
          </w:p>
        </w:tc>
        <w:tc>
          <w:tcPr>
            <w:tcW w:w="522" w:type="pct"/>
            <w:tcBorders>
              <w:top w:val="nil"/>
              <w:left w:val="nil"/>
              <w:bottom w:val="nil"/>
              <w:right w:val="nil"/>
            </w:tcBorders>
            <w:shd w:val="clear" w:color="000000" w:fill="FFFFFF"/>
            <w:noWrap/>
            <w:vAlign w:val="center"/>
            <w:hideMark/>
          </w:tcPr>
          <w:p w14:paraId="414C1D28" w14:textId="77777777" w:rsidR="00123018" w:rsidRPr="00123018" w:rsidRDefault="00123018" w:rsidP="00123018">
            <w:pPr>
              <w:spacing w:before="0" w:after="0" w:line="240" w:lineRule="auto"/>
              <w:jc w:val="right"/>
              <w:rPr>
                <w:rFonts w:ascii="Arial" w:hAnsi="Arial" w:cs="Arial"/>
                <w:color w:val="000000"/>
                <w:sz w:val="16"/>
                <w:szCs w:val="16"/>
              </w:rPr>
            </w:pPr>
            <w:r w:rsidRPr="00123018">
              <w:rPr>
                <w:rFonts w:ascii="Arial" w:hAnsi="Arial" w:cs="Arial"/>
                <w:color w:val="000000"/>
                <w:sz w:val="16"/>
                <w:szCs w:val="16"/>
              </w:rPr>
              <w:t>3,178</w:t>
            </w:r>
          </w:p>
        </w:tc>
      </w:tr>
      <w:tr w:rsidR="00123018" w:rsidRPr="00123018" w14:paraId="16A569B7" w14:textId="77777777" w:rsidTr="00FB3363">
        <w:trPr>
          <w:trHeight w:hRule="exact" w:val="225"/>
        </w:trPr>
        <w:tc>
          <w:tcPr>
            <w:tcW w:w="2388" w:type="pct"/>
            <w:tcBorders>
              <w:top w:val="nil"/>
              <w:left w:val="nil"/>
              <w:bottom w:val="nil"/>
              <w:right w:val="nil"/>
            </w:tcBorders>
            <w:shd w:val="clear" w:color="000000" w:fill="FFFFFF"/>
            <w:noWrap/>
            <w:vAlign w:val="center"/>
            <w:hideMark/>
          </w:tcPr>
          <w:p w14:paraId="581DB4F0" w14:textId="77777777" w:rsidR="00123018" w:rsidRPr="00123018" w:rsidRDefault="00123018" w:rsidP="00123018">
            <w:pPr>
              <w:spacing w:before="0" w:after="0" w:line="240" w:lineRule="auto"/>
              <w:rPr>
                <w:rFonts w:ascii="Arial" w:hAnsi="Arial" w:cs="Arial"/>
                <w:color w:val="000000"/>
                <w:sz w:val="16"/>
                <w:szCs w:val="16"/>
              </w:rPr>
            </w:pPr>
            <w:r w:rsidRPr="00123018">
              <w:rPr>
                <w:rFonts w:ascii="Arial" w:hAnsi="Arial" w:cs="Arial"/>
                <w:color w:val="000000"/>
                <w:sz w:val="16"/>
                <w:szCs w:val="16"/>
              </w:rPr>
              <w:t>General administration</w:t>
            </w:r>
          </w:p>
        </w:tc>
        <w:tc>
          <w:tcPr>
            <w:tcW w:w="523" w:type="pct"/>
            <w:tcBorders>
              <w:top w:val="nil"/>
              <w:left w:val="nil"/>
              <w:bottom w:val="single" w:sz="4" w:space="0" w:color="293F5B"/>
              <w:right w:val="nil"/>
            </w:tcBorders>
            <w:shd w:val="clear" w:color="000000" w:fill="FFFFFF"/>
            <w:noWrap/>
            <w:vAlign w:val="center"/>
            <w:hideMark/>
          </w:tcPr>
          <w:p w14:paraId="06B348A9" w14:textId="77777777" w:rsidR="00123018" w:rsidRPr="00123018" w:rsidRDefault="00123018" w:rsidP="00123018">
            <w:pPr>
              <w:spacing w:before="0" w:after="0" w:line="240" w:lineRule="auto"/>
              <w:jc w:val="right"/>
              <w:rPr>
                <w:rFonts w:ascii="Arial" w:hAnsi="Arial" w:cs="Arial"/>
                <w:color w:val="000000"/>
                <w:sz w:val="16"/>
                <w:szCs w:val="16"/>
              </w:rPr>
            </w:pPr>
            <w:r w:rsidRPr="00123018">
              <w:rPr>
                <w:rFonts w:ascii="Arial" w:hAnsi="Arial" w:cs="Arial"/>
                <w:color w:val="000000"/>
                <w:sz w:val="16"/>
                <w:szCs w:val="16"/>
              </w:rPr>
              <w:t>4,951</w:t>
            </w:r>
          </w:p>
        </w:tc>
        <w:tc>
          <w:tcPr>
            <w:tcW w:w="522" w:type="pct"/>
            <w:tcBorders>
              <w:top w:val="nil"/>
              <w:left w:val="nil"/>
              <w:bottom w:val="single" w:sz="4" w:space="0" w:color="293F5B"/>
              <w:right w:val="nil"/>
            </w:tcBorders>
            <w:shd w:val="clear" w:color="000000" w:fill="E6F2FF"/>
            <w:noWrap/>
            <w:vAlign w:val="center"/>
            <w:hideMark/>
          </w:tcPr>
          <w:p w14:paraId="26F73D55" w14:textId="77777777" w:rsidR="00123018" w:rsidRPr="00123018" w:rsidRDefault="00123018" w:rsidP="00123018">
            <w:pPr>
              <w:spacing w:before="0" w:after="0" w:line="240" w:lineRule="auto"/>
              <w:jc w:val="right"/>
              <w:rPr>
                <w:rFonts w:ascii="Arial" w:hAnsi="Arial" w:cs="Arial"/>
                <w:color w:val="000000"/>
                <w:sz w:val="16"/>
                <w:szCs w:val="16"/>
              </w:rPr>
            </w:pPr>
            <w:r w:rsidRPr="00123018">
              <w:rPr>
                <w:rFonts w:ascii="Arial" w:hAnsi="Arial" w:cs="Arial"/>
                <w:color w:val="000000"/>
                <w:sz w:val="16"/>
                <w:szCs w:val="16"/>
              </w:rPr>
              <w:t>5,388</w:t>
            </w:r>
          </w:p>
        </w:tc>
        <w:tc>
          <w:tcPr>
            <w:tcW w:w="522" w:type="pct"/>
            <w:tcBorders>
              <w:top w:val="nil"/>
              <w:left w:val="nil"/>
              <w:bottom w:val="single" w:sz="4" w:space="0" w:color="293F5B"/>
              <w:right w:val="nil"/>
            </w:tcBorders>
            <w:shd w:val="clear" w:color="000000" w:fill="FFFFFF"/>
            <w:noWrap/>
            <w:vAlign w:val="center"/>
            <w:hideMark/>
          </w:tcPr>
          <w:p w14:paraId="75F8B9B8" w14:textId="77777777" w:rsidR="00123018" w:rsidRPr="00123018" w:rsidRDefault="00123018" w:rsidP="00123018">
            <w:pPr>
              <w:spacing w:before="0" w:after="0" w:line="240" w:lineRule="auto"/>
              <w:jc w:val="right"/>
              <w:rPr>
                <w:rFonts w:ascii="Arial" w:hAnsi="Arial" w:cs="Arial"/>
                <w:color w:val="000000"/>
                <w:sz w:val="16"/>
                <w:szCs w:val="16"/>
              </w:rPr>
            </w:pPr>
            <w:r w:rsidRPr="00123018">
              <w:rPr>
                <w:rFonts w:ascii="Arial" w:hAnsi="Arial" w:cs="Arial"/>
                <w:color w:val="000000"/>
                <w:sz w:val="16"/>
                <w:szCs w:val="16"/>
              </w:rPr>
              <w:t>5,089</w:t>
            </w:r>
          </w:p>
        </w:tc>
        <w:tc>
          <w:tcPr>
            <w:tcW w:w="522" w:type="pct"/>
            <w:tcBorders>
              <w:top w:val="nil"/>
              <w:left w:val="nil"/>
              <w:bottom w:val="single" w:sz="4" w:space="0" w:color="293F5B"/>
              <w:right w:val="nil"/>
            </w:tcBorders>
            <w:shd w:val="clear" w:color="000000" w:fill="FFFFFF"/>
            <w:noWrap/>
            <w:vAlign w:val="center"/>
            <w:hideMark/>
          </w:tcPr>
          <w:p w14:paraId="61F9D1DC" w14:textId="77777777" w:rsidR="00123018" w:rsidRPr="00123018" w:rsidRDefault="00123018" w:rsidP="00123018">
            <w:pPr>
              <w:spacing w:before="0" w:after="0" w:line="240" w:lineRule="auto"/>
              <w:jc w:val="right"/>
              <w:rPr>
                <w:rFonts w:ascii="Arial" w:hAnsi="Arial" w:cs="Arial"/>
                <w:color w:val="000000"/>
                <w:sz w:val="16"/>
                <w:szCs w:val="16"/>
              </w:rPr>
            </w:pPr>
            <w:r w:rsidRPr="00123018">
              <w:rPr>
                <w:rFonts w:ascii="Arial" w:hAnsi="Arial" w:cs="Arial"/>
                <w:color w:val="000000"/>
                <w:sz w:val="16"/>
                <w:szCs w:val="16"/>
              </w:rPr>
              <w:t>4,312</w:t>
            </w:r>
          </w:p>
        </w:tc>
        <w:tc>
          <w:tcPr>
            <w:tcW w:w="522" w:type="pct"/>
            <w:tcBorders>
              <w:top w:val="nil"/>
              <w:left w:val="nil"/>
              <w:bottom w:val="single" w:sz="4" w:space="0" w:color="293F5B"/>
              <w:right w:val="nil"/>
            </w:tcBorders>
            <w:shd w:val="clear" w:color="000000" w:fill="FFFFFF"/>
            <w:noWrap/>
            <w:vAlign w:val="center"/>
            <w:hideMark/>
          </w:tcPr>
          <w:p w14:paraId="47F4D53D" w14:textId="77777777" w:rsidR="00123018" w:rsidRPr="00123018" w:rsidRDefault="00123018" w:rsidP="00123018">
            <w:pPr>
              <w:spacing w:before="0" w:after="0" w:line="240" w:lineRule="auto"/>
              <w:jc w:val="right"/>
              <w:rPr>
                <w:rFonts w:ascii="Arial" w:hAnsi="Arial" w:cs="Arial"/>
                <w:color w:val="000000"/>
                <w:sz w:val="16"/>
                <w:szCs w:val="16"/>
              </w:rPr>
            </w:pPr>
            <w:r w:rsidRPr="00123018">
              <w:rPr>
                <w:rFonts w:ascii="Arial" w:hAnsi="Arial" w:cs="Arial"/>
                <w:color w:val="000000"/>
                <w:sz w:val="16"/>
                <w:szCs w:val="16"/>
              </w:rPr>
              <w:t>4,338</w:t>
            </w:r>
          </w:p>
        </w:tc>
      </w:tr>
      <w:tr w:rsidR="00123018" w:rsidRPr="00123018" w14:paraId="2B939069" w14:textId="77777777" w:rsidTr="00285ADA">
        <w:trPr>
          <w:trHeight w:hRule="exact" w:val="225"/>
        </w:trPr>
        <w:tc>
          <w:tcPr>
            <w:tcW w:w="2388" w:type="pct"/>
            <w:tcBorders>
              <w:top w:val="nil"/>
              <w:left w:val="nil"/>
              <w:bottom w:val="single" w:sz="4" w:space="0" w:color="293F5B"/>
              <w:right w:val="nil"/>
            </w:tcBorders>
            <w:shd w:val="clear" w:color="000000" w:fill="FFFFFF"/>
            <w:noWrap/>
            <w:vAlign w:val="center"/>
            <w:hideMark/>
          </w:tcPr>
          <w:p w14:paraId="62D5622D" w14:textId="77777777" w:rsidR="00123018" w:rsidRPr="00123018" w:rsidRDefault="00123018" w:rsidP="00123018">
            <w:pPr>
              <w:spacing w:before="0" w:after="0" w:line="240" w:lineRule="auto"/>
              <w:rPr>
                <w:rFonts w:ascii="Arial" w:hAnsi="Arial" w:cs="Arial"/>
                <w:b/>
                <w:bCs/>
                <w:color w:val="000000"/>
                <w:sz w:val="16"/>
                <w:szCs w:val="16"/>
              </w:rPr>
            </w:pPr>
            <w:r w:rsidRPr="00123018">
              <w:rPr>
                <w:rFonts w:ascii="Arial" w:hAnsi="Arial" w:cs="Arial"/>
                <w:b/>
                <w:bCs/>
                <w:color w:val="000000"/>
                <w:sz w:val="16"/>
                <w:szCs w:val="16"/>
              </w:rPr>
              <w:t>Total social security and welfare</w:t>
            </w:r>
          </w:p>
        </w:tc>
        <w:tc>
          <w:tcPr>
            <w:tcW w:w="523" w:type="pct"/>
            <w:tcBorders>
              <w:top w:val="single" w:sz="4" w:space="0" w:color="293F5B"/>
              <w:left w:val="nil"/>
              <w:bottom w:val="single" w:sz="4" w:space="0" w:color="293F5B"/>
              <w:right w:val="nil"/>
            </w:tcBorders>
            <w:shd w:val="clear" w:color="000000" w:fill="FFFFFF"/>
            <w:noWrap/>
            <w:vAlign w:val="center"/>
            <w:hideMark/>
          </w:tcPr>
          <w:p w14:paraId="2F244A3D" w14:textId="77777777" w:rsidR="00123018" w:rsidRPr="00123018" w:rsidRDefault="00123018" w:rsidP="00123018">
            <w:pPr>
              <w:spacing w:before="0" w:after="0" w:line="240" w:lineRule="auto"/>
              <w:jc w:val="right"/>
              <w:rPr>
                <w:rFonts w:ascii="Arial" w:hAnsi="Arial" w:cs="Arial"/>
                <w:b/>
                <w:bCs/>
                <w:color w:val="000000"/>
                <w:sz w:val="16"/>
                <w:szCs w:val="16"/>
              </w:rPr>
            </w:pPr>
            <w:r w:rsidRPr="00123018">
              <w:rPr>
                <w:rFonts w:ascii="Arial" w:hAnsi="Arial" w:cs="Arial"/>
                <w:b/>
                <w:bCs/>
                <w:color w:val="000000"/>
                <w:sz w:val="16"/>
                <w:szCs w:val="16"/>
              </w:rPr>
              <w:t>252,342</w:t>
            </w:r>
          </w:p>
        </w:tc>
        <w:tc>
          <w:tcPr>
            <w:tcW w:w="522" w:type="pct"/>
            <w:tcBorders>
              <w:top w:val="single" w:sz="4" w:space="0" w:color="293F5B"/>
              <w:left w:val="nil"/>
              <w:bottom w:val="single" w:sz="4" w:space="0" w:color="293F5B"/>
              <w:right w:val="nil"/>
            </w:tcBorders>
            <w:shd w:val="clear" w:color="000000" w:fill="E6F2FF"/>
            <w:noWrap/>
            <w:vAlign w:val="center"/>
            <w:hideMark/>
          </w:tcPr>
          <w:p w14:paraId="1E40E399" w14:textId="77777777" w:rsidR="00123018" w:rsidRPr="00123018" w:rsidRDefault="00123018" w:rsidP="00123018">
            <w:pPr>
              <w:spacing w:before="0" w:after="0" w:line="240" w:lineRule="auto"/>
              <w:jc w:val="right"/>
              <w:rPr>
                <w:rFonts w:ascii="Arial" w:hAnsi="Arial" w:cs="Arial"/>
                <w:b/>
                <w:bCs/>
                <w:color w:val="000000"/>
                <w:sz w:val="16"/>
                <w:szCs w:val="16"/>
              </w:rPr>
            </w:pPr>
            <w:r w:rsidRPr="00123018">
              <w:rPr>
                <w:rFonts w:ascii="Arial" w:hAnsi="Arial" w:cs="Arial"/>
                <w:b/>
                <w:bCs/>
                <w:color w:val="000000"/>
                <w:sz w:val="16"/>
                <w:szCs w:val="16"/>
              </w:rPr>
              <w:t>266,693</w:t>
            </w:r>
          </w:p>
        </w:tc>
        <w:tc>
          <w:tcPr>
            <w:tcW w:w="522" w:type="pct"/>
            <w:tcBorders>
              <w:top w:val="single" w:sz="4" w:space="0" w:color="293F5B"/>
              <w:left w:val="nil"/>
              <w:bottom w:val="single" w:sz="4" w:space="0" w:color="293F5B"/>
              <w:right w:val="nil"/>
            </w:tcBorders>
            <w:shd w:val="clear" w:color="000000" w:fill="FFFFFF"/>
            <w:noWrap/>
            <w:vAlign w:val="center"/>
            <w:hideMark/>
          </w:tcPr>
          <w:p w14:paraId="3A682B77" w14:textId="77777777" w:rsidR="00123018" w:rsidRPr="00123018" w:rsidRDefault="00123018" w:rsidP="00123018">
            <w:pPr>
              <w:spacing w:before="0" w:after="0" w:line="240" w:lineRule="auto"/>
              <w:jc w:val="right"/>
              <w:rPr>
                <w:rFonts w:ascii="Arial" w:hAnsi="Arial" w:cs="Arial"/>
                <w:b/>
                <w:bCs/>
                <w:color w:val="000000"/>
                <w:sz w:val="16"/>
                <w:szCs w:val="16"/>
              </w:rPr>
            </w:pPr>
            <w:r w:rsidRPr="00123018">
              <w:rPr>
                <w:rFonts w:ascii="Arial" w:hAnsi="Arial" w:cs="Arial"/>
                <w:b/>
                <w:bCs/>
                <w:color w:val="000000"/>
                <w:sz w:val="16"/>
                <w:szCs w:val="16"/>
              </w:rPr>
              <w:t>282,057</w:t>
            </w:r>
          </w:p>
        </w:tc>
        <w:tc>
          <w:tcPr>
            <w:tcW w:w="522" w:type="pct"/>
            <w:tcBorders>
              <w:top w:val="single" w:sz="4" w:space="0" w:color="293F5B"/>
              <w:left w:val="nil"/>
              <w:bottom w:val="single" w:sz="4" w:space="0" w:color="293F5B"/>
              <w:right w:val="nil"/>
            </w:tcBorders>
            <w:shd w:val="clear" w:color="000000" w:fill="FFFFFF"/>
            <w:noWrap/>
            <w:vAlign w:val="center"/>
            <w:hideMark/>
          </w:tcPr>
          <w:p w14:paraId="495847A0" w14:textId="77777777" w:rsidR="00123018" w:rsidRPr="00123018" w:rsidRDefault="00123018" w:rsidP="00123018">
            <w:pPr>
              <w:spacing w:before="0" w:after="0" w:line="240" w:lineRule="auto"/>
              <w:jc w:val="right"/>
              <w:rPr>
                <w:rFonts w:ascii="Arial" w:hAnsi="Arial" w:cs="Arial"/>
                <w:b/>
                <w:bCs/>
                <w:color w:val="000000"/>
                <w:sz w:val="16"/>
                <w:szCs w:val="16"/>
              </w:rPr>
            </w:pPr>
            <w:r w:rsidRPr="00123018">
              <w:rPr>
                <w:rFonts w:ascii="Arial" w:hAnsi="Arial" w:cs="Arial"/>
                <w:b/>
                <w:bCs/>
                <w:color w:val="000000"/>
                <w:sz w:val="16"/>
                <w:szCs w:val="16"/>
              </w:rPr>
              <w:t>290,665</w:t>
            </w:r>
          </w:p>
        </w:tc>
        <w:tc>
          <w:tcPr>
            <w:tcW w:w="522" w:type="pct"/>
            <w:tcBorders>
              <w:top w:val="single" w:sz="4" w:space="0" w:color="293F5B"/>
              <w:left w:val="nil"/>
              <w:bottom w:val="single" w:sz="4" w:space="0" w:color="293F5B"/>
              <w:right w:val="nil"/>
            </w:tcBorders>
            <w:shd w:val="clear" w:color="000000" w:fill="FFFFFF"/>
            <w:noWrap/>
            <w:vAlign w:val="center"/>
            <w:hideMark/>
          </w:tcPr>
          <w:p w14:paraId="5AC0A555" w14:textId="77777777" w:rsidR="00123018" w:rsidRPr="00123018" w:rsidRDefault="00123018" w:rsidP="00123018">
            <w:pPr>
              <w:spacing w:before="0" w:after="0" w:line="240" w:lineRule="auto"/>
              <w:jc w:val="right"/>
              <w:rPr>
                <w:rFonts w:ascii="Arial" w:hAnsi="Arial" w:cs="Arial"/>
                <w:b/>
                <w:bCs/>
                <w:color w:val="000000"/>
                <w:sz w:val="16"/>
                <w:szCs w:val="16"/>
              </w:rPr>
            </w:pPr>
            <w:r w:rsidRPr="00123018">
              <w:rPr>
                <w:rFonts w:ascii="Arial" w:hAnsi="Arial" w:cs="Arial"/>
                <w:b/>
                <w:bCs/>
                <w:color w:val="000000"/>
                <w:sz w:val="16"/>
                <w:szCs w:val="16"/>
              </w:rPr>
              <w:t>304,093</w:t>
            </w:r>
          </w:p>
        </w:tc>
      </w:tr>
    </w:tbl>
    <w:p w14:paraId="2E2F07CE" w14:textId="475291A3" w:rsidR="00E32E1B" w:rsidRPr="00FB4D26" w:rsidRDefault="00E32E1B" w:rsidP="00E87DDC">
      <w:pPr>
        <w:pStyle w:val="ChartandTableFootnoteAlpha"/>
        <w:numPr>
          <w:ilvl w:val="0"/>
          <w:numId w:val="26"/>
        </w:numPr>
      </w:pPr>
      <w:r w:rsidRPr="00FB4D26">
        <w:t>A further breakdown of the assistance to the aged sub function is provided in Table 6.9.</w:t>
      </w:r>
      <w:r w:rsidR="00ED6D02">
        <w:t>1</w:t>
      </w:r>
      <w:r w:rsidRPr="00FB4D26">
        <w:t>.</w:t>
      </w:r>
    </w:p>
    <w:p w14:paraId="5D4B4579" w14:textId="2F9F8A12" w:rsidR="00E32E1B" w:rsidRPr="00FB4D26" w:rsidRDefault="00E32E1B" w:rsidP="00E87DDC">
      <w:pPr>
        <w:pStyle w:val="ChartandTableFootnoteAlpha"/>
        <w:numPr>
          <w:ilvl w:val="0"/>
          <w:numId w:val="26"/>
        </w:numPr>
      </w:pPr>
      <w:r w:rsidRPr="00FB4D26">
        <w:t>A further breakdown of the assistance to people with disabilities sub function is provided in Table 6.9.</w:t>
      </w:r>
      <w:r w:rsidR="00ED6D02">
        <w:t>2</w:t>
      </w:r>
      <w:r w:rsidRPr="00FB4D26">
        <w:t>.</w:t>
      </w:r>
    </w:p>
    <w:p w14:paraId="2BB5126B" w14:textId="77777777" w:rsidR="00E32E1B" w:rsidRPr="00FB4D26" w:rsidRDefault="00E32E1B" w:rsidP="00E87DDC">
      <w:pPr>
        <w:pStyle w:val="ChartandTableFootnoteAlpha"/>
        <w:numPr>
          <w:ilvl w:val="0"/>
          <w:numId w:val="26"/>
        </w:numPr>
      </w:pPr>
      <w:r w:rsidRPr="00FB4D26">
        <w:t>A further breakdown of the assistance to families with children sub function is provided in Table 6.9.3.</w:t>
      </w:r>
    </w:p>
    <w:p w14:paraId="5C905615" w14:textId="77777777" w:rsidR="00E32E1B" w:rsidRPr="000177D7" w:rsidRDefault="00E32E1B" w:rsidP="00D91079">
      <w:pPr>
        <w:pStyle w:val="TableLine"/>
      </w:pPr>
    </w:p>
    <w:p w14:paraId="602E379F" w14:textId="6174EE3B" w:rsidR="00957B9D" w:rsidRDefault="00E4171F" w:rsidP="00957B9D">
      <w:r w:rsidRPr="0021687D">
        <w:t>Expenses in social security and welfare are estimated to</w:t>
      </w:r>
      <w:r>
        <w:t xml:space="preserve"> increase</w:t>
      </w:r>
      <w:r w:rsidRPr="0021687D">
        <w:t xml:space="preserve"> by</w:t>
      </w:r>
      <w:r w:rsidRPr="00141218">
        <w:t xml:space="preserve"> </w:t>
      </w:r>
      <w:r w:rsidR="008F320A" w:rsidRPr="00141218">
        <w:t>14</w:t>
      </w:r>
      <w:r w:rsidR="008F320A">
        <w:t>.0</w:t>
      </w:r>
      <w:r w:rsidRPr="00FF3DD4">
        <w:t> </w:t>
      </w:r>
      <w:r>
        <w:t>per cent</w:t>
      </w:r>
      <w:r w:rsidR="00B76600">
        <w:t xml:space="preserve"> </w:t>
      </w:r>
      <w:r w:rsidRPr="0021687D">
        <w:t>over the period 202</w:t>
      </w:r>
      <w:r>
        <w:t>4</w:t>
      </w:r>
      <w:r w:rsidRPr="00002DB4">
        <w:rPr>
          <w:rFonts w:cs="Book Antiqua"/>
        </w:rPr>
        <w:t>–</w:t>
      </w:r>
      <w:r w:rsidRPr="0021687D">
        <w:t>2</w:t>
      </w:r>
      <w:r>
        <w:t>5</w:t>
      </w:r>
      <w:r w:rsidRPr="0021687D">
        <w:t xml:space="preserve"> to 202</w:t>
      </w:r>
      <w:r>
        <w:t>7</w:t>
      </w:r>
      <w:r w:rsidRPr="00002DB4">
        <w:rPr>
          <w:rFonts w:cs="Book Antiqua"/>
        </w:rPr>
        <w:t>–</w:t>
      </w:r>
      <w:r w:rsidRPr="0021687D">
        <w:t>2</w:t>
      </w:r>
      <w:r>
        <w:t>8. T</w:t>
      </w:r>
      <w:r w:rsidRPr="00002DB4">
        <w:t>he largest movement</w:t>
      </w:r>
      <w:r>
        <w:t>s</w:t>
      </w:r>
      <w:r w:rsidRPr="00002DB4">
        <w:t xml:space="preserve"> in expenses for social security and welfare </w:t>
      </w:r>
      <w:r>
        <w:t xml:space="preserve">are </w:t>
      </w:r>
      <w:r w:rsidR="00C53E4D">
        <w:t xml:space="preserve">expected </w:t>
      </w:r>
      <w:r>
        <w:t xml:space="preserve">to </w:t>
      </w:r>
      <w:r w:rsidRPr="00002DB4">
        <w:t>occu</w:t>
      </w:r>
      <w:r>
        <w:t>r</w:t>
      </w:r>
      <w:r w:rsidRPr="00002DB4">
        <w:t xml:space="preserve"> in</w:t>
      </w:r>
      <w:r w:rsidR="00E91994">
        <w:t xml:space="preserve"> relation to</w:t>
      </w:r>
      <w:r w:rsidRPr="00002DB4">
        <w:t xml:space="preserve"> </w:t>
      </w:r>
      <w:r w:rsidR="00ED6D02" w:rsidRPr="0014375F">
        <w:rPr>
          <w:rStyle w:val="Strong"/>
        </w:rPr>
        <w:t>assistance to the aged</w:t>
      </w:r>
      <w:r w:rsidRPr="0014375F">
        <w:rPr>
          <w:rStyle w:val="Strong"/>
        </w:rPr>
        <w:t xml:space="preserve"> </w:t>
      </w:r>
      <w:r w:rsidRPr="00204B48">
        <w:rPr>
          <w:rStyle w:val="Strong"/>
          <w:b w:val="0"/>
        </w:rPr>
        <w:t>and</w:t>
      </w:r>
      <w:r w:rsidRPr="0014375F">
        <w:rPr>
          <w:rStyle w:val="Strong"/>
        </w:rPr>
        <w:t xml:space="preserve"> </w:t>
      </w:r>
      <w:r w:rsidR="00ED6D02" w:rsidRPr="0014375F">
        <w:rPr>
          <w:rStyle w:val="Strong"/>
        </w:rPr>
        <w:t>assistance to people with disabilities</w:t>
      </w:r>
      <w:r w:rsidR="00E91994">
        <w:rPr>
          <w:b/>
          <w:bCs/>
        </w:rPr>
        <w:t>.</w:t>
      </w:r>
      <w:r>
        <w:t xml:space="preserve"> Significant movements </w:t>
      </w:r>
      <w:r w:rsidR="0096293A">
        <w:t>are also expected to</w:t>
      </w:r>
      <w:r w:rsidR="003C0F2B">
        <w:t xml:space="preserve"> occur </w:t>
      </w:r>
      <w:r>
        <w:t xml:space="preserve">in </w:t>
      </w:r>
      <w:r w:rsidR="00ED6D02" w:rsidRPr="0014375F">
        <w:rPr>
          <w:rStyle w:val="Strong"/>
        </w:rPr>
        <w:t>assistance to veterans and dependants</w:t>
      </w:r>
      <w:r w:rsidR="000373CE">
        <w:t xml:space="preserve"> and</w:t>
      </w:r>
      <w:r w:rsidRPr="00002DB4">
        <w:t xml:space="preserve"> </w:t>
      </w:r>
      <w:r w:rsidR="00ED6D02" w:rsidRPr="0014375F">
        <w:rPr>
          <w:rStyle w:val="Strong"/>
        </w:rPr>
        <w:t>assistance to families with children</w:t>
      </w:r>
      <w:r>
        <w:t>.</w:t>
      </w:r>
      <w:r w:rsidRPr="00002DB4">
        <w:t xml:space="preserve"> </w:t>
      </w:r>
      <w:r w:rsidRPr="00B071FC">
        <w:t>The remaining sub</w:t>
      </w:r>
      <w:r w:rsidR="008D4F6B">
        <w:noBreakHyphen/>
      </w:r>
      <w:r w:rsidRPr="00B071FC">
        <w:t xml:space="preserve">functions are estimated to remain broadly stable </w:t>
      </w:r>
      <w:r w:rsidR="00957B9D">
        <w:t>over the period 2024–25 to 2027–28.</w:t>
      </w:r>
    </w:p>
    <w:p w14:paraId="51E8A3F3" w14:textId="2CB28154" w:rsidR="00E4171F" w:rsidRDefault="00E4171F" w:rsidP="00957B9D">
      <w:r w:rsidRPr="00361C1B">
        <w:t xml:space="preserve">The </w:t>
      </w:r>
      <w:r w:rsidR="00616DA2">
        <w:t xml:space="preserve">expected </w:t>
      </w:r>
      <w:r w:rsidRPr="00361C1B">
        <w:t>increase in expenses for social security and welfare is primarily driven by expenses for participant supports through the National Disability Insurance Scheme</w:t>
      </w:r>
      <w:r>
        <w:t xml:space="preserve"> (NDIS)</w:t>
      </w:r>
      <w:r w:rsidRPr="006F3584">
        <w:t>, more payments made to veterans and their families as outstanding claims for rehabilitation and compensation are processed,</w:t>
      </w:r>
      <w:r w:rsidRPr="00361C1B">
        <w:t xml:space="preserve"> and an expected increase in support for seniors and aged care services expenses.</w:t>
      </w:r>
    </w:p>
    <w:p w14:paraId="0D679BCC" w14:textId="344B23D1" w:rsidR="00ED6D02" w:rsidRDefault="00E91994" w:rsidP="00ED6D02">
      <w:r w:rsidRPr="0014375F">
        <w:rPr>
          <w:rStyle w:val="Strong"/>
        </w:rPr>
        <w:t>A</w:t>
      </w:r>
      <w:r w:rsidR="00ED6D02" w:rsidRPr="0014375F">
        <w:rPr>
          <w:rStyle w:val="Strong"/>
        </w:rPr>
        <w:t>ssistance to the aged</w:t>
      </w:r>
      <w:r w:rsidR="00ED6D02" w:rsidRPr="008D5438">
        <w:rPr>
          <w:b/>
          <w:bCs/>
        </w:rPr>
        <w:t xml:space="preserve"> </w:t>
      </w:r>
      <w:r w:rsidRPr="00E91994">
        <w:t>expenses</w:t>
      </w:r>
      <w:r>
        <w:rPr>
          <w:b/>
          <w:bCs/>
        </w:rPr>
        <w:t xml:space="preserve"> </w:t>
      </w:r>
      <w:r>
        <w:t>are</w:t>
      </w:r>
      <w:r w:rsidR="00ED6D02" w:rsidRPr="008D5438">
        <w:t xml:space="preserve"> estimated to increase</w:t>
      </w:r>
      <w:r w:rsidR="002D158E">
        <w:t xml:space="preserve"> </w:t>
      </w:r>
      <w:r w:rsidR="00ED6D02" w:rsidRPr="008D5438">
        <w:t xml:space="preserve">over the period 2024–25 to </w:t>
      </w:r>
      <w:r w:rsidR="00CF5C81">
        <w:br/>
      </w:r>
      <w:r w:rsidR="00ED6D02" w:rsidRPr="008D5438">
        <w:t>2027</w:t>
      </w:r>
      <w:r>
        <w:t>–</w:t>
      </w:r>
      <w:r w:rsidR="00ED6D02" w:rsidRPr="008D5438">
        <w:t xml:space="preserve">28, primarily driven by increases in expenditure in the Aged Care Services </w:t>
      </w:r>
      <w:r w:rsidR="00D44A8D">
        <w:t xml:space="preserve">component </w:t>
      </w:r>
      <w:r w:rsidR="00ED6D02" w:rsidRPr="008D5438">
        <w:t xml:space="preserve">and the Support for Seniors </w:t>
      </w:r>
      <w:r w:rsidR="00D44A8D">
        <w:t>component</w:t>
      </w:r>
      <w:r w:rsidR="00ED6D02" w:rsidRPr="008D5438">
        <w:t>.</w:t>
      </w:r>
    </w:p>
    <w:p w14:paraId="00166AA1" w14:textId="287B29F0" w:rsidR="00573DB3" w:rsidRPr="008D5438" w:rsidRDefault="00573DB3" w:rsidP="00ED6D02">
      <w:r>
        <w:t>T</w:t>
      </w:r>
      <w:r w:rsidRPr="008D5438">
        <w:rPr>
          <w:rFonts w:eastAsia="Book Antiqua" w:cs="Book Antiqua"/>
        </w:rPr>
        <w:t>he Support for Seniors</w:t>
      </w:r>
      <w:r w:rsidR="0062048B">
        <w:rPr>
          <w:rFonts w:eastAsia="Book Antiqua" w:cs="Book Antiqua"/>
        </w:rPr>
        <w:t xml:space="preserve"> component</w:t>
      </w:r>
      <w:r w:rsidRPr="008D5438">
        <w:rPr>
          <w:rFonts w:eastAsia="Book Antiqua" w:cs="Book Antiqua"/>
        </w:rPr>
        <w:t xml:space="preserve"> is estimated to</w:t>
      </w:r>
      <w:r>
        <w:rPr>
          <w:rFonts w:eastAsia="Book Antiqua" w:cs="Book Antiqua"/>
        </w:rPr>
        <w:t xml:space="preserve"> increase</w:t>
      </w:r>
      <w:r w:rsidRPr="008D5438">
        <w:rPr>
          <w:rFonts w:eastAsia="Book Antiqua" w:cs="Book Antiqua"/>
        </w:rPr>
        <w:t xml:space="preserve"> over</w:t>
      </w:r>
      <w:r>
        <w:rPr>
          <w:rFonts w:eastAsia="Book Antiqua" w:cs="Book Antiqua"/>
        </w:rPr>
        <w:t xml:space="preserve"> the period</w:t>
      </w:r>
      <w:r w:rsidRPr="008D5438">
        <w:rPr>
          <w:rFonts w:eastAsia="Book Antiqua" w:cs="Book Antiqua"/>
        </w:rPr>
        <w:t xml:space="preserve"> 2024</w:t>
      </w:r>
      <w:r w:rsidRPr="008D5438">
        <w:rPr>
          <w:rFonts w:cs="Book Antiqua"/>
        </w:rPr>
        <w:t>–</w:t>
      </w:r>
      <w:r w:rsidRPr="008D5438">
        <w:rPr>
          <w:rFonts w:eastAsia="Book Antiqua" w:cs="Book Antiqua"/>
        </w:rPr>
        <w:t>25 to 2027</w:t>
      </w:r>
      <w:r w:rsidR="000373CE">
        <w:rPr>
          <w:rFonts w:cs="Book Antiqua"/>
        </w:rPr>
        <w:t>–</w:t>
      </w:r>
      <w:r w:rsidRPr="008D5438">
        <w:rPr>
          <w:rFonts w:eastAsia="Book Antiqua" w:cs="Book Antiqua"/>
        </w:rPr>
        <w:t>28 reflecting the expected increase in the number of Age Pension recipients as the Australian population</w:t>
      </w:r>
      <w:r>
        <w:rPr>
          <w:rFonts w:eastAsia="Book Antiqua" w:cs="Book Antiqua"/>
        </w:rPr>
        <w:t xml:space="preserve"> ages.</w:t>
      </w:r>
    </w:p>
    <w:p w14:paraId="3ACCD818" w14:textId="77777777" w:rsidR="00D42939" w:rsidRDefault="00D42939">
      <w:pPr>
        <w:spacing w:before="0" w:after="160" w:line="259" w:lineRule="auto"/>
      </w:pPr>
      <w:r>
        <w:br w:type="page"/>
      </w:r>
    </w:p>
    <w:p w14:paraId="3899753B" w14:textId="2587F53D" w:rsidR="00CA1A3D" w:rsidRDefault="00ED6D02" w:rsidP="0014375F">
      <w:r w:rsidRPr="00933328">
        <w:lastRenderedPageBreak/>
        <w:t>The significant drivers of growth in the Aged Care Services</w:t>
      </w:r>
      <w:r w:rsidR="0062048B">
        <w:t xml:space="preserve"> component</w:t>
      </w:r>
      <w:r w:rsidRPr="00933328">
        <w:t xml:space="preserve"> are the expanding ageing population and rising demand for aged care services. </w:t>
      </w:r>
      <w:r w:rsidRPr="008D5438">
        <w:t>In the 2024</w:t>
      </w:r>
      <w:r w:rsidRPr="008D5438">
        <w:rPr>
          <w:rFonts w:cs="Book Antiqua"/>
        </w:rPr>
        <w:t>–</w:t>
      </w:r>
      <w:r w:rsidRPr="008D5438">
        <w:t>25 Budget, the Government</w:t>
      </w:r>
      <w:r w:rsidR="00E91994">
        <w:t xml:space="preserve"> is</w:t>
      </w:r>
      <w:r w:rsidRPr="008D5438">
        <w:t xml:space="preserve"> provid</w:t>
      </w:r>
      <w:r w:rsidR="00E91994">
        <w:t>ing</w:t>
      </w:r>
      <w:r w:rsidRPr="008D5438">
        <w:t xml:space="preserve"> $0.5 billion to release 24,100 additional Home Care Packages in 2024</w:t>
      </w:r>
      <w:r w:rsidRPr="008D5438">
        <w:rPr>
          <w:rFonts w:cs="Book Antiqua"/>
        </w:rPr>
        <w:t>–</w:t>
      </w:r>
      <w:r w:rsidRPr="008D5438">
        <w:t>25 to reduce wait times and meet the growing demand for care at home.</w:t>
      </w:r>
    </w:p>
    <w:p w14:paraId="12639EA6" w14:textId="6389CD65" w:rsidR="0062048B" w:rsidRPr="002A68B0" w:rsidRDefault="00ED6D02" w:rsidP="002A68B0">
      <w:r>
        <w:t>Table </w:t>
      </w:r>
      <w:r w:rsidRPr="000177D7">
        <w:t>6.</w:t>
      </w:r>
      <w:r>
        <w:t>9</w:t>
      </w:r>
      <w:r w:rsidRPr="000177D7">
        <w:t>.</w:t>
      </w:r>
      <w:r>
        <w:t>1</w:t>
      </w:r>
      <w:r w:rsidRPr="000177D7">
        <w:t xml:space="preserve"> sets out the major components of the </w:t>
      </w:r>
      <w:r w:rsidRPr="0014375F">
        <w:rPr>
          <w:rStyle w:val="Strong"/>
        </w:rPr>
        <w:t>assistance to the aged</w:t>
      </w:r>
      <w:r w:rsidRPr="00002DB4">
        <w:rPr>
          <w:bCs/>
        </w:rPr>
        <w:t xml:space="preserve"> </w:t>
      </w:r>
      <w:r w:rsidRPr="000177D7">
        <w:t>sub</w:t>
      </w:r>
      <w:r w:rsidR="008D4F6B">
        <w:noBreakHyphen/>
      </w:r>
      <w:r w:rsidRPr="002A68B0">
        <w:t>function.</w:t>
      </w:r>
    </w:p>
    <w:p w14:paraId="429ADF0C" w14:textId="70C16BD4" w:rsidR="0017080B" w:rsidRDefault="00ED6D02" w:rsidP="0017080B">
      <w:pPr>
        <w:pStyle w:val="TableHeading"/>
        <w:rPr>
          <w:rFonts w:asciiTheme="minorHAnsi" w:eastAsiaTheme="minorHAnsi" w:hAnsiTheme="minorHAnsi" w:cstheme="minorBidi"/>
          <w:sz w:val="22"/>
          <w:szCs w:val="22"/>
          <w:lang w:eastAsia="en-US"/>
        </w:rPr>
      </w:pPr>
      <w:r>
        <w:t>Table </w:t>
      </w:r>
      <w:r w:rsidRPr="00856202">
        <w:t>6.9.</w:t>
      </w:r>
      <w:r>
        <w:t>1</w:t>
      </w:r>
      <w:r w:rsidRPr="00856202">
        <w:t xml:space="preserve">: Trends in the major components of </w:t>
      </w:r>
      <w:r>
        <w:t xml:space="preserve">the </w:t>
      </w:r>
      <w:r w:rsidRPr="00856202">
        <w:t>assistance to the aged sub</w:t>
      </w:r>
      <w:r w:rsidR="008D4F6B">
        <w:noBreakHyphen/>
      </w:r>
      <w:r w:rsidRPr="00856202">
        <w:t xml:space="preserve">function </w:t>
      </w:r>
      <w:r w:rsidRPr="00036BA4">
        <w:t>expense</w:t>
      </w:r>
    </w:p>
    <w:tbl>
      <w:tblPr>
        <w:tblW w:w="5000" w:type="pct"/>
        <w:tblCellMar>
          <w:left w:w="0" w:type="dxa"/>
          <w:right w:w="28" w:type="dxa"/>
        </w:tblCellMar>
        <w:tblLook w:val="04A0" w:firstRow="1" w:lastRow="0" w:firstColumn="1" w:lastColumn="0" w:noHBand="0" w:noVBand="1"/>
      </w:tblPr>
      <w:tblGrid>
        <w:gridCol w:w="3366"/>
        <w:gridCol w:w="105"/>
        <w:gridCol w:w="848"/>
        <w:gridCol w:w="848"/>
        <w:gridCol w:w="848"/>
        <w:gridCol w:w="848"/>
        <w:gridCol w:w="847"/>
      </w:tblGrid>
      <w:tr w:rsidR="0017080B" w:rsidRPr="0017080B" w14:paraId="343D5EA8" w14:textId="77777777" w:rsidTr="0017080B">
        <w:trPr>
          <w:trHeight w:hRule="exact" w:val="20"/>
        </w:trPr>
        <w:tc>
          <w:tcPr>
            <w:tcW w:w="2183" w:type="pct"/>
            <w:tcBorders>
              <w:top w:val="nil"/>
              <w:left w:val="nil"/>
              <w:bottom w:val="single" w:sz="4" w:space="0" w:color="293F5B"/>
              <w:right w:val="nil"/>
            </w:tcBorders>
            <w:shd w:val="clear" w:color="000000" w:fill="FFFFFF"/>
            <w:noWrap/>
            <w:vAlign w:val="center"/>
            <w:hideMark/>
          </w:tcPr>
          <w:p w14:paraId="43FB79B8" w14:textId="6D8280FA" w:rsidR="0017080B" w:rsidRPr="0017080B" w:rsidRDefault="0017080B" w:rsidP="0017080B">
            <w:pPr>
              <w:spacing w:before="0" w:after="0" w:line="240" w:lineRule="auto"/>
              <w:rPr>
                <w:rFonts w:ascii="Arial" w:hAnsi="Arial" w:cs="Arial"/>
                <w:b/>
                <w:bCs/>
                <w:color w:val="000000"/>
                <w:sz w:val="16"/>
                <w:szCs w:val="16"/>
              </w:rPr>
            </w:pPr>
            <w:r w:rsidRPr="0017080B">
              <w:rPr>
                <w:rFonts w:ascii="Arial" w:hAnsi="Arial" w:cs="Arial"/>
                <w:b/>
                <w:bCs/>
                <w:color w:val="000000"/>
                <w:sz w:val="16"/>
                <w:szCs w:val="16"/>
              </w:rPr>
              <w:t> </w:t>
            </w:r>
          </w:p>
        </w:tc>
        <w:tc>
          <w:tcPr>
            <w:tcW w:w="68" w:type="pct"/>
            <w:tcBorders>
              <w:top w:val="nil"/>
              <w:left w:val="nil"/>
              <w:bottom w:val="single" w:sz="4" w:space="0" w:color="293F5B"/>
              <w:right w:val="nil"/>
            </w:tcBorders>
            <w:shd w:val="clear" w:color="000000" w:fill="FFFFFF"/>
            <w:noWrap/>
            <w:vAlign w:val="center"/>
            <w:hideMark/>
          </w:tcPr>
          <w:p w14:paraId="21795060" w14:textId="77777777" w:rsidR="0017080B" w:rsidRPr="0017080B" w:rsidRDefault="0017080B" w:rsidP="0017080B">
            <w:pPr>
              <w:spacing w:before="0" w:after="0" w:line="240" w:lineRule="auto"/>
              <w:rPr>
                <w:rFonts w:ascii="Arial" w:hAnsi="Arial" w:cs="Arial"/>
                <w:b/>
                <w:bCs/>
                <w:color w:val="000000"/>
                <w:sz w:val="16"/>
                <w:szCs w:val="16"/>
              </w:rPr>
            </w:pPr>
            <w:r w:rsidRPr="0017080B">
              <w:rPr>
                <w:rFonts w:ascii="Arial" w:hAnsi="Arial" w:cs="Arial"/>
                <w:b/>
                <w:bCs/>
                <w:color w:val="000000"/>
                <w:sz w:val="16"/>
                <w:szCs w:val="16"/>
              </w:rPr>
              <w:t> </w:t>
            </w:r>
          </w:p>
        </w:tc>
        <w:tc>
          <w:tcPr>
            <w:tcW w:w="550" w:type="pct"/>
            <w:tcBorders>
              <w:top w:val="nil"/>
              <w:left w:val="nil"/>
              <w:bottom w:val="single" w:sz="4" w:space="0" w:color="293F5B"/>
              <w:right w:val="nil"/>
            </w:tcBorders>
            <w:shd w:val="clear" w:color="000000" w:fill="FFFFFF"/>
            <w:noWrap/>
            <w:vAlign w:val="center"/>
            <w:hideMark/>
          </w:tcPr>
          <w:p w14:paraId="460D461F" w14:textId="77777777" w:rsidR="0017080B" w:rsidRPr="0017080B" w:rsidRDefault="0017080B" w:rsidP="0017080B">
            <w:pPr>
              <w:spacing w:before="0" w:after="0" w:line="240" w:lineRule="auto"/>
              <w:rPr>
                <w:rFonts w:ascii="Arial" w:hAnsi="Arial" w:cs="Arial"/>
                <w:color w:val="000000"/>
                <w:sz w:val="16"/>
                <w:szCs w:val="16"/>
              </w:rPr>
            </w:pPr>
            <w:r w:rsidRPr="0017080B">
              <w:rPr>
                <w:rFonts w:ascii="Arial" w:hAnsi="Arial" w:cs="Arial"/>
                <w:color w:val="000000"/>
                <w:sz w:val="16"/>
                <w:szCs w:val="16"/>
              </w:rPr>
              <w:t> </w:t>
            </w:r>
          </w:p>
        </w:tc>
        <w:tc>
          <w:tcPr>
            <w:tcW w:w="550" w:type="pct"/>
            <w:tcBorders>
              <w:top w:val="nil"/>
              <w:left w:val="nil"/>
              <w:bottom w:val="single" w:sz="4" w:space="0" w:color="293F5B"/>
              <w:right w:val="nil"/>
            </w:tcBorders>
            <w:shd w:val="clear" w:color="000000" w:fill="FFFFFF"/>
            <w:noWrap/>
            <w:vAlign w:val="center"/>
            <w:hideMark/>
          </w:tcPr>
          <w:p w14:paraId="0647E589" w14:textId="77777777" w:rsidR="0017080B" w:rsidRPr="0017080B" w:rsidRDefault="0017080B" w:rsidP="0017080B">
            <w:pPr>
              <w:spacing w:before="0" w:after="0" w:line="240" w:lineRule="auto"/>
              <w:rPr>
                <w:rFonts w:ascii="Arial" w:hAnsi="Arial" w:cs="Arial"/>
                <w:color w:val="000000"/>
                <w:sz w:val="16"/>
                <w:szCs w:val="16"/>
              </w:rPr>
            </w:pPr>
            <w:r w:rsidRPr="0017080B">
              <w:rPr>
                <w:rFonts w:ascii="Arial" w:hAnsi="Arial" w:cs="Arial"/>
                <w:color w:val="000000"/>
                <w:sz w:val="16"/>
                <w:szCs w:val="16"/>
              </w:rPr>
              <w:t> </w:t>
            </w:r>
          </w:p>
        </w:tc>
        <w:tc>
          <w:tcPr>
            <w:tcW w:w="550" w:type="pct"/>
            <w:tcBorders>
              <w:top w:val="nil"/>
              <w:left w:val="nil"/>
              <w:bottom w:val="single" w:sz="4" w:space="0" w:color="293F5B"/>
              <w:right w:val="nil"/>
            </w:tcBorders>
            <w:shd w:val="clear" w:color="000000" w:fill="FFFFFF"/>
            <w:noWrap/>
            <w:vAlign w:val="center"/>
            <w:hideMark/>
          </w:tcPr>
          <w:p w14:paraId="0F3D7D2F" w14:textId="77777777" w:rsidR="0017080B" w:rsidRPr="0017080B" w:rsidRDefault="0017080B" w:rsidP="0017080B">
            <w:pPr>
              <w:spacing w:before="0" w:after="0" w:line="240" w:lineRule="auto"/>
              <w:rPr>
                <w:rFonts w:ascii="Arial" w:hAnsi="Arial" w:cs="Arial"/>
                <w:color w:val="000000"/>
                <w:sz w:val="16"/>
                <w:szCs w:val="16"/>
              </w:rPr>
            </w:pPr>
            <w:r w:rsidRPr="0017080B">
              <w:rPr>
                <w:rFonts w:ascii="Arial" w:hAnsi="Arial" w:cs="Arial"/>
                <w:color w:val="000000"/>
                <w:sz w:val="16"/>
                <w:szCs w:val="16"/>
              </w:rPr>
              <w:t> </w:t>
            </w:r>
          </w:p>
        </w:tc>
        <w:tc>
          <w:tcPr>
            <w:tcW w:w="550" w:type="pct"/>
            <w:tcBorders>
              <w:top w:val="nil"/>
              <w:left w:val="nil"/>
              <w:bottom w:val="single" w:sz="4" w:space="0" w:color="293F5B"/>
              <w:right w:val="nil"/>
            </w:tcBorders>
            <w:shd w:val="clear" w:color="000000" w:fill="FFFFFF"/>
            <w:noWrap/>
            <w:vAlign w:val="center"/>
            <w:hideMark/>
          </w:tcPr>
          <w:p w14:paraId="44F82155" w14:textId="77777777" w:rsidR="0017080B" w:rsidRPr="0017080B" w:rsidRDefault="0017080B" w:rsidP="0017080B">
            <w:pPr>
              <w:spacing w:before="0" w:after="0" w:line="240" w:lineRule="auto"/>
              <w:rPr>
                <w:rFonts w:ascii="Arial" w:hAnsi="Arial" w:cs="Arial"/>
                <w:color w:val="000000"/>
                <w:sz w:val="16"/>
                <w:szCs w:val="16"/>
              </w:rPr>
            </w:pPr>
            <w:r w:rsidRPr="0017080B">
              <w:rPr>
                <w:rFonts w:ascii="Arial" w:hAnsi="Arial" w:cs="Arial"/>
                <w:color w:val="000000"/>
                <w:sz w:val="16"/>
                <w:szCs w:val="16"/>
              </w:rPr>
              <w:t> </w:t>
            </w:r>
          </w:p>
        </w:tc>
        <w:tc>
          <w:tcPr>
            <w:tcW w:w="550" w:type="pct"/>
            <w:tcBorders>
              <w:top w:val="nil"/>
              <w:left w:val="nil"/>
              <w:bottom w:val="single" w:sz="4" w:space="0" w:color="293F5B"/>
              <w:right w:val="nil"/>
            </w:tcBorders>
            <w:shd w:val="clear" w:color="000000" w:fill="FFFFFF"/>
            <w:noWrap/>
            <w:vAlign w:val="center"/>
            <w:hideMark/>
          </w:tcPr>
          <w:p w14:paraId="7E2388A0" w14:textId="77777777" w:rsidR="0017080B" w:rsidRPr="0017080B" w:rsidRDefault="0017080B" w:rsidP="0017080B">
            <w:pPr>
              <w:spacing w:before="0" w:after="0" w:line="240" w:lineRule="auto"/>
              <w:rPr>
                <w:rFonts w:ascii="Arial" w:hAnsi="Arial" w:cs="Arial"/>
                <w:color w:val="000000"/>
                <w:sz w:val="16"/>
                <w:szCs w:val="16"/>
              </w:rPr>
            </w:pPr>
            <w:r w:rsidRPr="0017080B">
              <w:rPr>
                <w:rFonts w:ascii="Arial" w:hAnsi="Arial" w:cs="Arial"/>
                <w:color w:val="000000"/>
                <w:sz w:val="16"/>
                <w:szCs w:val="16"/>
              </w:rPr>
              <w:t> </w:t>
            </w:r>
          </w:p>
        </w:tc>
      </w:tr>
      <w:tr w:rsidR="0017080B" w:rsidRPr="0017080B" w14:paraId="0F50C89B" w14:textId="77777777" w:rsidTr="00F60909">
        <w:trPr>
          <w:trHeight w:hRule="exact" w:val="226"/>
        </w:trPr>
        <w:tc>
          <w:tcPr>
            <w:tcW w:w="2183" w:type="pct"/>
            <w:tcBorders>
              <w:top w:val="nil"/>
              <w:left w:val="nil"/>
              <w:bottom w:val="nil"/>
              <w:right w:val="nil"/>
            </w:tcBorders>
            <w:shd w:val="clear" w:color="000000" w:fill="FFFFFF"/>
            <w:noWrap/>
            <w:vAlign w:val="center"/>
            <w:hideMark/>
          </w:tcPr>
          <w:p w14:paraId="316528AD" w14:textId="77777777" w:rsidR="0017080B" w:rsidRPr="0017080B" w:rsidRDefault="0017080B" w:rsidP="0017080B">
            <w:pPr>
              <w:spacing w:before="0" w:after="0" w:line="240" w:lineRule="auto"/>
              <w:rPr>
                <w:rFonts w:ascii="Arial" w:hAnsi="Arial" w:cs="Arial"/>
                <w:b/>
                <w:bCs/>
                <w:color w:val="000000"/>
                <w:sz w:val="16"/>
                <w:szCs w:val="16"/>
              </w:rPr>
            </w:pPr>
            <w:r w:rsidRPr="0017080B">
              <w:rPr>
                <w:rFonts w:ascii="Arial" w:hAnsi="Arial" w:cs="Arial"/>
                <w:b/>
                <w:bCs/>
                <w:color w:val="000000"/>
                <w:sz w:val="16"/>
                <w:szCs w:val="16"/>
              </w:rPr>
              <w:t>Component(a)</w:t>
            </w:r>
          </w:p>
        </w:tc>
        <w:tc>
          <w:tcPr>
            <w:tcW w:w="68" w:type="pct"/>
            <w:tcBorders>
              <w:top w:val="nil"/>
              <w:left w:val="nil"/>
              <w:bottom w:val="nil"/>
              <w:right w:val="nil"/>
            </w:tcBorders>
            <w:shd w:val="clear" w:color="000000" w:fill="FFFFFF"/>
            <w:noWrap/>
            <w:vAlign w:val="center"/>
            <w:hideMark/>
          </w:tcPr>
          <w:p w14:paraId="10D63FEE" w14:textId="77777777" w:rsidR="0017080B" w:rsidRPr="0017080B" w:rsidRDefault="0017080B" w:rsidP="0017080B">
            <w:pPr>
              <w:spacing w:before="0" w:after="0" w:line="240" w:lineRule="auto"/>
              <w:rPr>
                <w:rFonts w:ascii="Arial" w:hAnsi="Arial" w:cs="Arial"/>
                <w:color w:val="000000"/>
                <w:sz w:val="16"/>
                <w:szCs w:val="16"/>
              </w:rPr>
            </w:pPr>
            <w:r w:rsidRPr="0017080B">
              <w:rPr>
                <w:rFonts w:ascii="Arial" w:hAnsi="Arial" w:cs="Arial"/>
                <w:color w:val="000000"/>
                <w:sz w:val="16"/>
                <w:szCs w:val="16"/>
              </w:rPr>
              <w:t> </w:t>
            </w:r>
          </w:p>
        </w:tc>
        <w:tc>
          <w:tcPr>
            <w:tcW w:w="2748" w:type="pct"/>
            <w:gridSpan w:val="5"/>
            <w:tcBorders>
              <w:top w:val="single" w:sz="4" w:space="0" w:color="293F5B"/>
              <w:left w:val="nil"/>
              <w:bottom w:val="single" w:sz="4" w:space="0" w:color="293F5B"/>
              <w:right w:val="nil"/>
            </w:tcBorders>
            <w:shd w:val="clear" w:color="000000" w:fill="FFFFFF"/>
            <w:noWrap/>
            <w:vAlign w:val="center"/>
            <w:hideMark/>
          </w:tcPr>
          <w:p w14:paraId="065F4117" w14:textId="77777777" w:rsidR="0017080B" w:rsidRPr="0017080B" w:rsidRDefault="0017080B" w:rsidP="0017080B">
            <w:pPr>
              <w:spacing w:before="0" w:after="0" w:line="240" w:lineRule="auto"/>
              <w:jc w:val="center"/>
              <w:rPr>
                <w:rFonts w:ascii="Arial" w:hAnsi="Arial" w:cs="Arial"/>
                <w:color w:val="000000"/>
                <w:sz w:val="16"/>
                <w:szCs w:val="16"/>
              </w:rPr>
            </w:pPr>
            <w:r w:rsidRPr="0017080B">
              <w:rPr>
                <w:rFonts w:ascii="Arial" w:hAnsi="Arial" w:cs="Arial"/>
                <w:color w:val="000000"/>
                <w:sz w:val="16"/>
                <w:szCs w:val="16"/>
              </w:rPr>
              <w:t>Estimates</w:t>
            </w:r>
          </w:p>
        </w:tc>
      </w:tr>
      <w:tr w:rsidR="0017080B" w:rsidRPr="0017080B" w14:paraId="0F3722D1" w14:textId="77777777" w:rsidTr="0017080B">
        <w:trPr>
          <w:trHeight w:hRule="exact" w:val="226"/>
        </w:trPr>
        <w:tc>
          <w:tcPr>
            <w:tcW w:w="2183" w:type="pct"/>
            <w:tcBorders>
              <w:top w:val="nil"/>
              <w:left w:val="nil"/>
              <w:bottom w:val="nil"/>
              <w:right w:val="nil"/>
            </w:tcBorders>
            <w:shd w:val="clear" w:color="000000" w:fill="FFFFFF"/>
            <w:noWrap/>
            <w:vAlign w:val="bottom"/>
            <w:hideMark/>
          </w:tcPr>
          <w:p w14:paraId="292C8D18" w14:textId="77777777" w:rsidR="0017080B" w:rsidRPr="0017080B" w:rsidRDefault="0017080B" w:rsidP="0017080B">
            <w:pPr>
              <w:spacing w:before="0" w:after="0" w:line="240" w:lineRule="auto"/>
              <w:rPr>
                <w:rFonts w:ascii="Arial" w:hAnsi="Arial" w:cs="Arial"/>
                <w:color w:val="000000"/>
                <w:sz w:val="16"/>
                <w:szCs w:val="16"/>
              </w:rPr>
            </w:pPr>
            <w:r w:rsidRPr="0017080B">
              <w:rPr>
                <w:rFonts w:ascii="Arial" w:hAnsi="Arial" w:cs="Arial"/>
                <w:color w:val="000000"/>
                <w:sz w:val="16"/>
                <w:szCs w:val="16"/>
              </w:rPr>
              <w:t> </w:t>
            </w:r>
          </w:p>
        </w:tc>
        <w:tc>
          <w:tcPr>
            <w:tcW w:w="68" w:type="pct"/>
            <w:tcBorders>
              <w:top w:val="nil"/>
              <w:left w:val="nil"/>
              <w:bottom w:val="nil"/>
              <w:right w:val="nil"/>
            </w:tcBorders>
            <w:shd w:val="clear" w:color="000000" w:fill="FFFFFF"/>
            <w:noWrap/>
            <w:vAlign w:val="center"/>
            <w:hideMark/>
          </w:tcPr>
          <w:p w14:paraId="2D2DA0B2" w14:textId="77777777" w:rsidR="0017080B" w:rsidRPr="0017080B" w:rsidRDefault="0017080B" w:rsidP="0017080B">
            <w:pPr>
              <w:spacing w:before="0" w:after="0" w:line="240" w:lineRule="auto"/>
              <w:jc w:val="right"/>
              <w:rPr>
                <w:rFonts w:ascii="Arial" w:hAnsi="Arial" w:cs="Arial"/>
                <w:sz w:val="16"/>
                <w:szCs w:val="16"/>
              </w:rPr>
            </w:pPr>
            <w:r w:rsidRPr="0017080B">
              <w:rPr>
                <w:rFonts w:ascii="Arial" w:hAnsi="Arial" w:cs="Arial"/>
                <w:sz w:val="16"/>
                <w:szCs w:val="16"/>
              </w:rPr>
              <w:t> </w:t>
            </w:r>
          </w:p>
        </w:tc>
        <w:tc>
          <w:tcPr>
            <w:tcW w:w="550" w:type="pct"/>
            <w:tcBorders>
              <w:top w:val="single" w:sz="4" w:space="0" w:color="293F5B"/>
              <w:left w:val="nil"/>
              <w:bottom w:val="nil"/>
              <w:right w:val="nil"/>
            </w:tcBorders>
            <w:shd w:val="clear" w:color="000000" w:fill="FFFFFF"/>
            <w:noWrap/>
            <w:vAlign w:val="center"/>
            <w:hideMark/>
          </w:tcPr>
          <w:p w14:paraId="4A7A915F" w14:textId="4559C8DD" w:rsidR="0017080B" w:rsidRPr="0017080B" w:rsidRDefault="0017080B" w:rsidP="0017080B">
            <w:pPr>
              <w:spacing w:before="0" w:after="0" w:line="240" w:lineRule="auto"/>
              <w:jc w:val="right"/>
              <w:rPr>
                <w:rFonts w:ascii="Arial" w:hAnsi="Arial" w:cs="Arial"/>
                <w:sz w:val="16"/>
                <w:szCs w:val="16"/>
              </w:rPr>
            </w:pPr>
            <w:r w:rsidRPr="0017080B">
              <w:rPr>
                <w:rFonts w:ascii="Arial" w:hAnsi="Arial" w:cs="Arial"/>
                <w:sz w:val="16"/>
                <w:szCs w:val="16"/>
              </w:rPr>
              <w:t>2023</w:t>
            </w:r>
            <w:r w:rsidR="008D4F6B">
              <w:rPr>
                <w:rFonts w:ascii="Arial" w:hAnsi="Arial" w:cs="Arial"/>
                <w:sz w:val="16"/>
                <w:szCs w:val="16"/>
              </w:rPr>
              <w:noBreakHyphen/>
            </w:r>
            <w:r w:rsidRPr="0017080B">
              <w:rPr>
                <w:rFonts w:ascii="Arial" w:hAnsi="Arial" w:cs="Arial"/>
                <w:sz w:val="16"/>
                <w:szCs w:val="16"/>
              </w:rPr>
              <w:t>24</w:t>
            </w:r>
          </w:p>
        </w:tc>
        <w:tc>
          <w:tcPr>
            <w:tcW w:w="550" w:type="pct"/>
            <w:tcBorders>
              <w:top w:val="single" w:sz="4" w:space="0" w:color="293F5B"/>
              <w:left w:val="nil"/>
              <w:bottom w:val="nil"/>
              <w:right w:val="nil"/>
            </w:tcBorders>
            <w:shd w:val="clear" w:color="000000" w:fill="E6F2FF"/>
            <w:noWrap/>
            <w:vAlign w:val="center"/>
            <w:hideMark/>
          </w:tcPr>
          <w:p w14:paraId="5B27D901" w14:textId="4466DE84" w:rsidR="0017080B" w:rsidRPr="0017080B" w:rsidRDefault="0017080B" w:rsidP="0017080B">
            <w:pPr>
              <w:spacing w:before="0" w:after="0" w:line="240" w:lineRule="auto"/>
              <w:jc w:val="right"/>
              <w:rPr>
                <w:rFonts w:ascii="Arial" w:hAnsi="Arial" w:cs="Arial"/>
                <w:sz w:val="16"/>
                <w:szCs w:val="16"/>
              </w:rPr>
            </w:pPr>
            <w:r w:rsidRPr="0017080B">
              <w:rPr>
                <w:rFonts w:ascii="Arial" w:hAnsi="Arial" w:cs="Arial"/>
                <w:sz w:val="16"/>
                <w:szCs w:val="16"/>
              </w:rPr>
              <w:t>2024</w:t>
            </w:r>
            <w:r w:rsidR="008D4F6B">
              <w:rPr>
                <w:rFonts w:ascii="Arial" w:hAnsi="Arial" w:cs="Arial"/>
                <w:sz w:val="16"/>
                <w:szCs w:val="16"/>
              </w:rPr>
              <w:noBreakHyphen/>
            </w:r>
            <w:r w:rsidRPr="0017080B">
              <w:rPr>
                <w:rFonts w:ascii="Arial" w:hAnsi="Arial" w:cs="Arial"/>
                <w:sz w:val="16"/>
                <w:szCs w:val="16"/>
              </w:rPr>
              <w:t>25</w:t>
            </w:r>
          </w:p>
        </w:tc>
        <w:tc>
          <w:tcPr>
            <w:tcW w:w="550" w:type="pct"/>
            <w:tcBorders>
              <w:top w:val="single" w:sz="4" w:space="0" w:color="293F5B"/>
              <w:left w:val="nil"/>
              <w:bottom w:val="nil"/>
              <w:right w:val="nil"/>
            </w:tcBorders>
            <w:shd w:val="clear" w:color="000000" w:fill="FFFFFF"/>
            <w:noWrap/>
            <w:vAlign w:val="center"/>
            <w:hideMark/>
          </w:tcPr>
          <w:p w14:paraId="22BCDFFE" w14:textId="1902EC7C" w:rsidR="0017080B" w:rsidRPr="0017080B" w:rsidRDefault="0017080B" w:rsidP="0017080B">
            <w:pPr>
              <w:spacing w:before="0" w:after="0" w:line="240" w:lineRule="auto"/>
              <w:jc w:val="right"/>
              <w:rPr>
                <w:rFonts w:ascii="Arial" w:hAnsi="Arial" w:cs="Arial"/>
                <w:sz w:val="16"/>
                <w:szCs w:val="16"/>
              </w:rPr>
            </w:pPr>
            <w:r w:rsidRPr="0017080B">
              <w:rPr>
                <w:rFonts w:ascii="Arial" w:hAnsi="Arial" w:cs="Arial"/>
                <w:sz w:val="16"/>
                <w:szCs w:val="16"/>
              </w:rPr>
              <w:t>2025</w:t>
            </w:r>
            <w:r w:rsidR="008D4F6B">
              <w:rPr>
                <w:rFonts w:ascii="Arial" w:hAnsi="Arial" w:cs="Arial"/>
                <w:sz w:val="16"/>
                <w:szCs w:val="16"/>
              </w:rPr>
              <w:noBreakHyphen/>
            </w:r>
            <w:r w:rsidRPr="0017080B">
              <w:rPr>
                <w:rFonts w:ascii="Arial" w:hAnsi="Arial" w:cs="Arial"/>
                <w:sz w:val="16"/>
                <w:szCs w:val="16"/>
              </w:rPr>
              <w:t>26</w:t>
            </w:r>
          </w:p>
        </w:tc>
        <w:tc>
          <w:tcPr>
            <w:tcW w:w="550" w:type="pct"/>
            <w:tcBorders>
              <w:top w:val="single" w:sz="4" w:space="0" w:color="293F5B"/>
              <w:left w:val="nil"/>
              <w:bottom w:val="nil"/>
              <w:right w:val="nil"/>
            </w:tcBorders>
            <w:shd w:val="clear" w:color="000000" w:fill="FFFFFF"/>
            <w:noWrap/>
            <w:vAlign w:val="center"/>
            <w:hideMark/>
          </w:tcPr>
          <w:p w14:paraId="42E9EAF1" w14:textId="7E38E65C" w:rsidR="0017080B" w:rsidRPr="0017080B" w:rsidRDefault="0017080B" w:rsidP="0017080B">
            <w:pPr>
              <w:spacing w:before="0" w:after="0" w:line="240" w:lineRule="auto"/>
              <w:jc w:val="right"/>
              <w:rPr>
                <w:rFonts w:ascii="Arial" w:hAnsi="Arial" w:cs="Arial"/>
                <w:sz w:val="16"/>
                <w:szCs w:val="16"/>
              </w:rPr>
            </w:pPr>
            <w:r w:rsidRPr="0017080B">
              <w:rPr>
                <w:rFonts w:ascii="Arial" w:hAnsi="Arial" w:cs="Arial"/>
                <w:sz w:val="16"/>
                <w:szCs w:val="16"/>
              </w:rPr>
              <w:t>2026</w:t>
            </w:r>
            <w:r w:rsidR="008D4F6B">
              <w:rPr>
                <w:rFonts w:ascii="Arial" w:hAnsi="Arial" w:cs="Arial"/>
                <w:sz w:val="16"/>
                <w:szCs w:val="16"/>
              </w:rPr>
              <w:noBreakHyphen/>
            </w:r>
            <w:r w:rsidRPr="0017080B">
              <w:rPr>
                <w:rFonts w:ascii="Arial" w:hAnsi="Arial" w:cs="Arial"/>
                <w:sz w:val="16"/>
                <w:szCs w:val="16"/>
              </w:rPr>
              <w:t>27</w:t>
            </w:r>
          </w:p>
        </w:tc>
        <w:tc>
          <w:tcPr>
            <w:tcW w:w="550" w:type="pct"/>
            <w:tcBorders>
              <w:top w:val="single" w:sz="4" w:space="0" w:color="293F5B"/>
              <w:left w:val="nil"/>
              <w:bottom w:val="nil"/>
              <w:right w:val="nil"/>
            </w:tcBorders>
            <w:shd w:val="clear" w:color="000000" w:fill="FFFFFF"/>
            <w:noWrap/>
            <w:vAlign w:val="center"/>
            <w:hideMark/>
          </w:tcPr>
          <w:p w14:paraId="22E6E6F6" w14:textId="2310F3CE" w:rsidR="0017080B" w:rsidRPr="0017080B" w:rsidRDefault="0017080B" w:rsidP="0017080B">
            <w:pPr>
              <w:spacing w:before="0" w:after="0" w:line="240" w:lineRule="auto"/>
              <w:jc w:val="right"/>
              <w:rPr>
                <w:rFonts w:ascii="Arial" w:hAnsi="Arial" w:cs="Arial"/>
                <w:color w:val="000000"/>
                <w:sz w:val="16"/>
                <w:szCs w:val="16"/>
              </w:rPr>
            </w:pPr>
            <w:r w:rsidRPr="0017080B">
              <w:rPr>
                <w:rFonts w:ascii="Arial" w:hAnsi="Arial" w:cs="Arial"/>
                <w:color w:val="000000"/>
                <w:sz w:val="16"/>
                <w:szCs w:val="16"/>
              </w:rPr>
              <w:t>2027</w:t>
            </w:r>
            <w:r w:rsidR="008D4F6B">
              <w:rPr>
                <w:rFonts w:ascii="Arial" w:hAnsi="Arial" w:cs="Arial"/>
                <w:color w:val="000000"/>
                <w:sz w:val="16"/>
                <w:szCs w:val="16"/>
              </w:rPr>
              <w:noBreakHyphen/>
            </w:r>
            <w:r w:rsidRPr="0017080B">
              <w:rPr>
                <w:rFonts w:ascii="Arial" w:hAnsi="Arial" w:cs="Arial"/>
                <w:color w:val="000000"/>
                <w:sz w:val="16"/>
                <w:szCs w:val="16"/>
              </w:rPr>
              <w:t>28</w:t>
            </w:r>
          </w:p>
        </w:tc>
      </w:tr>
      <w:tr w:rsidR="0017080B" w:rsidRPr="0017080B" w14:paraId="6E0EFD8D" w14:textId="77777777" w:rsidTr="0017080B">
        <w:trPr>
          <w:trHeight w:hRule="exact" w:val="226"/>
        </w:trPr>
        <w:tc>
          <w:tcPr>
            <w:tcW w:w="2183" w:type="pct"/>
            <w:tcBorders>
              <w:top w:val="nil"/>
              <w:left w:val="nil"/>
              <w:bottom w:val="nil"/>
              <w:right w:val="nil"/>
            </w:tcBorders>
            <w:shd w:val="clear" w:color="000000" w:fill="FFFFFF"/>
            <w:noWrap/>
            <w:vAlign w:val="center"/>
            <w:hideMark/>
          </w:tcPr>
          <w:p w14:paraId="513F6F49" w14:textId="77777777" w:rsidR="0017080B" w:rsidRPr="0017080B" w:rsidRDefault="0017080B" w:rsidP="0017080B">
            <w:pPr>
              <w:spacing w:before="0" w:after="0" w:line="240" w:lineRule="auto"/>
              <w:rPr>
                <w:rFonts w:ascii="Arial" w:hAnsi="Arial" w:cs="Arial"/>
                <w:color w:val="000000"/>
                <w:sz w:val="16"/>
                <w:szCs w:val="16"/>
              </w:rPr>
            </w:pPr>
            <w:r w:rsidRPr="0017080B">
              <w:rPr>
                <w:rFonts w:ascii="Arial" w:hAnsi="Arial" w:cs="Arial"/>
                <w:color w:val="000000"/>
                <w:sz w:val="16"/>
                <w:szCs w:val="16"/>
              </w:rPr>
              <w:t> </w:t>
            </w:r>
          </w:p>
        </w:tc>
        <w:tc>
          <w:tcPr>
            <w:tcW w:w="68" w:type="pct"/>
            <w:tcBorders>
              <w:top w:val="nil"/>
              <w:left w:val="nil"/>
              <w:bottom w:val="nil"/>
              <w:right w:val="nil"/>
            </w:tcBorders>
            <w:shd w:val="clear" w:color="000000" w:fill="FFFFFF"/>
            <w:noWrap/>
            <w:vAlign w:val="center"/>
            <w:hideMark/>
          </w:tcPr>
          <w:p w14:paraId="099D28AD" w14:textId="77777777" w:rsidR="0017080B" w:rsidRPr="0017080B" w:rsidRDefault="0017080B" w:rsidP="0017080B">
            <w:pPr>
              <w:spacing w:before="0" w:after="0" w:line="240" w:lineRule="auto"/>
              <w:jc w:val="right"/>
              <w:rPr>
                <w:rFonts w:ascii="Arial" w:hAnsi="Arial" w:cs="Arial"/>
                <w:color w:val="000000"/>
                <w:sz w:val="16"/>
                <w:szCs w:val="16"/>
              </w:rPr>
            </w:pPr>
            <w:r w:rsidRPr="0017080B">
              <w:rPr>
                <w:rFonts w:ascii="Arial" w:hAnsi="Arial" w:cs="Arial"/>
                <w:color w:val="000000"/>
                <w:sz w:val="16"/>
                <w:szCs w:val="16"/>
              </w:rPr>
              <w:t> </w:t>
            </w:r>
          </w:p>
        </w:tc>
        <w:tc>
          <w:tcPr>
            <w:tcW w:w="550" w:type="pct"/>
            <w:tcBorders>
              <w:top w:val="nil"/>
              <w:left w:val="nil"/>
              <w:bottom w:val="single" w:sz="4" w:space="0" w:color="293F5B"/>
              <w:right w:val="nil"/>
            </w:tcBorders>
            <w:shd w:val="clear" w:color="000000" w:fill="FFFFFF"/>
            <w:noWrap/>
            <w:vAlign w:val="center"/>
            <w:hideMark/>
          </w:tcPr>
          <w:p w14:paraId="6D2E3090" w14:textId="77777777" w:rsidR="0017080B" w:rsidRPr="0017080B" w:rsidRDefault="0017080B" w:rsidP="0017080B">
            <w:pPr>
              <w:spacing w:before="0" w:after="0" w:line="240" w:lineRule="auto"/>
              <w:jc w:val="right"/>
              <w:rPr>
                <w:rFonts w:ascii="Arial" w:hAnsi="Arial" w:cs="Arial"/>
                <w:color w:val="000000"/>
                <w:sz w:val="16"/>
                <w:szCs w:val="16"/>
              </w:rPr>
            </w:pPr>
            <w:r w:rsidRPr="0017080B">
              <w:rPr>
                <w:rFonts w:ascii="Arial" w:hAnsi="Arial" w:cs="Arial"/>
                <w:color w:val="000000"/>
                <w:sz w:val="16"/>
                <w:szCs w:val="16"/>
              </w:rPr>
              <w:t>$m</w:t>
            </w:r>
          </w:p>
        </w:tc>
        <w:tc>
          <w:tcPr>
            <w:tcW w:w="550" w:type="pct"/>
            <w:tcBorders>
              <w:top w:val="nil"/>
              <w:left w:val="nil"/>
              <w:bottom w:val="single" w:sz="4" w:space="0" w:color="293F5B"/>
              <w:right w:val="nil"/>
            </w:tcBorders>
            <w:shd w:val="clear" w:color="000000" w:fill="E6F2FF"/>
            <w:noWrap/>
            <w:vAlign w:val="center"/>
            <w:hideMark/>
          </w:tcPr>
          <w:p w14:paraId="2009FB9A" w14:textId="77777777" w:rsidR="0017080B" w:rsidRPr="0017080B" w:rsidRDefault="0017080B" w:rsidP="0017080B">
            <w:pPr>
              <w:spacing w:before="0" w:after="0" w:line="240" w:lineRule="auto"/>
              <w:jc w:val="right"/>
              <w:rPr>
                <w:rFonts w:ascii="Arial" w:hAnsi="Arial" w:cs="Arial"/>
                <w:color w:val="000000"/>
                <w:sz w:val="16"/>
                <w:szCs w:val="16"/>
              </w:rPr>
            </w:pPr>
            <w:r w:rsidRPr="0017080B">
              <w:rPr>
                <w:rFonts w:ascii="Arial" w:hAnsi="Arial" w:cs="Arial"/>
                <w:color w:val="000000"/>
                <w:sz w:val="16"/>
                <w:szCs w:val="16"/>
              </w:rPr>
              <w:t>$m</w:t>
            </w:r>
          </w:p>
        </w:tc>
        <w:tc>
          <w:tcPr>
            <w:tcW w:w="550" w:type="pct"/>
            <w:tcBorders>
              <w:top w:val="nil"/>
              <w:left w:val="nil"/>
              <w:bottom w:val="single" w:sz="4" w:space="0" w:color="293F5B"/>
              <w:right w:val="nil"/>
            </w:tcBorders>
            <w:shd w:val="clear" w:color="000000" w:fill="FFFFFF"/>
            <w:noWrap/>
            <w:vAlign w:val="center"/>
            <w:hideMark/>
          </w:tcPr>
          <w:p w14:paraId="3A05FD04" w14:textId="77777777" w:rsidR="0017080B" w:rsidRPr="0017080B" w:rsidRDefault="0017080B" w:rsidP="0017080B">
            <w:pPr>
              <w:spacing w:before="0" w:after="0" w:line="240" w:lineRule="auto"/>
              <w:jc w:val="right"/>
              <w:rPr>
                <w:rFonts w:ascii="Arial" w:hAnsi="Arial" w:cs="Arial"/>
                <w:color w:val="000000"/>
                <w:sz w:val="16"/>
                <w:szCs w:val="16"/>
              </w:rPr>
            </w:pPr>
            <w:r w:rsidRPr="0017080B">
              <w:rPr>
                <w:rFonts w:ascii="Arial" w:hAnsi="Arial" w:cs="Arial"/>
                <w:color w:val="000000"/>
                <w:sz w:val="16"/>
                <w:szCs w:val="16"/>
              </w:rPr>
              <w:t>$m</w:t>
            </w:r>
          </w:p>
        </w:tc>
        <w:tc>
          <w:tcPr>
            <w:tcW w:w="550" w:type="pct"/>
            <w:tcBorders>
              <w:top w:val="nil"/>
              <w:left w:val="nil"/>
              <w:bottom w:val="single" w:sz="4" w:space="0" w:color="293F5B"/>
              <w:right w:val="nil"/>
            </w:tcBorders>
            <w:shd w:val="clear" w:color="000000" w:fill="FFFFFF"/>
            <w:noWrap/>
            <w:vAlign w:val="center"/>
            <w:hideMark/>
          </w:tcPr>
          <w:p w14:paraId="12C85387" w14:textId="77777777" w:rsidR="0017080B" w:rsidRPr="0017080B" w:rsidRDefault="0017080B" w:rsidP="0017080B">
            <w:pPr>
              <w:spacing w:before="0" w:after="0" w:line="240" w:lineRule="auto"/>
              <w:jc w:val="right"/>
              <w:rPr>
                <w:rFonts w:ascii="Arial" w:hAnsi="Arial" w:cs="Arial"/>
                <w:color w:val="000000"/>
                <w:sz w:val="16"/>
                <w:szCs w:val="16"/>
              </w:rPr>
            </w:pPr>
            <w:r w:rsidRPr="0017080B">
              <w:rPr>
                <w:rFonts w:ascii="Arial" w:hAnsi="Arial" w:cs="Arial"/>
                <w:color w:val="000000"/>
                <w:sz w:val="16"/>
                <w:szCs w:val="16"/>
              </w:rPr>
              <w:t>$m</w:t>
            </w:r>
          </w:p>
        </w:tc>
        <w:tc>
          <w:tcPr>
            <w:tcW w:w="550" w:type="pct"/>
            <w:tcBorders>
              <w:top w:val="nil"/>
              <w:left w:val="nil"/>
              <w:bottom w:val="single" w:sz="4" w:space="0" w:color="293F5B"/>
              <w:right w:val="nil"/>
            </w:tcBorders>
            <w:shd w:val="clear" w:color="000000" w:fill="FFFFFF"/>
            <w:noWrap/>
            <w:vAlign w:val="center"/>
            <w:hideMark/>
          </w:tcPr>
          <w:p w14:paraId="2A392A0D" w14:textId="77777777" w:rsidR="0017080B" w:rsidRPr="0017080B" w:rsidRDefault="0017080B" w:rsidP="0017080B">
            <w:pPr>
              <w:spacing w:before="0" w:after="0" w:line="240" w:lineRule="auto"/>
              <w:jc w:val="right"/>
              <w:rPr>
                <w:rFonts w:ascii="Arial" w:hAnsi="Arial" w:cs="Arial"/>
                <w:color w:val="000000"/>
                <w:sz w:val="16"/>
                <w:szCs w:val="16"/>
              </w:rPr>
            </w:pPr>
            <w:r w:rsidRPr="0017080B">
              <w:rPr>
                <w:rFonts w:ascii="Arial" w:hAnsi="Arial" w:cs="Arial"/>
                <w:color w:val="000000"/>
                <w:sz w:val="16"/>
                <w:szCs w:val="16"/>
              </w:rPr>
              <w:t>$m</w:t>
            </w:r>
          </w:p>
        </w:tc>
      </w:tr>
      <w:tr w:rsidR="0017080B" w:rsidRPr="0017080B" w14:paraId="3A916909" w14:textId="77777777" w:rsidTr="00FB3363">
        <w:trPr>
          <w:trHeight w:hRule="exact" w:val="224"/>
        </w:trPr>
        <w:tc>
          <w:tcPr>
            <w:tcW w:w="2183" w:type="pct"/>
            <w:tcBorders>
              <w:top w:val="nil"/>
              <w:left w:val="nil"/>
              <w:bottom w:val="nil"/>
              <w:right w:val="nil"/>
            </w:tcBorders>
            <w:shd w:val="clear" w:color="000000" w:fill="FFFFFF"/>
            <w:noWrap/>
            <w:vAlign w:val="center"/>
            <w:hideMark/>
          </w:tcPr>
          <w:p w14:paraId="5021F957" w14:textId="77777777" w:rsidR="0017080B" w:rsidRPr="0017080B" w:rsidRDefault="0017080B" w:rsidP="0017080B">
            <w:pPr>
              <w:spacing w:before="0" w:after="0" w:line="240" w:lineRule="auto"/>
              <w:rPr>
                <w:rFonts w:ascii="Arial" w:hAnsi="Arial" w:cs="Arial"/>
                <w:color w:val="000000"/>
                <w:sz w:val="16"/>
                <w:szCs w:val="16"/>
              </w:rPr>
            </w:pPr>
            <w:r w:rsidRPr="0017080B">
              <w:rPr>
                <w:rFonts w:ascii="Arial" w:hAnsi="Arial" w:cs="Arial"/>
                <w:color w:val="000000"/>
                <w:sz w:val="16"/>
                <w:szCs w:val="16"/>
              </w:rPr>
              <w:t>Support for Seniors</w:t>
            </w:r>
          </w:p>
        </w:tc>
        <w:tc>
          <w:tcPr>
            <w:tcW w:w="68" w:type="pct"/>
            <w:tcBorders>
              <w:top w:val="nil"/>
              <w:left w:val="nil"/>
              <w:bottom w:val="nil"/>
              <w:right w:val="nil"/>
            </w:tcBorders>
            <w:shd w:val="clear" w:color="000000" w:fill="FFFFFF"/>
            <w:noWrap/>
            <w:vAlign w:val="center"/>
            <w:hideMark/>
          </w:tcPr>
          <w:p w14:paraId="426766D5" w14:textId="77777777" w:rsidR="0017080B" w:rsidRPr="0017080B" w:rsidRDefault="0017080B" w:rsidP="0017080B">
            <w:pPr>
              <w:spacing w:before="0" w:after="0" w:line="240" w:lineRule="auto"/>
              <w:rPr>
                <w:rFonts w:ascii="Arial" w:hAnsi="Arial" w:cs="Arial"/>
                <w:color w:val="000000"/>
                <w:sz w:val="16"/>
                <w:szCs w:val="16"/>
              </w:rPr>
            </w:pPr>
            <w:r w:rsidRPr="0017080B">
              <w:rPr>
                <w:rFonts w:ascii="Arial" w:hAnsi="Arial" w:cs="Arial"/>
                <w:color w:val="000000"/>
                <w:sz w:val="16"/>
                <w:szCs w:val="16"/>
              </w:rPr>
              <w:t> </w:t>
            </w:r>
          </w:p>
        </w:tc>
        <w:tc>
          <w:tcPr>
            <w:tcW w:w="550" w:type="pct"/>
            <w:tcBorders>
              <w:top w:val="single" w:sz="4" w:space="0" w:color="293F5B"/>
              <w:left w:val="nil"/>
              <w:bottom w:val="nil"/>
              <w:right w:val="nil"/>
            </w:tcBorders>
            <w:shd w:val="clear" w:color="000000" w:fill="FFFFFF"/>
            <w:noWrap/>
            <w:vAlign w:val="center"/>
            <w:hideMark/>
          </w:tcPr>
          <w:p w14:paraId="13E0C642" w14:textId="77777777" w:rsidR="0017080B" w:rsidRPr="0017080B" w:rsidRDefault="0017080B" w:rsidP="0017080B">
            <w:pPr>
              <w:spacing w:before="0" w:after="0" w:line="240" w:lineRule="auto"/>
              <w:jc w:val="right"/>
              <w:rPr>
                <w:rFonts w:ascii="Arial" w:hAnsi="Arial" w:cs="Arial"/>
                <w:color w:val="000000"/>
                <w:sz w:val="16"/>
                <w:szCs w:val="16"/>
              </w:rPr>
            </w:pPr>
            <w:r w:rsidRPr="0017080B">
              <w:rPr>
                <w:rFonts w:ascii="Arial" w:hAnsi="Arial" w:cs="Arial"/>
                <w:color w:val="000000"/>
                <w:sz w:val="16"/>
                <w:szCs w:val="16"/>
              </w:rPr>
              <w:t>59,160</w:t>
            </w:r>
          </w:p>
        </w:tc>
        <w:tc>
          <w:tcPr>
            <w:tcW w:w="550" w:type="pct"/>
            <w:tcBorders>
              <w:top w:val="single" w:sz="4" w:space="0" w:color="293F5B"/>
              <w:left w:val="nil"/>
              <w:bottom w:val="nil"/>
              <w:right w:val="nil"/>
            </w:tcBorders>
            <w:shd w:val="clear" w:color="000000" w:fill="E6F2FF"/>
            <w:noWrap/>
            <w:vAlign w:val="center"/>
            <w:hideMark/>
          </w:tcPr>
          <w:p w14:paraId="31229364" w14:textId="77777777" w:rsidR="0017080B" w:rsidRPr="0017080B" w:rsidRDefault="0017080B" w:rsidP="0017080B">
            <w:pPr>
              <w:spacing w:before="0" w:after="0" w:line="240" w:lineRule="auto"/>
              <w:jc w:val="right"/>
              <w:rPr>
                <w:rFonts w:ascii="Arial" w:hAnsi="Arial" w:cs="Arial"/>
                <w:color w:val="000000"/>
                <w:sz w:val="16"/>
                <w:szCs w:val="16"/>
              </w:rPr>
            </w:pPr>
            <w:r w:rsidRPr="0017080B">
              <w:rPr>
                <w:rFonts w:ascii="Arial" w:hAnsi="Arial" w:cs="Arial"/>
                <w:color w:val="000000"/>
                <w:sz w:val="16"/>
                <w:szCs w:val="16"/>
              </w:rPr>
              <w:t>61,672</w:t>
            </w:r>
          </w:p>
        </w:tc>
        <w:tc>
          <w:tcPr>
            <w:tcW w:w="550" w:type="pct"/>
            <w:tcBorders>
              <w:top w:val="single" w:sz="4" w:space="0" w:color="293F5B"/>
              <w:left w:val="nil"/>
              <w:bottom w:val="nil"/>
              <w:right w:val="nil"/>
            </w:tcBorders>
            <w:shd w:val="clear" w:color="000000" w:fill="FFFFFF"/>
            <w:noWrap/>
            <w:vAlign w:val="center"/>
            <w:hideMark/>
          </w:tcPr>
          <w:p w14:paraId="167D2CC3" w14:textId="77777777" w:rsidR="0017080B" w:rsidRPr="0017080B" w:rsidRDefault="0017080B" w:rsidP="0017080B">
            <w:pPr>
              <w:spacing w:before="0" w:after="0" w:line="240" w:lineRule="auto"/>
              <w:jc w:val="right"/>
              <w:rPr>
                <w:rFonts w:ascii="Arial" w:hAnsi="Arial" w:cs="Arial"/>
                <w:color w:val="000000"/>
                <w:sz w:val="16"/>
                <w:szCs w:val="16"/>
              </w:rPr>
            </w:pPr>
            <w:r w:rsidRPr="0017080B">
              <w:rPr>
                <w:rFonts w:ascii="Arial" w:hAnsi="Arial" w:cs="Arial"/>
                <w:color w:val="000000"/>
                <w:sz w:val="16"/>
                <w:szCs w:val="16"/>
              </w:rPr>
              <w:t>64,459</w:t>
            </w:r>
          </w:p>
        </w:tc>
        <w:tc>
          <w:tcPr>
            <w:tcW w:w="550" w:type="pct"/>
            <w:tcBorders>
              <w:top w:val="single" w:sz="4" w:space="0" w:color="293F5B"/>
              <w:left w:val="nil"/>
              <w:bottom w:val="nil"/>
              <w:right w:val="nil"/>
            </w:tcBorders>
            <w:shd w:val="clear" w:color="000000" w:fill="FFFFFF"/>
            <w:noWrap/>
            <w:vAlign w:val="center"/>
            <w:hideMark/>
          </w:tcPr>
          <w:p w14:paraId="5B2AE89D" w14:textId="77777777" w:rsidR="0017080B" w:rsidRPr="0017080B" w:rsidRDefault="0017080B" w:rsidP="0017080B">
            <w:pPr>
              <w:spacing w:before="0" w:after="0" w:line="240" w:lineRule="auto"/>
              <w:jc w:val="right"/>
              <w:rPr>
                <w:rFonts w:ascii="Arial" w:hAnsi="Arial" w:cs="Arial"/>
                <w:color w:val="000000"/>
                <w:sz w:val="16"/>
                <w:szCs w:val="16"/>
              </w:rPr>
            </w:pPr>
            <w:r w:rsidRPr="0017080B">
              <w:rPr>
                <w:rFonts w:ascii="Arial" w:hAnsi="Arial" w:cs="Arial"/>
                <w:color w:val="000000"/>
                <w:sz w:val="16"/>
                <w:szCs w:val="16"/>
              </w:rPr>
              <w:t>67,163</w:t>
            </w:r>
          </w:p>
        </w:tc>
        <w:tc>
          <w:tcPr>
            <w:tcW w:w="550" w:type="pct"/>
            <w:tcBorders>
              <w:top w:val="single" w:sz="4" w:space="0" w:color="293F5B"/>
              <w:left w:val="nil"/>
              <w:bottom w:val="nil"/>
              <w:right w:val="nil"/>
            </w:tcBorders>
            <w:shd w:val="clear" w:color="000000" w:fill="FFFFFF"/>
            <w:noWrap/>
            <w:vAlign w:val="center"/>
            <w:hideMark/>
          </w:tcPr>
          <w:p w14:paraId="182ABC95" w14:textId="77777777" w:rsidR="0017080B" w:rsidRPr="0017080B" w:rsidRDefault="0017080B" w:rsidP="0017080B">
            <w:pPr>
              <w:spacing w:before="0" w:after="0" w:line="240" w:lineRule="auto"/>
              <w:jc w:val="right"/>
              <w:rPr>
                <w:rFonts w:ascii="Arial" w:hAnsi="Arial" w:cs="Arial"/>
                <w:color w:val="000000"/>
                <w:sz w:val="16"/>
                <w:szCs w:val="16"/>
              </w:rPr>
            </w:pPr>
            <w:r w:rsidRPr="0017080B">
              <w:rPr>
                <w:rFonts w:ascii="Arial" w:hAnsi="Arial" w:cs="Arial"/>
                <w:color w:val="000000"/>
                <w:sz w:val="16"/>
                <w:szCs w:val="16"/>
              </w:rPr>
              <w:t>70,025</w:t>
            </w:r>
          </w:p>
        </w:tc>
      </w:tr>
      <w:tr w:rsidR="0017080B" w:rsidRPr="0017080B" w14:paraId="380D1E11" w14:textId="77777777" w:rsidTr="0017080B">
        <w:trPr>
          <w:trHeight w:hRule="exact" w:val="224"/>
        </w:trPr>
        <w:tc>
          <w:tcPr>
            <w:tcW w:w="2183" w:type="pct"/>
            <w:tcBorders>
              <w:top w:val="nil"/>
              <w:left w:val="nil"/>
              <w:bottom w:val="nil"/>
              <w:right w:val="nil"/>
            </w:tcBorders>
            <w:shd w:val="clear" w:color="000000" w:fill="FFFFFF"/>
            <w:noWrap/>
            <w:vAlign w:val="center"/>
            <w:hideMark/>
          </w:tcPr>
          <w:p w14:paraId="77774DFD" w14:textId="77777777" w:rsidR="0017080B" w:rsidRPr="0017080B" w:rsidRDefault="0017080B" w:rsidP="0017080B">
            <w:pPr>
              <w:spacing w:before="0" w:after="0" w:line="240" w:lineRule="auto"/>
              <w:rPr>
                <w:rFonts w:ascii="Arial" w:hAnsi="Arial" w:cs="Arial"/>
                <w:color w:val="000000"/>
                <w:sz w:val="16"/>
                <w:szCs w:val="16"/>
              </w:rPr>
            </w:pPr>
            <w:r w:rsidRPr="0017080B">
              <w:rPr>
                <w:rFonts w:ascii="Arial" w:hAnsi="Arial" w:cs="Arial"/>
                <w:color w:val="000000"/>
                <w:sz w:val="16"/>
                <w:szCs w:val="16"/>
              </w:rPr>
              <w:t>Aged Care Services</w:t>
            </w:r>
          </w:p>
        </w:tc>
        <w:tc>
          <w:tcPr>
            <w:tcW w:w="68" w:type="pct"/>
            <w:tcBorders>
              <w:top w:val="nil"/>
              <w:left w:val="nil"/>
              <w:bottom w:val="nil"/>
              <w:right w:val="nil"/>
            </w:tcBorders>
            <w:shd w:val="clear" w:color="000000" w:fill="FFFFFF"/>
            <w:noWrap/>
            <w:vAlign w:val="center"/>
            <w:hideMark/>
          </w:tcPr>
          <w:p w14:paraId="36F7ED4E" w14:textId="77777777" w:rsidR="0017080B" w:rsidRPr="0017080B" w:rsidRDefault="0017080B" w:rsidP="0017080B">
            <w:pPr>
              <w:spacing w:before="0" w:after="0" w:line="240" w:lineRule="auto"/>
              <w:rPr>
                <w:rFonts w:ascii="Arial" w:hAnsi="Arial" w:cs="Arial"/>
                <w:color w:val="000000"/>
                <w:sz w:val="16"/>
                <w:szCs w:val="16"/>
              </w:rPr>
            </w:pPr>
            <w:r w:rsidRPr="0017080B">
              <w:rPr>
                <w:rFonts w:ascii="Arial" w:hAnsi="Arial" w:cs="Arial"/>
                <w:color w:val="000000"/>
                <w:sz w:val="16"/>
                <w:szCs w:val="16"/>
              </w:rPr>
              <w:t> </w:t>
            </w:r>
          </w:p>
        </w:tc>
        <w:tc>
          <w:tcPr>
            <w:tcW w:w="550" w:type="pct"/>
            <w:tcBorders>
              <w:top w:val="nil"/>
              <w:left w:val="nil"/>
              <w:bottom w:val="nil"/>
              <w:right w:val="nil"/>
            </w:tcBorders>
            <w:shd w:val="clear" w:color="000000" w:fill="FFFFFF"/>
            <w:noWrap/>
            <w:vAlign w:val="center"/>
            <w:hideMark/>
          </w:tcPr>
          <w:p w14:paraId="60578FB1" w14:textId="77777777" w:rsidR="0017080B" w:rsidRPr="0017080B" w:rsidRDefault="0017080B" w:rsidP="0017080B">
            <w:pPr>
              <w:spacing w:before="0" w:after="0" w:line="240" w:lineRule="auto"/>
              <w:jc w:val="right"/>
              <w:rPr>
                <w:rFonts w:ascii="Arial" w:hAnsi="Arial" w:cs="Arial"/>
                <w:color w:val="000000"/>
                <w:sz w:val="16"/>
                <w:szCs w:val="16"/>
              </w:rPr>
            </w:pPr>
            <w:r w:rsidRPr="0017080B">
              <w:rPr>
                <w:rFonts w:ascii="Arial" w:hAnsi="Arial" w:cs="Arial"/>
                <w:color w:val="000000"/>
                <w:sz w:val="16"/>
                <w:szCs w:val="16"/>
              </w:rPr>
              <w:t>32,321</w:t>
            </w:r>
          </w:p>
        </w:tc>
        <w:tc>
          <w:tcPr>
            <w:tcW w:w="550" w:type="pct"/>
            <w:tcBorders>
              <w:top w:val="nil"/>
              <w:left w:val="nil"/>
              <w:bottom w:val="nil"/>
              <w:right w:val="nil"/>
            </w:tcBorders>
            <w:shd w:val="clear" w:color="000000" w:fill="E6F2FF"/>
            <w:noWrap/>
            <w:vAlign w:val="center"/>
            <w:hideMark/>
          </w:tcPr>
          <w:p w14:paraId="1A3068A6" w14:textId="77777777" w:rsidR="0017080B" w:rsidRPr="0017080B" w:rsidRDefault="0017080B" w:rsidP="0017080B">
            <w:pPr>
              <w:spacing w:before="0" w:after="0" w:line="240" w:lineRule="auto"/>
              <w:jc w:val="right"/>
              <w:rPr>
                <w:rFonts w:ascii="Arial" w:hAnsi="Arial" w:cs="Arial"/>
                <w:color w:val="000000"/>
                <w:sz w:val="16"/>
                <w:szCs w:val="16"/>
              </w:rPr>
            </w:pPr>
            <w:r w:rsidRPr="0017080B">
              <w:rPr>
                <w:rFonts w:ascii="Arial" w:hAnsi="Arial" w:cs="Arial"/>
                <w:color w:val="000000"/>
                <w:sz w:val="16"/>
                <w:szCs w:val="16"/>
              </w:rPr>
              <w:t>36,150</w:t>
            </w:r>
          </w:p>
        </w:tc>
        <w:tc>
          <w:tcPr>
            <w:tcW w:w="550" w:type="pct"/>
            <w:tcBorders>
              <w:top w:val="nil"/>
              <w:left w:val="nil"/>
              <w:bottom w:val="nil"/>
              <w:right w:val="nil"/>
            </w:tcBorders>
            <w:shd w:val="clear" w:color="000000" w:fill="FFFFFF"/>
            <w:noWrap/>
            <w:vAlign w:val="center"/>
            <w:hideMark/>
          </w:tcPr>
          <w:p w14:paraId="4E2B58A2" w14:textId="77777777" w:rsidR="0017080B" w:rsidRPr="0017080B" w:rsidRDefault="0017080B" w:rsidP="0017080B">
            <w:pPr>
              <w:spacing w:before="0" w:after="0" w:line="240" w:lineRule="auto"/>
              <w:jc w:val="right"/>
              <w:rPr>
                <w:rFonts w:ascii="Arial" w:hAnsi="Arial" w:cs="Arial"/>
                <w:color w:val="000000"/>
                <w:sz w:val="16"/>
                <w:szCs w:val="16"/>
              </w:rPr>
            </w:pPr>
            <w:r w:rsidRPr="0017080B">
              <w:rPr>
                <w:rFonts w:ascii="Arial" w:hAnsi="Arial" w:cs="Arial"/>
                <w:color w:val="000000"/>
                <w:sz w:val="16"/>
                <w:szCs w:val="16"/>
              </w:rPr>
              <w:t>37,863</w:t>
            </w:r>
          </w:p>
        </w:tc>
        <w:tc>
          <w:tcPr>
            <w:tcW w:w="550" w:type="pct"/>
            <w:tcBorders>
              <w:top w:val="nil"/>
              <w:left w:val="nil"/>
              <w:bottom w:val="nil"/>
              <w:right w:val="nil"/>
            </w:tcBorders>
            <w:shd w:val="clear" w:color="000000" w:fill="FFFFFF"/>
            <w:noWrap/>
            <w:vAlign w:val="center"/>
            <w:hideMark/>
          </w:tcPr>
          <w:p w14:paraId="6FF41EC2" w14:textId="77777777" w:rsidR="0017080B" w:rsidRPr="0017080B" w:rsidRDefault="0017080B" w:rsidP="0017080B">
            <w:pPr>
              <w:spacing w:before="0" w:after="0" w:line="240" w:lineRule="auto"/>
              <w:jc w:val="right"/>
              <w:rPr>
                <w:rFonts w:ascii="Arial" w:hAnsi="Arial" w:cs="Arial"/>
                <w:color w:val="000000"/>
                <w:sz w:val="16"/>
                <w:szCs w:val="16"/>
              </w:rPr>
            </w:pPr>
            <w:r w:rsidRPr="0017080B">
              <w:rPr>
                <w:rFonts w:ascii="Arial" w:hAnsi="Arial" w:cs="Arial"/>
                <w:color w:val="000000"/>
                <w:sz w:val="16"/>
                <w:szCs w:val="16"/>
              </w:rPr>
              <w:t>40,061</w:t>
            </w:r>
          </w:p>
        </w:tc>
        <w:tc>
          <w:tcPr>
            <w:tcW w:w="550" w:type="pct"/>
            <w:tcBorders>
              <w:top w:val="nil"/>
              <w:left w:val="nil"/>
              <w:bottom w:val="nil"/>
              <w:right w:val="nil"/>
            </w:tcBorders>
            <w:shd w:val="clear" w:color="000000" w:fill="FFFFFF"/>
            <w:noWrap/>
            <w:vAlign w:val="center"/>
            <w:hideMark/>
          </w:tcPr>
          <w:p w14:paraId="034CE580" w14:textId="77777777" w:rsidR="0017080B" w:rsidRPr="0017080B" w:rsidRDefault="0017080B" w:rsidP="0017080B">
            <w:pPr>
              <w:spacing w:before="0" w:after="0" w:line="240" w:lineRule="auto"/>
              <w:jc w:val="right"/>
              <w:rPr>
                <w:rFonts w:ascii="Arial" w:hAnsi="Arial" w:cs="Arial"/>
                <w:color w:val="000000"/>
                <w:sz w:val="16"/>
                <w:szCs w:val="16"/>
              </w:rPr>
            </w:pPr>
            <w:r w:rsidRPr="0017080B">
              <w:rPr>
                <w:rFonts w:ascii="Arial" w:hAnsi="Arial" w:cs="Arial"/>
                <w:color w:val="000000"/>
                <w:sz w:val="16"/>
                <w:szCs w:val="16"/>
              </w:rPr>
              <w:t>43,558</w:t>
            </w:r>
          </w:p>
        </w:tc>
      </w:tr>
      <w:tr w:rsidR="0017080B" w:rsidRPr="0017080B" w14:paraId="4B608DA1" w14:textId="77777777" w:rsidTr="0017080B">
        <w:trPr>
          <w:trHeight w:hRule="exact" w:val="224"/>
        </w:trPr>
        <w:tc>
          <w:tcPr>
            <w:tcW w:w="2183" w:type="pct"/>
            <w:tcBorders>
              <w:top w:val="nil"/>
              <w:left w:val="nil"/>
              <w:bottom w:val="nil"/>
              <w:right w:val="nil"/>
            </w:tcBorders>
            <w:shd w:val="clear" w:color="000000" w:fill="FFFFFF"/>
            <w:noWrap/>
            <w:vAlign w:val="center"/>
            <w:hideMark/>
          </w:tcPr>
          <w:p w14:paraId="6A473F5A" w14:textId="0C706FB4" w:rsidR="0017080B" w:rsidRPr="0017080B" w:rsidRDefault="0017080B" w:rsidP="0017080B">
            <w:pPr>
              <w:spacing w:before="0" w:after="0" w:line="240" w:lineRule="auto"/>
              <w:rPr>
                <w:rFonts w:ascii="Arial" w:hAnsi="Arial" w:cs="Arial"/>
                <w:color w:val="000000"/>
                <w:sz w:val="16"/>
                <w:szCs w:val="16"/>
              </w:rPr>
            </w:pPr>
            <w:r w:rsidRPr="0017080B">
              <w:rPr>
                <w:rFonts w:ascii="Arial" w:hAnsi="Arial" w:cs="Arial"/>
                <w:color w:val="000000"/>
                <w:sz w:val="16"/>
                <w:szCs w:val="16"/>
              </w:rPr>
              <w:t>Veterans</w:t>
            </w:r>
            <w:r w:rsidR="008D4F6B">
              <w:rPr>
                <w:rFonts w:ascii="Arial" w:hAnsi="Arial" w:cs="Arial"/>
                <w:color w:val="000000"/>
                <w:sz w:val="16"/>
                <w:szCs w:val="16"/>
              </w:rPr>
              <w:t>’</w:t>
            </w:r>
            <w:r w:rsidRPr="0017080B">
              <w:rPr>
                <w:rFonts w:ascii="Arial" w:hAnsi="Arial" w:cs="Arial"/>
                <w:color w:val="000000"/>
                <w:sz w:val="16"/>
                <w:szCs w:val="16"/>
              </w:rPr>
              <w:t xml:space="preserve"> Community Care and Support</w:t>
            </w:r>
          </w:p>
        </w:tc>
        <w:tc>
          <w:tcPr>
            <w:tcW w:w="68" w:type="pct"/>
            <w:tcBorders>
              <w:top w:val="nil"/>
              <w:left w:val="nil"/>
              <w:bottom w:val="nil"/>
              <w:right w:val="nil"/>
            </w:tcBorders>
            <w:shd w:val="clear" w:color="000000" w:fill="FFFFFF"/>
            <w:noWrap/>
            <w:vAlign w:val="center"/>
            <w:hideMark/>
          </w:tcPr>
          <w:p w14:paraId="4A5653FC" w14:textId="77777777" w:rsidR="0017080B" w:rsidRPr="0017080B" w:rsidRDefault="0017080B" w:rsidP="0017080B">
            <w:pPr>
              <w:spacing w:before="0" w:after="0" w:line="240" w:lineRule="auto"/>
              <w:rPr>
                <w:rFonts w:ascii="Arial" w:hAnsi="Arial" w:cs="Arial"/>
                <w:color w:val="000000"/>
                <w:sz w:val="16"/>
                <w:szCs w:val="16"/>
              </w:rPr>
            </w:pPr>
            <w:r w:rsidRPr="0017080B">
              <w:rPr>
                <w:rFonts w:ascii="Arial" w:hAnsi="Arial" w:cs="Arial"/>
                <w:color w:val="000000"/>
                <w:sz w:val="16"/>
                <w:szCs w:val="16"/>
              </w:rPr>
              <w:t> </w:t>
            </w:r>
          </w:p>
        </w:tc>
        <w:tc>
          <w:tcPr>
            <w:tcW w:w="550" w:type="pct"/>
            <w:tcBorders>
              <w:top w:val="nil"/>
              <w:left w:val="nil"/>
              <w:bottom w:val="nil"/>
              <w:right w:val="nil"/>
            </w:tcBorders>
            <w:shd w:val="clear" w:color="000000" w:fill="FFFFFF"/>
            <w:noWrap/>
            <w:vAlign w:val="center"/>
            <w:hideMark/>
          </w:tcPr>
          <w:p w14:paraId="6CE0C0C9" w14:textId="77777777" w:rsidR="0017080B" w:rsidRPr="0017080B" w:rsidRDefault="0017080B" w:rsidP="0017080B">
            <w:pPr>
              <w:spacing w:before="0" w:after="0" w:line="240" w:lineRule="auto"/>
              <w:jc w:val="right"/>
              <w:rPr>
                <w:rFonts w:ascii="Arial" w:hAnsi="Arial" w:cs="Arial"/>
                <w:color w:val="000000"/>
                <w:sz w:val="16"/>
                <w:szCs w:val="16"/>
              </w:rPr>
            </w:pPr>
            <w:r w:rsidRPr="0017080B">
              <w:rPr>
                <w:rFonts w:ascii="Arial" w:hAnsi="Arial" w:cs="Arial"/>
                <w:color w:val="000000"/>
                <w:sz w:val="16"/>
                <w:szCs w:val="16"/>
              </w:rPr>
              <w:t>1,092</w:t>
            </w:r>
          </w:p>
        </w:tc>
        <w:tc>
          <w:tcPr>
            <w:tcW w:w="550" w:type="pct"/>
            <w:tcBorders>
              <w:top w:val="nil"/>
              <w:left w:val="nil"/>
              <w:bottom w:val="nil"/>
              <w:right w:val="nil"/>
            </w:tcBorders>
            <w:shd w:val="clear" w:color="000000" w:fill="E6F2FF"/>
            <w:noWrap/>
            <w:vAlign w:val="center"/>
            <w:hideMark/>
          </w:tcPr>
          <w:p w14:paraId="0550E1D9" w14:textId="77777777" w:rsidR="0017080B" w:rsidRPr="0017080B" w:rsidRDefault="0017080B" w:rsidP="0017080B">
            <w:pPr>
              <w:spacing w:before="0" w:after="0" w:line="240" w:lineRule="auto"/>
              <w:jc w:val="right"/>
              <w:rPr>
                <w:rFonts w:ascii="Arial" w:hAnsi="Arial" w:cs="Arial"/>
                <w:color w:val="000000"/>
                <w:sz w:val="16"/>
                <w:szCs w:val="16"/>
              </w:rPr>
            </w:pPr>
            <w:r w:rsidRPr="0017080B">
              <w:rPr>
                <w:rFonts w:ascii="Arial" w:hAnsi="Arial" w:cs="Arial"/>
                <w:color w:val="000000"/>
                <w:sz w:val="16"/>
                <w:szCs w:val="16"/>
              </w:rPr>
              <w:t>999</w:t>
            </w:r>
          </w:p>
        </w:tc>
        <w:tc>
          <w:tcPr>
            <w:tcW w:w="550" w:type="pct"/>
            <w:tcBorders>
              <w:top w:val="nil"/>
              <w:left w:val="nil"/>
              <w:bottom w:val="nil"/>
              <w:right w:val="nil"/>
            </w:tcBorders>
            <w:shd w:val="clear" w:color="000000" w:fill="FFFFFF"/>
            <w:noWrap/>
            <w:vAlign w:val="center"/>
            <w:hideMark/>
          </w:tcPr>
          <w:p w14:paraId="0AF4FB02" w14:textId="77777777" w:rsidR="0017080B" w:rsidRPr="0017080B" w:rsidRDefault="0017080B" w:rsidP="0017080B">
            <w:pPr>
              <w:spacing w:before="0" w:after="0" w:line="240" w:lineRule="auto"/>
              <w:jc w:val="right"/>
              <w:rPr>
                <w:rFonts w:ascii="Arial" w:hAnsi="Arial" w:cs="Arial"/>
                <w:color w:val="000000"/>
                <w:sz w:val="16"/>
                <w:szCs w:val="16"/>
              </w:rPr>
            </w:pPr>
            <w:r w:rsidRPr="0017080B">
              <w:rPr>
                <w:rFonts w:ascii="Arial" w:hAnsi="Arial" w:cs="Arial"/>
                <w:color w:val="000000"/>
                <w:sz w:val="16"/>
                <w:szCs w:val="16"/>
              </w:rPr>
              <w:t>1,036</w:t>
            </w:r>
          </w:p>
        </w:tc>
        <w:tc>
          <w:tcPr>
            <w:tcW w:w="550" w:type="pct"/>
            <w:tcBorders>
              <w:top w:val="nil"/>
              <w:left w:val="nil"/>
              <w:bottom w:val="nil"/>
              <w:right w:val="nil"/>
            </w:tcBorders>
            <w:shd w:val="clear" w:color="000000" w:fill="FFFFFF"/>
            <w:noWrap/>
            <w:vAlign w:val="center"/>
            <w:hideMark/>
          </w:tcPr>
          <w:p w14:paraId="734E1F8A" w14:textId="77777777" w:rsidR="0017080B" w:rsidRPr="0017080B" w:rsidRDefault="0017080B" w:rsidP="0017080B">
            <w:pPr>
              <w:spacing w:before="0" w:after="0" w:line="240" w:lineRule="auto"/>
              <w:jc w:val="right"/>
              <w:rPr>
                <w:rFonts w:ascii="Arial" w:hAnsi="Arial" w:cs="Arial"/>
                <w:color w:val="000000"/>
                <w:sz w:val="16"/>
                <w:szCs w:val="16"/>
              </w:rPr>
            </w:pPr>
            <w:r w:rsidRPr="0017080B">
              <w:rPr>
                <w:rFonts w:ascii="Arial" w:hAnsi="Arial" w:cs="Arial"/>
                <w:color w:val="000000"/>
                <w:sz w:val="16"/>
                <w:szCs w:val="16"/>
              </w:rPr>
              <w:t>1,034</w:t>
            </w:r>
          </w:p>
        </w:tc>
        <w:tc>
          <w:tcPr>
            <w:tcW w:w="550" w:type="pct"/>
            <w:tcBorders>
              <w:top w:val="nil"/>
              <w:left w:val="nil"/>
              <w:bottom w:val="nil"/>
              <w:right w:val="nil"/>
            </w:tcBorders>
            <w:shd w:val="clear" w:color="000000" w:fill="FFFFFF"/>
            <w:noWrap/>
            <w:vAlign w:val="center"/>
            <w:hideMark/>
          </w:tcPr>
          <w:p w14:paraId="171CEA98" w14:textId="77777777" w:rsidR="0017080B" w:rsidRPr="0017080B" w:rsidRDefault="0017080B" w:rsidP="0017080B">
            <w:pPr>
              <w:spacing w:before="0" w:after="0" w:line="240" w:lineRule="auto"/>
              <w:jc w:val="right"/>
              <w:rPr>
                <w:rFonts w:ascii="Arial" w:hAnsi="Arial" w:cs="Arial"/>
                <w:color w:val="000000"/>
                <w:sz w:val="16"/>
                <w:szCs w:val="16"/>
              </w:rPr>
            </w:pPr>
            <w:r w:rsidRPr="0017080B">
              <w:rPr>
                <w:rFonts w:ascii="Arial" w:hAnsi="Arial" w:cs="Arial"/>
                <w:color w:val="000000"/>
                <w:sz w:val="16"/>
                <w:szCs w:val="16"/>
              </w:rPr>
              <w:t>1,119</w:t>
            </w:r>
          </w:p>
        </w:tc>
      </w:tr>
      <w:tr w:rsidR="0017080B" w:rsidRPr="0017080B" w14:paraId="28D43EAE" w14:textId="77777777" w:rsidTr="0017080B">
        <w:trPr>
          <w:trHeight w:hRule="exact" w:val="224"/>
        </w:trPr>
        <w:tc>
          <w:tcPr>
            <w:tcW w:w="2183" w:type="pct"/>
            <w:tcBorders>
              <w:top w:val="nil"/>
              <w:left w:val="nil"/>
              <w:bottom w:val="nil"/>
              <w:right w:val="nil"/>
            </w:tcBorders>
            <w:shd w:val="clear" w:color="000000" w:fill="FFFFFF"/>
            <w:noWrap/>
            <w:vAlign w:val="center"/>
            <w:hideMark/>
          </w:tcPr>
          <w:p w14:paraId="52262D1C" w14:textId="77777777" w:rsidR="0017080B" w:rsidRPr="0017080B" w:rsidRDefault="0017080B" w:rsidP="0017080B">
            <w:pPr>
              <w:spacing w:before="0" w:after="0" w:line="240" w:lineRule="auto"/>
              <w:rPr>
                <w:rFonts w:ascii="Arial" w:hAnsi="Arial" w:cs="Arial"/>
                <w:color w:val="000000"/>
                <w:sz w:val="16"/>
                <w:szCs w:val="16"/>
              </w:rPr>
            </w:pPr>
            <w:r w:rsidRPr="0017080B">
              <w:rPr>
                <w:rFonts w:ascii="Arial" w:hAnsi="Arial" w:cs="Arial"/>
                <w:color w:val="000000"/>
                <w:sz w:val="16"/>
                <w:szCs w:val="16"/>
              </w:rPr>
              <w:t>Aged Care Quality</w:t>
            </w:r>
          </w:p>
        </w:tc>
        <w:tc>
          <w:tcPr>
            <w:tcW w:w="68" w:type="pct"/>
            <w:tcBorders>
              <w:top w:val="nil"/>
              <w:left w:val="nil"/>
              <w:bottom w:val="nil"/>
              <w:right w:val="nil"/>
            </w:tcBorders>
            <w:shd w:val="clear" w:color="000000" w:fill="FFFFFF"/>
            <w:noWrap/>
            <w:vAlign w:val="center"/>
            <w:hideMark/>
          </w:tcPr>
          <w:p w14:paraId="1D9D59ED" w14:textId="77777777" w:rsidR="0017080B" w:rsidRPr="0017080B" w:rsidRDefault="0017080B" w:rsidP="0017080B">
            <w:pPr>
              <w:spacing w:before="0" w:after="0" w:line="240" w:lineRule="auto"/>
              <w:rPr>
                <w:rFonts w:ascii="Arial" w:hAnsi="Arial" w:cs="Arial"/>
                <w:color w:val="000000"/>
                <w:sz w:val="16"/>
                <w:szCs w:val="16"/>
              </w:rPr>
            </w:pPr>
            <w:r w:rsidRPr="0017080B">
              <w:rPr>
                <w:rFonts w:ascii="Arial" w:hAnsi="Arial" w:cs="Arial"/>
                <w:color w:val="000000"/>
                <w:sz w:val="16"/>
                <w:szCs w:val="16"/>
              </w:rPr>
              <w:t> </w:t>
            </w:r>
          </w:p>
        </w:tc>
        <w:tc>
          <w:tcPr>
            <w:tcW w:w="550" w:type="pct"/>
            <w:tcBorders>
              <w:top w:val="nil"/>
              <w:left w:val="nil"/>
              <w:bottom w:val="nil"/>
              <w:right w:val="nil"/>
            </w:tcBorders>
            <w:shd w:val="clear" w:color="000000" w:fill="FFFFFF"/>
            <w:noWrap/>
            <w:vAlign w:val="center"/>
            <w:hideMark/>
          </w:tcPr>
          <w:p w14:paraId="388F88E7" w14:textId="77777777" w:rsidR="0017080B" w:rsidRPr="0017080B" w:rsidRDefault="0017080B" w:rsidP="0017080B">
            <w:pPr>
              <w:spacing w:before="0" w:after="0" w:line="240" w:lineRule="auto"/>
              <w:jc w:val="right"/>
              <w:rPr>
                <w:rFonts w:ascii="Arial" w:hAnsi="Arial" w:cs="Arial"/>
                <w:color w:val="000000"/>
                <w:sz w:val="16"/>
                <w:szCs w:val="16"/>
              </w:rPr>
            </w:pPr>
            <w:r w:rsidRPr="0017080B">
              <w:rPr>
                <w:rFonts w:ascii="Arial" w:hAnsi="Arial" w:cs="Arial"/>
                <w:color w:val="000000"/>
                <w:sz w:val="16"/>
                <w:szCs w:val="16"/>
              </w:rPr>
              <w:t>1,691</w:t>
            </w:r>
          </w:p>
        </w:tc>
        <w:tc>
          <w:tcPr>
            <w:tcW w:w="550" w:type="pct"/>
            <w:tcBorders>
              <w:top w:val="nil"/>
              <w:left w:val="nil"/>
              <w:bottom w:val="nil"/>
              <w:right w:val="nil"/>
            </w:tcBorders>
            <w:shd w:val="clear" w:color="000000" w:fill="E6F2FF"/>
            <w:noWrap/>
            <w:vAlign w:val="center"/>
            <w:hideMark/>
          </w:tcPr>
          <w:p w14:paraId="7583DB69" w14:textId="77777777" w:rsidR="0017080B" w:rsidRPr="0017080B" w:rsidRDefault="0017080B" w:rsidP="0017080B">
            <w:pPr>
              <w:spacing w:before="0" w:after="0" w:line="240" w:lineRule="auto"/>
              <w:jc w:val="right"/>
              <w:rPr>
                <w:rFonts w:ascii="Arial" w:hAnsi="Arial" w:cs="Arial"/>
                <w:color w:val="000000"/>
                <w:sz w:val="16"/>
                <w:szCs w:val="16"/>
              </w:rPr>
            </w:pPr>
            <w:r w:rsidRPr="0017080B">
              <w:rPr>
                <w:rFonts w:ascii="Arial" w:hAnsi="Arial" w:cs="Arial"/>
                <w:color w:val="000000"/>
                <w:sz w:val="16"/>
                <w:szCs w:val="16"/>
              </w:rPr>
              <w:t>541</w:t>
            </w:r>
          </w:p>
        </w:tc>
        <w:tc>
          <w:tcPr>
            <w:tcW w:w="550" w:type="pct"/>
            <w:tcBorders>
              <w:top w:val="nil"/>
              <w:left w:val="nil"/>
              <w:bottom w:val="nil"/>
              <w:right w:val="nil"/>
            </w:tcBorders>
            <w:shd w:val="clear" w:color="000000" w:fill="FFFFFF"/>
            <w:noWrap/>
            <w:vAlign w:val="center"/>
            <w:hideMark/>
          </w:tcPr>
          <w:p w14:paraId="5E852EA6" w14:textId="77777777" w:rsidR="0017080B" w:rsidRPr="0017080B" w:rsidRDefault="0017080B" w:rsidP="0017080B">
            <w:pPr>
              <w:spacing w:before="0" w:after="0" w:line="240" w:lineRule="auto"/>
              <w:jc w:val="right"/>
              <w:rPr>
                <w:rFonts w:ascii="Arial" w:hAnsi="Arial" w:cs="Arial"/>
                <w:color w:val="000000"/>
                <w:sz w:val="16"/>
                <w:szCs w:val="16"/>
              </w:rPr>
            </w:pPr>
            <w:r w:rsidRPr="0017080B">
              <w:rPr>
                <w:rFonts w:ascii="Arial" w:hAnsi="Arial" w:cs="Arial"/>
                <w:color w:val="000000"/>
                <w:sz w:val="16"/>
                <w:szCs w:val="16"/>
              </w:rPr>
              <w:t>303</w:t>
            </w:r>
          </w:p>
        </w:tc>
        <w:tc>
          <w:tcPr>
            <w:tcW w:w="550" w:type="pct"/>
            <w:tcBorders>
              <w:top w:val="nil"/>
              <w:left w:val="nil"/>
              <w:bottom w:val="nil"/>
              <w:right w:val="nil"/>
            </w:tcBorders>
            <w:shd w:val="clear" w:color="000000" w:fill="FFFFFF"/>
            <w:noWrap/>
            <w:vAlign w:val="center"/>
            <w:hideMark/>
          </w:tcPr>
          <w:p w14:paraId="365B7889" w14:textId="77777777" w:rsidR="0017080B" w:rsidRPr="0017080B" w:rsidRDefault="0017080B" w:rsidP="0017080B">
            <w:pPr>
              <w:spacing w:before="0" w:after="0" w:line="240" w:lineRule="auto"/>
              <w:jc w:val="right"/>
              <w:rPr>
                <w:rFonts w:ascii="Arial" w:hAnsi="Arial" w:cs="Arial"/>
                <w:color w:val="000000"/>
                <w:sz w:val="16"/>
                <w:szCs w:val="16"/>
              </w:rPr>
            </w:pPr>
            <w:r w:rsidRPr="0017080B">
              <w:rPr>
                <w:rFonts w:ascii="Arial" w:hAnsi="Arial" w:cs="Arial"/>
                <w:color w:val="000000"/>
                <w:sz w:val="16"/>
                <w:szCs w:val="16"/>
              </w:rPr>
              <w:t>290</w:t>
            </w:r>
          </w:p>
        </w:tc>
        <w:tc>
          <w:tcPr>
            <w:tcW w:w="550" w:type="pct"/>
            <w:tcBorders>
              <w:top w:val="nil"/>
              <w:left w:val="nil"/>
              <w:bottom w:val="nil"/>
              <w:right w:val="nil"/>
            </w:tcBorders>
            <w:shd w:val="clear" w:color="000000" w:fill="FFFFFF"/>
            <w:noWrap/>
            <w:vAlign w:val="center"/>
            <w:hideMark/>
          </w:tcPr>
          <w:p w14:paraId="6E2BFEA0" w14:textId="77777777" w:rsidR="0017080B" w:rsidRPr="0017080B" w:rsidRDefault="0017080B" w:rsidP="0017080B">
            <w:pPr>
              <w:spacing w:before="0" w:after="0" w:line="240" w:lineRule="auto"/>
              <w:jc w:val="right"/>
              <w:rPr>
                <w:rFonts w:ascii="Arial" w:hAnsi="Arial" w:cs="Arial"/>
                <w:color w:val="000000"/>
                <w:sz w:val="16"/>
                <w:szCs w:val="16"/>
              </w:rPr>
            </w:pPr>
            <w:r w:rsidRPr="0017080B">
              <w:rPr>
                <w:rFonts w:ascii="Arial" w:hAnsi="Arial" w:cs="Arial"/>
                <w:color w:val="000000"/>
                <w:sz w:val="16"/>
                <w:szCs w:val="16"/>
              </w:rPr>
              <w:t>236</w:t>
            </w:r>
          </w:p>
        </w:tc>
      </w:tr>
      <w:tr w:rsidR="0017080B" w:rsidRPr="0017080B" w14:paraId="6E16069F" w14:textId="77777777" w:rsidTr="0017080B">
        <w:trPr>
          <w:trHeight w:hRule="exact" w:val="226"/>
        </w:trPr>
        <w:tc>
          <w:tcPr>
            <w:tcW w:w="2183" w:type="pct"/>
            <w:tcBorders>
              <w:top w:val="nil"/>
              <w:left w:val="nil"/>
              <w:bottom w:val="nil"/>
              <w:right w:val="nil"/>
            </w:tcBorders>
            <w:shd w:val="clear" w:color="000000" w:fill="FFFFFF"/>
            <w:noWrap/>
            <w:vAlign w:val="center"/>
            <w:hideMark/>
          </w:tcPr>
          <w:p w14:paraId="71756B1B" w14:textId="77777777" w:rsidR="0017080B" w:rsidRPr="0017080B" w:rsidRDefault="0017080B" w:rsidP="0017080B">
            <w:pPr>
              <w:spacing w:before="0" w:after="0" w:line="240" w:lineRule="auto"/>
              <w:rPr>
                <w:rFonts w:ascii="Arial" w:hAnsi="Arial" w:cs="Arial"/>
                <w:color w:val="000000"/>
                <w:sz w:val="16"/>
                <w:szCs w:val="16"/>
              </w:rPr>
            </w:pPr>
            <w:r w:rsidRPr="0017080B">
              <w:rPr>
                <w:rFonts w:ascii="Arial" w:hAnsi="Arial" w:cs="Arial"/>
                <w:color w:val="000000"/>
                <w:sz w:val="16"/>
                <w:szCs w:val="16"/>
              </w:rPr>
              <w:t>Access and information</w:t>
            </w:r>
          </w:p>
        </w:tc>
        <w:tc>
          <w:tcPr>
            <w:tcW w:w="68" w:type="pct"/>
            <w:tcBorders>
              <w:top w:val="nil"/>
              <w:left w:val="nil"/>
              <w:bottom w:val="nil"/>
              <w:right w:val="nil"/>
            </w:tcBorders>
            <w:shd w:val="clear" w:color="000000" w:fill="FFFFFF"/>
            <w:noWrap/>
            <w:vAlign w:val="center"/>
            <w:hideMark/>
          </w:tcPr>
          <w:p w14:paraId="409AD91A" w14:textId="77777777" w:rsidR="0017080B" w:rsidRPr="0017080B" w:rsidRDefault="0017080B" w:rsidP="0017080B">
            <w:pPr>
              <w:spacing w:before="0" w:after="0" w:line="240" w:lineRule="auto"/>
              <w:rPr>
                <w:rFonts w:ascii="Arial" w:hAnsi="Arial" w:cs="Arial"/>
                <w:color w:val="000000"/>
                <w:sz w:val="16"/>
                <w:szCs w:val="16"/>
              </w:rPr>
            </w:pPr>
            <w:r w:rsidRPr="0017080B">
              <w:rPr>
                <w:rFonts w:ascii="Arial" w:hAnsi="Arial" w:cs="Arial"/>
                <w:color w:val="000000"/>
                <w:sz w:val="16"/>
                <w:szCs w:val="16"/>
              </w:rPr>
              <w:t> </w:t>
            </w:r>
          </w:p>
        </w:tc>
        <w:tc>
          <w:tcPr>
            <w:tcW w:w="550" w:type="pct"/>
            <w:tcBorders>
              <w:top w:val="nil"/>
              <w:left w:val="nil"/>
              <w:bottom w:val="nil"/>
              <w:right w:val="nil"/>
            </w:tcBorders>
            <w:shd w:val="clear" w:color="000000" w:fill="FFFFFF"/>
            <w:noWrap/>
            <w:vAlign w:val="center"/>
            <w:hideMark/>
          </w:tcPr>
          <w:p w14:paraId="0F87A2AD" w14:textId="77777777" w:rsidR="0017080B" w:rsidRPr="0017080B" w:rsidRDefault="0017080B" w:rsidP="0017080B">
            <w:pPr>
              <w:spacing w:before="0" w:after="0" w:line="240" w:lineRule="auto"/>
              <w:jc w:val="right"/>
              <w:rPr>
                <w:rFonts w:ascii="Arial" w:hAnsi="Arial" w:cs="Arial"/>
                <w:color w:val="000000"/>
                <w:sz w:val="16"/>
                <w:szCs w:val="16"/>
              </w:rPr>
            </w:pPr>
            <w:r w:rsidRPr="0017080B">
              <w:rPr>
                <w:rFonts w:ascii="Arial" w:hAnsi="Arial" w:cs="Arial"/>
                <w:color w:val="000000"/>
                <w:sz w:val="16"/>
                <w:szCs w:val="16"/>
              </w:rPr>
              <w:t>714</w:t>
            </w:r>
          </w:p>
        </w:tc>
        <w:tc>
          <w:tcPr>
            <w:tcW w:w="550" w:type="pct"/>
            <w:tcBorders>
              <w:top w:val="nil"/>
              <w:left w:val="nil"/>
              <w:bottom w:val="nil"/>
              <w:right w:val="nil"/>
            </w:tcBorders>
            <w:shd w:val="clear" w:color="000000" w:fill="E6F2FF"/>
            <w:noWrap/>
            <w:vAlign w:val="center"/>
            <w:hideMark/>
          </w:tcPr>
          <w:p w14:paraId="61786D5C" w14:textId="77777777" w:rsidR="0017080B" w:rsidRPr="0017080B" w:rsidRDefault="0017080B" w:rsidP="0017080B">
            <w:pPr>
              <w:spacing w:before="0" w:after="0" w:line="240" w:lineRule="auto"/>
              <w:jc w:val="right"/>
              <w:rPr>
                <w:rFonts w:ascii="Arial" w:hAnsi="Arial" w:cs="Arial"/>
                <w:color w:val="000000"/>
                <w:sz w:val="16"/>
                <w:szCs w:val="16"/>
              </w:rPr>
            </w:pPr>
            <w:r w:rsidRPr="0017080B">
              <w:rPr>
                <w:rFonts w:ascii="Arial" w:hAnsi="Arial" w:cs="Arial"/>
                <w:color w:val="000000"/>
                <w:sz w:val="16"/>
                <w:szCs w:val="16"/>
              </w:rPr>
              <w:t>739</w:t>
            </w:r>
          </w:p>
        </w:tc>
        <w:tc>
          <w:tcPr>
            <w:tcW w:w="550" w:type="pct"/>
            <w:tcBorders>
              <w:top w:val="nil"/>
              <w:left w:val="nil"/>
              <w:bottom w:val="nil"/>
              <w:right w:val="nil"/>
            </w:tcBorders>
            <w:shd w:val="clear" w:color="000000" w:fill="FFFFFF"/>
            <w:noWrap/>
            <w:vAlign w:val="center"/>
            <w:hideMark/>
          </w:tcPr>
          <w:p w14:paraId="64084A32" w14:textId="77777777" w:rsidR="0017080B" w:rsidRPr="0017080B" w:rsidRDefault="0017080B" w:rsidP="0017080B">
            <w:pPr>
              <w:spacing w:before="0" w:after="0" w:line="240" w:lineRule="auto"/>
              <w:jc w:val="right"/>
              <w:rPr>
                <w:rFonts w:ascii="Arial" w:hAnsi="Arial" w:cs="Arial"/>
                <w:color w:val="000000"/>
                <w:sz w:val="16"/>
                <w:szCs w:val="16"/>
              </w:rPr>
            </w:pPr>
            <w:r w:rsidRPr="0017080B">
              <w:rPr>
                <w:rFonts w:ascii="Arial" w:hAnsi="Arial" w:cs="Arial"/>
                <w:color w:val="000000"/>
                <w:sz w:val="16"/>
                <w:szCs w:val="16"/>
              </w:rPr>
              <w:t>728</w:t>
            </w:r>
          </w:p>
        </w:tc>
        <w:tc>
          <w:tcPr>
            <w:tcW w:w="550" w:type="pct"/>
            <w:tcBorders>
              <w:top w:val="nil"/>
              <w:left w:val="nil"/>
              <w:bottom w:val="nil"/>
              <w:right w:val="nil"/>
            </w:tcBorders>
            <w:shd w:val="clear" w:color="000000" w:fill="FFFFFF"/>
            <w:noWrap/>
            <w:vAlign w:val="center"/>
            <w:hideMark/>
          </w:tcPr>
          <w:p w14:paraId="2D134FF5" w14:textId="77777777" w:rsidR="0017080B" w:rsidRPr="0017080B" w:rsidRDefault="0017080B" w:rsidP="0017080B">
            <w:pPr>
              <w:spacing w:before="0" w:after="0" w:line="240" w:lineRule="auto"/>
              <w:jc w:val="right"/>
              <w:rPr>
                <w:rFonts w:ascii="Arial" w:hAnsi="Arial" w:cs="Arial"/>
                <w:color w:val="000000"/>
                <w:sz w:val="16"/>
                <w:szCs w:val="16"/>
              </w:rPr>
            </w:pPr>
            <w:r w:rsidRPr="0017080B">
              <w:rPr>
                <w:rFonts w:ascii="Arial" w:hAnsi="Arial" w:cs="Arial"/>
                <w:color w:val="000000"/>
                <w:sz w:val="16"/>
                <w:szCs w:val="16"/>
              </w:rPr>
              <w:t>664</w:t>
            </w:r>
          </w:p>
        </w:tc>
        <w:tc>
          <w:tcPr>
            <w:tcW w:w="550" w:type="pct"/>
            <w:tcBorders>
              <w:top w:val="nil"/>
              <w:left w:val="nil"/>
              <w:bottom w:val="nil"/>
              <w:right w:val="nil"/>
            </w:tcBorders>
            <w:shd w:val="clear" w:color="000000" w:fill="FFFFFF"/>
            <w:noWrap/>
            <w:vAlign w:val="center"/>
            <w:hideMark/>
          </w:tcPr>
          <w:p w14:paraId="58EF4424" w14:textId="77777777" w:rsidR="0017080B" w:rsidRPr="0017080B" w:rsidRDefault="0017080B" w:rsidP="0017080B">
            <w:pPr>
              <w:spacing w:before="0" w:after="0" w:line="240" w:lineRule="auto"/>
              <w:jc w:val="right"/>
              <w:rPr>
                <w:rFonts w:ascii="Arial" w:hAnsi="Arial" w:cs="Arial"/>
                <w:color w:val="000000"/>
                <w:sz w:val="16"/>
                <w:szCs w:val="16"/>
              </w:rPr>
            </w:pPr>
            <w:r w:rsidRPr="0017080B">
              <w:rPr>
                <w:rFonts w:ascii="Arial" w:hAnsi="Arial" w:cs="Arial"/>
                <w:color w:val="000000"/>
                <w:sz w:val="16"/>
                <w:szCs w:val="16"/>
              </w:rPr>
              <w:t>685</w:t>
            </w:r>
          </w:p>
        </w:tc>
      </w:tr>
      <w:tr w:rsidR="0017080B" w:rsidRPr="0017080B" w14:paraId="76937AFB" w14:textId="77777777" w:rsidTr="0017080B">
        <w:trPr>
          <w:trHeight w:hRule="exact" w:val="226"/>
        </w:trPr>
        <w:tc>
          <w:tcPr>
            <w:tcW w:w="2183" w:type="pct"/>
            <w:tcBorders>
              <w:top w:val="nil"/>
              <w:left w:val="nil"/>
              <w:bottom w:val="nil"/>
              <w:right w:val="nil"/>
            </w:tcBorders>
            <w:shd w:val="clear" w:color="000000" w:fill="FFFFFF"/>
            <w:noWrap/>
            <w:vAlign w:val="center"/>
            <w:hideMark/>
          </w:tcPr>
          <w:p w14:paraId="5E08F107" w14:textId="77777777" w:rsidR="0017080B" w:rsidRPr="0017080B" w:rsidRDefault="0017080B" w:rsidP="0017080B">
            <w:pPr>
              <w:spacing w:before="0" w:after="0" w:line="240" w:lineRule="auto"/>
              <w:rPr>
                <w:rFonts w:ascii="Arial" w:hAnsi="Arial" w:cs="Arial"/>
                <w:color w:val="000000"/>
                <w:sz w:val="16"/>
                <w:szCs w:val="16"/>
              </w:rPr>
            </w:pPr>
            <w:r w:rsidRPr="0017080B">
              <w:rPr>
                <w:rFonts w:ascii="Arial" w:hAnsi="Arial" w:cs="Arial"/>
                <w:color w:val="000000"/>
                <w:sz w:val="16"/>
                <w:szCs w:val="16"/>
              </w:rPr>
              <w:t>National Partnership Payments –</w:t>
            </w:r>
          </w:p>
        </w:tc>
        <w:tc>
          <w:tcPr>
            <w:tcW w:w="68" w:type="pct"/>
            <w:tcBorders>
              <w:top w:val="nil"/>
              <w:left w:val="nil"/>
              <w:bottom w:val="nil"/>
              <w:right w:val="nil"/>
            </w:tcBorders>
            <w:shd w:val="clear" w:color="000000" w:fill="FFFFFF"/>
            <w:noWrap/>
            <w:vAlign w:val="center"/>
            <w:hideMark/>
          </w:tcPr>
          <w:p w14:paraId="18138FB5" w14:textId="77777777" w:rsidR="0017080B" w:rsidRPr="0017080B" w:rsidRDefault="0017080B" w:rsidP="0017080B">
            <w:pPr>
              <w:spacing w:before="0" w:after="0" w:line="240" w:lineRule="auto"/>
              <w:rPr>
                <w:rFonts w:ascii="Arial" w:hAnsi="Arial" w:cs="Arial"/>
                <w:color w:val="000000"/>
                <w:sz w:val="16"/>
                <w:szCs w:val="16"/>
              </w:rPr>
            </w:pPr>
            <w:r w:rsidRPr="0017080B">
              <w:rPr>
                <w:rFonts w:ascii="Arial" w:hAnsi="Arial" w:cs="Arial"/>
                <w:color w:val="000000"/>
                <w:sz w:val="16"/>
                <w:szCs w:val="16"/>
              </w:rPr>
              <w:t> </w:t>
            </w:r>
          </w:p>
        </w:tc>
        <w:tc>
          <w:tcPr>
            <w:tcW w:w="550" w:type="pct"/>
            <w:tcBorders>
              <w:top w:val="nil"/>
              <w:left w:val="nil"/>
              <w:bottom w:val="nil"/>
              <w:right w:val="nil"/>
            </w:tcBorders>
            <w:shd w:val="clear" w:color="000000" w:fill="FFFFFF"/>
            <w:noWrap/>
            <w:vAlign w:val="center"/>
            <w:hideMark/>
          </w:tcPr>
          <w:p w14:paraId="417CD763" w14:textId="77777777" w:rsidR="0017080B" w:rsidRPr="0017080B" w:rsidRDefault="0017080B" w:rsidP="0017080B">
            <w:pPr>
              <w:spacing w:before="0" w:after="0" w:line="240" w:lineRule="auto"/>
              <w:rPr>
                <w:rFonts w:ascii="Arial" w:hAnsi="Arial" w:cs="Arial"/>
                <w:color w:val="000000"/>
                <w:sz w:val="16"/>
                <w:szCs w:val="16"/>
              </w:rPr>
            </w:pPr>
            <w:r w:rsidRPr="0017080B">
              <w:rPr>
                <w:rFonts w:ascii="Arial" w:hAnsi="Arial" w:cs="Arial"/>
                <w:color w:val="000000"/>
                <w:sz w:val="16"/>
                <w:szCs w:val="16"/>
              </w:rPr>
              <w:t> </w:t>
            </w:r>
          </w:p>
        </w:tc>
        <w:tc>
          <w:tcPr>
            <w:tcW w:w="550" w:type="pct"/>
            <w:tcBorders>
              <w:top w:val="nil"/>
              <w:left w:val="nil"/>
              <w:bottom w:val="nil"/>
              <w:right w:val="nil"/>
            </w:tcBorders>
            <w:shd w:val="clear" w:color="000000" w:fill="E6F2FF"/>
            <w:noWrap/>
            <w:vAlign w:val="center"/>
            <w:hideMark/>
          </w:tcPr>
          <w:p w14:paraId="6D5FD97D" w14:textId="77777777" w:rsidR="0017080B" w:rsidRPr="0017080B" w:rsidRDefault="0017080B" w:rsidP="0017080B">
            <w:pPr>
              <w:spacing w:before="0" w:after="0" w:line="240" w:lineRule="auto"/>
              <w:rPr>
                <w:rFonts w:ascii="Arial" w:hAnsi="Arial" w:cs="Arial"/>
                <w:color w:val="000000"/>
                <w:sz w:val="16"/>
                <w:szCs w:val="16"/>
              </w:rPr>
            </w:pPr>
            <w:r w:rsidRPr="0017080B">
              <w:rPr>
                <w:rFonts w:ascii="Arial" w:hAnsi="Arial" w:cs="Arial"/>
                <w:color w:val="000000"/>
                <w:sz w:val="16"/>
                <w:szCs w:val="16"/>
              </w:rPr>
              <w:t> </w:t>
            </w:r>
          </w:p>
        </w:tc>
        <w:tc>
          <w:tcPr>
            <w:tcW w:w="550" w:type="pct"/>
            <w:tcBorders>
              <w:top w:val="nil"/>
              <w:left w:val="nil"/>
              <w:bottom w:val="nil"/>
              <w:right w:val="nil"/>
            </w:tcBorders>
            <w:shd w:val="clear" w:color="000000" w:fill="FFFFFF"/>
            <w:noWrap/>
            <w:vAlign w:val="center"/>
            <w:hideMark/>
          </w:tcPr>
          <w:p w14:paraId="1127792A" w14:textId="77777777" w:rsidR="0017080B" w:rsidRPr="0017080B" w:rsidRDefault="0017080B" w:rsidP="0017080B">
            <w:pPr>
              <w:spacing w:before="0" w:after="0" w:line="240" w:lineRule="auto"/>
              <w:rPr>
                <w:rFonts w:ascii="Arial" w:hAnsi="Arial" w:cs="Arial"/>
                <w:color w:val="000000"/>
                <w:sz w:val="16"/>
                <w:szCs w:val="16"/>
              </w:rPr>
            </w:pPr>
            <w:r w:rsidRPr="0017080B">
              <w:rPr>
                <w:rFonts w:ascii="Arial" w:hAnsi="Arial" w:cs="Arial"/>
                <w:color w:val="000000"/>
                <w:sz w:val="16"/>
                <w:szCs w:val="16"/>
              </w:rPr>
              <w:t> </w:t>
            </w:r>
          </w:p>
        </w:tc>
        <w:tc>
          <w:tcPr>
            <w:tcW w:w="550" w:type="pct"/>
            <w:tcBorders>
              <w:top w:val="nil"/>
              <w:left w:val="nil"/>
              <w:bottom w:val="nil"/>
              <w:right w:val="nil"/>
            </w:tcBorders>
            <w:shd w:val="clear" w:color="000000" w:fill="FFFFFF"/>
            <w:noWrap/>
            <w:vAlign w:val="center"/>
            <w:hideMark/>
          </w:tcPr>
          <w:p w14:paraId="325FF156" w14:textId="77777777" w:rsidR="0017080B" w:rsidRPr="0017080B" w:rsidRDefault="0017080B" w:rsidP="0017080B">
            <w:pPr>
              <w:spacing w:before="0" w:after="0" w:line="240" w:lineRule="auto"/>
              <w:rPr>
                <w:rFonts w:ascii="Arial" w:hAnsi="Arial" w:cs="Arial"/>
                <w:color w:val="000000"/>
                <w:sz w:val="16"/>
                <w:szCs w:val="16"/>
              </w:rPr>
            </w:pPr>
            <w:r w:rsidRPr="0017080B">
              <w:rPr>
                <w:rFonts w:ascii="Arial" w:hAnsi="Arial" w:cs="Arial"/>
                <w:color w:val="000000"/>
                <w:sz w:val="16"/>
                <w:szCs w:val="16"/>
              </w:rPr>
              <w:t> </w:t>
            </w:r>
          </w:p>
        </w:tc>
        <w:tc>
          <w:tcPr>
            <w:tcW w:w="550" w:type="pct"/>
            <w:tcBorders>
              <w:top w:val="nil"/>
              <w:left w:val="nil"/>
              <w:bottom w:val="nil"/>
              <w:right w:val="nil"/>
            </w:tcBorders>
            <w:shd w:val="clear" w:color="000000" w:fill="FFFFFF"/>
            <w:noWrap/>
            <w:vAlign w:val="center"/>
            <w:hideMark/>
          </w:tcPr>
          <w:p w14:paraId="25BA491C" w14:textId="77777777" w:rsidR="0017080B" w:rsidRPr="0017080B" w:rsidRDefault="0017080B" w:rsidP="0017080B">
            <w:pPr>
              <w:spacing w:before="0" w:after="0" w:line="240" w:lineRule="auto"/>
              <w:rPr>
                <w:rFonts w:ascii="Arial" w:hAnsi="Arial" w:cs="Arial"/>
                <w:color w:val="000000"/>
                <w:sz w:val="16"/>
                <w:szCs w:val="16"/>
              </w:rPr>
            </w:pPr>
            <w:r w:rsidRPr="0017080B">
              <w:rPr>
                <w:rFonts w:ascii="Arial" w:hAnsi="Arial" w:cs="Arial"/>
                <w:color w:val="000000"/>
                <w:sz w:val="16"/>
                <w:szCs w:val="16"/>
              </w:rPr>
              <w:t> </w:t>
            </w:r>
          </w:p>
        </w:tc>
      </w:tr>
      <w:tr w:rsidR="0017080B" w:rsidRPr="0017080B" w14:paraId="5CD0457C" w14:textId="77777777" w:rsidTr="0017080B">
        <w:trPr>
          <w:trHeight w:hRule="exact" w:val="226"/>
        </w:trPr>
        <w:tc>
          <w:tcPr>
            <w:tcW w:w="2183" w:type="pct"/>
            <w:tcBorders>
              <w:top w:val="nil"/>
              <w:left w:val="nil"/>
              <w:bottom w:val="nil"/>
              <w:right w:val="nil"/>
            </w:tcBorders>
            <w:shd w:val="clear" w:color="000000" w:fill="FFFFFF"/>
            <w:noWrap/>
            <w:vAlign w:val="center"/>
            <w:hideMark/>
          </w:tcPr>
          <w:p w14:paraId="12E1D7C9" w14:textId="77777777" w:rsidR="0017080B" w:rsidRPr="0017080B" w:rsidRDefault="0017080B" w:rsidP="0017080B">
            <w:pPr>
              <w:spacing w:before="0" w:after="0" w:line="240" w:lineRule="auto"/>
              <w:ind w:left="170"/>
              <w:rPr>
                <w:rFonts w:ascii="Arial" w:hAnsi="Arial" w:cs="Arial"/>
                <w:color w:val="000000"/>
                <w:sz w:val="16"/>
                <w:szCs w:val="16"/>
              </w:rPr>
            </w:pPr>
            <w:r w:rsidRPr="0017080B">
              <w:rPr>
                <w:rFonts w:ascii="Arial" w:hAnsi="Arial" w:cs="Arial"/>
                <w:color w:val="000000"/>
                <w:sz w:val="16"/>
                <w:szCs w:val="16"/>
              </w:rPr>
              <w:t>Assistance to the Aged</w:t>
            </w:r>
          </w:p>
        </w:tc>
        <w:tc>
          <w:tcPr>
            <w:tcW w:w="68" w:type="pct"/>
            <w:tcBorders>
              <w:top w:val="nil"/>
              <w:left w:val="nil"/>
              <w:bottom w:val="nil"/>
              <w:right w:val="nil"/>
            </w:tcBorders>
            <w:shd w:val="clear" w:color="000000" w:fill="FFFFFF"/>
            <w:noWrap/>
            <w:vAlign w:val="center"/>
            <w:hideMark/>
          </w:tcPr>
          <w:p w14:paraId="7D20035F" w14:textId="77777777" w:rsidR="0017080B" w:rsidRPr="0017080B" w:rsidRDefault="0017080B" w:rsidP="0017080B">
            <w:pPr>
              <w:spacing w:before="0" w:after="0" w:line="240" w:lineRule="auto"/>
              <w:rPr>
                <w:rFonts w:ascii="Arial" w:hAnsi="Arial" w:cs="Arial"/>
                <w:color w:val="000000"/>
                <w:sz w:val="16"/>
                <w:szCs w:val="16"/>
              </w:rPr>
            </w:pPr>
            <w:r w:rsidRPr="0017080B">
              <w:rPr>
                <w:rFonts w:ascii="Arial" w:hAnsi="Arial" w:cs="Arial"/>
                <w:color w:val="000000"/>
                <w:sz w:val="16"/>
                <w:szCs w:val="16"/>
              </w:rPr>
              <w:t> </w:t>
            </w:r>
          </w:p>
        </w:tc>
        <w:tc>
          <w:tcPr>
            <w:tcW w:w="550" w:type="pct"/>
            <w:tcBorders>
              <w:top w:val="nil"/>
              <w:left w:val="nil"/>
              <w:bottom w:val="nil"/>
              <w:right w:val="nil"/>
            </w:tcBorders>
            <w:shd w:val="clear" w:color="000000" w:fill="FFFFFF"/>
            <w:noWrap/>
            <w:vAlign w:val="center"/>
            <w:hideMark/>
          </w:tcPr>
          <w:p w14:paraId="502E4D0B" w14:textId="77777777" w:rsidR="0017080B" w:rsidRPr="0017080B" w:rsidRDefault="0017080B" w:rsidP="0017080B">
            <w:pPr>
              <w:spacing w:before="0" w:after="0" w:line="240" w:lineRule="auto"/>
              <w:jc w:val="right"/>
              <w:rPr>
                <w:rFonts w:ascii="Arial" w:hAnsi="Arial" w:cs="Arial"/>
                <w:color w:val="000000"/>
                <w:sz w:val="16"/>
                <w:szCs w:val="16"/>
              </w:rPr>
            </w:pPr>
            <w:r w:rsidRPr="0017080B">
              <w:rPr>
                <w:rFonts w:ascii="Arial" w:hAnsi="Arial" w:cs="Arial"/>
                <w:color w:val="000000"/>
                <w:sz w:val="16"/>
                <w:szCs w:val="16"/>
              </w:rPr>
              <w:t>20</w:t>
            </w:r>
          </w:p>
        </w:tc>
        <w:tc>
          <w:tcPr>
            <w:tcW w:w="550" w:type="pct"/>
            <w:tcBorders>
              <w:top w:val="nil"/>
              <w:left w:val="nil"/>
              <w:bottom w:val="nil"/>
              <w:right w:val="nil"/>
            </w:tcBorders>
            <w:shd w:val="clear" w:color="000000" w:fill="E6F2FF"/>
            <w:noWrap/>
            <w:vAlign w:val="center"/>
            <w:hideMark/>
          </w:tcPr>
          <w:p w14:paraId="1B4E90D1" w14:textId="77777777" w:rsidR="0017080B" w:rsidRPr="0017080B" w:rsidRDefault="0017080B" w:rsidP="0017080B">
            <w:pPr>
              <w:spacing w:before="0" w:after="0" w:line="240" w:lineRule="auto"/>
              <w:jc w:val="right"/>
              <w:rPr>
                <w:rFonts w:ascii="Arial" w:hAnsi="Arial" w:cs="Arial"/>
                <w:color w:val="000000"/>
                <w:sz w:val="16"/>
                <w:szCs w:val="16"/>
              </w:rPr>
            </w:pPr>
            <w:r w:rsidRPr="0017080B">
              <w:rPr>
                <w:rFonts w:ascii="Arial" w:hAnsi="Arial" w:cs="Arial"/>
                <w:color w:val="000000"/>
                <w:sz w:val="16"/>
                <w:szCs w:val="16"/>
              </w:rPr>
              <w:t>216</w:t>
            </w:r>
          </w:p>
        </w:tc>
        <w:tc>
          <w:tcPr>
            <w:tcW w:w="550" w:type="pct"/>
            <w:tcBorders>
              <w:top w:val="nil"/>
              <w:left w:val="nil"/>
              <w:bottom w:val="nil"/>
              <w:right w:val="nil"/>
            </w:tcBorders>
            <w:shd w:val="clear" w:color="000000" w:fill="FFFFFF"/>
            <w:noWrap/>
            <w:vAlign w:val="center"/>
            <w:hideMark/>
          </w:tcPr>
          <w:p w14:paraId="30165208" w14:textId="77777777" w:rsidR="0017080B" w:rsidRPr="0017080B" w:rsidRDefault="0017080B" w:rsidP="0017080B">
            <w:pPr>
              <w:spacing w:before="0" w:after="0" w:line="240" w:lineRule="auto"/>
              <w:jc w:val="right"/>
              <w:rPr>
                <w:rFonts w:ascii="Arial" w:hAnsi="Arial" w:cs="Arial"/>
                <w:color w:val="000000"/>
                <w:sz w:val="16"/>
                <w:szCs w:val="16"/>
              </w:rPr>
            </w:pPr>
            <w:r w:rsidRPr="0017080B">
              <w:rPr>
                <w:rFonts w:ascii="Arial" w:hAnsi="Arial" w:cs="Arial"/>
                <w:color w:val="000000"/>
                <w:sz w:val="16"/>
                <w:szCs w:val="16"/>
              </w:rPr>
              <w:t>190</w:t>
            </w:r>
          </w:p>
        </w:tc>
        <w:tc>
          <w:tcPr>
            <w:tcW w:w="550" w:type="pct"/>
            <w:tcBorders>
              <w:top w:val="nil"/>
              <w:left w:val="nil"/>
              <w:bottom w:val="nil"/>
              <w:right w:val="nil"/>
            </w:tcBorders>
            <w:shd w:val="clear" w:color="000000" w:fill="FFFFFF"/>
            <w:noWrap/>
            <w:vAlign w:val="center"/>
            <w:hideMark/>
          </w:tcPr>
          <w:p w14:paraId="6355C7E8" w14:textId="77777777" w:rsidR="0017080B" w:rsidRPr="0017080B" w:rsidRDefault="0017080B" w:rsidP="0017080B">
            <w:pPr>
              <w:spacing w:before="0" w:after="0" w:line="240" w:lineRule="auto"/>
              <w:jc w:val="right"/>
              <w:rPr>
                <w:rFonts w:ascii="Arial" w:hAnsi="Arial" w:cs="Arial"/>
                <w:color w:val="000000"/>
                <w:sz w:val="16"/>
                <w:szCs w:val="16"/>
              </w:rPr>
            </w:pPr>
            <w:r w:rsidRPr="0017080B">
              <w:rPr>
                <w:rFonts w:ascii="Arial" w:hAnsi="Arial" w:cs="Arial"/>
                <w:color w:val="000000"/>
                <w:sz w:val="16"/>
                <w:szCs w:val="16"/>
              </w:rPr>
              <w:t>148</w:t>
            </w:r>
          </w:p>
        </w:tc>
        <w:tc>
          <w:tcPr>
            <w:tcW w:w="550" w:type="pct"/>
            <w:tcBorders>
              <w:top w:val="nil"/>
              <w:left w:val="nil"/>
              <w:bottom w:val="nil"/>
              <w:right w:val="nil"/>
            </w:tcBorders>
            <w:shd w:val="clear" w:color="000000" w:fill="FFFFFF"/>
            <w:noWrap/>
            <w:vAlign w:val="center"/>
            <w:hideMark/>
          </w:tcPr>
          <w:p w14:paraId="6CE308AA" w14:textId="77777777" w:rsidR="0017080B" w:rsidRPr="0017080B" w:rsidRDefault="0017080B" w:rsidP="0017080B">
            <w:pPr>
              <w:spacing w:before="0" w:after="0" w:line="240" w:lineRule="auto"/>
              <w:jc w:val="right"/>
              <w:rPr>
                <w:rFonts w:ascii="Arial" w:hAnsi="Arial" w:cs="Arial"/>
                <w:color w:val="000000"/>
                <w:sz w:val="16"/>
                <w:szCs w:val="16"/>
              </w:rPr>
            </w:pPr>
            <w:r w:rsidRPr="0017080B">
              <w:rPr>
                <w:rFonts w:ascii="Arial" w:hAnsi="Arial" w:cs="Arial"/>
                <w:color w:val="000000"/>
                <w:sz w:val="16"/>
                <w:szCs w:val="16"/>
              </w:rPr>
              <w:t>139</w:t>
            </w:r>
          </w:p>
        </w:tc>
      </w:tr>
      <w:tr w:rsidR="0017080B" w:rsidRPr="0017080B" w14:paraId="197641A1" w14:textId="77777777" w:rsidTr="0017080B">
        <w:trPr>
          <w:trHeight w:hRule="exact" w:val="226"/>
        </w:trPr>
        <w:tc>
          <w:tcPr>
            <w:tcW w:w="2183" w:type="pct"/>
            <w:tcBorders>
              <w:top w:val="nil"/>
              <w:left w:val="nil"/>
              <w:bottom w:val="nil"/>
              <w:right w:val="nil"/>
            </w:tcBorders>
            <w:shd w:val="clear" w:color="000000" w:fill="FFFFFF"/>
            <w:noWrap/>
            <w:vAlign w:val="center"/>
            <w:hideMark/>
          </w:tcPr>
          <w:p w14:paraId="3D069D42" w14:textId="77777777" w:rsidR="0017080B" w:rsidRPr="0017080B" w:rsidRDefault="0017080B" w:rsidP="0017080B">
            <w:pPr>
              <w:spacing w:before="0" w:after="0" w:line="240" w:lineRule="auto"/>
              <w:rPr>
                <w:rFonts w:ascii="Arial" w:hAnsi="Arial" w:cs="Arial"/>
                <w:color w:val="000000"/>
                <w:sz w:val="16"/>
                <w:szCs w:val="16"/>
              </w:rPr>
            </w:pPr>
            <w:r w:rsidRPr="0017080B">
              <w:rPr>
                <w:rFonts w:ascii="Arial" w:hAnsi="Arial" w:cs="Arial"/>
                <w:color w:val="000000"/>
                <w:sz w:val="16"/>
                <w:szCs w:val="16"/>
              </w:rPr>
              <w:t>Other</w:t>
            </w:r>
          </w:p>
        </w:tc>
        <w:tc>
          <w:tcPr>
            <w:tcW w:w="68" w:type="pct"/>
            <w:tcBorders>
              <w:top w:val="nil"/>
              <w:left w:val="nil"/>
              <w:bottom w:val="nil"/>
              <w:right w:val="nil"/>
            </w:tcBorders>
            <w:shd w:val="clear" w:color="000000" w:fill="FFFFFF"/>
            <w:noWrap/>
            <w:vAlign w:val="center"/>
            <w:hideMark/>
          </w:tcPr>
          <w:p w14:paraId="41CBC671" w14:textId="77777777" w:rsidR="0017080B" w:rsidRPr="0017080B" w:rsidRDefault="0017080B" w:rsidP="0017080B">
            <w:pPr>
              <w:spacing w:before="0" w:after="0" w:line="240" w:lineRule="auto"/>
              <w:rPr>
                <w:rFonts w:ascii="Arial" w:hAnsi="Arial" w:cs="Arial"/>
                <w:color w:val="000000"/>
                <w:sz w:val="16"/>
                <w:szCs w:val="16"/>
              </w:rPr>
            </w:pPr>
            <w:r w:rsidRPr="0017080B">
              <w:rPr>
                <w:rFonts w:ascii="Arial" w:hAnsi="Arial" w:cs="Arial"/>
                <w:color w:val="000000"/>
                <w:sz w:val="16"/>
                <w:szCs w:val="16"/>
              </w:rPr>
              <w:t> </w:t>
            </w:r>
          </w:p>
        </w:tc>
        <w:tc>
          <w:tcPr>
            <w:tcW w:w="550" w:type="pct"/>
            <w:tcBorders>
              <w:top w:val="nil"/>
              <w:left w:val="nil"/>
              <w:bottom w:val="single" w:sz="4" w:space="0" w:color="293F5B"/>
              <w:right w:val="nil"/>
            </w:tcBorders>
            <w:shd w:val="clear" w:color="000000" w:fill="FFFFFF"/>
            <w:noWrap/>
            <w:vAlign w:val="center"/>
            <w:hideMark/>
          </w:tcPr>
          <w:p w14:paraId="4188B23F" w14:textId="77777777" w:rsidR="0017080B" w:rsidRPr="0017080B" w:rsidRDefault="0017080B" w:rsidP="0017080B">
            <w:pPr>
              <w:spacing w:before="0" w:after="0" w:line="240" w:lineRule="auto"/>
              <w:jc w:val="right"/>
              <w:rPr>
                <w:rFonts w:ascii="Arial" w:hAnsi="Arial" w:cs="Arial"/>
                <w:color w:val="000000"/>
                <w:sz w:val="16"/>
                <w:szCs w:val="16"/>
              </w:rPr>
            </w:pPr>
            <w:r w:rsidRPr="0017080B">
              <w:rPr>
                <w:rFonts w:ascii="Arial" w:hAnsi="Arial" w:cs="Arial"/>
                <w:color w:val="000000"/>
                <w:sz w:val="16"/>
                <w:szCs w:val="16"/>
              </w:rPr>
              <w:t>309</w:t>
            </w:r>
          </w:p>
        </w:tc>
        <w:tc>
          <w:tcPr>
            <w:tcW w:w="550" w:type="pct"/>
            <w:tcBorders>
              <w:top w:val="nil"/>
              <w:left w:val="nil"/>
              <w:bottom w:val="single" w:sz="4" w:space="0" w:color="293F5B"/>
              <w:right w:val="nil"/>
            </w:tcBorders>
            <w:shd w:val="clear" w:color="000000" w:fill="E6F2FF"/>
            <w:noWrap/>
            <w:vAlign w:val="center"/>
            <w:hideMark/>
          </w:tcPr>
          <w:p w14:paraId="342AE285" w14:textId="77777777" w:rsidR="0017080B" w:rsidRPr="0017080B" w:rsidRDefault="0017080B" w:rsidP="0017080B">
            <w:pPr>
              <w:spacing w:before="0" w:after="0" w:line="240" w:lineRule="auto"/>
              <w:jc w:val="right"/>
              <w:rPr>
                <w:rFonts w:ascii="Arial" w:hAnsi="Arial" w:cs="Arial"/>
                <w:color w:val="000000"/>
                <w:sz w:val="16"/>
                <w:szCs w:val="16"/>
              </w:rPr>
            </w:pPr>
            <w:r w:rsidRPr="0017080B">
              <w:rPr>
                <w:rFonts w:ascii="Arial" w:hAnsi="Arial" w:cs="Arial"/>
                <w:color w:val="000000"/>
                <w:sz w:val="16"/>
                <w:szCs w:val="16"/>
              </w:rPr>
              <w:t>336</w:t>
            </w:r>
          </w:p>
        </w:tc>
        <w:tc>
          <w:tcPr>
            <w:tcW w:w="550" w:type="pct"/>
            <w:tcBorders>
              <w:top w:val="nil"/>
              <w:left w:val="nil"/>
              <w:bottom w:val="single" w:sz="4" w:space="0" w:color="293F5B"/>
              <w:right w:val="nil"/>
            </w:tcBorders>
            <w:shd w:val="clear" w:color="000000" w:fill="FFFFFF"/>
            <w:noWrap/>
            <w:vAlign w:val="center"/>
            <w:hideMark/>
          </w:tcPr>
          <w:p w14:paraId="6C40D4AA" w14:textId="77777777" w:rsidR="0017080B" w:rsidRPr="0017080B" w:rsidRDefault="0017080B" w:rsidP="0017080B">
            <w:pPr>
              <w:spacing w:before="0" w:after="0" w:line="240" w:lineRule="auto"/>
              <w:jc w:val="right"/>
              <w:rPr>
                <w:rFonts w:ascii="Arial" w:hAnsi="Arial" w:cs="Arial"/>
                <w:color w:val="000000"/>
                <w:sz w:val="16"/>
                <w:szCs w:val="16"/>
              </w:rPr>
            </w:pPr>
            <w:r w:rsidRPr="0017080B">
              <w:rPr>
                <w:rFonts w:ascii="Arial" w:hAnsi="Arial" w:cs="Arial"/>
                <w:color w:val="000000"/>
                <w:sz w:val="16"/>
                <w:szCs w:val="16"/>
              </w:rPr>
              <w:t>245</w:t>
            </w:r>
          </w:p>
        </w:tc>
        <w:tc>
          <w:tcPr>
            <w:tcW w:w="550" w:type="pct"/>
            <w:tcBorders>
              <w:top w:val="nil"/>
              <w:left w:val="nil"/>
              <w:bottom w:val="single" w:sz="4" w:space="0" w:color="293F5B"/>
              <w:right w:val="nil"/>
            </w:tcBorders>
            <w:shd w:val="clear" w:color="000000" w:fill="FFFFFF"/>
            <w:noWrap/>
            <w:vAlign w:val="center"/>
            <w:hideMark/>
          </w:tcPr>
          <w:p w14:paraId="0E2B817C" w14:textId="77777777" w:rsidR="0017080B" w:rsidRPr="0017080B" w:rsidRDefault="0017080B" w:rsidP="0017080B">
            <w:pPr>
              <w:spacing w:before="0" w:after="0" w:line="240" w:lineRule="auto"/>
              <w:jc w:val="right"/>
              <w:rPr>
                <w:rFonts w:ascii="Arial" w:hAnsi="Arial" w:cs="Arial"/>
                <w:color w:val="000000"/>
                <w:sz w:val="16"/>
                <w:szCs w:val="16"/>
              </w:rPr>
            </w:pPr>
            <w:r w:rsidRPr="0017080B">
              <w:rPr>
                <w:rFonts w:ascii="Arial" w:hAnsi="Arial" w:cs="Arial"/>
                <w:color w:val="000000"/>
                <w:sz w:val="16"/>
                <w:szCs w:val="16"/>
              </w:rPr>
              <w:t>214</w:t>
            </w:r>
          </w:p>
        </w:tc>
        <w:tc>
          <w:tcPr>
            <w:tcW w:w="550" w:type="pct"/>
            <w:tcBorders>
              <w:top w:val="nil"/>
              <w:left w:val="nil"/>
              <w:bottom w:val="single" w:sz="4" w:space="0" w:color="293F5B"/>
              <w:right w:val="nil"/>
            </w:tcBorders>
            <w:shd w:val="clear" w:color="000000" w:fill="FFFFFF"/>
            <w:noWrap/>
            <w:vAlign w:val="center"/>
            <w:hideMark/>
          </w:tcPr>
          <w:p w14:paraId="3613321D" w14:textId="77777777" w:rsidR="0017080B" w:rsidRPr="0017080B" w:rsidRDefault="0017080B" w:rsidP="0017080B">
            <w:pPr>
              <w:spacing w:before="0" w:after="0" w:line="240" w:lineRule="auto"/>
              <w:jc w:val="right"/>
              <w:rPr>
                <w:rFonts w:ascii="Arial" w:hAnsi="Arial" w:cs="Arial"/>
                <w:color w:val="000000"/>
                <w:sz w:val="16"/>
                <w:szCs w:val="16"/>
              </w:rPr>
            </w:pPr>
            <w:r w:rsidRPr="0017080B">
              <w:rPr>
                <w:rFonts w:ascii="Arial" w:hAnsi="Arial" w:cs="Arial"/>
                <w:color w:val="000000"/>
                <w:sz w:val="16"/>
                <w:szCs w:val="16"/>
              </w:rPr>
              <w:t>211</w:t>
            </w:r>
          </w:p>
        </w:tc>
      </w:tr>
      <w:tr w:rsidR="0017080B" w:rsidRPr="0017080B" w14:paraId="133F66FA" w14:textId="77777777" w:rsidTr="00FB3363">
        <w:trPr>
          <w:trHeight w:hRule="exact" w:val="226"/>
        </w:trPr>
        <w:tc>
          <w:tcPr>
            <w:tcW w:w="2183" w:type="pct"/>
            <w:tcBorders>
              <w:top w:val="nil"/>
              <w:left w:val="nil"/>
              <w:bottom w:val="single" w:sz="4" w:space="0" w:color="293F5B"/>
              <w:right w:val="nil"/>
            </w:tcBorders>
            <w:shd w:val="clear" w:color="000000" w:fill="FFFFFF"/>
            <w:noWrap/>
            <w:vAlign w:val="center"/>
            <w:hideMark/>
          </w:tcPr>
          <w:p w14:paraId="68C06EB7" w14:textId="77777777" w:rsidR="0017080B" w:rsidRPr="0017080B" w:rsidRDefault="0017080B" w:rsidP="0017080B">
            <w:pPr>
              <w:spacing w:before="0" w:after="0" w:line="240" w:lineRule="auto"/>
              <w:rPr>
                <w:rFonts w:ascii="Arial" w:hAnsi="Arial" w:cs="Arial"/>
                <w:b/>
                <w:bCs/>
                <w:color w:val="000000"/>
                <w:sz w:val="16"/>
                <w:szCs w:val="16"/>
              </w:rPr>
            </w:pPr>
            <w:r w:rsidRPr="0017080B">
              <w:rPr>
                <w:rFonts w:ascii="Arial" w:hAnsi="Arial" w:cs="Arial"/>
                <w:b/>
                <w:bCs/>
                <w:color w:val="000000"/>
                <w:sz w:val="16"/>
                <w:szCs w:val="16"/>
              </w:rPr>
              <w:t>Total</w:t>
            </w:r>
          </w:p>
        </w:tc>
        <w:tc>
          <w:tcPr>
            <w:tcW w:w="68" w:type="pct"/>
            <w:tcBorders>
              <w:top w:val="nil"/>
              <w:left w:val="nil"/>
              <w:bottom w:val="single" w:sz="4" w:space="0" w:color="293F5B"/>
              <w:right w:val="nil"/>
            </w:tcBorders>
            <w:shd w:val="clear" w:color="000000" w:fill="FFFFFF"/>
            <w:noWrap/>
            <w:vAlign w:val="center"/>
            <w:hideMark/>
          </w:tcPr>
          <w:p w14:paraId="39644948" w14:textId="77777777" w:rsidR="0017080B" w:rsidRPr="0017080B" w:rsidRDefault="0017080B" w:rsidP="0017080B">
            <w:pPr>
              <w:spacing w:before="0" w:after="0" w:line="240" w:lineRule="auto"/>
              <w:rPr>
                <w:rFonts w:ascii="Arial" w:hAnsi="Arial" w:cs="Arial"/>
                <w:b/>
                <w:bCs/>
                <w:color w:val="000000"/>
                <w:sz w:val="16"/>
                <w:szCs w:val="16"/>
              </w:rPr>
            </w:pPr>
            <w:r w:rsidRPr="0017080B">
              <w:rPr>
                <w:rFonts w:ascii="Arial" w:hAnsi="Arial" w:cs="Arial"/>
                <w:b/>
                <w:bCs/>
                <w:color w:val="000000"/>
                <w:sz w:val="16"/>
                <w:szCs w:val="16"/>
              </w:rPr>
              <w:t> </w:t>
            </w:r>
          </w:p>
        </w:tc>
        <w:tc>
          <w:tcPr>
            <w:tcW w:w="550" w:type="pct"/>
            <w:tcBorders>
              <w:top w:val="single" w:sz="4" w:space="0" w:color="293F5B"/>
              <w:left w:val="nil"/>
              <w:bottom w:val="single" w:sz="4" w:space="0" w:color="293F5B"/>
              <w:right w:val="nil"/>
            </w:tcBorders>
            <w:shd w:val="clear" w:color="000000" w:fill="FFFFFF"/>
            <w:noWrap/>
            <w:vAlign w:val="center"/>
            <w:hideMark/>
          </w:tcPr>
          <w:p w14:paraId="575C3116" w14:textId="77777777" w:rsidR="0017080B" w:rsidRPr="0017080B" w:rsidRDefault="0017080B" w:rsidP="0017080B">
            <w:pPr>
              <w:spacing w:before="0" w:after="0" w:line="240" w:lineRule="auto"/>
              <w:jc w:val="right"/>
              <w:rPr>
                <w:rFonts w:ascii="Arial" w:hAnsi="Arial" w:cs="Arial"/>
                <w:b/>
                <w:bCs/>
                <w:color w:val="000000"/>
                <w:sz w:val="16"/>
                <w:szCs w:val="16"/>
              </w:rPr>
            </w:pPr>
            <w:r w:rsidRPr="0017080B">
              <w:rPr>
                <w:rFonts w:ascii="Arial" w:hAnsi="Arial" w:cs="Arial"/>
                <w:b/>
                <w:bCs/>
                <w:color w:val="000000"/>
                <w:sz w:val="16"/>
                <w:szCs w:val="16"/>
              </w:rPr>
              <w:t>95,306</w:t>
            </w:r>
          </w:p>
        </w:tc>
        <w:tc>
          <w:tcPr>
            <w:tcW w:w="550" w:type="pct"/>
            <w:tcBorders>
              <w:top w:val="single" w:sz="4" w:space="0" w:color="293F5B"/>
              <w:left w:val="nil"/>
              <w:bottom w:val="single" w:sz="4" w:space="0" w:color="293F5B"/>
              <w:right w:val="nil"/>
            </w:tcBorders>
            <w:shd w:val="clear" w:color="000000" w:fill="E6F2FF"/>
            <w:noWrap/>
            <w:vAlign w:val="center"/>
            <w:hideMark/>
          </w:tcPr>
          <w:p w14:paraId="06D40258" w14:textId="77777777" w:rsidR="0017080B" w:rsidRPr="0017080B" w:rsidRDefault="0017080B" w:rsidP="0017080B">
            <w:pPr>
              <w:spacing w:before="0" w:after="0" w:line="240" w:lineRule="auto"/>
              <w:jc w:val="right"/>
              <w:rPr>
                <w:rFonts w:ascii="Arial" w:hAnsi="Arial" w:cs="Arial"/>
                <w:b/>
                <w:bCs/>
                <w:color w:val="000000"/>
                <w:sz w:val="16"/>
                <w:szCs w:val="16"/>
              </w:rPr>
            </w:pPr>
            <w:r w:rsidRPr="0017080B">
              <w:rPr>
                <w:rFonts w:ascii="Arial" w:hAnsi="Arial" w:cs="Arial"/>
                <w:b/>
                <w:bCs/>
                <w:color w:val="000000"/>
                <w:sz w:val="16"/>
                <w:szCs w:val="16"/>
              </w:rPr>
              <w:t>100,653</w:t>
            </w:r>
          </w:p>
        </w:tc>
        <w:tc>
          <w:tcPr>
            <w:tcW w:w="550" w:type="pct"/>
            <w:tcBorders>
              <w:top w:val="single" w:sz="4" w:space="0" w:color="293F5B"/>
              <w:left w:val="nil"/>
              <w:bottom w:val="single" w:sz="4" w:space="0" w:color="293F5B"/>
              <w:right w:val="nil"/>
            </w:tcBorders>
            <w:shd w:val="clear" w:color="000000" w:fill="FFFFFF"/>
            <w:noWrap/>
            <w:vAlign w:val="center"/>
            <w:hideMark/>
          </w:tcPr>
          <w:p w14:paraId="0E6AAC49" w14:textId="77777777" w:rsidR="0017080B" w:rsidRPr="0017080B" w:rsidRDefault="0017080B" w:rsidP="0017080B">
            <w:pPr>
              <w:spacing w:before="0" w:after="0" w:line="240" w:lineRule="auto"/>
              <w:jc w:val="right"/>
              <w:rPr>
                <w:rFonts w:ascii="Arial" w:hAnsi="Arial" w:cs="Arial"/>
                <w:b/>
                <w:bCs/>
                <w:color w:val="000000"/>
                <w:sz w:val="16"/>
                <w:szCs w:val="16"/>
              </w:rPr>
            </w:pPr>
            <w:r w:rsidRPr="0017080B">
              <w:rPr>
                <w:rFonts w:ascii="Arial" w:hAnsi="Arial" w:cs="Arial"/>
                <w:b/>
                <w:bCs/>
                <w:color w:val="000000"/>
                <w:sz w:val="16"/>
                <w:szCs w:val="16"/>
              </w:rPr>
              <w:t>104,825</w:t>
            </w:r>
          </w:p>
        </w:tc>
        <w:tc>
          <w:tcPr>
            <w:tcW w:w="550" w:type="pct"/>
            <w:tcBorders>
              <w:top w:val="single" w:sz="4" w:space="0" w:color="293F5B"/>
              <w:left w:val="nil"/>
              <w:bottom w:val="single" w:sz="4" w:space="0" w:color="293F5B"/>
              <w:right w:val="nil"/>
            </w:tcBorders>
            <w:shd w:val="clear" w:color="000000" w:fill="FFFFFF"/>
            <w:noWrap/>
            <w:vAlign w:val="center"/>
            <w:hideMark/>
          </w:tcPr>
          <w:p w14:paraId="2D60167B" w14:textId="77777777" w:rsidR="0017080B" w:rsidRPr="0017080B" w:rsidRDefault="0017080B" w:rsidP="0017080B">
            <w:pPr>
              <w:spacing w:before="0" w:after="0" w:line="240" w:lineRule="auto"/>
              <w:jc w:val="right"/>
              <w:rPr>
                <w:rFonts w:ascii="Arial" w:hAnsi="Arial" w:cs="Arial"/>
                <w:b/>
                <w:bCs/>
                <w:color w:val="000000"/>
                <w:sz w:val="16"/>
                <w:szCs w:val="16"/>
              </w:rPr>
            </w:pPr>
            <w:r w:rsidRPr="0017080B">
              <w:rPr>
                <w:rFonts w:ascii="Arial" w:hAnsi="Arial" w:cs="Arial"/>
                <w:b/>
                <w:bCs/>
                <w:color w:val="000000"/>
                <w:sz w:val="16"/>
                <w:szCs w:val="16"/>
              </w:rPr>
              <w:t>109,575</w:t>
            </w:r>
          </w:p>
        </w:tc>
        <w:tc>
          <w:tcPr>
            <w:tcW w:w="550" w:type="pct"/>
            <w:tcBorders>
              <w:top w:val="single" w:sz="4" w:space="0" w:color="293F5B"/>
              <w:left w:val="nil"/>
              <w:bottom w:val="single" w:sz="4" w:space="0" w:color="293F5B"/>
              <w:right w:val="nil"/>
            </w:tcBorders>
            <w:shd w:val="clear" w:color="000000" w:fill="FFFFFF"/>
            <w:noWrap/>
            <w:vAlign w:val="center"/>
            <w:hideMark/>
          </w:tcPr>
          <w:p w14:paraId="5A4B3BBB" w14:textId="77777777" w:rsidR="0017080B" w:rsidRPr="0017080B" w:rsidRDefault="0017080B" w:rsidP="0017080B">
            <w:pPr>
              <w:spacing w:before="0" w:after="0" w:line="240" w:lineRule="auto"/>
              <w:jc w:val="right"/>
              <w:rPr>
                <w:rFonts w:ascii="Arial" w:hAnsi="Arial" w:cs="Arial"/>
                <w:b/>
                <w:bCs/>
                <w:color w:val="000000"/>
                <w:sz w:val="16"/>
                <w:szCs w:val="16"/>
              </w:rPr>
            </w:pPr>
            <w:r w:rsidRPr="0017080B">
              <w:rPr>
                <w:rFonts w:ascii="Arial" w:hAnsi="Arial" w:cs="Arial"/>
                <w:b/>
                <w:bCs/>
                <w:color w:val="000000"/>
                <w:sz w:val="16"/>
                <w:szCs w:val="16"/>
              </w:rPr>
              <w:t>115,972</w:t>
            </w:r>
          </w:p>
        </w:tc>
      </w:tr>
    </w:tbl>
    <w:p w14:paraId="157C4FB6" w14:textId="7A502C53" w:rsidR="00ED6D02" w:rsidRPr="000177D7" w:rsidRDefault="00ED6D02" w:rsidP="00E87DDC">
      <w:pPr>
        <w:pStyle w:val="ChartandTableFootnoteAlpha"/>
        <w:numPr>
          <w:ilvl w:val="0"/>
          <w:numId w:val="13"/>
        </w:numPr>
      </w:pPr>
      <w:r w:rsidRPr="000177D7">
        <w:t>The entry for each component includes eliminations for inter</w:t>
      </w:r>
      <w:r w:rsidR="008D4F6B">
        <w:noBreakHyphen/>
      </w:r>
      <w:r w:rsidRPr="000177D7">
        <w:t>agency transactions within that component.</w:t>
      </w:r>
    </w:p>
    <w:p w14:paraId="5D0AB56F" w14:textId="77777777" w:rsidR="00ED6D02" w:rsidRPr="000177D7" w:rsidRDefault="00ED6D02" w:rsidP="00ED6D02">
      <w:pPr>
        <w:pStyle w:val="TableLine"/>
      </w:pPr>
    </w:p>
    <w:p w14:paraId="501C9A4A" w14:textId="7313866A" w:rsidR="00ED6D02" w:rsidRDefault="00E91994" w:rsidP="00ED6D02">
      <w:r w:rsidRPr="0060059F">
        <w:rPr>
          <w:rStyle w:val="Strong"/>
        </w:rPr>
        <w:t>A</w:t>
      </w:r>
      <w:r w:rsidR="00ED6D02" w:rsidRPr="0060059F">
        <w:rPr>
          <w:rStyle w:val="Strong"/>
        </w:rPr>
        <w:t>ssistance to veterans and dependants</w:t>
      </w:r>
      <w:r w:rsidR="00ED6D02" w:rsidRPr="007822F2">
        <w:t xml:space="preserve"> </w:t>
      </w:r>
      <w:r>
        <w:t xml:space="preserve">expenses </w:t>
      </w:r>
      <w:r w:rsidR="00ED6D02" w:rsidRPr="007822F2">
        <w:t xml:space="preserve">are estimated to </w:t>
      </w:r>
      <w:r w:rsidR="00ED6D02">
        <w:t>in</w:t>
      </w:r>
      <w:r w:rsidR="00ED6D02" w:rsidRPr="007822F2">
        <w:t xml:space="preserve">crease </w:t>
      </w:r>
      <w:r w:rsidR="00ED6D02">
        <w:t xml:space="preserve">over the period </w:t>
      </w:r>
      <w:r w:rsidR="00ED6D02" w:rsidRPr="007822F2">
        <w:t>from 2024</w:t>
      </w:r>
      <w:r w:rsidR="00ED6D02">
        <w:t>–</w:t>
      </w:r>
      <w:r w:rsidR="00ED6D02" w:rsidRPr="007822F2">
        <w:t>25</w:t>
      </w:r>
      <w:r w:rsidR="00ED6D02">
        <w:t xml:space="preserve"> to 2027–28</w:t>
      </w:r>
      <w:r w:rsidR="00ED6D02" w:rsidRPr="007822F2">
        <w:t xml:space="preserve">, </w:t>
      </w:r>
      <w:r w:rsidR="00ED6D02">
        <w:t xml:space="preserve">which </w:t>
      </w:r>
      <w:r w:rsidR="00ED6D02" w:rsidRPr="0001261C">
        <w:t xml:space="preserve">largely reflects </w:t>
      </w:r>
      <w:r w:rsidR="00ED6D02">
        <w:t>increasing</w:t>
      </w:r>
      <w:r w:rsidR="00ED6D02" w:rsidRPr="0001261C">
        <w:t xml:space="preserve"> expenses for income support and compensation payments </w:t>
      </w:r>
      <w:r w:rsidR="00ED6D02">
        <w:t xml:space="preserve">to veterans </w:t>
      </w:r>
      <w:r w:rsidR="00ED6D02" w:rsidRPr="0001261C">
        <w:t xml:space="preserve">under the </w:t>
      </w:r>
      <w:r w:rsidR="00ED6D02" w:rsidRPr="0060059F">
        <w:rPr>
          <w:rStyle w:val="Emphasis"/>
        </w:rPr>
        <w:t>Military Rehabilitation Compensation Act 2004</w:t>
      </w:r>
      <w:r w:rsidR="00ED6D02">
        <w:t xml:space="preserve"> as more claims are processed</w:t>
      </w:r>
      <w:r w:rsidR="00ED6D02" w:rsidRPr="007822F2">
        <w:t>.</w:t>
      </w:r>
      <w:r w:rsidR="00ED6D02">
        <w:t xml:space="preserve"> I</w:t>
      </w:r>
      <w:r w:rsidR="00ED6D02" w:rsidRPr="007822F2">
        <w:t>n the 2024</w:t>
      </w:r>
      <w:r w:rsidR="00ED6D02">
        <w:t>–</w:t>
      </w:r>
      <w:r w:rsidR="00ED6D02" w:rsidRPr="007822F2">
        <w:t xml:space="preserve">25 Budget, </w:t>
      </w:r>
      <w:r w:rsidR="00ED6D02">
        <w:t>t</w:t>
      </w:r>
      <w:r w:rsidR="00ED6D02" w:rsidRPr="0001261C">
        <w:t>he Government</w:t>
      </w:r>
      <w:r>
        <w:t xml:space="preserve"> is</w:t>
      </w:r>
      <w:r w:rsidR="00ED6D02" w:rsidRPr="0001261C">
        <w:t xml:space="preserve"> provid</w:t>
      </w:r>
      <w:r>
        <w:t>ing</w:t>
      </w:r>
      <w:r w:rsidR="00ED6D02" w:rsidRPr="0001261C">
        <w:t xml:space="preserve"> additional </w:t>
      </w:r>
      <w:r w:rsidR="00ED6D02">
        <w:t xml:space="preserve">resources for </w:t>
      </w:r>
      <w:r w:rsidR="00ED6D02" w:rsidRPr="0001261C">
        <w:t xml:space="preserve">frontline support to </w:t>
      </w:r>
      <w:r w:rsidR="00ED6D02">
        <w:t>prioritise processing of outstanding claims</w:t>
      </w:r>
      <w:r w:rsidR="00ED6D02" w:rsidRPr="0001261C">
        <w:t xml:space="preserve"> </w:t>
      </w:r>
      <w:r w:rsidR="00ED6D02">
        <w:t>for veterans and their families now that the Department of Veterans</w:t>
      </w:r>
      <w:r w:rsidR="008D4F6B">
        <w:t>’</w:t>
      </w:r>
      <w:r w:rsidR="00ED6D02">
        <w:t xml:space="preserve"> Affairs has cleared the claims backlog</w:t>
      </w:r>
      <w:r w:rsidR="00ED6D02" w:rsidRPr="0001261C">
        <w:t xml:space="preserve">. </w:t>
      </w:r>
      <w:r w:rsidR="00BE6BBB">
        <w:t>Expenses</w:t>
      </w:r>
      <w:r w:rsidR="00ED6D02">
        <w:t xml:space="preserve"> are projected to peak in 2025</w:t>
      </w:r>
      <w:r w:rsidR="0062048B">
        <w:t>–</w:t>
      </w:r>
      <w:r w:rsidR="00ED6D02">
        <w:t>26 and then return to a steady state in 2026–27 once the outstanding permanent impairment claims have been processed</w:t>
      </w:r>
      <w:r w:rsidR="00A94161">
        <w:t>.</w:t>
      </w:r>
    </w:p>
    <w:p w14:paraId="539F6A2E" w14:textId="1C04C570" w:rsidR="007D07C8" w:rsidRDefault="00E91994" w:rsidP="007D07C8">
      <w:pPr>
        <w:rPr>
          <w:szCs w:val="19"/>
        </w:rPr>
      </w:pPr>
      <w:r w:rsidRPr="00C21BCE">
        <w:rPr>
          <w:rStyle w:val="Strong"/>
        </w:rPr>
        <w:t>A</w:t>
      </w:r>
      <w:r w:rsidR="007D07C8" w:rsidRPr="00C21BCE">
        <w:rPr>
          <w:rStyle w:val="Strong"/>
        </w:rPr>
        <w:t>ssistance to people with disabilities</w:t>
      </w:r>
      <w:r w:rsidR="007D07C8" w:rsidRPr="002569E1">
        <w:rPr>
          <w:szCs w:val="19"/>
        </w:rPr>
        <w:t xml:space="preserve"> </w:t>
      </w:r>
      <w:r>
        <w:rPr>
          <w:szCs w:val="19"/>
        </w:rPr>
        <w:t xml:space="preserve">expenses </w:t>
      </w:r>
      <w:r w:rsidR="007D07C8" w:rsidRPr="002569E1">
        <w:rPr>
          <w:szCs w:val="19"/>
        </w:rPr>
        <w:t>are expected to increase over the period 202</w:t>
      </w:r>
      <w:r w:rsidR="007D07C8">
        <w:rPr>
          <w:szCs w:val="19"/>
        </w:rPr>
        <w:t>4–</w:t>
      </w:r>
      <w:r w:rsidR="007D07C8" w:rsidRPr="002569E1">
        <w:rPr>
          <w:szCs w:val="19"/>
        </w:rPr>
        <w:t>2</w:t>
      </w:r>
      <w:r w:rsidR="007D07C8">
        <w:rPr>
          <w:szCs w:val="19"/>
        </w:rPr>
        <w:t>5</w:t>
      </w:r>
      <w:r w:rsidR="007D07C8" w:rsidRPr="002569E1">
        <w:rPr>
          <w:szCs w:val="19"/>
        </w:rPr>
        <w:t xml:space="preserve"> to 2027</w:t>
      </w:r>
      <w:r w:rsidR="007D07C8">
        <w:rPr>
          <w:szCs w:val="19"/>
        </w:rPr>
        <w:t>–</w:t>
      </w:r>
      <w:r w:rsidR="007D07C8" w:rsidRPr="002569E1">
        <w:rPr>
          <w:szCs w:val="19"/>
        </w:rPr>
        <w:t>28, largely reflecting an increase in the number of people with disability participating in</w:t>
      </w:r>
      <w:r w:rsidR="00F2334A">
        <w:rPr>
          <w:szCs w:val="19"/>
        </w:rPr>
        <w:t xml:space="preserve"> the</w:t>
      </w:r>
      <w:r w:rsidR="007D07C8" w:rsidRPr="002569E1">
        <w:rPr>
          <w:szCs w:val="19"/>
        </w:rPr>
        <w:t xml:space="preserve"> NDIS and increases in individual support costs.</w:t>
      </w:r>
    </w:p>
    <w:p w14:paraId="7601766C" w14:textId="4046E516" w:rsidR="00ED6D02" w:rsidRDefault="007D07C8" w:rsidP="007D07C8">
      <w:pPr>
        <w:rPr>
          <w:lang w:val="en-US"/>
        </w:rPr>
      </w:pPr>
      <w:r w:rsidRPr="00512B78">
        <w:t>On 27</w:t>
      </w:r>
      <w:r>
        <w:t> </w:t>
      </w:r>
      <w:r w:rsidRPr="00512B78">
        <w:t>March</w:t>
      </w:r>
      <w:r>
        <w:t> </w:t>
      </w:r>
      <w:r w:rsidRPr="00512B78">
        <w:t xml:space="preserve">2024, the Government </w:t>
      </w:r>
      <w:r>
        <w:t xml:space="preserve">introduced </w:t>
      </w:r>
      <w:r w:rsidRPr="00512B78">
        <w:t xml:space="preserve">the </w:t>
      </w:r>
      <w:r w:rsidRPr="008A14BA">
        <w:t>National Disability Insurance Scheme Amendment (Getting the NDIS Back on Track No. 1) Bill 2024</w:t>
      </w:r>
      <w:r>
        <w:t>.</w:t>
      </w:r>
      <w:r w:rsidRPr="00512B78">
        <w:t xml:space="preserve"> </w:t>
      </w:r>
      <w:r w:rsidR="00A94161">
        <w:t xml:space="preserve">NDIS </w:t>
      </w:r>
      <w:r>
        <w:t xml:space="preserve">legislative reforms are expected to moderate the additional growth in NDIS expenditure </w:t>
      </w:r>
      <w:r w:rsidR="008A14BA">
        <w:t xml:space="preserve">from 2024–25 </w:t>
      </w:r>
      <w:r>
        <w:t>projected by the NDIS Actuary to that projected at the 2023</w:t>
      </w:r>
      <w:r w:rsidR="0062048B">
        <w:t>–</w:t>
      </w:r>
      <w:r>
        <w:t>24 MYEFO, to keep NDIS expenditure on track to achieve the NDIS Sustainability Framework from 1</w:t>
      </w:r>
      <w:r w:rsidR="00275B1F">
        <w:t> </w:t>
      </w:r>
      <w:r>
        <w:t>July 2026.</w:t>
      </w:r>
    </w:p>
    <w:p w14:paraId="2594672C" w14:textId="77777777" w:rsidR="00D42939" w:rsidRDefault="00D42939">
      <w:pPr>
        <w:spacing w:before="0" w:after="160" w:line="259" w:lineRule="auto"/>
      </w:pPr>
      <w:r>
        <w:br w:type="page"/>
      </w:r>
    </w:p>
    <w:p w14:paraId="1CF4DBE2" w14:textId="171748DB" w:rsidR="0062048B" w:rsidRDefault="00ED6D02" w:rsidP="00E91994">
      <w:pPr>
        <w:rPr>
          <w:rFonts w:ascii="Arial" w:hAnsi="Arial"/>
          <w:b/>
          <w:sz w:val="20"/>
        </w:rPr>
      </w:pPr>
      <w:r>
        <w:lastRenderedPageBreak/>
        <w:t>Table </w:t>
      </w:r>
      <w:r w:rsidRPr="000177D7">
        <w:t>6.</w:t>
      </w:r>
      <w:r>
        <w:t>9</w:t>
      </w:r>
      <w:r w:rsidRPr="000177D7">
        <w:t>.</w:t>
      </w:r>
      <w:r w:rsidR="00AD782E">
        <w:t>2</w:t>
      </w:r>
      <w:r w:rsidRPr="000177D7">
        <w:t xml:space="preserve"> sets out the major components of the </w:t>
      </w:r>
      <w:r w:rsidRPr="00204B48">
        <w:rPr>
          <w:rStyle w:val="Strong"/>
        </w:rPr>
        <w:t>assistance to people with disabilities</w:t>
      </w:r>
      <w:r w:rsidRPr="00002DB4">
        <w:rPr>
          <w:b/>
          <w:bCs/>
        </w:rPr>
        <w:t xml:space="preserve"> </w:t>
      </w:r>
      <w:r w:rsidRPr="000177D7">
        <w:t>sub</w:t>
      </w:r>
      <w:r w:rsidR="008D4F6B">
        <w:noBreakHyphen/>
      </w:r>
      <w:r w:rsidRPr="000177D7">
        <w:t>function.</w:t>
      </w:r>
    </w:p>
    <w:p w14:paraId="7297CA71" w14:textId="5336D9D9" w:rsidR="0069026F" w:rsidRDefault="00ED6D02" w:rsidP="0069026F">
      <w:pPr>
        <w:pStyle w:val="TableHeading"/>
        <w:rPr>
          <w:rFonts w:asciiTheme="minorHAnsi" w:eastAsiaTheme="minorHAnsi" w:hAnsiTheme="minorHAnsi" w:cstheme="minorBidi"/>
          <w:sz w:val="22"/>
          <w:szCs w:val="22"/>
          <w:lang w:eastAsia="en-US"/>
        </w:rPr>
      </w:pPr>
      <w:r>
        <w:t>Table </w:t>
      </w:r>
      <w:r w:rsidRPr="000177D7">
        <w:t>6.9.</w:t>
      </w:r>
      <w:r w:rsidR="00AD782E">
        <w:t>2</w:t>
      </w:r>
      <w:r w:rsidRPr="000177D7">
        <w:t xml:space="preserve">: Trends in the major components of </w:t>
      </w:r>
      <w:r>
        <w:t xml:space="preserve">the </w:t>
      </w:r>
      <w:r w:rsidRPr="000177D7">
        <w:t>assistance to people with disabilities sub</w:t>
      </w:r>
      <w:r w:rsidR="008D4F6B">
        <w:noBreakHyphen/>
      </w:r>
      <w:r w:rsidRPr="000177D7">
        <w:t xml:space="preserve">function </w:t>
      </w:r>
      <w:r w:rsidRPr="00DC1390">
        <w:t>expense</w:t>
      </w:r>
    </w:p>
    <w:tbl>
      <w:tblPr>
        <w:tblW w:w="5000" w:type="pct"/>
        <w:tblCellMar>
          <w:left w:w="0" w:type="dxa"/>
          <w:right w:w="28" w:type="dxa"/>
        </w:tblCellMar>
        <w:tblLook w:val="04A0" w:firstRow="1" w:lastRow="0" w:firstColumn="1" w:lastColumn="0" w:noHBand="0" w:noVBand="1"/>
      </w:tblPr>
      <w:tblGrid>
        <w:gridCol w:w="3366"/>
        <w:gridCol w:w="105"/>
        <w:gridCol w:w="848"/>
        <w:gridCol w:w="848"/>
        <w:gridCol w:w="848"/>
        <w:gridCol w:w="848"/>
        <w:gridCol w:w="847"/>
      </w:tblGrid>
      <w:tr w:rsidR="0069026F" w:rsidRPr="0069026F" w14:paraId="747DD169" w14:textId="77777777" w:rsidTr="0069026F">
        <w:trPr>
          <w:trHeight w:hRule="exact" w:val="20"/>
        </w:trPr>
        <w:tc>
          <w:tcPr>
            <w:tcW w:w="2183" w:type="pct"/>
            <w:tcBorders>
              <w:top w:val="nil"/>
              <w:left w:val="nil"/>
              <w:bottom w:val="single" w:sz="4" w:space="0" w:color="293F5B"/>
              <w:right w:val="nil"/>
            </w:tcBorders>
            <w:shd w:val="clear" w:color="000000" w:fill="FFFFFF"/>
            <w:noWrap/>
            <w:vAlign w:val="center"/>
            <w:hideMark/>
          </w:tcPr>
          <w:p w14:paraId="7EB2E5B1" w14:textId="1FBEB7A4" w:rsidR="0069026F" w:rsidRPr="0069026F" w:rsidRDefault="0069026F" w:rsidP="0069026F">
            <w:pPr>
              <w:spacing w:before="0" w:after="0" w:line="240" w:lineRule="auto"/>
              <w:rPr>
                <w:rFonts w:ascii="Arial" w:hAnsi="Arial" w:cs="Arial"/>
                <w:b/>
                <w:bCs/>
                <w:color w:val="000000"/>
                <w:sz w:val="16"/>
                <w:szCs w:val="16"/>
              </w:rPr>
            </w:pPr>
            <w:r w:rsidRPr="0069026F">
              <w:rPr>
                <w:rFonts w:ascii="Arial" w:hAnsi="Arial" w:cs="Arial"/>
                <w:b/>
                <w:bCs/>
                <w:color w:val="000000"/>
                <w:sz w:val="16"/>
                <w:szCs w:val="16"/>
              </w:rPr>
              <w:t> </w:t>
            </w:r>
          </w:p>
        </w:tc>
        <w:tc>
          <w:tcPr>
            <w:tcW w:w="68" w:type="pct"/>
            <w:tcBorders>
              <w:top w:val="nil"/>
              <w:left w:val="nil"/>
              <w:bottom w:val="single" w:sz="4" w:space="0" w:color="293F5B"/>
              <w:right w:val="nil"/>
            </w:tcBorders>
            <w:shd w:val="clear" w:color="000000" w:fill="FFFFFF"/>
            <w:noWrap/>
            <w:vAlign w:val="center"/>
            <w:hideMark/>
          </w:tcPr>
          <w:p w14:paraId="3022A6F2" w14:textId="77777777" w:rsidR="0069026F" w:rsidRPr="0069026F" w:rsidRDefault="0069026F" w:rsidP="0069026F">
            <w:pPr>
              <w:spacing w:before="0" w:after="0" w:line="240" w:lineRule="auto"/>
              <w:rPr>
                <w:rFonts w:ascii="Arial" w:hAnsi="Arial" w:cs="Arial"/>
                <w:b/>
                <w:bCs/>
                <w:color w:val="000000"/>
                <w:sz w:val="16"/>
                <w:szCs w:val="16"/>
              </w:rPr>
            </w:pPr>
            <w:r w:rsidRPr="0069026F">
              <w:rPr>
                <w:rFonts w:ascii="Arial" w:hAnsi="Arial" w:cs="Arial"/>
                <w:b/>
                <w:bCs/>
                <w:color w:val="000000"/>
                <w:sz w:val="16"/>
                <w:szCs w:val="16"/>
              </w:rPr>
              <w:t> </w:t>
            </w:r>
          </w:p>
        </w:tc>
        <w:tc>
          <w:tcPr>
            <w:tcW w:w="550" w:type="pct"/>
            <w:tcBorders>
              <w:top w:val="nil"/>
              <w:left w:val="nil"/>
              <w:bottom w:val="single" w:sz="4" w:space="0" w:color="293F5B"/>
              <w:right w:val="nil"/>
            </w:tcBorders>
            <w:shd w:val="clear" w:color="000000" w:fill="FFFFFF"/>
            <w:noWrap/>
            <w:vAlign w:val="center"/>
            <w:hideMark/>
          </w:tcPr>
          <w:p w14:paraId="3C6B5E44" w14:textId="77777777" w:rsidR="0069026F" w:rsidRPr="0069026F" w:rsidRDefault="0069026F" w:rsidP="0069026F">
            <w:pPr>
              <w:spacing w:before="0" w:after="0" w:line="240" w:lineRule="auto"/>
              <w:rPr>
                <w:rFonts w:ascii="Arial" w:hAnsi="Arial" w:cs="Arial"/>
                <w:color w:val="000000"/>
                <w:sz w:val="16"/>
                <w:szCs w:val="16"/>
              </w:rPr>
            </w:pPr>
            <w:r w:rsidRPr="0069026F">
              <w:rPr>
                <w:rFonts w:ascii="Arial" w:hAnsi="Arial" w:cs="Arial"/>
                <w:color w:val="000000"/>
                <w:sz w:val="16"/>
                <w:szCs w:val="16"/>
              </w:rPr>
              <w:t> </w:t>
            </w:r>
          </w:p>
        </w:tc>
        <w:tc>
          <w:tcPr>
            <w:tcW w:w="550" w:type="pct"/>
            <w:tcBorders>
              <w:top w:val="nil"/>
              <w:left w:val="nil"/>
              <w:bottom w:val="single" w:sz="4" w:space="0" w:color="293F5B"/>
              <w:right w:val="nil"/>
            </w:tcBorders>
            <w:shd w:val="clear" w:color="000000" w:fill="FFFFFF"/>
            <w:noWrap/>
            <w:vAlign w:val="center"/>
            <w:hideMark/>
          </w:tcPr>
          <w:p w14:paraId="7E0C340F" w14:textId="77777777" w:rsidR="0069026F" w:rsidRPr="0069026F" w:rsidRDefault="0069026F" w:rsidP="0069026F">
            <w:pPr>
              <w:spacing w:before="0" w:after="0" w:line="240" w:lineRule="auto"/>
              <w:rPr>
                <w:rFonts w:ascii="Arial" w:hAnsi="Arial" w:cs="Arial"/>
                <w:color w:val="000000"/>
                <w:sz w:val="16"/>
                <w:szCs w:val="16"/>
              </w:rPr>
            </w:pPr>
            <w:r w:rsidRPr="0069026F">
              <w:rPr>
                <w:rFonts w:ascii="Arial" w:hAnsi="Arial" w:cs="Arial"/>
                <w:color w:val="000000"/>
                <w:sz w:val="16"/>
                <w:szCs w:val="16"/>
              </w:rPr>
              <w:t> </w:t>
            </w:r>
          </w:p>
        </w:tc>
        <w:tc>
          <w:tcPr>
            <w:tcW w:w="550" w:type="pct"/>
            <w:tcBorders>
              <w:top w:val="nil"/>
              <w:left w:val="nil"/>
              <w:bottom w:val="single" w:sz="4" w:space="0" w:color="293F5B"/>
              <w:right w:val="nil"/>
            </w:tcBorders>
            <w:shd w:val="clear" w:color="000000" w:fill="FFFFFF"/>
            <w:noWrap/>
            <w:vAlign w:val="center"/>
            <w:hideMark/>
          </w:tcPr>
          <w:p w14:paraId="35363017" w14:textId="77777777" w:rsidR="0069026F" w:rsidRPr="0069026F" w:rsidRDefault="0069026F" w:rsidP="0069026F">
            <w:pPr>
              <w:spacing w:before="0" w:after="0" w:line="240" w:lineRule="auto"/>
              <w:rPr>
                <w:rFonts w:ascii="Arial" w:hAnsi="Arial" w:cs="Arial"/>
                <w:color w:val="000000"/>
                <w:sz w:val="16"/>
                <w:szCs w:val="16"/>
              </w:rPr>
            </w:pPr>
            <w:r w:rsidRPr="0069026F">
              <w:rPr>
                <w:rFonts w:ascii="Arial" w:hAnsi="Arial" w:cs="Arial"/>
                <w:color w:val="000000"/>
                <w:sz w:val="16"/>
                <w:szCs w:val="16"/>
              </w:rPr>
              <w:t> </w:t>
            </w:r>
          </w:p>
        </w:tc>
        <w:tc>
          <w:tcPr>
            <w:tcW w:w="550" w:type="pct"/>
            <w:tcBorders>
              <w:top w:val="nil"/>
              <w:left w:val="nil"/>
              <w:bottom w:val="single" w:sz="4" w:space="0" w:color="293F5B"/>
              <w:right w:val="nil"/>
            </w:tcBorders>
            <w:shd w:val="clear" w:color="000000" w:fill="FFFFFF"/>
            <w:noWrap/>
            <w:vAlign w:val="center"/>
            <w:hideMark/>
          </w:tcPr>
          <w:p w14:paraId="7ADFB9F2" w14:textId="77777777" w:rsidR="0069026F" w:rsidRPr="0069026F" w:rsidRDefault="0069026F" w:rsidP="0069026F">
            <w:pPr>
              <w:spacing w:before="0" w:after="0" w:line="240" w:lineRule="auto"/>
              <w:rPr>
                <w:rFonts w:ascii="Arial" w:hAnsi="Arial" w:cs="Arial"/>
                <w:color w:val="000000"/>
                <w:sz w:val="16"/>
                <w:szCs w:val="16"/>
              </w:rPr>
            </w:pPr>
            <w:r w:rsidRPr="0069026F">
              <w:rPr>
                <w:rFonts w:ascii="Arial" w:hAnsi="Arial" w:cs="Arial"/>
                <w:color w:val="000000"/>
                <w:sz w:val="16"/>
                <w:szCs w:val="16"/>
              </w:rPr>
              <w:t> </w:t>
            </w:r>
          </w:p>
        </w:tc>
        <w:tc>
          <w:tcPr>
            <w:tcW w:w="550" w:type="pct"/>
            <w:tcBorders>
              <w:top w:val="nil"/>
              <w:left w:val="nil"/>
              <w:bottom w:val="single" w:sz="4" w:space="0" w:color="293F5B"/>
              <w:right w:val="nil"/>
            </w:tcBorders>
            <w:shd w:val="clear" w:color="000000" w:fill="FFFFFF"/>
            <w:noWrap/>
            <w:vAlign w:val="center"/>
            <w:hideMark/>
          </w:tcPr>
          <w:p w14:paraId="73ED5FB6" w14:textId="77777777" w:rsidR="0069026F" w:rsidRPr="0069026F" w:rsidRDefault="0069026F" w:rsidP="0069026F">
            <w:pPr>
              <w:spacing w:before="0" w:after="0" w:line="240" w:lineRule="auto"/>
              <w:rPr>
                <w:rFonts w:ascii="Arial" w:hAnsi="Arial" w:cs="Arial"/>
                <w:color w:val="000000"/>
                <w:sz w:val="16"/>
                <w:szCs w:val="16"/>
              </w:rPr>
            </w:pPr>
            <w:r w:rsidRPr="0069026F">
              <w:rPr>
                <w:rFonts w:ascii="Arial" w:hAnsi="Arial" w:cs="Arial"/>
                <w:color w:val="000000"/>
                <w:sz w:val="16"/>
                <w:szCs w:val="16"/>
              </w:rPr>
              <w:t> </w:t>
            </w:r>
          </w:p>
        </w:tc>
      </w:tr>
      <w:tr w:rsidR="0069026F" w:rsidRPr="0069026F" w14:paraId="17B33EBE" w14:textId="77777777" w:rsidTr="00FB3363">
        <w:trPr>
          <w:trHeight w:hRule="exact" w:val="226"/>
        </w:trPr>
        <w:tc>
          <w:tcPr>
            <w:tcW w:w="2183" w:type="pct"/>
            <w:tcBorders>
              <w:top w:val="nil"/>
              <w:left w:val="nil"/>
              <w:bottom w:val="nil"/>
              <w:right w:val="nil"/>
            </w:tcBorders>
            <w:shd w:val="clear" w:color="000000" w:fill="FFFFFF"/>
            <w:noWrap/>
            <w:vAlign w:val="center"/>
            <w:hideMark/>
          </w:tcPr>
          <w:p w14:paraId="19D79292" w14:textId="77777777" w:rsidR="0069026F" w:rsidRPr="0069026F" w:rsidRDefault="0069026F" w:rsidP="0069026F">
            <w:pPr>
              <w:spacing w:before="0" w:after="0" w:line="240" w:lineRule="auto"/>
              <w:rPr>
                <w:rFonts w:ascii="Arial" w:hAnsi="Arial" w:cs="Arial"/>
                <w:b/>
                <w:bCs/>
                <w:color w:val="000000"/>
                <w:sz w:val="16"/>
                <w:szCs w:val="16"/>
              </w:rPr>
            </w:pPr>
            <w:r w:rsidRPr="0069026F">
              <w:rPr>
                <w:rFonts w:ascii="Arial" w:hAnsi="Arial" w:cs="Arial"/>
                <w:b/>
                <w:bCs/>
                <w:color w:val="000000"/>
                <w:sz w:val="16"/>
                <w:szCs w:val="16"/>
              </w:rPr>
              <w:t>Component(a)</w:t>
            </w:r>
          </w:p>
        </w:tc>
        <w:tc>
          <w:tcPr>
            <w:tcW w:w="68" w:type="pct"/>
            <w:tcBorders>
              <w:top w:val="nil"/>
              <w:left w:val="nil"/>
              <w:bottom w:val="nil"/>
              <w:right w:val="nil"/>
            </w:tcBorders>
            <w:shd w:val="clear" w:color="000000" w:fill="FFFFFF"/>
            <w:noWrap/>
            <w:vAlign w:val="center"/>
            <w:hideMark/>
          </w:tcPr>
          <w:p w14:paraId="7E1EB464" w14:textId="77777777" w:rsidR="0069026F" w:rsidRPr="0069026F" w:rsidRDefault="0069026F" w:rsidP="0069026F">
            <w:pPr>
              <w:spacing w:before="0" w:after="0" w:line="240" w:lineRule="auto"/>
              <w:rPr>
                <w:rFonts w:ascii="Arial" w:hAnsi="Arial" w:cs="Arial"/>
                <w:color w:val="000000"/>
                <w:sz w:val="16"/>
                <w:szCs w:val="16"/>
              </w:rPr>
            </w:pPr>
            <w:r w:rsidRPr="0069026F">
              <w:rPr>
                <w:rFonts w:ascii="Arial" w:hAnsi="Arial" w:cs="Arial"/>
                <w:color w:val="000000"/>
                <w:sz w:val="16"/>
                <w:szCs w:val="16"/>
              </w:rPr>
              <w:t> </w:t>
            </w:r>
          </w:p>
        </w:tc>
        <w:tc>
          <w:tcPr>
            <w:tcW w:w="2748" w:type="pct"/>
            <w:gridSpan w:val="5"/>
            <w:tcBorders>
              <w:top w:val="single" w:sz="4" w:space="0" w:color="293F5B"/>
              <w:left w:val="nil"/>
              <w:bottom w:val="single" w:sz="4" w:space="0" w:color="293F5B"/>
              <w:right w:val="nil"/>
            </w:tcBorders>
            <w:shd w:val="clear" w:color="000000" w:fill="FFFFFF"/>
            <w:noWrap/>
            <w:vAlign w:val="center"/>
            <w:hideMark/>
          </w:tcPr>
          <w:p w14:paraId="7AFB59DC" w14:textId="77777777" w:rsidR="0069026F" w:rsidRPr="0069026F" w:rsidRDefault="0069026F" w:rsidP="0069026F">
            <w:pPr>
              <w:spacing w:before="0" w:after="0" w:line="240" w:lineRule="auto"/>
              <w:jc w:val="center"/>
              <w:rPr>
                <w:rFonts w:ascii="Arial" w:hAnsi="Arial" w:cs="Arial"/>
                <w:color w:val="000000"/>
                <w:sz w:val="16"/>
                <w:szCs w:val="16"/>
              </w:rPr>
            </w:pPr>
            <w:r w:rsidRPr="0069026F">
              <w:rPr>
                <w:rFonts w:ascii="Arial" w:hAnsi="Arial" w:cs="Arial"/>
                <w:color w:val="000000"/>
                <w:sz w:val="16"/>
                <w:szCs w:val="16"/>
              </w:rPr>
              <w:t>Estimates</w:t>
            </w:r>
          </w:p>
        </w:tc>
      </w:tr>
      <w:tr w:rsidR="0069026F" w:rsidRPr="0069026F" w14:paraId="5464994A" w14:textId="77777777" w:rsidTr="0069026F">
        <w:trPr>
          <w:trHeight w:hRule="exact" w:val="226"/>
        </w:trPr>
        <w:tc>
          <w:tcPr>
            <w:tcW w:w="2183" w:type="pct"/>
            <w:tcBorders>
              <w:top w:val="nil"/>
              <w:left w:val="nil"/>
              <w:bottom w:val="nil"/>
              <w:right w:val="nil"/>
            </w:tcBorders>
            <w:shd w:val="clear" w:color="000000" w:fill="FFFFFF"/>
            <w:noWrap/>
            <w:vAlign w:val="bottom"/>
            <w:hideMark/>
          </w:tcPr>
          <w:p w14:paraId="527AAF34" w14:textId="77777777" w:rsidR="0069026F" w:rsidRPr="0069026F" w:rsidRDefault="0069026F" w:rsidP="0069026F">
            <w:pPr>
              <w:spacing w:before="0" w:after="0" w:line="240" w:lineRule="auto"/>
              <w:rPr>
                <w:rFonts w:ascii="Arial" w:hAnsi="Arial" w:cs="Arial"/>
                <w:color w:val="000000"/>
                <w:sz w:val="16"/>
                <w:szCs w:val="16"/>
              </w:rPr>
            </w:pPr>
            <w:r w:rsidRPr="0069026F">
              <w:rPr>
                <w:rFonts w:ascii="Arial" w:hAnsi="Arial" w:cs="Arial"/>
                <w:color w:val="000000"/>
                <w:sz w:val="16"/>
                <w:szCs w:val="16"/>
              </w:rPr>
              <w:t> </w:t>
            </w:r>
          </w:p>
        </w:tc>
        <w:tc>
          <w:tcPr>
            <w:tcW w:w="68" w:type="pct"/>
            <w:tcBorders>
              <w:top w:val="nil"/>
              <w:left w:val="nil"/>
              <w:bottom w:val="nil"/>
              <w:right w:val="nil"/>
            </w:tcBorders>
            <w:shd w:val="clear" w:color="000000" w:fill="FFFFFF"/>
            <w:noWrap/>
            <w:vAlign w:val="center"/>
            <w:hideMark/>
          </w:tcPr>
          <w:p w14:paraId="47A02FDD" w14:textId="77777777" w:rsidR="0069026F" w:rsidRPr="0069026F" w:rsidRDefault="0069026F" w:rsidP="0069026F">
            <w:pPr>
              <w:spacing w:before="0" w:after="0" w:line="240" w:lineRule="auto"/>
              <w:jc w:val="right"/>
              <w:rPr>
                <w:rFonts w:ascii="Arial" w:hAnsi="Arial" w:cs="Arial"/>
                <w:sz w:val="16"/>
                <w:szCs w:val="16"/>
              </w:rPr>
            </w:pPr>
            <w:r w:rsidRPr="0069026F">
              <w:rPr>
                <w:rFonts w:ascii="Arial" w:hAnsi="Arial" w:cs="Arial"/>
                <w:sz w:val="16"/>
                <w:szCs w:val="16"/>
              </w:rPr>
              <w:t> </w:t>
            </w:r>
          </w:p>
        </w:tc>
        <w:tc>
          <w:tcPr>
            <w:tcW w:w="550" w:type="pct"/>
            <w:tcBorders>
              <w:top w:val="single" w:sz="4" w:space="0" w:color="293F5B"/>
              <w:left w:val="nil"/>
              <w:bottom w:val="nil"/>
              <w:right w:val="nil"/>
            </w:tcBorders>
            <w:shd w:val="clear" w:color="000000" w:fill="FFFFFF"/>
            <w:noWrap/>
            <w:vAlign w:val="center"/>
            <w:hideMark/>
          </w:tcPr>
          <w:p w14:paraId="6759002F" w14:textId="45453400" w:rsidR="0069026F" w:rsidRPr="0069026F" w:rsidRDefault="0069026F" w:rsidP="0069026F">
            <w:pPr>
              <w:spacing w:before="0" w:after="0" w:line="240" w:lineRule="auto"/>
              <w:jc w:val="right"/>
              <w:rPr>
                <w:rFonts w:ascii="Arial" w:hAnsi="Arial" w:cs="Arial"/>
                <w:sz w:val="16"/>
                <w:szCs w:val="16"/>
              </w:rPr>
            </w:pPr>
            <w:r w:rsidRPr="0069026F">
              <w:rPr>
                <w:rFonts w:ascii="Arial" w:hAnsi="Arial" w:cs="Arial"/>
                <w:sz w:val="16"/>
                <w:szCs w:val="16"/>
              </w:rPr>
              <w:t>2023</w:t>
            </w:r>
            <w:r w:rsidR="008D4F6B">
              <w:rPr>
                <w:rFonts w:ascii="Arial" w:hAnsi="Arial" w:cs="Arial"/>
                <w:sz w:val="16"/>
                <w:szCs w:val="16"/>
              </w:rPr>
              <w:noBreakHyphen/>
            </w:r>
            <w:r w:rsidRPr="0069026F">
              <w:rPr>
                <w:rFonts w:ascii="Arial" w:hAnsi="Arial" w:cs="Arial"/>
                <w:sz w:val="16"/>
                <w:szCs w:val="16"/>
              </w:rPr>
              <w:t>24</w:t>
            </w:r>
          </w:p>
        </w:tc>
        <w:tc>
          <w:tcPr>
            <w:tcW w:w="550" w:type="pct"/>
            <w:tcBorders>
              <w:top w:val="single" w:sz="4" w:space="0" w:color="293F5B"/>
              <w:left w:val="nil"/>
              <w:bottom w:val="nil"/>
              <w:right w:val="nil"/>
            </w:tcBorders>
            <w:shd w:val="clear" w:color="000000" w:fill="E6F2FF"/>
            <w:noWrap/>
            <w:vAlign w:val="center"/>
            <w:hideMark/>
          </w:tcPr>
          <w:p w14:paraId="5C68EF2D" w14:textId="2045D612" w:rsidR="0069026F" w:rsidRPr="0069026F" w:rsidRDefault="0069026F" w:rsidP="0069026F">
            <w:pPr>
              <w:spacing w:before="0" w:after="0" w:line="240" w:lineRule="auto"/>
              <w:jc w:val="right"/>
              <w:rPr>
                <w:rFonts w:ascii="Arial" w:hAnsi="Arial" w:cs="Arial"/>
                <w:sz w:val="16"/>
                <w:szCs w:val="16"/>
              </w:rPr>
            </w:pPr>
            <w:r w:rsidRPr="0069026F">
              <w:rPr>
                <w:rFonts w:ascii="Arial" w:hAnsi="Arial" w:cs="Arial"/>
                <w:sz w:val="16"/>
                <w:szCs w:val="16"/>
              </w:rPr>
              <w:t>2024</w:t>
            </w:r>
            <w:r w:rsidR="008D4F6B">
              <w:rPr>
                <w:rFonts w:ascii="Arial" w:hAnsi="Arial" w:cs="Arial"/>
                <w:sz w:val="16"/>
                <w:szCs w:val="16"/>
              </w:rPr>
              <w:noBreakHyphen/>
            </w:r>
            <w:r w:rsidRPr="0069026F">
              <w:rPr>
                <w:rFonts w:ascii="Arial" w:hAnsi="Arial" w:cs="Arial"/>
                <w:sz w:val="16"/>
                <w:szCs w:val="16"/>
              </w:rPr>
              <w:t>25</w:t>
            </w:r>
          </w:p>
        </w:tc>
        <w:tc>
          <w:tcPr>
            <w:tcW w:w="550" w:type="pct"/>
            <w:tcBorders>
              <w:top w:val="single" w:sz="4" w:space="0" w:color="293F5B"/>
              <w:left w:val="nil"/>
              <w:bottom w:val="nil"/>
              <w:right w:val="nil"/>
            </w:tcBorders>
            <w:shd w:val="clear" w:color="000000" w:fill="FFFFFF"/>
            <w:noWrap/>
            <w:vAlign w:val="center"/>
            <w:hideMark/>
          </w:tcPr>
          <w:p w14:paraId="40AC84F6" w14:textId="496B75D0" w:rsidR="0069026F" w:rsidRPr="0069026F" w:rsidRDefault="0069026F" w:rsidP="0069026F">
            <w:pPr>
              <w:spacing w:before="0" w:after="0" w:line="240" w:lineRule="auto"/>
              <w:jc w:val="right"/>
              <w:rPr>
                <w:rFonts w:ascii="Arial" w:hAnsi="Arial" w:cs="Arial"/>
                <w:sz w:val="16"/>
                <w:szCs w:val="16"/>
              </w:rPr>
            </w:pPr>
            <w:r w:rsidRPr="0069026F">
              <w:rPr>
                <w:rFonts w:ascii="Arial" w:hAnsi="Arial" w:cs="Arial"/>
                <w:sz w:val="16"/>
                <w:szCs w:val="16"/>
              </w:rPr>
              <w:t>2025</w:t>
            </w:r>
            <w:r w:rsidR="008D4F6B">
              <w:rPr>
                <w:rFonts w:ascii="Arial" w:hAnsi="Arial" w:cs="Arial"/>
                <w:sz w:val="16"/>
                <w:szCs w:val="16"/>
              </w:rPr>
              <w:noBreakHyphen/>
            </w:r>
            <w:r w:rsidRPr="0069026F">
              <w:rPr>
                <w:rFonts w:ascii="Arial" w:hAnsi="Arial" w:cs="Arial"/>
                <w:sz w:val="16"/>
                <w:szCs w:val="16"/>
              </w:rPr>
              <w:t>26</w:t>
            </w:r>
          </w:p>
        </w:tc>
        <w:tc>
          <w:tcPr>
            <w:tcW w:w="550" w:type="pct"/>
            <w:tcBorders>
              <w:top w:val="single" w:sz="4" w:space="0" w:color="293F5B"/>
              <w:left w:val="nil"/>
              <w:bottom w:val="nil"/>
              <w:right w:val="nil"/>
            </w:tcBorders>
            <w:shd w:val="clear" w:color="000000" w:fill="FFFFFF"/>
            <w:noWrap/>
            <w:vAlign w:val="center"/>
            <w:hideMark/>
          </w:tcPr>
          <w:p w14:paraId="3575B59F" w14:textId="4A0D9E47" w:rsidR="0069026F" w:rsidRPr="0069026F" w:rsidRDefault="0069026F" w:rsidP="0069026F">
            <w:pPr>
              <w:spacing w:before="0" w:after="0" w:line="240" w:lineRule="auto"/>
              <w:jc w:val="right"/>
              <w:rPr>
                <w:rFonts w:ascii="Arial" w:hAnsi="Arial" w:cs="Arial"/>
                <w:sz w:val="16"/>
                <w:szCs w:val="16"/>
              </w:rPr>
            </w:pPr>
            <w:r w:rsidRPr="0069026F">
              <w:rPr>
                <w:rFonts w:ascii="Arial" w:hAnsi="Arial" w:cs="Arial"/>
                <w:sz w:val="16"/>
                <w:szCs w:val="16"/>
              </w:rPr>
              <w:t>2026</w:t>
            </w:r>
            <w:r w:rsidR="008D4F6B">
              <w:rPr>
                <w:rFonts w:ascii="Arial" w:hAnsi="Arial" w:cs="Arial"/>
                <w:sz w:val="16"/>
                <w:szCs w:val="16"/>
              </w:rPr>
              <w:noBreakHyphen/>
            </w:r>
            <w:r w:rsidRPr="0069026F">
              <w:rPr>
                <w:rFonts w:ascii="Arial" w:hAnsi="Arial" w:cs="Arial"/>
                <w:sz w:val="16"/>
                <w:szCs w:val="16"/>
              </w:rPr>
              <w:t>27</w:t>
            </w:r>
          </w:p>
        </w:tc>
        <w:tc>
          <w:tcPr>
            <w:tcW w:w="550" w:type="pct"/>
            <w:tcBorders>
              <w:top w:val="single" w:sz="4" w:space="0" w:color="293F5B"/>
              <w:left w:val="nil"/>
              <w:bottom w:val="nil"/>
              <w:right w:val="nil"/>
            </w:tcBorders>
            <w:shd w:val="clear" w:color="000000" w:fill="FFFFFF"/>
            <w:noWrap/>
            <w:vAlign w:val="center"/>
            <w:hideMark/>
          </w:tcPr>
          <w:p w14:paraId="7FC56FF2" w14:textId="03B50DFA" w:rsidR="0069026F" w:rsidRPr="0069026F" w:rsidRDefault="0069026F" w:rsidP="0069026F">
            <w:pPr>
              <w:spacing w:before="0" w:after="0" w:line="240" w:lineRule="auto"/>
              <w:jc w:val="right"/>
              <w:rPr>
                <w:rFonts w:ascii="Arial" w:hAnsi="Arial" w:cs="Arial"/>
                <w:color w:val="000000"/>
                <w:sz w:val="16"/>
                <w:szCs w:val="16"/>
              </w:rPr>
            </w:pPr>
            <w:r w:rsidRPr="0069026F">
              <w:rPr>
                <w:rFonts w:ascii="Arial" w:hAnsi="Arial" w:cs="Arial"/>
                <w:color w:val="000000"/>
                <w:sz w:val="16"/>
                <w:szCs w:val="16"/>
              </w:rPr>
              <w:t>2027</w:t>
            </w:r>
            <w:r w:rsidR="008D4F6B">
              <w:rPr>
                <w:rFonts w:ascii="Arial" w:hAnsi="Arial" w:cs="Arial"/>
                <w:color w:val="000000"/>
                <w:sz w:val="16"/>
                <w:szCs w:val="16"/>
              </w:rPr>
              <w:noBreakHyphen/>
            </w:r>
            <w:r w:rsidRPr="0069026F">
              <w:rPr>
                <w:rFonts w:ascii="Arial" w:hAnsi="Arial" w:cs="Arial"/>
                <w:color w:val="000000"/>
                <w:sz w:val="16"/>
                <w:szCs w:val="16"/>
              </w:rPr>
              <w:t>28</w:t>
            </w:r>
          </w:p>
        </w:tc>
      </w:tr>
      <w:tr w:rsidR="0069026F" w:rsidRPr="0069026F" w14:paraId="52359EBA" w14:textId="77777777" w:rsidTr="0069026F">
        <w:trPr>
          <w:trHeight w:hRule="exact" w:val="226"/>
        </w:trPr>
        <w:tc>
          <w:tcPr>
            <w:tcW w:w="2183" w:type="pct"/>
            <w:tcBorders>
              <w:top w:val="nil"/>
              <w:left w:val="nil"/>
              <w:bottom w:val="nil"/>
              <w:right w:val="nil"/>
            </w:tcBorders>
            <w:shd w:val="clear" w:color="000000" w:fill="FFFFFF"/>
            <w:noWrap/>
            <w:vAlign w:val="center"/>
            <w:hideMark/>
          </w:tcPr>
          <w:p w14:paraId="325987D2" w14:textId="77777777" w:rsidR="0069026F" w:rsidRPr="0069026F" w:rsidRDefault="0069026F" w:rsidP="0069026F">
            <w:pPr>
              <w:spacing w:before="0" w:after="0" w:line="240" w:lineRule="auto"/>
              <w:rPr>
                <w:rFonts w:ascii="Arial" w:hAnsi="Arial" w:cs="Arial"/>
                <w:color w:val="000000"/>
                <w:sz w:val="16"/>
                <w:szCs w:val="16"/>
              </w:rPr>
            </w:pPr>
            <w:r w:rsidRPr="0069026F">
              <w:rPr>
                <w:rFonts w:ascii="Arial" w:hAnsi="Arial" w:cs="Arial"/>
                <w:color w:val="000000"/>
                <w:sz w:val="16"/>
                <w:szCs w:val="16"/>
              </w:rPr>
              <w:t> </w:t>
            </w:r>
          </w:p>
        </w:tc>
        <w:tc>
          <w:tcPr>
            <w:tcW w:w="68" w:type="pct"/>
            <w:tcBorders>
              <w:top w:val="nil"/>
              <w:left w:val="nil"/>
              <w:bottom w:val="nil"/>
              <w:right w:val="nil"/>
            </w:tcBorders>
            <w:shd w:val="clear" w:color="000000" w:fill="FFFFFF"/>
            <w:noWrap/>
            <w:vAlign w:val="center"/>
            <w:hideMark/>
          </w:tcPr>
          <w:p w14:paraId="2FBC5842" w14:textId="77777777" w:rsidR="0069026F" w:rsidRPr="0069026F" w:rsidRDefault="0069026F" w:rsidP="0069026F">
            <w:pPr>
              <w:spacing w:before="0" w:after="0" w:line="240" w:lineRule="auto"/>
              <w:jc w:val="right"/>
              <w:rPr>
                <w:rFonts w:ascii="Arial" w:hAnsi="Arial" w:cs="Arial"/>
                <w:color w:val="000000"/>
                <w:sz w:val="16"/>
                <w:szCs w:val="16"/>
              </w:rPr>
            </w:pPr>
            <w:r w:rsidRPr="0069026F">
              <w:rPr>
                <w:rFonts w:ascii="Arial" w:hAnsi="Arial" w:cs="Arial"/>
                <w:color w:val="000000"/>
                <w:sz w:val="16"/>
                <w:szCs w:val="16"/>
              </w:rPr>
              <w:t> </w:t>
            </w:r>
          </w:p>
        </w:tc>
        <w:tc>
          <w:tcPr>
            <w:tcW w:w="550" w:type="pct"/>
            <w:tcBorders>
              <w:top w:val="nil"/>
              <w:left w:val="nil"/>
              <w:bottom w:val="single" w:sz="4" w:space="0" w:color="293F5B"/>
              <w:right w:val="nil"/>
            </w:tcBorders>
            <w:shd w:val="clear" w:color="000000" w:fill="FFFFFF"/>
            <w:noWrap/>
            <w:vAlign w:val="center"/>
            <w:hideMark/>
          </w:tcPr>
          <w:p w14:paraId="6792B510" w14:textId="77777777" w:rsidR="0069026F" w:rsidRPr="0069026F" w:rsidRDefault="0069026F" w:rsidP="0069026F">
            <w:pPr>
              <w:spacing w:before="0" w:after="0" w:line="240" w:lineRule="auto"/>
              <w:jc w:val="right"/>
              <w:rPr>
                <w:rFonts w:ascii="Arial" w:hAnsi="Arial" w:cs="Arial"/>
                <w:color w:val="000000"/>
                <w:sz w:val="16"/>
                <w:szCs w:val="16"/>
              </w:rPr>
            </w:pPr>
            <w:r w:rsidRPr="0069026F">
              <w:rPr>
                <w:rFonts w:ascii="Arial" w:hAnsi="Arial" w:cs="Arial"/>
                <w:color w:val="000000"/>
                <w:sz w:val="16"/>
                <w:szCs w:val="16"/>
              </w:rPr>
              <w:t>$m</w:t>
            </w:r>
          </w:p>
        </w:tc>
        <w:tc>
          <w:tcPr>
            <w:tcW w:w="550" w:type="pct"/>
            <w:tcBorders>
              <w:top w:val="nil"/>
              <w:left w:val="nil"/>
              <w:bottom w:val="single" w:sz="4" w:space="0" w:color="293F5B"/>
              <w:right w:val="nil"/>
            </w:tcBorders>
            <w:shd w:val="clear" w:color="000000" w:fill="E6F2FF"/>
            <w:noWrap/>
            <w:vAlign w:val="center"/>
            <w:hideMark/>
          </w:tcPr>
          <w:p w14:paraId="023925E5" w14:textId="77777777" w:rsidR="0069026F" w:rsidRPr="0069026F" w:rsidRDefault="0069026F" w:rsidP="0069026F">
            <w:pPr>
              <w:spacing w:before="0" w:after="0" w:line="240" w:lineRule="auto"/>
              <w:jc w:val="right"/>
              <w:rPr>
                <w:rFonts w:ascii="Arial" w:hAnsi="Arial" w:cs="Arial"/>
                <w:color w:val="000000"/>
                <w:sz w:val="16"/>
                <w:szCs w:val="16"/>
              </w:rPr>
            </w:pPr>
            <w:r w:rsidRPr="0069026F">
              <w:rPr>
                <w:rFonts w:ascii="Arial" w:hAnsi="Arial" w:cs="Arial"/>
                <w:color w:val="000000"/>
                <w:sz w:val="16"/>
                <w:szCs w:val="16"/>
              </w:rPr>
              <w:t>$m</w:t>
            </w:r>
          </w:p>
        </w:tc>
        <w:tc>
          <w:tcPr>
            <w:tcW w:w="550" w:type="pct"/>
            <w:tcBorders>
              <w:top w:val="nil"/>
              <w:left w:val="nil"/>
              <w:bottom w:val="single" w:sz="4" w:space="0" w:color="293F5B"/>
              <w:right w:val="nil"/>
            </w:tcBorders>
            <w:shd w:val="clear" w:color="000000" w:fill="FFFFFF"/>
            <w:noWrap/>
            <w:vAlign w:val="center"/>
            <w:hideMark/>
          </w:tcPr>
          <w:p w14:paraId="656F7810" w14:textId="77777777" w:rsidR="0069026F" w:rsidRPr="0069026F" w:rsidRDefault="0069026F" w:rsidP="0069026F">
            <w:pPr>
              <w:spacing w:before="0" w:after="0" w:line="240" w:lineRule="auto"/>
              <w:jc w:val="right"/>
              <w:rPr>
                <w:rFonts w:ascii="Arial" w:hAnsi="Arial" w:cs="Arial"/>
                <w:color w:val="000000"/>
                <w:sz w:val="16"/>
                <w:szCs w:val="16"/>
              </w:rPr>
            </w:pPr>
            <w:r w:rsidRPr="0069026F">
              <w:rPr>
                <w:rFonts w:ascii="Arial" w:hAnsi="Arial" w:cs="Arial"/>
                <w:color w:val="000000"/>
                <w:sz w:val="16"/>
                <w:szCs w:val="16"/>
              </w:rPr>
              <w:t>$m</w:t>
            </w:r>
          </w:p>
        </w:tc>
        <w:tc>
          <w:tcPr>
            <w:tcW w:w="550" w:type="pct"/>
            <w:tcBorders>
              <w:top w:val="nil"/>
              <w:left w:val="nil"/>
              <w:bottom w:val="single" w:sz="4" w:space="0" w:color="293F5B"/>
              <w:right w:val="nil"/>
            </w:tcBorders>
            <w:shd w:val="clear" w:color="000000" w:fill="FFFFFF"/>
            <w:noWrap/>
            <w:vAlign w:val="center"/>
            <w:hideMark/>
          </w:tcPr>
          <w:p w14:paraId="005DEEA9" w14:textId="77777777" w:rsidR="0069026F" w:rsidRPr="0069026F" w:rsidRDefault="0069026F" w:rsidP="0069026F">
            <w:pPr>
              <w:spacing w:before="0" w:after="0" w:line="240" w:lineRule="auto"/>
              <w:jc w:val="right"/>
              <w:rPr>
                <w:rFonts w:ascii="Arial" w:hAnsi="Arial" w:cs="Arial"/>
                <w:color w:val="000000"/>
                <w:sz w:val="16"/>
                <w:szCs w:val="16"/>
              </w:rPr>
            </w:pPr>
            <w:r w:rsidRPr="0069026F">
              <w:rPr>
                <w:rFonts w:ascii="Arial" w:hAnsi="Arial" w:cs="Arial"/>
                <w:color w:val="000000"/>
                <w:sz w:val="16"/>
                <w:szCs w:val="16"/>
              </w:rPr>
              <w:t>$m</w:t>
            </w:r>
          </w:p>
        </w:tc>
        <w:tc>
          <w:tcPr>
            <w:tcW w:w="550" w:type="pct"/>
            <w:tcBorders>
              <w:top w:val="nil"/>
              <w:left w:val="nil"/>
              <w:bottom w:val="single" w:sz="4" w:space="0" w:color="293F5B"/>
              <w:right w:val="nil"/>
            </w:tcBorders>
            <w:shd w:val="clear" w:color="000000" w:fill="FFFFFF"/>
            <w:noWrap/>
            <w:vAlign w:val="center"/>
            <w:hideMark/>
          </w:tcPr>
          <w:p w14:paraId="2E9982A4" w14:textId="77777777" w:rsidR="0069026F" w:rsidRPr="0069026F" w:rsidRDefault="0069026F" w:rsidP="0069026F">
            <w:pPr>
              <w:spacing w:before="0" w:after="0" w:line="240" w:lineRule="auto"/>
              <w:jc w:val="right"/>
              <w:rPr>
                <w:rFonts w:ascii="Arial" w:hAnsi="Arial" w:cs="Arial"/>
                <w:color w:val="000000"/>
                <w:sz w:val="16"/>
                <w:szCs w:val="16"/>
              </w:rPr>
            </w:pPr>
            <w:r w:rsidRPr="0069026F">
              <w:rPr>
                <w:rFonts w:ascii="Arial" w:hAnsi="Arial" w:cs="Arial"/>
                <w:color w:val="000000"/>
                <w:sz w:val="16"/>
                <w:szCs w:val="16"/>
              </w:rPr>
              <w:t>$m</w:t>
            </w:r>
          </w:p>
        </w:tc>
      </w:tr>
      <w:tr w:rsidR="0069026F" w:rsidRPr="0069026F" w14:paraId="08977414" w14:textId="77777777" w:rsidTr="00FB3363">
        <w:trPr>
          <w:trHeight w:hRule="exact" w:val="224"/>
        </w:trPr>
        <w:tc>
          <w:tcPr>
            <w:tcW w:w="2183" w:type="pct"/>
            <w:tcBorders>
              <w:top w:val="nil"/>
              <w:left w:val="nil"/>
              <w:bottom w:val="nil"/>
              <w:right w:val="nil"/>
            </w:tcBorders>
            <w:shd w:val="clear" w:color="000000" w:fill="FFFFFF"/>
            <w:noWrap/>
            <w:vAlign w:val="center"/>
            <w:hideMark/>
          </w:tcPr>
          <w:p w14:paraId="6E1722EE" w14:textId="77777777" w:rsidR="0069026F" w:rsidRPr="0069026F" w:rsidRDefault="0069026F" w:rsidP="0069026F">
            <w:pPr>
              <w:spacing w:before="0" w:after="0" w:line="240" w:lineRule="auto"/>
              <w:rPr>
                <w:rFonts w:ascii="Arial" w:hAnsi="Arial" w:cs="Arial"/>
                <w:color w:val="000000"/>
                <w:sz w:val="16"/>
                <w:szCs w:val="16"/>
              </w:rPr>
            </w:pPr>
            <w:r w:rsidRPr="0069026F">
              <w:rPr>
                <w:rFonts w:ascii="Arial" w:hAnsi="Arial" w:cs="Arial"/>
                <w:color w:val="000000"/>
                <w:sz w:val="16"/>
                <w:szCs w:val="16"/>
              </w:rPr>
              <w:t>National Disability Insurance Scheme(b)</w:t>
            </w:r>
          </w:p>
        </w:tc>
        <w:tc>
          <w:tcPr>
            <w:tcW w:w="68" w:type="pct"/>
            <w:tcBorders>
              <w:top w:val="nil"/>
              <w:left w:val="nil"/>
              <w:bottom w:val="nil"/>
              <w:right w:val="nil"/>
            </w:tcBorders>
            <w:shd w:val="clear" w:color="000000" w:fill="FFFFFF"/>
            <w:noWrap/>
            <w:vAlign w:val="center"/>
            <w:hideMark/>
          </w:tcPr>
          <w:p w14:paraId="08A3EABE" w14:textId="77777777" w:rsidR="0069026F" w:rsidRPr="0069026F" w:rsidRDefault="0069026F" w:rsidP="0069026F">
            <w:pPr>
              <w:spacing w:before="0" w:after="0" w:line="240" w:lineRule="auto"/>
              <w:rPr>
                <w:rFonts w:ascii="Arial" w:hAnsi="Arial" w:cs="Arial"/>
                <w:color w:val="000000"/>
                <w:sz w:val="16"/>
                <w:szCs w:val="16"/>
              </w:rPr>
            </w:pPr>
            <w:r w:rsidRPr="0069026F">
              <w:rPr>
                <w:rFonts w:ascii="Arial" w:hAnsi="Arial" w:cs="Arial"/>
                <w:color w:val="000000"/>
                <w:sz w:val="16"/>
                <w:szCs w:val="16"/>
              </w:rPr>
              <w:t> </w:t>
            </w:r>
          </w:p>
        </w:tc>
        <w:tc>
          <w:tcPr>
            <w:tcW w:w="550" w:type="pct"/>
            <w:tcBorders>
              <w:top w:val="single" w:sz="4" w:space="0" w:color="293F5B"/>
              <w:left w:val="nil"/>
              <w:bottom w:val="nil"/>
              <w:right w:val="nil"/>
            </w:tcBorders>
            <w:shd w:val="clear" w:color="000000" w:fill="FFFFFF"/>
            <w:noWrap/>
            <w:vAlign w:val="center"/>
            <w:hideMark/>
          </w:tcPr>
          <w:p w14:paraId="13712C41" w14:textId="77777777" w:rsidR="0069026F" w:rsidRPr="0069026F" w:rsidRDefault="0069026F" w:rsidP="0069026F">
            <w:pPr>
              <w:spacing w:before="0" w:after="0" w:line="240" w:lineRule="auto"/>
              <w:jc w:val="right"/>
              <w:rPr>
                <w:rFonts w:ascii="Arial" w:hAnsi="Arial" w:cs="Arial"/>
                <w:color w:val="000000"/>
                <w:sz w:val="16"/>
                <w:szCs w:val="16"/>
              </w:rPr>
            </w:pPr>
            <w:r w:rsidRPr="0069026F">
              <w:rPr>
                <w:rFonts w:ascii="Arial" w:hAnsi="Arial" w:cs="Arial"/>
                <w:color w:val="000000"/>
                <w:sz w:val="16"/>
                <w:szCs w:val="16"/>
              </w:rPr>
              <w:t>44,322</w:t>
            </w:r>
          </w:p>
        </w:tc>
        <w:tc>
          <w:tcPr>
            <w:tcW w:w="550" w:type="pct"/>
            <w:tcBorders>
              <w:top w:val="single" w:sz="4" w:space="0" w:color="293F5B"/>
              <w:left w:val="nil"/>
              <w:bottom w:val="nil"/>
              <w:right w:val="nil"/>
            </w:tcBorders>
            <w:shd w:val="clear" w:color="000000" w:fill="E6F2FF"/>
            <w:noWrap/>
            <w:vAlign w:val="center"/>
            <w:hideMark/>
          </w:tcPr>
          <w:p w14:paraId="77BB7A0C" w14:textId="77777777" w:rsidR="0069026F" w:rsidRPr="0069026F" w:rsidRDefault="0069026F" w:rsidP="0069026F">
            <w:pPr>
              <w:spacing w:before="0" w:after="0" w:line="240" w:lineRule="auto"/>
              <w:jc w:val="right"/>
              <w:rPr>
                <w:rFonts w:ascii="Arial" w:hAnsi="Arial" w:cs="Arial"/>
                <w:color w:val="000000"/>
                <w:sz w:val="16"/>
                <w:szCs w:val="16"/>
              </w:rPr>
            </w:pPr>
            <w:r w:rsidRPr="0069026F">
              <w:rPr>
                <w:rFonts w:ascii="Arial" w:hAnsi="Arial" w:cs="Arial"/>
                <w:color w:val="000000"/>
                <w:sz w:val="16"/>
                <w:szCs w:val="16"/>
              </w:rPr>
              <w:t>48,752</w:t>
            </w:r>
          </w:p>
        </w:tc>
        <w:tc>
          <w:tcPr>
            <w:tcW w:w="550" w:type="pct"/>
            <w:tcBorders>
              <w:top w:val="single" w:sz="4" w:space="0" w:color="293F5B"/>
              <w:left w:val="nil"/>
              <w:bottom w:val="nil"/>
              <w:right w:val="nil"/>
            </w:tcBorders>
            <w:shd w:val="clear" w:color="000000" w:fill="FFFFFF"/>
            <w:noWrap/>
            <w:vAlign w:val="center"/>
            <w:hideMark/>
          </w:tcPr>
          <w:p w14:paraId="6E4626A7" w14:textId="77777777" w:rsidR="0069026F" w:rsidRPr="0069026F" w:rsidRDefault="0069026F" w:rsidP="0069026F">
            <w:pPr>
              <w:spacing w:before="0" w:after="0" w:line="240" w:lineRule="auto"/>
              <w:jc w:val="right"/>
              <w:rPr>
                <w:rFonts w:ascii="Arial" w:hAnsi="Arial" w:cs="Arial"/>
                <w:color w:val="000000"/>
                <w:sz w:val="16"/>
                <w:szCs w:val="16"/>
              </w:rPr>
            </w:pPr>
            <w:r w:rsidRPr="0069026F">
              <w:rPr>
                <w:rFonts w:ascii="Arial" w:hAnsi="Arial" w:cs="Arial"/>
                <w:color w:val="000000"/>
                <w:sz w:val="16"/>
                <w:szCs w:val="16"/>
              </w:rPr>
              <w:t>52,318</w:t>
            </w:r>
          </w:p>
        </w:tc>
        <w:tc>
          <w:tcPr>
            <w:tcW w:w="550" w:type="pct"/>
            <w:tcBorders>
              <w:top w:val="single" w:sz="4" w:space="0" w:color="293F5B"/>
              <w:left w:val="nil"/>
              <w:bottom w:val="nil"/>
              <w:right w:val="nil"/>
            </w:tcBorders>
            <w:shd w:val="clear" w:color="000000" w:fill="FFFFFF"/>
            <w:noWrap/>
            <w:vAlign w:val="center"/>
            <w:hideMark/>
          </w:tcPr>
          <w:p w14:paraId="1445BE18" w14:textId="77777777" w:rsidR="0069026F" w:rsidRPr="0069026F" w:rsidRDefault="0069026F" w:rsidP="0069026F">
            <w:pPr>
              <w:spacing w:before="0" w:after="0" w:line="240" w:lineRule="auto"/>
              <w:jc w:val="right"/>
              <w:rPr>
                <w:rFonts w:ascii="Arial" w:hAnsi="Arial" w:cs="Arial"/>
                <w:color w:val="000000"/>
                <w:sz w:val="16"/>
                <w:szCs w:val="16"/>
              </w:rPr>
            </w:pPr>
            <w:r w:rsidRPr="0069026F">
              <w:rPr>
                <w:rFonts w:ascii="Arial" w:hAnsi="Arial" w:cs="Arial"/>
                <w:color w:val="000000"/>
                <w:sz w:val="16"/>
                <w:szCs w:val="16"/>
              </w:rPr>
              <w:t>56,458</w:t>
            </w:r>
          </w:p>
        </w:tc>
        <w:tc>
          <w:tcPr>
            <w:tcW w:w="550" w:type="pct"/>
            <w:tcBorders>
              <w:top w:val="single" w:sz="4" w:space="0" w:color="293F5B"/>
              <w:left w:val="nil"/>
              <w:bottom w:val="nil"/>
              <w:right w:val="nil"/>
            </w:tcBorders>
            <w:shd w:val="clear" w:color="000000" w:fill="FFFFFF"/>
            <w:noWrap/>
            <w:vAlign w:val="center"/>
            <w:hideMark/>
          </w:tcPr>
          <w:p w14:paraId="529A6813" w14:textId="77777777" w:rsidR="0069026F" w:rsidRPr="0069026F" w:rsidRDefault="0069026F" w:rsidP="0069026F">
            <w:pPr>
              <w:spacing w:before="0" w:after="0" w:line="240" w:lineRule="auto"/>
              <w:jc w:val="right"/>
              <w:rPr>
                <w:rFonts w:ascii="Arial" w:hAnsi="Arial" w:cs="Arial"/>
                <w:color w:val="000000"/>
                <w:sz w:val="16"/>
                <w:szCs w:val="16"/>
              </w:rPr>
            </w:pPr>
            <w:r w:rsidRPr="0069026F">
              <w:rPr>
                <w:rFonts w:ascii="Arial" w:hAnsi="Arial" w:cs="Arial"/>
                <w:color w:val="000000"/>
                <w:sz w:val="16"/>
                <w:szCs w:val="16"/>
              </w:rPr>
              <w:t>60,746</w:t>
            </w:r>
          </w:p>
        </w:tc>
      </w:tr>
      <w:tr w:rsidR="0069026F" w:rsidRPr="0069026F" w14:paraId="5AA161FC" w14:textId="77777777" w:rsidTr="0069026F">
        <w:trPr>
          <w:trHeight w:hRule="exact" w:val="224"/>
        </w:trPr>
        <w:tc>
          <w:tcPr>
            <w:tcW w:w="2183" w:type="pct"/>
            <w:tcBorders>
              <w:top w:val="nil"/>
              <w:left w:val="nil"/>
              <w:bottom w:val="nil"/>
              <w:right w:val="nil"/>
            </w:tcBorders>
            <w:shd w:val="clear" w:color="000000" w:fill="FFFFFF"/>
            <w:noWrap/>
            <w:vAlign w:val="center"/>
            <w:hideMark/>
          </w:tcPr>
          <w:p w14:paraId="354CC835" w14:textId="77777777" w:rsidR="0069026F" w:rsidRPr="0069026F" w:rsidRDefault="0069026F" w:rsidP="0069026F">
            <w:pPr>
              <w:spacing w:before="0" w:after="0" w:line="240" w:lineRule="auto"/>
              <w:rPr>
                <w:rFonts w:ascii="Arial" w:hAnsi="Arial" w:cs="Arial"/>
                <w:color w:val="000000"/>
                <w:sz w:val="16"/>
                <w:szCs w:val="16"/>
              </w:rPr>
            </w:pPr>
            <w:r w:rsidRPr="0069026F">
              <w:rPr>
                <w:rFonts w:ascii="Arial" w:hAnsi="Arial" w:cs="Arial"/>
                <w:color w:val="000000"/>
                <w:sz w:val="16"/>
                <w:szCs w:val="16"/>
              </w:rPr>
              <w:t xml:space="preserve">National Disability Insurance Scheme – </w:t>
            </w:r>
          </w:p>
        </w:tc>
        <w:tc>
          <w:tcPr>
            <w:tcW w:w="68" w:type="pct"/>
            <w:tcBorders>
              <w:top w:val="nil"/>
              <w:left w:val="nil"/>
              <w:bottom w:val="nil"/>
              <w:right w:val="nil"/>
            </w:tcBorders>
            <w:shd w:val="clear" w:color="000000" w:fill="FFFFFF"/>
            <w:noWrap/>
            <w:vAlign w:val="center"/>
            <w:hideMark/>
          </w:tcPr>
          <w:p w14:paraId="5DA961C8" w14:textId="77777777" w:rsidR="0069026F" w:rsidRPr="0069026F" w:rsidRDefault="0069026F" w:rsidP="0069026F">
            <w:pPr>
              <w:spacing w:before="0" w:after="0" w:line="240" w:lineRule="auto"/>
              <w:rPr>
                <w:rFonts w:ascii="Arial" w:hAnsi="Arial" w:cs="Arial"/>
                <w:color w:val="000000"/>
                <w:sz w:val="16"/>
                <w:szCs w:val="16"/>
              </w:rPr>
            </w:pPr>
            <w:r w:rsidRPr="0069026F">
              <w:rPr>
                <w:rFonts w:ascii="Arial" w:hAnsi="Arial" w:cs="Arial"/>
                <w:color w:val="000000"/>
                <w:sz w:val="16"/>
                <w:szCs w:val="16"/>
              </w:rPr>
              <w:t> </w:t>
            </w:r>
          </w:p>
        </w:tc>
        <w:tc>
          <w:tcPr>
            <w:tcW w:w="550" w:type="pct"/>
            <w:tcBorders>
              <w:top w:val="nil"/>
              <w:left w:val="nil"/>
              <w:bottom w:val="nil"/>
              <w:right w:val="nil"/>
            </w:tcBorders>
            <w:shd w:val="clear" w:color="000000" w:fill="FFFFFF"/>
            <w:noWrap/>
            <w:vAlign w:val="center"/>
            <w:hideMark/>
          </w:tcPr>
          <w:p w14:paraId="46192F44" w14:textId="77777777" w:rsidR="0069026F" w:rsidRPr="0069026F" w:rsidRDefault="0069026F" w:rsidP="0069026F">
            <w:pPr>
              <w:spacing w:before="0" w:after="0" w:line="240" w:lineRule="auto"/>
              <w:rPr>
                <w:rFonts w:ascii="Arial" w:hAnsi="Arial" w:cs="Arial"/>
                <w:color w:val="000000"/>
                <w:sz w:val="16"/>
                <w:szCs w:val="16"/>
              </w:rPr>
            </w:pPr>
            <w:r w:rsidRPr="0069026F">
              <w:rPr>
                <w:rFonts w:ascii="Arial" w:hAnsi="Arial" w:cs="Arial"/>
                <w:color w:val="000000"/>
                <w:sz w:val="16"/>
                <w:szCs w:val="16"/>
              </w:rPr>
              <w:t> </w:t>
            </w:r>
          </w:p>
        </w:tc>
        <w:tc>
          <w:tcPr>
            <w:tcW w:w="550" w:type="pct"/>
            <w:tcBorders>
              <w:top w:val="nil"/>
              <w:left w:val="nil"/>
              <w:bottom w:val="nil"/>
              <w:right w:val="nil"/>
            </w:tcBorders>
            <w:shd w:val="clear" w:color="000000" w:fill="E6F2FF"/>
            <w:noWrap/>
            <w:vAlign w:val="center"/>
            <w:hideMark/>
          </w:tcPr>
          <w:p w14:paraId="4F3715F9" w14:textId="77777777" w:rsidR="0069026F" w:rsidRPr="0069026F" w:rsidRDefault="0069026F" w:rsidP="0069026F">
            <w:pPr>
              <w:spacing w:before="0" w:after="0" w:line="240" w:lineRule="auto"/>
              <w:rPr>
                <w:rFonts w:ascii="Arial" w:hAnsi="Arial" w:cs="Arial"/>
                <w:color w:val="000000"/>
                <w:sz w:val="16"/>
                <w:szCs w:val="16"/>
              </w:rPr>
            </w:pPr>
            <w:r w:rsidRPr="0069026F">
              <w:rPr>
                <w:rFonts w:ascii="Arial" w:hAnsi="Arial" w:cs="Arial"/>
                <w:color w:val="000000"/>
                <w:sz w:val="16"/>
                <w:szCs w:val="16"/>
              </w:rPr>
              <w:t> </w:t>
            </w:r>
          </w:p>
        </w:tc>
        <w:tc>
          <w:tcPr>
            <w:tcW w:w="550" w:type="pct"/>
            <w:tcBorders>
              <w:top w:val="nil"/>
              <w:left w:val="nil"/>
              <w:bottom w:val="nil"/>
              <w:right w:val="nil"/>
            </w:tcBorders>
            <w:shd w:val="clear" w:color="000000" w:fill="FFFFFF"/>
            <w:noWrap/>
            <w:vAlign w:val="center"/>
            <w:hideMark/>
          </w:tcPr>
          <w:p w14:paraId="0F52DC3C" w14:textId="77777777" w:rsidR="0069026F" w:rsidRPr="0069026F" w:rsidRDefault="0069026F" w:rsidP="0069026F">
            <w:pPr>
              <w:spacing w:before="0" w:after="0" w:line="240" w:lineRule="auto"/>
              <w:rPr>
                <w:rFonts w:ascii="Arial" w:hAnsi="Arial" w:cs="Arial"/>
                <w:color w:val="000000"/>
                <w:sz w:val="16"/>
                <w:szCs w:val="16"/>
              </w:rPr>
            </w:pPr>
            <w:r w:rsidRPr="0069026F">
              <w:rPr>
                <w:rFonts w:ascii="Arial" w:hAnsi="Arial" w:cs="Arial"/>
                <w:color w:val="000000"/>
                <w:sz w:val="16"/>
                <w:szCs w:val="16"/>
              </w:rPr>
              <w:t> </w:t>
            </w:r>
          </w:p>
        </w:tc>
        <w:tc>
          <w:tcPr>
            <w:tcW w:w="550" w:type="pct"/>
            <w:tcBorders>
              <w:top w:val="nil"/>
              <w:left w:val="nil"/>
              <w:bottom w:val="nil"/>
              <w:right w:val="nil"/>
            </w:tcBorders>
            <w:shd w:val="clear" w:color="000000" w:fill="FFFFFF"/>
            <w:noWrap/>
            <w:vAlign w:val="center"/>
            <w:hideMark/>
          </w:tcPr>
          <w:p w14:paraId="78D7970D" w14:textId="77777777" w:rsidR="0069026F" w:rsidRPr="0069026F" w:rsidRDefault="0069026F" w:rsidP="0069026F">
            <w:pPr>
              <w:spacing w:before="0" w:after="0" w:line="240" w:lineRule="auto"/>
              <w:rPr>
                <w:rFonts w:ascii="Arial" w:hAnsi="Arial" w:cs="Arial"/>
                <w:color w:val="000000"/>
                <w:sz w:val="16"/>
                <w:szCs w:val="16"/>
              </w:rPr>
            </w:pPr>
            <w:r w:rsidRPr="0069026F">
              <w:rPr>
                <w:rFonts w:ascii="Arial" w:hAnsi="Arial" w:cs="Arial"/>
                <w:color w:val="000000"/>
                <w:sz w:val="16"/>
                <w:szCs w:val="16"/>
              </w:rPr>
              <w:t> </w:t>
            </w:r>
          </w:p>
        </w:tc>
        <w:tc>
          <w:tcPr>
            <w:tcW w:w="550" w:type="pct"/>
            <w:tcBorders>
              <w:top w:val="nil"/>
              <w:left w:val="nil"/>
              <w:bottom w:val="nil"/>
              <w:right w:val="nil"/>
            </w:tcBorders>
            <w:shd w:val="clear" w:color="000000" w:fill="FFFFFF"/>
            <w:noWrap/>
            <w:vAlign w:val="center"/>
            <w:hideMark/>
          </w:tcPr>
          <w:p w14:paraId="01CAC2D7" w14:textId="77777777" w:rsidR="0069026F" w:rsidRPr="0069026F" w:rsidRDefault="0069026F" w:rsidP="0069026F">
            <w:pPr>
              <w:spacing w:before="0" w:after="0" w:line="240" w:lineRule="auto"/>
              <w:rPr>
                <w:rFonts w:ascii="Arial" w:hAnsi="Arial" w:cs="Arial"/>
                <w:color w:val="000000"/>
                <w:sz w:val="16"/>
                <w:szCs w:val="16"/>
              </w:rPr>
            </w:pPr>
            <w:r w:rsidRPr="0069026F">
              <w:rPr>
                <w:rFonts w:ascii="Arial" w:hAnsi="Arial" w:cs="Arial"/>
                <w:color w:val="000000"/>
                <w:sz w:val="16"/>
                <w:szCs w:val="16"/>
              </w:rPr>
              <w:t> </w:t>
            </w:r>
          </w:p>
        </w:tc>
      </w:tr>
      <w:tr w:rsidR="0069026F" w:rsidRPr="0069026F" w14:paraId="7F85B840" w14:textId="77777777" w:rsidTr="0069026F">
        <w:trPr>
          <w:trHeight w:hRule="exact" w:val="224"/>
        </w:trPr>
        <w:tc>
          <w:tcPr>
            <w:tcW w:w="2183" w:type="pct"/>
            <w:tcBorders>
              <w:top w:val="nil"/>
              <w:left w:val="nil"/>
              <w:bottom w:val="nil"/>
              <w:right w:val="nil"/>
            </w:tcBorders>
            <w:shd w:val="clear" w:color="000000" w:fill="FFFFFF"/>
            <w:noWrap/>
            <w:vAlign w:val="center"/>
            <w:hideMark/>
          </w:tcPr>
          <w:p w14:paraId="7C38DD02" w14:textId="77777777" w:rsidR="0069026F" w:rsidRPr="0069026F" w:rsidRDefault="0069026F" w:rsidP="0069026F">
            <w:pPr>
              <w:spacing w:before="0" w:after="0" w:line="240" w:lineRule="auto"/>
              <w:ind w:left="170"/>
              <w:rPr>
                <w:rFonts w:ascii="Arial" w:hAnsi="Arial" w:cs="Arial"/>
                <w:color w:val="000000"/>
                <w:sz w:val="16"/>
                <w:szCs w:val="16"/>
              </w:rPr>
            </w:pPr>
            <w:r w:rsidRPr="0069026F">
              <w:rPr>
                <w:rFonts w:ascii="Arial" w:hAnsi="Arial" w:cs="Arial"/>
                <w:color w:val="000000"/>
                <w:sz w:val="16"/>
                <w:szCs w:val="16"/>
              </w:rPr>
              <w:t>Quality and Safeguards</w:t>
            </w:r>
          </w:p>
        </w:tc>
        <w:tc>
          <w:tcPr>
            <w:tcW w:w="68" w:type="pct"/>
            <w:tcBorders>
              <w:top w:val="nil"/>
              <w:left w:val="nil"/>
              <w:bottom w:val="nil"/>
              <w:right w:val="nil"/>
            </w:tcBorders>
            <w:shd w:val="clear" w:color="000000" w:fill="FFFFFF"/>
            <w:noWrap/>
            <w:vAlign w:val="center"/>
            <w:hideMark/>
          </w:tcPr>
          <w:p w14:paraId="2C838C1D" w14:textId="77777777" w:rsidR="0069026F" w:rsidRPr="0069026F" w:rsidRDefault="0069026F" w:rsidP="0069026F">
            <w:pPr>
              <w:spacing w:before="0" w:after="0" w:line="240" w:lineRule="auto"/>
              <w:rPr>
                <w:rFonts w:ascii="Arial" w:hAnsi="Arial" w:cs="Arial"/>
                <w:color w:val="000000"/>
                <w:sz w:val="16"/>
                <w:szCs w:val="16"/>
              </w:rPr>
            </w:pPr>
            <w:r w:rsidRPr="0069026F">
              <w:rPr>
                <w:rFonts w:ascii="Arial" w:hAnsi="Arial" w:cs="Arial"/>
                <w:color w:val="000000"/>
                <w:sz w:val="16"/>
                <w:szCs w:val="16"/>
              </w:rPr>
              <w:t> </w:t>
            </w:r>
          </w:p>
        </w:tc>
        <w:tc>
          <w:tcPr>
            <w:tcW w:w="550" w:type="pct"/>
            <w:tcBorders>
              <w:top w:val="nil"/>
              <w:left w:val="nil"/>
              <w:bottom w:val="nil"/>
              <w:right w:val="nil"/>
            </w:tcBorders>
            <w:shd w:val="clear" w:color="000000" w:fill="FFFFFF"/>
            <w:noWrap/>
            <w:vAlign w:val="center"/>
            <w:hideMark/>
          </w:tcPr>
          <w:p w14:paraId="4DA30E13" w14:textId="77777777" w:rsidR="0069026F" w:rsidRPr="0069026F" w:rsidRDefault="0069026F" w:rsidP="0069026F">
            <w:pPr>
              <w:spacing w:before="0" w:after="0" w:line="240" w:lineRule="auto"/>
              <w:jc w:val="right"/>
              <w:rPr>
                <w:rFonts w:ascii="Arial" w:hAnsi="Arial" w:cs="Arial"/>
                <w:color w:val="000000"/>
                <w:sz w:val="16"/>
                <w:szCs w:val="16"/>
              </w:rPr>
            </w:pPr>
            <w:r w:rsidRPr="0069026F">
              <w:rPr>
                <w:rFonts w:ascii="Arial" w:hAnsi="Arial" w:cs="Arial"/>
                <w:color w:val="000000"/>
                <w:sz w:val="16"/>
                <w:szCs w:val="16"/>
              </w:rPr>
              <w:t>141</w:t>
            </w:r>
          </w:p>
        </w:tc>
        <w:tc>
          <w:tcPr>
            <w:tcW w:w="550" w:type="pct"/>
            <w:tcBorders>
              <w:top w:val="nil"/>
              <w:left w:val="nil"/>
              <w:bottom w:val="nil"/>
              <w:right w:val="nil"/>
            </w:tcBorders>
            <w:shd w:val="clear" w:color="000000" w:fill="E6F2FF"/>
            <w:noWrap/>
            <w:vAlign w:val="center"/>
            <w:hideMark/>
          </w:tcPr>
          <w:p w14:paraId="035FCB11" w14:textId="77777777" w:rsidR="0069026F" w:rsidRPr="0069026F" w:rsidRDefault="0069026F" w:rsidP="0069026F">
            <w:pPr>
              <w:spacing w:before="0" w:after="0" w:line="240" w:lineRule="auto"/>
              <w:jc w:val="right"/>
              <w:rPr>
                <w:rFonts w:ascii="Arial" w:hAnsi="Arial" w:cs="Arial"/>
                <w:color w:val="000000"/>
                <w:sz w:val="16"/>
                <w:szCs w:val="16"/>
              </w:rPr>
            </w:pPr>
            <w:r w:rsidRPr="0069026F">
              <w:rPr>
                <w:rFonts w:ascii="Arial" w:hAnsi="Arial" w:cs="Arial"/>
                <w:color w:val="000000"/>
                <w:sz w:val="16"/>
                <w:szCs w:val="16"/>
              </w:rPr>
              <w:t>161</w:t>
            </w:r>
          </w:p>
        </w:tc>
        <w:tc>
          <w:tcPr>
            <w:tcW w:w="550" w:type="pct"/>
            <w:tcBorders>
              <w:top w:val="nil"/>
              <w:left w:val="nil"/>
              <w:bottom w:val="nil"/>
              <w:right w:val="nil"/>
            </w:tcBorders>
            <w:shd w:val="clear" w:color="000000" w:fill="FFFFFF"/>
            <w:noWrap/>
            <w:vAlign w:val="center"/>
            <w:hideMark/>
          </w:tcPr>
          <w:p w14:paraId="0CFE0EB1" w14:textId="77777777" w:rsidR="0069026F" w:rsidRPr="0069026F" w:rsidRDefault="0069026F" w:rsidP="0069026F">
            <w:pPr>
              <w:spacing w:before="0" w:after="0" w:line="240" w:lineRule="auto"/>
              <w:jc w:val="right"/>
              <w:rPr>
                <w:rFonts w:ascii="Arial" w:hAnsi="Arial" w:cs="Arial"/>
                <w:color w:val="000000"/>
                <w:sz w:val="16"/>
                <w:szCs w:val="16"/>
              </w:rPr>
            </w:pPr>
            <w:r w:rsidRPr="0069026F">
              <w:rPr>
                <w:rFonts w:ascii="Arial" w:hAnsi="Arial" w:cs="Arial"/>
                <w:color w:val="000000"/>
                <w:sz w:val="16"/>
                <w:szCs w:val="16"/>
              </w:rPr>
              <w:t>112</w:t>
            </w:r>
          </w:p>
        </w:tc>
        <w:tc>
          <w:tcPr>
            <w:tcW w:w="550" w:type="pct"/>
            <w:tcBorders>
              <w:top w:val="nil"/>
              <w:left w:val="nil"/>
              <w:bottom w:val="nil"/>
              <w:right w:val="nil"/>
            </w:tcBorders>
            <w:shd w:val="clear" w:color="000000" w:fill="FFFFFF"/>
            <w:noWrap/>
            <w:vAlign w:val="center"/>
            <w:hideMark/>
          </w:tcPr>
          <w:p w14:paraId="098642AB" w14:textId="77777777" w:rsidR="0069026F" w:rsidRPr="0069026F" w:rsidRDefault="0069026F" w:rsidP="0069026F">
            <w:pPr>
              <w:spacing w:before="0" w:after="0" w:line="240" w:lineRule="auto"/>
              <w:jc w:val="right"/>
              <w:rPr>
                <w:rFonts w:ascii="Arial" w:hAnsi="Arial" w:cs="Arial"/>
                <w:color w:val="000000"/>
                <w:sz w:val="16"/>
                <w:szCs w:val="16"/>
              </w:rPr>
            </w:pPr>
            <w:r w:rsidRPr="0069026F">
              <w:rPr>
                <w:rFonts w:ascii="Arial" w:hAnsi="Arial" w:cs="Arial"/>
                <w:color w:val="000000"/>
                <w:sz w:val="16"/>
                <w:szCs w:val="16"/>
              </w:rPr>
              <w:t>110</w:t>
            </w:r>
          </w:p>
        </w:tc>
        <w:tc>
          <w:tcPr>
            <w:tcW w:w="550" w:type="pct"/>
            <w:tcBorders>
              <w:top w:val="nil"/>
              <w:left w:val="nil"/>
              <w:bottom w:val="nil"/>
              <w:right w:val="nil"/>
            </w:tcBorders>
            <w:shd w:val="clear" w:color="000000" w:fill="FFFFFF"/>
            <w:noWrap/>
            <w:vAlign w:val="center"/>
            <w:hideMark/>
          </w:tcPr>
          <w:p w14:paraId="7EB84D98" w14:textId="77777777" w:rsidR="0069026F" w:rsidRPr="0069026F" w:rsidRDefault="0069026F" w:rsidP="0069026F">
            <w:pPr>
              <w:spacing w:before="0" w:after="0" w:line="240" w:lineRule="auto"/>
              <w:jc w:val="right"/>
              <w:rPr>
                <w:rFonts w:ascii="Arial" w:hAnsi="Arial" w:cs="Arial"/>
                <w:color w:val="000000"/>
                <w:sz w:val="16"/>
                <w:szCs w:val="16"/>
              </w:rPr>
            </w:pPr>
            <w:r w:rsidRPr="0069026F">
              <w:rPr>
                <w:rFonts w:ascii="Arial" w:hAnsi="Arial" w:cs="Arial"/>
                <w:color w:val="000000"/>
                <w:sz w:val="16"/>
                <w:szCs w:val="16"/>
              </w:rPr>
              <w:t>109</w:t>
            </w:r>
          </w:p>
        </w:tc>
      </w:tr>
      <w:tr w:rsidR="0069026F" w:rsidRPr="0069026F" w14:paraId="37442953" w14:textId="77777777" w:rsidTr="0069026F">
        <w:trPr>
          <w:trHeight w:hRule="exact" w:val="224"/>
        </w:trPr>
        <w:tc>
          <w:tcPr>
            <w:tcW w:w="2183" w:type="pct"/>
            <w:tcBorders>
              <w:top w:val="nil"/>
              <w:left w:val="nil"/>
              <w:bottom w:val="nil"/>
              <w:right w:val="nil"/>
            </w:tcBorders>
            <w:shd w:val="clear" w:color="000000" w:fill="FFFFFF"/>
            <w:noWrap/>
            <w:vAlign w:val="center"/>
            <w:hideMark/>
          </w:tcPr>
          <w:p w14:paraId="47FA6F27" w14:textId="77777777" w:rsidR="0069026F" w:rsidRPr="0069026F" w:rsidRDefault="0069026F" w:rsidP="0069026F">
            <w:pPr>
              <w:spacing w:before="0" w:after="0" w:line="240" w:lineRule="auto"/>
              <w:rPr>
                <w:rFonts w:ascii="Arial" w:hAnsi="Arial" w:cs="Arial"/>
                <w:color w:val="000000"/>
                <w:sz w:val="16"/>
                <w:szCs w:val="16"/>
              </w:rPr>
            </w:pPr>
            <w:r w:rsidRPr="0069026F">
              <w:rPr>
                <w:rFonts w:ascii="Arial" w:hAnsi="Arial" w:cs="Arial"/>
                <w:color w:val="000000"/>
                <w:sz w:val="16"/>
                <w:szCs w:val="16"/>
              </w:rPr>
              <w:t>Financial Support for People with</w:t>
            </w:r>
          </w:p>
        </w:tc>
        <w:tc>
          <w:tcPr>
            <w:tcW w:w="68" w:type="pct"/>
            <w:tcBorders>
              <w:top w:val="nil"/>
              <w:left w:val="nil"/>
              <w:bottom w:val="nil"/>
              <w:right w:val="nil"/>
            </w:tcBorders>
            <w:shd w:val="clear" w:color="000000" w:fill="FFFFFF"/>
            <w:noWrap/>
            <w:vAlign w:val="center"/>
            <w:hideMark/>
          </w:tcPr>
          <w:p w14:paraId="6D870767" w14:textId="77777777" w:rsidR="0069026F" w:rsidRPr="0069026F" w:rsidRDefault="0069026F" w:rsidP="0069026F">
            <w:pPr>
              <w:spacing w:before="0" w:after="0" w:line="240" w:lineRule="auto"/>
              <w:rPr>
                <w:rFonts w:ascii="Arial" w:hAnsi="Arial" w:cs="Arial"/>
                <w:color w:val="000000"/>
                <w:sz w:val="16"/>
                <w:szCs w:val="16"/>
              </w:rPr>
            </w:pPr>
            <w:r w:rsidRPr="0069026F">
              <w:rPr>
                <w:rFonts w:ascii="Arial" w:hAnsi="Arial" w:cs="Arial"/>
                <w:color w:val="000000"/>
                <w:sz w:val="16"/>
                <w:szCs w:val="16"/>
              </w:rPr>
              <w:t> </w:t>
            </w:r>
          </w:p>
        </w:tc>
        <w:tc>
          <w:tcPr>
            <w:tcW w:w="550" w:type="pct"/>
            <w:tcBorders>
              <w:top w:val="nil"/>
              <w:left w:val="nil"/>
              <w:bottom w:val="nil"/>
              <w:right w:val="nil"/>
            </w:tcBorders>
            <w:shd w:val="clear" w:color="000000" w:fill="FFFFFF"/>
            <w:noWrap/>
            <w:vAlign w:val="center"/>
            <w:hideMark/>
          </w:tcPr>
          <w:p w14:paraId="7033EB42" w14:textId="77777777" w:rsidR="0069026F" w:rsidRPr="0069026F" w:rsidRDefault="0069026F" w:rsidP="0069026F">
            <w:pPr>
              <w:spacing w:before="0" w:after="0" w:line="240" w:lineRule="auto"/>
              <w:rPr>
                <w:rFonts w:ascii="Arial" w:hAnsi="Arial" w:cs="Arial"/>
                <w:color w:val="000000"/>
                <w:sz w:val="16"/>
                <w:szCs w:val="16"/>
              </w:rPr>
            </w:pPr>
            <w:r w:rsidRPr="0069026F">
              <w:rPr>
                <w:rFonts w:ascii="Arial" w:hAnsi="Arial" w:cs="Arial"/>
                <w:color w:val="000000"/>
                <w:sz w:val="16"/>
                <w:szCs w:val="16"/>
              </w:rPr>
              <w:t> </w:t>
            </w:r>
          </w:p>
        </w:tc>
        <w:tc>
          <w:tcPr>
            <w:tcW w:w="550" w:type="pct"/>
            <w:tcBorders>
              <w:top w:val="nil"/>
              <w:left w:val="nil"/>
              <w:bottom w:val="nil"/>
              <w:right w:val="nil"/>
            </w:tcBorders>
            <w:shd w:val="clear" w:color="000000" w:fill="E6F2FF"/>
            <w:noWrap/>
            <w:vAlign w:val="center"/>
            <w:hideMark/>
          </w:tcPr>
          <w:p w14:paraId="12D53219" w14:textId="77777777" w:rsidR="0069026F" w:rsidRPr="0069026F" w:rsidRDefault="0069026F" w:rsidP="0069026F">
            <w:pPr>
              <w:spacing w:before="0" w:after="0" w:line="240" w:lineRule="auto"/>
              <w:rPr>
                <w:rFonts w:ascii="Arial" w:hAnsi="Arial" w:cs="Arial"/>
                <w:color w:val="000000"/>
                <w:sz w:val="16"/>
                <w:szCs w:val="16"/>
              </w:rPr>
            </w:pPr>
            <w:r w:rsidRPr="0069026F">
              <w:rPr>
                <w:rFonts w:ascii="Arial" w:hAnsi="Arial" w:cs="Arial"/>
                <w:color w:val="000000"/>
                <w:sz w:val="16"/>
                <w:szCs w:val="16"/>
              </w:rPr>
              <w:t> </w:t>
            </w:r>
          </w:p>
        </w:tc>
        <w:tc>
          <w:tcPr>
            <w:tcW w:w="550" w:type="pct"/>
            <w:tcBorders>
              <w:top w:val="nil"/>
              <w:left w:val="nil"/>
              <w:bottom w:val="nil"/>
              <w:right w:val="nil"/>
            </w:tcBorders>
            <w:shd w:val="clear" w:color="000000" w:fill="FFFFFF"/>
            <w:noWrap/>
            <w:vAlign w:val="center"/>
            <w:hideMark/>
          </w:tcPr>
          <w:p w14:paraId="17EFAAF2" w14:textId="77777777" w:rsidR="0069026F" w:rsidRPr="0069026F" w:rsidRDefault="0069026F" w:rsidP="0069026F">
            <w:pPr>
              <w:spacing w:before="0" w:after="0" w:line="240" w:lineRule="auto"/>
              <w:rPr>
                <w:rFonts w:ascii="Arial" w:hAnsi="Arial" w:cs="Arial"/>
                <w:color w:val="000000"/>
                <w:sz w:val="16"/>
                <w:szCs w:val="16"/>
              </w:rPr>
            </w:pPr>
            <w:r w:rsidRPr="0069026F">
              <w:rPr>
                <w:rFonts w:ascii="Arial" w:hAnsi="Arial" w:cs="Arial"/>
                <w:color w:val="000000"/>
                <w:sz w:val="16"/>
                <w:szCs w:val="16"/>
              </w:rPr>
              <w:t> </w:t>
            </w:r>
          </w:p>
        </w:tc>
        <w:tc>
          <w:tcPr>
            <w:tcW w:w="550" w:type="pct"/>
            <w:tcBorders>
              <w:top w:val="nil"/>
              <w:left w:val="nil"/>
              <w:bottom w:val="nil"/>
              <w:right w:val="nil"/>
            </w:tcBorders>
            <w:shd w:val="clear" w:color="000000" w:fill="FFFFFF"/>
            <w:noWrap/>
            <w:vAlign w:val="center"/>
            <w:hideMark/>
          </w:tcPr>
          <w:p w14:paraId="607DD2CA" w14:textId="77777777" w:rsidR="0069026F" w:rsidRPr="0069026F" w:rsidRDefault="0069026F" w:rsidP="0069026F">
            <w:pPr>
              <w:spacing w:before="0" w:after="0" w:line="240" w:lineRule="auto"/>
              <w:rPr>
                <w:rFonts w:ascii="Arial" w:hAnsi="Arial" w:cs="Arial"/>
                <w:color w:val="000000"/>
                <w:sz w:val="16"/>
                <w:szCs w:val="16"/>
              </w:rPr>
            </w:pPr>
            <w:r w:rsidRPr="0069026F">
              <w:rPr>
                <w:rFonts w:ascii="Arial" w:hAnsi="Arial" w:cs="Arial"/>
                <w:color w:val="000000"/>
                <w:sz w:val="16"/>
                <w:szCs w:val="16"/>
              </w:rPr>
              <w:t> </w:t>
            </w:r>
          </w:p>
        </w:tc>
        <w:tc>
          <w:tcPr>
            <w:tcW w:w="550" w:type="pct"/>
            <w:tcBorders>
              <w:top w:val="nil"/>
              <w:left w:val="nil"/>
              <w:bottom w:val="nil"/>
              <w:right w:val="nil"/>
            </w:tcBorders>
            <w:shd w:val="clear" w:color="000000" w:fill="FFFFFF"/>
            <w:noWrap/>
            <w:vAlign w:val="center"/>
            <w:hideMark/>
          </w:tcPr>
          <w:p w14:paraId="560C7728" w14:textId="77777777" w:rsidR="0069026F" w:rsidRPr="0069026F" w:rsidRDefault="0069026F" w:rsidP="0069026F">
            <w:pPr>
              <w:spacing w:before="0" w:after="0" w:line="240" w:lineRule="auto"/>
              <w:rPr>
                <w:rFonts w:ascii="Arial" w:hAnsi="Arial" w:cs="Arial"/>
                <w:color w:val="000000"/>
                <w:sz w:val="16"/>
                <w:szCs w:val="16"/>
              </w:rPr>
            </w:pPr>
            <w:r w:rsidRPr="0069026F">
              <w:rPr>
                <w:rFonts w:ascii="Arial" w:hAnsi="Arial" w:cs="Arial"/>
                <w:color w:val="000000"/>
                <w:sz w:val="16"/>
                <w:szCs w:val="16"/>
              </w:rPr>
              <w:t> </w:t>
            </w:r>
          </w:p>
        </w:tc>
      </w:tr>
      <w:tr w:rsidR="0069026F" w:rsidRPr="0069026F" w14:paraId="34114C2F" w14:textId="77777777" w:rsidTr="0069026F">
        <w:trPr>
          <w:trHeight w:hRule="exact" w:val="226"/>
        </w:trPr>
        <w:tc>
          <w:tcPr>
            <w:tcW w:w="2183" w:type="pct"/>
            <w:tcBorders>
              <w:top w:val="nil"/>
              <w:left w:val="nil"/>
              <w:bottom w:val="nil"/>
              <w:right w:val="nil"/>
            </w:tcBorders>
            <w:shd w:val="clear" w:color="000000" w:fill="FFFFFF"/>
            <w:noWrap/>
            <w:vAlign w:val="center"/>
            <w:hideMark/>
          </w:tcPr>
          <w:p w14:paraId="4CF22F4A" w14:textId="77777777" w:rsidR="0069026F" w:rsidRPr="0069026F" w:rsidRDefault="0069026F" w:rsidP="0069026F">
            <w:pPr>
              <w:spacing w:before="0" w:after="0" w:line="240" w:lineRule="auto"/>
              <w:ind w:left="170"/>
              <w:rPr>
                <w:rFonts w:ascii="Arial" w:hAnsi="Arial" w:cs="Arial"/>
                <w:color w:val="000000"/>
                <w:sz w:val="16"/>
                <w:szCs w:val="16"/>
              </w:rPr>
            </w:pPr>
            <w:r w:rsidRPr="0069026F">
              <w:rPr>
                <w:rFonts w:ascii="Arial" w:hAnsi="Arial" w:cs="Arial"/>
                <w:color w:val="000000"/>
                <w:sz w:val="16"/>
                <w:szCs w:val="16"/>
              </w:rPr>
              <w:t>Disability</w:t>
            </w:r>
          </w:p>
        </w:tc>
        <w:tc>
          <w:tcPr>
            <w:tcW w:w="68" w:type="pct"/>
            <w:tcBorders>
              <w:top w:val="nil"/>
              <w:left w:val="nil"/>
              <w:bottom w:val="nil"/>
              <w:right w:val="nil"/>
            </w:tcBorders>
            <w:shd w:val="clear" w:color="000000" w:fill="FFFFFF"/>
            <w:noWrap/>
            <w:vAlign w:val="center"/>
            <w:hideMark/>
          </w:tcPr>
          <w:p w14:paraId="020D176F" w14:textId="77777777" w:rsidR="0069026F" w:rsidRPr="0069026F" w:rsidRDefault="0069026F" w:rsidP="0069026F">
            <w:pPr>
              <w:spacing w:before="0" w:after="0" w:line="240" w:lineRule="auto"/>
              <w:rPr>
                <w:rFonts w:ascii="Arial" w:hAnsi="Arial" w:cs="Arial"/>
                <w:color w:val="000000"/>
                <w:sz w:val="16"/>
                <w:szCs w:val="16"/>
              </w:rPr>
            </w:pPr>
            <w:r w:rsidRPr="0069026F">
              <w:rPr>
                <w:rFonts w:ascii="Arial" w:hAnsi="Arial" w:cs="Arial"/>
                <w:color w:val="000000"/>
                <w:sz w:val="16"/>
                <w:szCs w:val="16"/>
              </w:rPr>
              <w:t> </w:t>
            </w:r>
          </w:p>
        </w:tc>
        <w:tc>
          <w:tcPr>
            <w:tcW w:w="550" w:type="pct"/>
            <w:tcBorders>
              <w:top w:val="nil"/>
              <w:left w:val="nil"/>
              <w:bottom w:val="nil"/>
              <w:right w:val="nil"/>
            </w:tcBorders>
            <w:shd w:val="clear" w:color="000000" w:fill="FFFFFF"/>
            <w:noWrap/>
            <w:vAlign w:val="center"/>
            <w:hideMark/>
          </w:tcPr>
          <w:p w14:paraId="4B489FDE" w14:textId="77777777" w:rsidR="0069026F" w:rsidRPr="0069026F" w:rsidRDefault="0069026F" w:rsidP="0069026F">
            <w:pPr>
              <w:spacing w:before="0" w:after="0" w:line="240" w:lineRule="auto"/>
              <w:jc w:val="right"/>
              <w:rPr>
                <w:rFonts w:ascii="Arial" w:hAnsi="Arial" w:cs="Arial"/>
                <w:color w:val="000000"/>
                <w:sz w:val="16"/>
                <w:szCs w:val="16"/>
              </w:rPr>
            </w:pPr>
            <w:r w:rsidRPr="0069026F">
              <w:rPr>
                <w:rFonts w:ascii="Arial" w:hAnsi="Arial" w:cs="Arial"/>
                <w:color w:val="000000"/>
                <w:sz w:val="16"/>
                <w:szCs w:val="16"/>
              </w:rPr>
              <w:t>21,165</w:t>
            </w:r>
          </w:p>
        </w:tc>
        <w:tc>
          <w:tcPr>
            <w:tcW w:w="550" w:type="pct"/>
            <w:tcBorders>
              <w:top w:val="nil"/>
              <w:left w:val="nil"/>
              <w:bottom w:val="nil"/>
              <w:right w:val="nil"/>
            </w:tcBorders>
            <w:shd w:val="clear" w:color="000000" w:fill="E6F2FF"/>
            <w:noWrap/>
            <w:vAlign w:val="center"/>
            <w:hideMark/>
          </w:tcPr>
          <w:p w14:paraId="3C29D760" w14:textId="77777777" w:rsidR="0069026F" w:rsidRPr="0069026F" w:rsidRDefault="0069026F" w:rsidP="0069026F">
            <w:pPr>
              <w:spacing w:before="0" w:after="0" w:line="240" w:lineRule="auto"/>
              <w:jc w:val="right"/>
              <w:rPr>
                <w:rFonts w:ascii="Arial" w:hAnsi="Arial" w:cs="Arial"/>
                <w:color w:val="000000"/>
                <w:sz w:val="16"/>
                <w:szCs w:val="16"/>
              </w:rPr>
            </w:pPr>
            <w:r w:rsidRPr="0069026F">
              <w:rPr>
                <w:rFonts w:ascii="Arial" w:hAnsi="Arial" w:cs="Arial"/>
                <w:color w:val="000000"/>
                <w:sz w:val="16"/>
                <w:szCs w:val="16"/>
              </w:rPr>
              <w:t>22,003</w:t>
            </w:r>
          </w:p>
        </w:tc>
        <w:tc>
          <w:tcPr>
            <w:tcW w:w="550" w:type="pct"/>
            <w:tcBorders>
              <w:top w:val="nil"/>
              <w:left w:val="nil"/>
              <w:bottom w:val="nil"/>
              <w:right w:val="nil"/>
            </w:tcBorders>
            <w:shd w:val="clear" w:color="000000" w:fill="FFFFFF"/>
            <w:noWrap/>
            <w:vAlign w:val="center"/>
            <w:hideMark/>
          </w:tcPr>
          <w:p w14:paraId="2C38528C" w14:textId="77777777" w:rsidR="0069026F" w:rsidRPr="0069026F" w:rsidRDefault="0069026F" w:rsidP="0069026F">
            <w:pPr>
              <w:spacing w:before="0" w:after="0" w:line="240" w:lineRule="auto"/>
              <w:jc w:val="right"/>
              <w:rPr>
                <w:rFonts w:ascii="Arial" w:hAnsi="Arial" w:cs="Arial"/>
                <w:color w:val="000000"/>
                <w:sz w:val="16"/>
                <w:szCs w:val="16"/>
              </w:rPr>
            </w:pPr>
            <w:r w:rsidRPr="0069026F">
              <w:rPr>
                <w:rFonts w:ascii="Arial" w:hAnsi="Arial" w:cs="Arial"/>
                <w:color w:val="000000"/>
                <w:sz w:val="16"/>
                <w:szCs w:val="16"/>
              </w:rPr>
              <w:t>22,855</w:t>
            </w:r>
          </w:p>
        </w:tc>
        <w:tc>
          <w:tcPr>
            <w:tcW w:w="550" w:type="pct"/>
            <w:tcBorders>
              <w:top w:val="nil"/>
              <w:left w:val="nil"/>
              <w:bottom w:val="nil"/>
              <w:right w:val="nil"/>
            </w:tcBorders>
            <w:shd w:val="clear" w:color="000000" w:fill="FFFFFF"/>
            <w:noWrap/>
            <w:vAlign w:val="center"/>
            <w:hideMark/>
          </w:tcPr>
          <w:p w14:paraId="07C38214" w14:textId="77777777" w:rsidR="0069026F" w:rsidRPr="0069026F" w:rsidRDefault="0069026F" w:rsidP="0069026F">
            <w:pPr>
              <w:spacing w:before="0" w:after="0" w:line="240" w:lineRule="auto"/>
              <w:jc w:val="right"/>
              <w:rPr>
                <w:rFonts w:ascii="Arial" w:hAnsi="Arial" w:cs="Arial"/>
                <w:color w:val="000000"/>
                <w:sz w:val="16"/>
                <w:szCs w:val="16"/>
              </w:rPr>
            </w:pPr>
            <w:r w:rsidRPr="0069026F">
              <w:rPr>
                <w:rFonts w:ascii="Arial" w:hAnsi="Arial" w:cs="Arial"/>
                <w:color w:val="000000"/>
                <w:sz w:val="16"/>
                <w:szCs w:val="16"/>
              </w:rPr>
              <w:t>23,657</w:t>
            </w:r>
          </w:p>
        </w:tc>
        <w:tc>
          <w:tcPr>
            <w:tcW w:w="550" w:type="pct"/>
            <w:tcBorders>
              <w:top w:val="nil"/>
              <w:left w:val="nil"/>
              <w:bottom w:val="nil"/>
              <w:right w:val="nil"/>
            </w:tcBorders>
            <w:shd w:val="clear" w:color="000000" w:fill="FFFFFF"/>
            <w:noWrap/>
            <w:vAlign w:val="center"/>
            <w:hideMark/>
          </w:tcPr>
          <w:p w14:paraId="7261FC19" w14:textId="77777777" w:rsidR="0069026F" w:rsidRPr="0069026F" w:rsidRDefault="0069026F" w:rsidP="0069026F">
            <w:pPr>
              <w:spacing w:before="0" w:after="0" w:line="240" w:lineRule="auto"/>
              <w:jc w:val="right"/>
              <w:rPr>
                <w:rFonts w:ascii="Arial" w:hAnsi="Arial" w:cs="Arial"/>
                <w:color w:val="000000"/>
                <w:sz w:val="16"/>
                <w:szCs w:val="16"/>
              </w:rPr>
            </w:pPr>
            <w:r w:rsidRPr="0069026F">
              <w:rPr>
                <w:rFonts w:ascii="Arial" w:hAnsi="Arial" w:cs="Arial"/>
                <w:color w:val="000000"/>
                <w:sz w:val="16"/>
                <w:szCs w:val="16"/>
              </w:rPr>
              <w:t>24,765</w:t>
            </w:r>
          </w:p>
        </w:tc>
      </w:tr>
      <w:tr w:rsidR="0069026F" w:rsidRPr="0069026F" w14:paraId="373C27D5" w14:textId="77777777" w:rsidTr="0069026F">
        <w:trPr>
          <w:trHeight w:hRule="exact" w:val="226"/>
        </w:trPr>
        <w:tc>
          <w:tcPr>
            <w:tcW w:w="2183" w:type="pct"/>
            <w:tcBorders>
              <w:top w:val="nil"/>
              <w:left w:val="nil"/>
              <w:bottom w:val="nil"/>
              <w:right w:val="nil"/>
            </w:tcBorders>
            <w:shd w:val="clear" w:color="000000" w:fill="FFFFFF"/>
            <w:noWrap/>
            <w:vAlign w:val="center"/>
            <w:hideMark/>
          </w:tcPr>
          <w:p w14:paraId="16A47FB8" w14:textId="77777777" w:rsidR="0069026F" w:rsidRPr="0069026F" w:rsidRDefault="0069026F" w:rsidP="0069026F">
            <w:pPr>
              <w:spacing w:before="0" w:after="0" w:line="240" w:lineRule="auto"/>
              <w:rPr>
                <w:rFonts w:ascii="Arial" w:hAnsi="Arial" w:cs="Arial"/>
                <w:color w:val="000000"/>
                <w:sz w:val="16"/>
                <w:szCs w:val="16"/>
              </w:rPr>
            </w:pPr>
            <w:r w:rsidRPr="0069026F">
              <w:rPr>
                <w:rFonts w:ascii="Arial" w:hAnsi="Arial" w:cs="Arial"/>
                <w:color w:val="000000"/>
                <w:sz w:val="16"/>
                <w:szCs w:val="16"/>
              </w:rPr>
              <w:t>Financial Support for Carers</w:t>
            </w:r>
          </w:p>
        </w:tc>
        <w:tc>
          <w:tcPr>
            <w:tcW w:w="68" w:type="pct"/>
            <w:tcBorders>
              <w:top w:val="nil"/>
              <w:left w:val="nil"/>
              <w:bottom w:val="nil"/>
              <w:right w:val="nil"/>
            </w:tcBorders>
            <w:shd w:val="clear" w:color="000000" w:fill="FFFFFF"/>
            <w:noWrap/>
            <w:vAlign w:val="center"/>
            <w:hideMark/>
          </w:tcPr>
          <w:p w14:paraId="3FC464C0" w14:textId="77777777" w:rsidR="0069026F" w:rsidRPr="0069026F" w:rsidRDefault="0069026F" w:rsidP="0069026F">
            <w:pPr>
              <w:spacing w:before="0" w:after="0" w:line="240" w:lineRule="auto"/>
              <w:rPr>
                <w:rFonts w:ascii="Arial" w:hAnsi="Arial" w:cs="Arial"/>
                <w:color w:val="000000"/>
                <w:sz w:val="16"/>
                <w:szCs w:val="16"/>
              </w:rPr>
            </w:pPr>
            <w:r w:rsidRPr="0069026F">
              <w:rPr>
                <w:rFonts w:ascii="Arial" w:hAnsi="Arial" w:cs="Arial"/>
                <w:color w:val="000000"/>
                <w:sz w:val="16"/>
                <w:szCs w:val="16"/>
              </w:rPr>
              <w:t> </w:t>
            </w:r>
          </w:p>
        </w:tc>
        <w:tc>
          <w:tcPr>
            <w:tcW w:w="550" w:type="pct"/>
            <w:tcBorders>
              <w:top w:val="nil"/>
              <w:left w:val="nil"/>
              <w:bottom w:val="nil"/>
              <w:right w:val="nil"/>
            </w:tcBorders>
            <w:shd w:val="clear" w:color="000000" w:fill="FFFFFF"/>
            <w:noWrap/>
            <w:vAlign w:val="center"/>
            <w:hideMark/>
          </w:tcPr>
          <w:p w14:paraId="6C59E859" w14:textId="77777777" w:rsidR="0069026F" w:rsidRPr="0069026F" w:rsidRDefault="0069026F" w:rsidP="0069026F">
            <w:pPr>
              <w:spacing w:before="0" w:after="0" w:line="240" w:lineRule="auto"/>
              <w:jc w:val="right"/>
              <w:rPr>
                <w:rFonts w:ascii="Arial" w:hAnsi="Arial" w:cs="Arial"/>
                <w:color w:val="000000"/>
                <w:sz w:val="16"/>
                <w:szCs w:val="16"/>
              </w:rPr>
            </w:pPr>
            <w:r w:rsidRPr="0069026F">
              <w:rPr>
                <w:rFonts w:ascii="Arial" w:hAnsi="Arial" w:cs="Arial"/>
                <w:color w:val="000000"/>
                <w:sz w:val="16"/>
                <w:szCs w:val="16"/>
              </w:rPr>
              <w:t>12,752</w:t>
            </w:r>
          </w:p>
        </w:tc>
        <w:tc>
          <w:tcPr>
            <w:tcW w:w="550" w:type="pct"/>
            <w:tcBorders>
              <w:top w:val="nil"/>
              <w:left w:val="nil"/>
              <w:bottom w:val="nil"/>
              <w:right w:val="nil"/>
            </w:tcBorders>
            <w:shd w:val="clear" w:color="000000" w:fill="E6F2FF"/>
            <w:noWrap/>
            <w:vAlign w:val="center"/>
            <w:hideMark/>
          </w:tcPr>
          <w:p w14:paraId="50338CED" w14:textId="77777777" w:rsidR="0069026F" w:rsidRPr="0069026F" w:rsidRDefault="0069026F" w:rsidP="0069026F">
            <w:pPr>
              <w:spacing w:before="0" w:after="0" w:line="240" w:lineRule="auto"/>
              <w:jc w:val="right"/>
              <w:rPr>
                <w:rFonts w:ascii="Arial" w:hAnsi="Arial" w:cs="Arial"/>
                <w:color w:val="000000"/>
                <w:sz w:val="16"/>
                <w:szCs w:val="16"/>
              </w:rPr>
            </w:pPr>
            <w:r w:rsidRPr="0069026F">
              <w:rPr>
                <w:rFonts w:ascii="Arial" w:hAnsi="Arial" w:cs="Arial"/>
                <w:color w:val="000000"/>
                <w:sz w:val="16"/>
                <w:szCs w:val="16"/>
              </w:rPr>
              <w:t>13,419</w:t>
            </w:r>
          </w:p>
        </w:tc>
        <w:tc>
          <w:tcPr>
            <w:tcW w:w="550" w:type="pct"/>
            <w:tcBorders>
              <w:top w:val="nil"/>
              <w:left w:val="nil"/>
              <w:bottom w:val="nil"/>
              <w:right w:val="nil"/>
            </w:tcBorders>
            <w:shd w:val="clear" w:color="000000" w:fill="FFFFFF"/>
            <w:noWrap/>
            <w:vAlign w:val="center"/>
            <w:hideMark/>
          </w:tcPr>
          <w:p w14:paraId="64B23DD5" w14:textId="77777777" w:rsidR="0069026F" w:rsidRPr="0069026F" w:rsidRDefault="0069026F" w:rsidP="0069026F">
            <w:pPr>
              <w:spacing w:before="0" w:after="0" w:line="240" w:lineRule="auto"/>
              <w:jc w:val="right"/>
              <w:rPr>
                <w:rFonts w:ascii="Arial" w:hAnsi="Arial" w:cs="Arial"/>
                <w:color w:val="000000"/>
                <w:sz w:val="16"/>
                <w:szCs w:val="16"/>
              </w:rPr>
            </w:pPr>
            <w:r w:rsidRPr="0069026F">
              <w:rPr>
                <w:rFonts w:ascii="Arial" w:hAnsi="Arial" w:cs="Arial"/>
                <w:color w:val="000000"/>
                <w:sz w:val="16"/>
                <w:szCs w:val="16"/>
              </w:rPr>
              <w:t>13,855</w:t>
            </w:r>
          </w:p>
        </w:tc>
        <w:tc>
          <w:tcPr>
            <w:tcW w:w="550" w:type="pct"/>
            <w:tcBorders>
              <w:top w:val="nil"/>
              <w:left w:val="nil"/>
              <w:bottom w:val="nil"/>
              <w:right w:val="nil"/>
            </w:tcBorders>
            <w:shd w:val="clear" w:color="000000" w:fill="FFFFFF"/>
            <w:noWrap/>
            <w:vAlign w:val="center"/>
            <w:hideMark/>
          </w:tcPr>
          <w:p w14:paraId="24FAF723" w14:textId="77777777" w:rsidR="0069026F" w:rsidRPr="0069026F" w:rsidRDefault="0069026F" w:rsidP="0069026F">
            <w:pPr>
              <w:spacing w:before="0" w:after="0" w:line="240" w:lineRule="auto"/>
              <w:jc w:val="right"/>
              <w:rPr>
                <w:rFonts w:ascii="Arial" w:hAnsi="Arial" w:cs="Arial"/>
                <w:color w:val="000000"/>
                <w:sz w:val="16"/>
                <w:szCs w:val="16"/>
              </w:rPr>
            </w:pPr>
            <w:r w:rsidRPr="0069026F">
              <w:rPr>
                <w:rFonts w:ascii="Arial" w:hAnsi="Arial" w:cs="Arial"/>
                <w:color w:val="000000"/>
                <w:sz w:val="16"/>
                <w:szCs w:val="16"/>
              </w:rPr>
              <w:t>14,285</w:t>
            </w:r>
          </w:p>
        </w:tc>
        <w:tc>
          <w:tcPr>
            <w:tcW w:w="550" w:type="pct"/>
            <w:tcBorders>
              <w:top w:val="nil"/>
              <w:left w:val="nil"/>
              <w:bottom w:val="nil"/>
              <w:right w:val="nil"/>
            </w:tcBorders>
            <w:shd w:val="clear" w:color="000000" w:fill="FFFFFF"/>
            <w:noWrap/>
            <w:vAlign w:val="center"/>
            <w:hideMark/>
          </w:tcPr>
          <w:p w14:paraId="4AE7BCA0" w14:textId="77777777" w:rsidR="0069026F" w:rsidRPr="0069026F" w:rsidRDefault="0069026F" w:rsidP="0069026F">
            <w:pPr>
              <w:spacing w:before="0" w:after="0" w:line="240" w:lineRule="auto"/>
              <w:jc w:val="right"/>
              <w:rPr>
                <w:rFonts w:ascii="Arial" w:hAnsi="Arial" w:cs="Arial"/>
                <w:color w:val="000000"/>
                <w:sz w:val="16"/>
                <w:szCs w:val="16"/>
              </w:rPr>
            </w:pPr>
            <w:r w:rsidRPr="0069026F">
              <w:rPr>
                <w:rFonts w:ascii="Arial" w:hAnsi="Arial" w:cs="Arial"/>
                <w:color w:val="000000"/>
                <w:sz w:val="16"/>
                <w:szCs w:val="16"/>
              </w:rPr>
              <w:t>14,927</w:t>
            </w:r>
          </w:p>
        </w:tc>
      </w:tr>
      <w:tr w:rsidR="0069026F" w:rsidRPr="0069026F" w14:paraId="706D5EE7" w14:textId="77777777" w:rsidTr="0069026F">
        <w:trPr>
          <w:trHeight w:hRule="exact" w:val="226"/>
        </w:trPr>
        <w:tc>
          <w:tcPr>
            <w:tcW w:w="2183" w:type="pct"/>
            <w:tcBorders>
              <w:top w:val="nil"/>
              <w:left w:val="nil"/>
              <w:bottom w:val="nil"/>
              <w:right w:val="nil"/>
            </w:tcBorders>
            <w:shd w:val="clear" w:color="000000" w:fill="FFFFFF"/>
            <w:noWrap/>
            <w:vAlign w:val="center"/>
            <w:hideMark/>
          </w:tcPr>
          <w:p w14:paraId="19D0EAD3" w14:textId="77777777" w:rsidR="0069026F" w:rsidRPr="0069026F" w:rsidRDefault="0069026F" w:rsidP="0069026F">
            <w:pPr>
              <w:spacing w:before="0" w:after="0" w:line="240" w:lineRule="auto"/>
              <w:rPr>
                <w:rFonts w:ascii="Arial" w:hAnsi="Arial" w:cs="Arial"/>
                <w:color w:val="000000"/>
                <w:sz w:val="16"/>
                <w:szCs w:val="16"/>
              </w:rPr>
            </w:pPr>
            <w:r w:rsidRPr="0069026F">
              <w:rPr>
                <w:rFonts w:ascii="Arial" w:hAnsi="Arial" w:cs="Arial"/>
                <w:color w:val="000000"/>
                <w:sz w:val="16"/>
                <w:szCs w:val="16"/>
              </w:rPr>
              <w:t>National Partnership Payments –</w:t>
            </w:r>
          </w:p>
        </w:tc>
        <w:tc>
          <w:tcPr>
            <w:tcW w:w="68" w:type="pct"/>
            <w:tcBorders>
              <w:top w:val="nil"/>
              <w:left w:val="nil"/>
              <w:bottom w:val="nil"/>
              <w:right w:val="nil"/>
            </w:tcBorders>
            <w:shd w:val="clear" w:color="000000" w:fill="FFFFFF"/>
            <w:noWrap/>
            <w:vAlign w:val="center"/>
            <w:hideMark/>
          </w:tcPr>
          <w:p w14:paraId="7ECD6F53" w14:textId="77777777" w:rsidR="0069026F" w:rsidRPr="0069026F" w:rsidRDefault="0069026F" w:rsidP="0069026F">
            <w:pPr>
              <w:spacing w:before="0" w:after="0" w:line="240" w:lineRule="auto"/>
              <w:rPr>
                <w:rFonts w:ascii="Arial" w:hAnsi="Arial" w:cs="Arial"/>
                <w:color w:val="000000"/>
                <w:sz w:val="16"/>
                <w:szCs w:val="16"/>
              </w:rPr>
            </w:pPr>
            <w:r w:rsidRPr="0069026F">
              <w:rPr>
                <w:rFonts w:ascii="Arial" w:hAnsi="Arial" w:cs="Arial"/>
                <w:color w:val="000000"/>
                <w:sz w:val="16"/>
                <w:szCs w:val="16"/>
              </w:rPr>
              <w:t> </w:t>
            </w:r>
          </w:p>
        </w:tc>
        <w:tc>
          <w:tcPr>
            <w:tcW w:w="550" w:type="pct"/>
            <w:tcBorders>
              <w:top w:val="nil"/>
              <w:left w:val="nil"/>
              <w:bottom w:val="nil"/>
              <w:right w:val="nil"/>
            </w:tcBorders>
            <w:shd w:val="clear" w:color="000000" w:fill="FFFFFF"/>
            <w:noWrap/>
            <w:vAlign w:val="center"/>
            <w:hideMark/>
          </w:tcPr>
          <w:p w14:paraId="2A34B8B7" w14:textId="77777777" w:rsidR="0069026F" w:rsidRPr="0069026F" w:rsidRDefault="0069026F" w:rsidP="0069026F">
            <w:pPr>
              <w:spacing w:before="0" w:after="0" w:line="240" w:lineRule="auto"/>
              <w:jc w:val="right"/>
              <w:rPr>
                <w:rFonts w:ascii="Arial" w:hAnsi="Arial" w:cs="Arial"/>
                <w:color w:val="000000"/>
                <w:sz w:val="16"/>
                <w:szCs w:val="16"/>
              </w:rPr>
            </w:pPr>
            <w:r w:rsidRPr="0069026F">
              <w:rPr>
                <w:rFonts w:ascii="Arial" w:hAnsi="Arial" w:cs="Arial"/>
                <w:color w:val="000000"/>
                <w:sz w:val="16"/>
                <w:szCs w:val="16"/>
              </w:rPr>
              <w:t> </w:t>
            </w:r>
          </w:p>
        </w:tc>
        <w:tc>
          <w:tcPr>
            <w:tcW w:w="550" w:type="pct"/>
            <w:tcBorders>
              <w:top w:val="nil"/>
              <w:left w:val="nil"/>
              <w:bottom w:val="nil"/>
              <w:right w:val="nil"/>
            </w:tcBorders>
            <w:shd w:val="clear" w:color="000000" w:fill="E6F2FF"/>
            <w:noWrap/>
            <w:vAlign w:val="center"/>
            <w:hideMark/>
          </w:tcPr>
          <w:p w14:paraId="439F1E2B" w14:textId="77777777" w:rsidR="0069026F" w:rsidRPr="0069026F" w:rsidRDefault="0069026F" w:rsidP="0069026F">
            <w:pPr>
              <w:spacing w:before="0" w:after="0" w:line="240" w:lineRule="auto"/>
              <w:jc w:val="right"/>
              <w:rPr>
                <w:rFonts w:ascii="Arial" w:hAnsi="Arial" w:cs="Arial"/>
                <w:color w:val="000000"/>
                <w:sz w:val="16"/>
                <w:szCs w:val="16"/>
              </w:rPr>
            </w:pPr>
            <w:r w:rsidRPr="0069026F">
              <w:rPr>
                <w:rFonts w:ascii="Arial" w:hAnsi="Arial" w:cs="Arial"/>
                <w:color w:val="000000"/>
                <w:sz w:val="16"/>
                <w:szCs w:val="16"/>
              </w:rPr>
              <w:t> </w:t>
            </w:r>
          </w:p>
        </w:tc>
        <w:tc>
          <w:tcPr>
            <w:tcW w:w="550" w:type="pct"/>
            <w:tcBorders>
              <w:top w:val="nil"/>
              <w:left w:val="nil"/>
              <w:bottom w:val="nil"/>
              <w:right w:val="nil"/>
            </w:tcBorders>
            <w:shd w:val="clear" w:color="000000" w:fill="FFFFFF"/>
            <w:noWrap/>
            <w:vAlign w:val="center"/>
            <w:hideMark/>
          </w:tcPr>
          <w:p w14:paraId="4A5541B8" w14:textId="77777777" w:rsidR="0069026F" w:rsidRPr="0069026F" w:rsidRDefault="0069026F" w:rsidP="0069026F">
            <w:pPr>
              <w:spacing w:before="0" w:after="0" w:line="240" w:lineRule="auto"/>
              <w:jc w:val="right"/>
              <w:rPr>
                <w:rFonts w:ascii="Arial" w:hAnsi="Arial" w:cs="Arial"/>
                <w:color w:val="000000"/>
                <w:sz w:val="16"/>
                <w:szCs w:val="16"/>
              </w:rPr>
            </w:pPr>
            <w:r w:rsidRPr="0069026F">
              <w:rPr>
                <w:rFonts w:ascii="Arial" w:hAnsi="Arial" w:cs="Arial"/>
                <w:color w:val="000000"/>
                <w:sz w:val="16"/>
                <w:szCs w:val="16"/>
              </w:rPr>
              <w:t> </w:t>
            </w:r>
          </w:p>
        </w:tc>
        <w:tc>
          <w:tcPr>
            <w:tcW w:w="550" w:type="pct"/>
            <w:tcBorders>
              <w:top w:val="nil"/>
              <w:left w:val="nil"/>
              <w:bottom w:val="nil"/>
              <w:right w:val="nil"/>
            </w:tcBorders>
            <w:shd w:val="clear" w:color="000000" w:fill="FFFFFF"/>
            <w:noWrap/>
            <w:vAlign w:val="center"/>
            <w:hideMark/>
          </w:tcPr>
          <w:p w14:paraId="43C7117A" w14:textId="77777777" w:rsidR="0069026F" w:rsidRPr="0069026F" w:rsidRDefault="0069026F" w:rsidP="0069026F">
            <w:pPr>
              <w:spacing w:before="0" w:after="0" w:line="240" w:lineRule="auto"/>
              <w:jc w:val="right"/>
              <w:rPr>
                <w:rFonts w:ascii="Arial" w:hAnsi="Arial" w:cs="Arial"/>
                <w:color w:val="000000"/>
                <w:sz w:val="16"/>
                <w:szCs w:val="16"/>
              </w:rPr>
            </w:pPr>
            <w:r w:rsidRPr="0069026F">
              <w:rPr>
                <w:rFonts w:ascii="Arial" w:hAnsi="Arial" w:cs="Arial"/>
                <w:color w:val="000000"/>
                <w:sz w:val="16"/>
                <w:szCs w:val="16"/>
              </w:rPr>
              <w:t> </w:t>
            </w:r>
          </w:p>
        </w:tc>
        <w:tc>
          <w:tcPr>
            <w:tcW w:w="550" w:type="pct"/>
            <w:tcBorders>
              <w:top w:val="nil"/>
              <w:left w:val="nil"/>
              <w:bottom w:val="nil"/>
              <w:right w:val="nil"/>
            </w:tcBorders>
            <w:shd w:val="clear" w:color="000000" w:fill="FFFFFF"/>
            <w:noWrap/>
            <w:vAlign w:val="center"/>
            <w:hideMark/>
          </w:tcPr>
          <w:p w14:paraId="46F642CC" w14:textId="77777777" w:rsidR="0069026F" w:rsidRPr="0069026F" w:rsidRDefault="0069026F" w:rsidP="0069026F">
            <w:pPr>
              <w:spacing w:before="0" w:after="0" w:line="240" w:lineRule="auto"/>
              <w:jc w:val="right"/>
              <w:rPr>
                <w:rFonts w:ascii="Arial" w:hAnsi="Arial" w:cs="Arial"/>
                <w:color w:val="000000"/>
                <w:sz w:val="16"/>
                <w:szCs w:val="16"/>
              </w:rPr>
            </w:pPr>
            <w:r w:rsidRPr="0069026F">
              <w:rPr>
                <w:rFonts w:ascii="Arial" w:hAnsi="Arial" w:cs="Arial"/>
                <w:color w:val="000000"/>
                <w:sz w:val="16"/>
                <w:szCs w:val="16"/>
              </w:rPr>
              <w:t> </w:t>
            </w:r>
          </w:p>
        </w:tc>
      </w:tr>
      <w:tr w:rsidR="0069026F" w:rsidRPr="0069026F" w14:paraId="5D3B8967" w14:textId="77777777" w:rsidTr="0069026F">
        <w:trPr>
          <w:trHeight w:hRule="exact" w:val="226"/>
        </w:trPr>
        <w:tc>
          <w:tcPr>
            <w:tcW w:w="2183" w:type="pct"/>
            <w:tcBorders>
              <w:top w:val="nil"/>
              <w:left w:val="nil"/>
              <w:bottom w:val="nil"/>
              <w:right w:val="nil"/>
            </w:tcBorders>
            <w:shd w:val="clear" w:color="000000" w:fill="FFFFFF"/>
            <w:noWrap/>
            <w:vAlign w:val="center"/>
            <w:hideMark/>
          </w:tcPr>
          <w:p w14:paraId="2EDEB91B" w14:textId="77777777" w:rsidR="0069026F" w:rsidRPr="0069026F" w:rsidRDefault="0069026F" w:rsidP="0069026F">
            <w:pPr>
              <w:spacing w:before="0" w:after="0" w:line="240" w:lineRule="auto"/>
              <w:ind w:left="170"/>
              <w:rPr>
                <w:rFonts w:ascii="Arial" w:hAnsi="Arial" w:cs="Arial"/>
                <w:color w:val="000000"/>
                <w:sz w:val="16"/>
                <w:szCs w:val="16"/>
              </w:rPr>
            </w:pPr>
            <w:r w:rsidRPr="0069026F">
              <w:rPr>
                <w:rFonts w:ascii="Arial" w:hAnsi="Arial" w:cs="Arial"/>
                <w:color w:val="000000"/>
                <w:sz w:val="16"/>
                <w:szCs w:val="16"/>
              </w:rPr>
              <w:t>Assistance to People with Disabilities</w:t>
            </w:r>
          </w:p>
        </w:tc>
        <w:tc>
          <w:tcPr>
            <w:tcW w:w="68" w:type="pct"/>
            <w:tcBorders>
              <w:top w:val="nil"/>
              <w:left w:val="nil"/>
              <w:bottom w:val="nil"/>
              <w:right w:val="nil"/>
            </w:tcBorders>
            <w:shd w:val="clear" w:color="000000" w:fill="FFFFFF"/>
            <w:noWrap/>
            <w:vAlign w:val="center"/>
            <w:hideMark/>
          </w:tcPr>
          <w:p w14:paraId="31701DF2" w14:textId="77777777" w:rsidR="0069026F" w:rsidRPr="0069026F" w:rsidRDefault="0069026F" w:rsidP="0069026F">
            <w:pPr>
              <w:spacing w:before="0" w:after="0" w:line="240" w:lineRule="auto"/>
              <w:rPr>
                <w:rFonts w:ascii="Arial" w:hAnsi="Arial" w:cs="Arial"/>
                <w:color w:val="000000"/>
                <w:sz w:val="16"/>
                <w:szCs w:val="16"/>
              </w:rPr>
            </w:pPr>
            <w:r w:rsidRPr="0069026F">
              <w:rPr>
                <w:rFonts w:ascii="Arial" w:hAnsi="Arial" w:cs="Arial"/>
                <w:color w:val="000000"/>
                <w:sz w:val="16"/>
                <w:szCs w:val="16"/>
              </w:rPr>
              <w:t> </w:t>
            </w:r>
          </w:p>
        </w:tc>
        <w:tc>
          <w:tcPr>
            <w:tcW w:w="550" w:type="pct"/>
            <w:tcBorders>
              <w:top w:val="nil"/>
              <w:left w:val="nil"/>
              <w:bottom w:val="single" w:sz="4" w:space="0" w:color="293F5B"/>
              <w:right w:val="nil"/>
            </w:tcBorders>
            <w:shd w:val="clear" w:color="000000" w:fill="FFFFFF"/>
            <w:noWrap/>
            <w:vAlign w:val="center"/>
            <w:hideMark/>
          </w:tcPr>
          <w:p w14:paraId="35399E4A" w14:textId="77777777" w:rsidR="0069026F" w:rsidRPr="0069026F" w:rsidRDefault="0069026F" w:rsidP="0069026F">
            <w:pPr>
              <w:spacing w:before="0" w:after="0" w:line="240" w:lineRule="auto"/>
              <w:jc w:val="right"/>
              <w:rPr>
                <w:rFonts w:ascii="Arial" w:hAnsi="Arial" w:cs="Arial"/>
                <w:color w:val="000000"/>
                <w:sz w:val="16"/>
                <w:szCs w:val="16"/>
              </w:rPr>
            </w:pPr>
            <w:r w:rsidRPr="0069026F">
              <w:rPr>
                <w:rFonts w:ascii="Arial" w:hAnsi="Arial" w:cs="Arial"/>
                <w:color w:val="000000"/>
                <w:sz w:val="16"/>
                <w:szCs w:val="16"/>
              </w:rPr>
              <w:t>2,022</w:t>
            </w:r>
          </w:p>
        </w:tc>
        <w:tc>
          <w:tcPr>
            <w:tcW w:w="550" w:type="pct"/>
            <w:tcBorders>
              <w:top w:val="nil"/>
              <w:left w:val="nil"/>
              <w:bottom w:val="single" w:sz="4" w:space="0" w:color="293F5B"/>
              <w:right w:val="nil"/>
            </w:tcBorders>
            <w:shd w:val="clear" w:color="000000" w:fill="E6F2FF"/>
            <w:noWrap/>
            <w:vAlign w:val="center"/>
            <w:hideMark/>
          </w:tcPr>
          <w:p w14:paraId="7E7A3A65" w14:textId="77777777" w:rsidR="0069026F" w:rsidRPr="0069026F" w:rsidRDefault="0069026F" w:rsidP="0069026F">
            <w:pPr>
              <w:spacing w:before="0" w:after="0" w:line="240" w:lineRule="auto"/>
              <w:jc w:val="right"/>
              <w:rPr>
                <w:rFonts w:ascii="Arial" w:hAnsi="Arial" w:cs="Arial"/>
                <w:color w:val="000000"/>
                <w:sz w:val="16"/>
                <w:szCs w:val="16"/>
              </w:rPr>
            </w:pPr>
            <w:r w:rsidRPr="0069026F">
              <w:rPr>
                <w:rFonts w:ascii="Arial" w:hAnsi="Arial" w:cs="Arial"/>
                <w:color w:val="000000"/>
                <w:sz w:val="16"/>
                <w:szCs w:val="16"/>
              </w:rPr>
              <w:t>7</w:t>
            </w:r>
          </w:p>
        </w:tc>
        <w:tc>
          <w:tcPr>
            <w:tcW w:w="550" w:type="pct"/>
            <w:tcBorders>
              <w:top w:val="nil"/>
              <w:left w:val="nil"/>
              <w:bottom w:val="single" w:sz="4" w:space="0" w:color="293F5B"/>
              <w:right w:val="nil"/>
            </w:tcBorders>
            <w:shd w:val="clear" w:color="000000" w:fill="FFFFFF"/>
            <w:noWrap/>
            <w:vAlign w:val="center"/>
            <w:hideMark/>
          </w:tcPr>
          <w:p w14:paraId="321F39C4" w14:textId="77777777" w:rsidR="0069026F" w:rsidRPr="0069026F" w:rsidRDefault="0069026F" w:rsidP="0069026F">
            <w:pPr>
              <w:spacing w:before="0" w:after="0" w:line="240" w:lineRule="auto"/>
              <w:jc w:val="right"/>
              <w:rPr>
                <w:rFonts w:ascii="Arial" w:hAnsi="Arial" w:cs="Arial"/>
                <w:color w:val="000000"/>
                <w:sz w:val="16"/>
                <w:szCs w:val="16"/>
              </w:rPr>
            </w:pPr>
            <w:r w:rsidRPr="0069026F">
              <w:rPr>
                <w:rFonts w:ascii="Arial" w:hAnsi="Arial" w:cs="Arial"/>
                <w:color w:val="000000"/>
                <w:sz w:val="16"/>
                <w:szCs w:val="16"/>
              </w:rPr>
              <w:t>0</w:t>
            </w:r>
          </w:p>
        </w:tc>
        <w:tc>
          <w:tcPr>
            <w:tcW w:w="550" w:type="pct"/>
            <w:tcBorders>
              <w:top w:val="nil"/>
              <w:left w:val="nil"/>
              <w:bottom w:val="single" w:sz="4" w:space="0" w:color="293F5B"/>
              <w:right w:val="nil"/>
            </w:tcBorders>
            <w:shd w:val="clear" w:color="000000" w:fill="FFFFFF"/>
            <w:noWrap/>
            <w:vAlign w:val="center"/>
            <w:hideMark/>
          </w:tcPr>
          <w:p w14:paraId="72F7DE74" w14:textId="77777777" w:rsidR="0069026F" w:rsidRPr="0069026F" w:rsidRDefault="0069026F" w:rsidP="0069026F">
            <w:pPr>
              <w:spacing w:before="0" w:after="0" w:line="240" w:lineRule="auto"/>
              <w:jc w:val="right"/>
              <w:rPr>
                <w:rFonts w:ascii="Arial" w:hAnsi="Arial" w:cs="Arial"/>
                <w:color w:val="000000"/>
                <w:sz w:val="16"/>
                <w:szCs w:val="16"/>
              </w:rPr>
            </w:pPr>
            <w:r w:rsidRPr="0069026F">
              <w:rPr>
                <w:rFonts w:ascii="Arial" w:hAnsi="Arial" w:cs="Arial"/>
                <w:color w:val="000000"/>
                <w:sz w:val="16"/>
                <w:szCs w:val="16"/>
              </w:rPr>
              <w:t>0</w:t>
            </w:r>
          </w:p>
        </w:tc>
        <w:tc>
          <w:tcPr>
            <w:tcW w:w="550" w:type="pct"/>
            <w:tcBorders>
              <w:top w:val="nil"/>
              <w:left w:val="nil"/>
              <w:bottom w:val="single" w:sz="4" w:space="0" w:color="293F5B"/>
              <w:right w:val="nil"/>
            </w:tcBorders>
            <w:shd w:val="clear" w:color="000000" w:fill="FFFFFF"/>
            <w:noWrap/>
            <w:vAlign w:val="center"/>
            <w:hideMark/>
          </w:tcPr>
          <w:p w14:paraId="2A1E0892" w14:textId="77777777" w:rsidR="0069026F" w:rsidRPr="0069026F" w:rsidRDefault="0069026F" w:rsidP="0069026F">
            <w:pPr>
              <w:spacing w:before="0" w:after="0" w:line="240" w:lineRule="auto"/>
              <w:jc w:val="right"/>
              <w:rPr>
                <w:rFonts w:ascii="Arial" w:hAnsi="Arial" w:cs="Arial"/>
                <w:color w:val="000000"/>
                <w:sz w:val="16"/>
                <w:szCs w:val="16"/>
              </w:rPr>
            </w:pPr>
            <w:r w:rsidRPr="0069026F">
              <w:rPr>
                <w:rFonts w:ascii="Arial" w:hAnsi="Arial" w:cs="Arial"/>
                <w:color w:val="000000"/>
                <w:sz w:val="16"/>
                <w:szCs w:val="16"/>
              </w:rPr>
              <w:t>0</w:t>
            </w:r>
          </w:p>
        </w:tc>
      </w:tr>
      <w:tr w:rsidR="0069026F" w:rsidRPr="0069026F" w14:paraId="65D1D8AA" w14:textId="77777777" w:rsidTr="00FB3363">
        <w:trPr>
          <w:trHeight w:hRule="exact" w:val="226"/>
        </w:trPr>
        <w:tc>
          <w:tcPr>
            <w:tcW w:w="2183" w:type="pct"/>
            <w:tcBorders>
              <w:top w:val="nil"/>
              <w:left w:val="nil"/>
              <w:bottom w:val="single" w:sz="4" w:space="0" w:color="293F5B"/>
              <w:right w:val="nil"/>
            </w:tcBorders>
            <w:shd w:val="clear" w:color="000000" w:fill="FFFFFF"/>
            <w:noWrap/>
            <w:vAlign w:val="center"/>
            <w:hideMark/>
          </w:tcPr>
          <w:p w14:paraId="50130F61" w14:textId="77777777" w:rsidR="0069026F" w:rsidRPr="0069026F" w:rsidRDefault="0069026F" w:rsidP="0069026F">
            <w:pPr>
              <w:spacing w:before="0" w:after="0" w:line="240" w:lineRule="auto"/>
              <w:rPr>
                <w:rFonts w:ascii="Arial" w:hAnsi="Arial" w:cs="Arial"/>
                <w:b/>
                <w:bCs/>
                <w:color w:val="000000"/>
                <w:sz w:val="16"/>
                <w:szCs w:val="16"/>
              </w:rPr>
            </w:pPr>
            <w:r w:rsidRPr="0069026F">
              <w:rPr>
                <w:rFonts w:ascii="Arial" w:hAnsi="Arial" w:cs="Arial"/>
                <w:b/>
                <w:bCs/>
                <w:color w:val="000000"/>
                <w:sz w:val="16"/>
                <w:szCs w:val="16"/>
              </w:rPr>
              <w:t>Total</w:t>
            </w:r>
          </w:p>
        </w:tc>
        <w:tc>
          <w:tcPr>
            <w:tcW w:w="68" w:type="pct"/>
            <w:tcBorders>
              <w:top w:val="nil"/>
              <w:left w:val="nil"/>
              <w:bottom w:val="single" w:sz="4" w:space="0" w:color="293F5B"/>
              <w:right w:val="nil"/>
            </w:tcBorders>
            <w:shd w:val="clear" w:color="000000" w:fill="FFFFFF"/>
            <w:noWrap/>
            <w:vAlign w:val="center"/>
            <w:hideMark/>
          </w:tcPr>
          <w:p w14:paraId="0641E9B6" w14:textId="77777777" w:rsidR="0069026F" w:rsidRPr="0069026F" w:rsidRDefault="0069026F" w:rsidP="0069026F">
            <w:pPr>
              <w:spacing w:before="0" w:after="0" w:line="240" w:lineRule="auto"/>
              <w:rPr>
                <w:rFonts w:ascii="Arial" w:hAnsi="Arial" w:cs="Arial"/>
                <w:b/>
                <w:bCs/>
                <w:color w:val="000000"/>
                <w:sz w:val="16"/>
                <w:szCs w:val="16"/>
              </w:rPr>
            </w:pPr>
            <w:r w:rsidRPr="0069026F">
              <w:rPr>
                <w:rFonts w:ascii="Arial" w:hAnsi="Arial" w:cs="Arial"/>
                <w:b/>
                <w:bCs/>
                <w:color w:val="000000"/>
                <w:sz w:val="16"/>
                <w:szCs w:val="16"/>
              </w:rPr>
              <w:t> </w:t>
            </w:r>
          </w:p>
        </w:tc>
        <w:tc>
          <w:tcPr>
            <w:tcW w:w="550" w:type="pct"/>
            <w:tcBorders>
              <w:top w:val="single" w:sz="4" w:space="0" w:color="293F5B"/>
              <w:left w:val="nil"/>
              <w:bottom w:val="single" w:sz="4" w:space="0" w:color="293F5B"/>
              <w:right w:val="nil"/>
            </w:tcBorders>
            <w:shd w:val="clear" w:color="000000" w:fill="FFFFFF"/>
            <w:noWrap/>
            <w:vAlign w:val="center"/>
            <w:hideMark/>
          </w:tcPr>
          <w:p w14:paraId="29AFAD0E" w14:textId="77777777" w:rsidR="0069026F" w:rsidRPr="0069026F" w:rsidRDefault="0069026F" w:rsidP="0069026F">
            <w:pPr>
              <w:spacing w:before="0" w:after="0" w:line="240" w:lineRule="auto"/>
              <w:jc w:val="right"/>
              <w:rPr>
                <w:rFonts w:ascii="Arial" w:hAnsi="Arial" w:cs="Arial"/>
                <w:b/>
                <w:bCs/>
                <w:color w:val="000000"/>
                <w:sz w:val="16"/>
                <w:szCs w:val="16"/>
              </w:rPr>
            </w:pPr>
            <w:r w:rsidRPr="0069026F">
              <w:rPr>
                <w:rFonts w:ascii="Arial" w:hAnsi="Arial" w:cs="Arial"/>
                <w:b/>
                <w:bCs/>
                <w:color w:val="000000"/>
                <w:sz w:val="16"/>
                <w:szCs w:val="16"/>
              </w:rPr>
              <w:t>80,401</w:t>
            </w:r>
          </w:p>
        </w:tc>
        <w:tc>
          <w:tcPr>
            <w:tcW w:w="550" w:type="pct"/>
            <w:tcBorders>
              <w:top w:val="single" w:sz="4" w:space="0" w:color="293F5B"/>
              <w:left w:val="nil"/>
              <w:bottom w:val="single" w:sz="4" w:space="0" w:color="293F5B"/>
              <w:right w:val="nil"/>
            </w:tcBorders>
            <w:shd w:val="clear" w:color="000000" w:fill="E6F2FF"/>
            <w:noWrap/>
            <w:vAlign w:val="center"/>
            <w:hideMark/>
          </w:tcPr>
          <w:p w14:paraId="538EC5EE" w14:textId="77777777" w:rsidR="0069026F" w:rsidRPr="0069026F" w:rsidRDefault="0069026F" w:rsidP="0069026F">
            <w:pPr>
              <w:spacing w:before="0" w:after="0" w:line="240" w:lineRule="auto"/>
              <w:jc w:val="right"/>
              <w:rPr>
                <w:rFonts w:ascii="Arial" w:hAnsi="Arial" w:cs="Arial"/>
                <w:b/>
                <w:bCs/>
                <w:color w:val="000000"/>
                <w:sz w:val="16"/>
                <w:szCs w:val="16"/>
              </w:rPr>
            </w:pPr>
            <w:r w:rsidRPr="0069026F">
              <w:rPr>
                <w:rFonts w:ascii="Arial" w:hAnsi="Arial" w:cs="Arial"/>
                <w:b/>
                <w:bCs/>
                <w:color w:val="000000"/>
                <w:sz w:val="16"/>
                <w:szCs w:val="16"/>
              </w:rPr>
              <w:t>84,342</w:t>
            </w:r>
          </w:p>
        </w:tc>
        <w:tc>
          <w:tcPr>
            <w:tcW w:w="550" w:type="pct"/>
            <w:tcBorders>
              <w:top w:val="single" w:sz="4" w:space="0" w:color="293F5B"/>
              <w:left w:val="nil"/>
              <w:bottom w:val="single" w:sz="4" w:space="0" w:color="293F5B"/>
              <w:right w:val="nil"/>
            </w:tcBorders>
            <w:shd w:val="clear" w:color="000000" w:fill="FFFFFF"/>
            <w:noWrap/>
            <w:vAlign w:val="center"/>
            <w:hideMark/>
          </w:tcPr>
          <w:p w14:paraId="274C1F1E" w14:textId="77777777" w:rsidR="0069026F" w:rsidRPr="0069026F" w:rsidRDefault="0069026F" w:rsidP="0069026F">
            <w:pPr>
              <w:spacing w:before="0" w:after="0" w:line="240" w:lineRule="auto"/>
              <w:jc w:val="right"/>
              <w:rPr>
                <w:rFonts w:ascii="Arial" w:hAnsi="Arial" w:cs="Arial"/>
                <w:b/>
                <w:bCs/>
                <w:color w:val="000000"/>
                <w:sz w:val="16"/>
                <w:szCs w:val="16"/>
              </w:rPr>
            </w:pPr>
            <w:r w:rsidRPr="0069026F">
              <w:rPr>
                <w:rFonts w:ascii="Arial" w:hAnsi="Arial" w:cs="Arial"/>
                <w:b/>
                <w:bCs/>
                <w:color w:val="000000"/>
                <w:sz w:val="16"/>
                <w:szCs w:val="16"/>
              </w:rPr>
              <w:t>89,140</w:t>
            </w:r>
          </w:p>
        </w:tc>
        <w:tc>
          <w:tcPr>
            <w:tcW w:w="550" w:type="pct"/>
            <w:tcBorders>
              <w:top w:val="single" w:sz="4" w:space="0" w:color="293F5B"/>
              <w:left w:val="nil"/>
              <w:bottom w:val="single" w:sz="4" w:space="0" w:color="293F5B"/>
              <w:right w:val="nil"/>
            </w:tcBorders>
            <w:shd w:val="clear" w:color="000000" w:fill="FFFFFF"/>
            <w:noWrap/>
            <w:vAlign w:val="center"/>
            <w:hideMark/>
          </w:tcPr>
          <w:p w14:paraId="2E528BB4" w14:textId="77777777" w:rsidR="0069026F" w:rsidRPr="0069026F" w:rsidRDefault="0069026F" w:rsidP="0069026F">
            <w:pPr>
              <w:spacing w:before="0" w:after="0" w:line="240" w:lineRule="auto"/>
              <w:jc w:val="right"/>
              <w:rPr>
                <w:rFonts w:ascii="Arial" w:hAnsi="Arial" w:cs="Arial"/>
                <w:b/>
                <w:bCs/>
                <w:color w:val="000000"/>
                <w:sz w:val="16"/>
                <w:szCs w:val="16"/>
              </w:rPr>
            </w:pPr>
            <w:r w:rsidRPr="0069026F">
              <w:rPr>
                <w:rFonts w:ascii="Arial" w:hAnsi="Arial" w:cs="Arial"/>
                <w:b/>
                <w:bCs/>
                <w:color w:val="000000"/>
                <w:sz w:val="16"/>
                <w:szCs w:val="16"/>
              </w:rPr>
              <w:t>94,510</w:t>
            </w:r>
          </w:p>
        </w:tc>
        <w:tc>
          <w:tcPr>
            <w:tcW w:w="550" w:type="pct"/>
            <w:tcBorders>
              <w:top w:val="single" w:sz="4" w:space="0" w:color="293F5B"/>
              <w:left w:val="nil"/>
              <w:bottom w:val="single" w:sz="4" w:space="0" w:color="293F5B"/>
              <w:right w:val="nil"/>
            </w:tcBorders>
            <w:shd w:val="clear" w:color="000000" w:fill="FFFFFF"/>
            <w:noWrap/>
            <w:vAlign w:val="center"/>
            <w:hideMark/>
          </w:tcPr>
          <w:p w14:paraId="2FC64F02" w14:textId="77777777" w:rsidR="0069026F" w:rsidRPr="0069026F" w:rsidRDefault="0069026F" w:rsidP="0069026F">
            <w:pPr>
              <w:spacing w:before="0" w:after="0" w:line="240" w:lineRule="auto"/>
              <w:jc w:val="right"/>
              <w:rPr>
                <w:rFonts w:ascii="Arial" w:hAnsi="Arial" w:cs="Arial"/>
                <w:b/>
                <w:bCs/>
                <w:color w:val="000000"/>
                <w:sz w:val="16"/>
                <w:szCs w:val="16"/>
              </w:rPr>
            </w:pPr>
            <w:r w:rsidRPr="0069026F">
              <w:rPr>
                <w:rFonts w:ascii="Arial" w:hAnsi="Arial" w:cs="Arial"/>
                <w:b/>
                <w:bCs/>
                <w:color w:val="000000"/>
                <w:sz w:val="16"/>
                <w:szCs w:val="16"/>
              </w:rPr>
              <w:t>100,547</w:t>
            </w:r>
          </w:p>
        </w:tc>
      </w:tr>
    </w:tbl>
    <w:p w14:paraId="35D26E7A" w14:textId="2CC3162F" w:rsidR="00ED6D02" w:rsidRPr="000177D7" w:rsidRDefault="00ED6D02" w:rsidP="00E87DDC">
      <w:pPr>
        <w:pStyle w:val="ChartandTableFootnoteAlpha"/>
        <w:numPr>
          <w:ilvl w:val="0"/>
          <w:numId w:val="14"/>
        </w:numPr>
      </w:pPr>
      <w:r w:rsidRPr="00BF5A80">
        <w:t>The entry for each component includes eliminations</w:t>
      </w:r>
      <w:r w:rsidRPr="000177D7">
        <w:t xml:space="preserve"> for inter</w:t>
      </w:r>
      <w:r w:rsidR="008D4F6B">
        <w:noBreakHyphen/>
      </w:r>
      <w:r w:rsidRPr="000177D7">
        <w:t>agency transactions within that component.</w:t>
      </w:r>
    </w:p>
    <w:p w14:paraId="64E51BE7" w14:textId="77777777" w:rsidR="00ED6D02" w:rsidRDefault="00ED6D02" w:rsidP="00E87DDC">
      <w:pPr>
        <w:pStyle w:val="ChartandTableFootnoteAlpha"/>
        <w:numPr>
          <w:ilvl w:val="0"/>
          <w:numId w:val="14"/>
        </w:numPr>
      </w:pPr>
      <w:r w:rsidRPr="000177D7">
        <w:t xml:space="preserve">Includes both Commonwealth and State contributions to the cost of the National Disability Insurance Scheme delivered through the National Disability Insurance Agency, which is a Commonwealth agency in the general government sector, </w:t>
      </w:r>
      <w:r>
        <w:t>and the cost of the NDIS program administered by the Department of Social Services</w:t>
      </w:r>
      <w:r w:rsidRPr="000177D7">
        <w:t>.</w:t>
      </w:r>
    </w:p>
    <w:p w14:paraId="446C681A" w14:textId="77777777" w:rsidR="00ED6D02" w:rsidRPr="000177D7" w:rsidRDefault="00ED6D02" w:rsidP="00ED6D02">
      <w:pPr>
        <w:pStyle w:val="TableLine"/>
      </w:pPr>
    </w:p>
    <w:p w14:paraId="5430C642" w14:textId="602C97A9" w:rsidR="00BC14CB" w:rsidRDefault="00E91994" w:rsidP="00E4171F">
      <w:pPr>
        <w:rPr>
          <w:lang w:val="en-US"/>
        </w:rPr>
      </w:pPr>
      <w:r w:rsidRPr="00275B1F">
        <w:rPr>
          <w:rStyle w:val="Strong"/>
        </w:rPr>
        <w:t>A</w:t>
      </w:r>
      <w:r w:rsidR="00E4171F" w:rsidRPr="00275B1F">
        <w:rPr>
          <w:rStyle w:val="Strong"/>
        </w:rPr>
        <w:t>ssistance to families with children</w:t>
      </w:r>
      <w:r w:rsidR="00E4171F" w:rsidRPr="005C78C9">
        <w:rPr>
          <w:lang w:val="en-US"/>
        </w:rPr>
        <w:t xml:space="preserve"> </w:t>
      </w:r>
      <w:r>
        <w:rPr>
          <w:lang w:val="en-US"/>
        </w:rPr>
        <w:t xml:space="preserve">expenses </w:t>
      </w:r>
      <w:r w:rsidR="00E4171F" w:rsidRPr="005C78C9">
        <w:rPr>
          <w:lang w:val="en-US"/>
        </w:rPr>
        <w:t>are expected to increase over the period 2024–25 to 2027–28</w:t>
      </w:r>
      <w:r w:rsidR="00F2334A">
        <w:rPr>
          <w:lang w:val="en-US"/>
        </w:rPr>
        <w:t>.</w:t>
      </w:r>
    </w:p>
    <w:p w14:paraId="2864C31D" w14:textId="5F342124" w:rsidR="0092332B" w:rsidRPr="0092332B" w:rsidRDefault="00207FEC" w:rsidP="00CF5C81">
      <w:pPr>
        <w:keepLines/>
      </w:pPr>
      <w:r>
        <w:rPr>
          <w:bCs/>
          <w:lang w:val="en-US"/>
        </w:rPr>
        <w:t>The expected i</w:t>
      </w:r>
      <w:r w:rsidR="00BC14CB">
        <w:rPr>
          <w:bCs/>
          <w:lang w:val="en-US"/>
        </w:rPr>
        <w:t>ncrease</w:t>
      </w:r>
      <w:r>
        <w:rPr>
          <w:bCs/>
          <w:lang w:val="en-US"/>
        </w:rPr>
        <w:t xml:space="preserve"> </w:t>
      </w:r>
      <w:r w:rsidR="00E91994">
        <w:rPr>
          <w:bCs/>
          <w:lang w:val="en-US"/>
        </w:rPr>
        <w:t xml:space="preserve">in </w:t>
      </w:r>
      <w:r w:rsidR="00BC14CB" w:rsidRPr="00275B1F">
        <w:rPr>
          <w:rStyle w:val="Strong"/>
        </w:rPr>
        <w:t>assistance to families with children</w:t>
      </w:r>
      <w:r w:rsidR="0062048B">
        <w:rPr>
          <w:lang w:val="en-US"/>
        </w:rPr>
        <w:t xml:space="preserve"> </w:t>
      </w:r>
      <w:r w:rsidR="00BC14CB">
        <w:rPr>
          <w:lang w:val="en-US"/>
        </w:rPr>
        <w:t xml:space="preserve">expenses </w:t>
      </w:r>
      <w:r w:rsidR="00E91994">
        <w:rPr>
          <w:lang w:val="en-US"/>
        </w:rPr>
        <w:t xml:space="preserve">reflect </w:t>
      </w:r>
      <w:r w:rsidR="0062048B">
        <w:rPr>
          <w:lang w:val="en-US"/>
        </w:rPr>
        <w:t>increases in</w:t>
      </w:r>
      <w:r w:rsidR="00BC14CB" w:rsidRPr="005C78C9">
        <w:rPr>
          <w:lang w:val="en-US"/>
        </w:rPr>
        <w:t xml:space="preserve"> </w:t>
      </w:r>
      <w:r w:rsidR="00E4171F" w:rsidRPr="00D57A06">
        <w:t>Parental Leave Pay</w:t>
      </w:r>
      <w:r w:rsidR="00B86BEC">
        <w:t xml:space="preserve"> </w:t>
      </w:r>
      <w:r w:rsidR="00BC14CB">
        <w:t xml:space="preserve">expenses, </w:t>
      </w:r>
      <w:r w:rsidR="00E91994">
        <w:t xml:space="preserve">including </w:t>
      </w:r>
      <w:r w:rsidR="00E4171F" w:rsidRPr="00D57A06">
        <w:t>an increase in both the number of recipients and the average payment rates.</w:t>
      </w:r>
      <w:r w:rsidR="00E4171F">
        <w:t xml:space="preserve"> </w:t>
      </w:r>
      <w:r w:rsidR="0092332B" w:rsidRPr="0092332B">
        <w:rPr>
          <w:lang w:val="en-US"/>
        </w:rPr>
        <w:t xml:space="preserve">In the 2024–25 Budget, the Government will provide additional support to recipients of Paid Parental leave through the </w:t>
      </w:r>
      <w:r w:rsidR="0092332B">
        <w:rPr>
          <w:lang w:val="en-US"/>
        </w:rPr>
        <w:t xml:space="preserve">2024–25 Budget </w:t>
      </w:r>
      <w:r w:rsidR="0092332B" w:rsidRPr="0092332B">
        <w:rPr>
          <w:lang w:val="en-US"/>
        </w:rPr>
        <w:t xml:space="preserve">measure </w:t>
      </w:r>
      <w:r w:rsidR="0092332B" w:rsidRPr="00275B1F">
        <w:rPr>
          <w:rStyle w:val="Emphasis"/>
        </w:rPr>
        <w:t>Commonwealth Government</w:t>
      </w:r>
      <w:r w:rsidR="008D4F6B" w:rsidRPr="00275B1F">
        <w:rPr>
          <w:rStyle w:val="Emphasis"/>
        </w:rPr>
        <w:noBreakHyphen/>
      </w:r>
      <w:r w:rsidR="00531FD6">
        <w:rPr>
          <w:rStyle w:val="Emphasis"/>
        </w:rPr>
        <w:t>Fu</w:t>
      </w:r>
      <w:r w:rsidR="00531FD6" w:rsidRPr="00275B1F">
        <w:rPr>
          <w:rStyle w:val="Emphasis"/>
        </w:rPr>
        <w:t>nded</w:t>
      </w:r>
      <w:r w:rsidR="0092332B" w:rsidRPr="00275B1F">
        <w:rPr>
          <w:rStyle w:val="Emphasis"/>
        </w:rPr>
        <w:t xml:space="preserve"> Paid Parental Leave</w:t>
      </w:r>
      <w:r w:rsidR="008D4F6B" w:rsidRPr="00275B1F">
        <w:rPr>
          <w:rStyle w:val="Emphasis"/>
        </w:rPr>
        <w:t xml:space="preserve"> – </w:t>
      </w:r>
      <w:r w:rsidR="0092332B" w:rsidRPr="00275B1F">
        <w:rPr>
          <w:rStyle w:val="Emphasis"/>
        </w:rPr>
        <w:t>enhancement</w:t>
      </w:r>
      <w:r w:rsidR="0092332B" w:rsidRPr="0092332B">
        <w:rPr>
          <w:lang w:val="en-US"/>
        </w:rPr>
        <w:t>, which will provide a superannuation guarantee equivalent payment to recipients</w:t>
      </w:r>
      <w:r w:rsidR="008D4F6B">
        <w:rPr>
          <w:lang w:val="en-US"/>
        </w:rPr>
        <w:t>’</w:t>
      </w:r>
      <w:r w:rsidR="0092332B" w:rsidRPr="0092332B">
        <w:rPr>
          <w:lang w:val="en-US"/>
        </w:rPr>
        <w:t xml:space="preserve"> superannuation fund, for births and adoptions on or after 1 July 2025</w:t>
      </w:r>
      <w:r w:rsidR="0092332B">
        <w:rPr>
          <w:lang w:val="en-US"/>
        </w:rPr>
        <w:t>.</w:t>
      </w:r>
    </w:p>
    <w:p w14:paraId="1F8CE1F1" w14:textId="421FB790" w:rsidR="00E4171F" w:rsidRPr="0030032B" w:rsidRDefault="00E91994" w:rsidP="00E4171F">
      <w:r w:rsidRPr="00275B1F">
        <w:rPr>
          <w:rStyle w:val="Strong"/>
        </w:rPr>
        <w:t>A</w:t>
      </w:r>
      <w:r w:rsidR="00E4171F" w:rsidRPr="00275B1F">
        <w:rPr>
          <w:rStyle w:val="Strong"/>
        </w:rPr>
        <w:t>ssistance to families with children</w:t>
      </w:r>
      <w:r w:rsidR="00E4171F" w:rsidRPr="0030032B">
        <w:t xml:space="preserve"> </w:t>
      </w:r>
      <w:r>
        <w:t xml:space="preserve">expenses are </w:t>
      </w:r>
      <w:r w:rsidR="00F1608C">
        <w:t>expected to</w:t>
      </w:r>
      <w:r w:rsidR="00E4171F" w:rsidRPr="0030032B">
        <w:t xml:space="preserve"> </w:t>
      </w:r>
      <w:r w:rsidR="0062048B">
        <w:t xml:space="preserve">further </w:t>
      </w:r>
      <w:r w:rsidR="00E4171F" w:rsidRPr="0030032B">
        <w:t xml:space="preserve">increase </w:t>
      </w:r>
      <w:r w:rsidR="00F1608C">
        <w:t>as a result of</w:t>
      </w:r>
      <w:r w:rsidR="00E4171F" w:rsidRPr="0030032B">
        <w:t xml:space="preserve"> the Child Care Subsidy, primarily reflecting the </w:t>
      </w:r>
      <w:r w:rsidR="00F72F3B">
        <w:t xml:space="preserve">2022–23 </w:t>
      </w:r>
      <w:r w:rsidR="00E4171F" w:rsidRPr="0030032B">
        <w:t xml:space="preserve">October Budget measure </w:t>
      </w:r>
      <w:r w:rsidR="00E4171F" w:rsidRPr="00275B1F">
        <w:rPr>
          <w:rStyle w:val="Emphasis"/>
        </w:rPr>
        <w:t>Plan for Cheaper Child Care</w:t>
      </w:r>
      <w:r w:rsidR="002B0FD7">
        <w:rPr>
          <w:i/>
          <w:iCs/>
        </w:rPr>
        <w:t>.</w:t>
      </w:r>
    </w:p>
    <w:p w14:paraId="3C81741F" w14:textId="77777777" w:rsidR="00D42939" w:rsidRDefault="00D42939">
      <w:pPr>
        <w:spacing w:before="0" w:after="160" w:line="259" w:lineRule="auto"/>
      </w:pPr>
      <w:r>
        <w:br w:type="page"/>
      </w:r>
    </w:p>
    <w:p w14:paraId="6558D0D6" w14:textId="183EF2DA" w:rsidR="0062048B" w:rsidRPr="00E91994" w:rsidRDefault="00E4171F" w:rsidP="00E91994">
      <w:r w:rsidRPr="0030032B">
        <w:lastRenderedPageBreak/>
        <w:t xml:space="preserve">Table 6.9.3 sets out the major components of the </w:t>
      </w:r>
      <w:r w:rsidRPr="00275B1F">
        <w:rPr>
          <w:rStyle w:val="Strong"/>
        </w:rPr>
        <w:t xml:space="preserve">assistance to families with children </w:t>
      </w:r>
      <w:r w:rsidRPr="0030032B">
        <w:t>sub</w:t>
      </w:r>
      <w:r w:rsidR="008D4F6B">
        <w:noBreakHyphen/>
      </w:r>
      <w:r w:rsidRPr="0030032B">
        <w:t>function.</w:t>
      </w:r>
    </w:p>
    <w:p w14:paraId="73AD8768" w14:textId="30E06D05" w:rsidR="00FB434E" w:rsidRDefault="00E4171F" w:rsidP="00FB434E">
      <w:pPr>
        <w:pStyle w:val="TableHeading"/>
        <w:rPr>
          <w:rFonts w:asciiTheme="minorHAnsi" w:eastAsiaTheme="minorHAnsi" w:hAnsiTheme="minorHAnsi" w:cstheme="minorBidi"/>
          <w:sz w:val="22"/>
          <w:szCs w:val="22"/>
          <w:lang w:eastAsia="en-US"/>
        </w:rPr>
      </w:pPr>
      <w:r>
        <w:t>Table </w:t>
      </w:r>
      <w:r w:rsidRPr="000177D7">
        <w:t xml:space="preserve">6.9.3: Trends in the major components of </w:t>
      </w:r>
      <w:r>
        <w:t xml:space="preserve">the </w:t>
      </w:r>
      <w:r w:rsidRPr="000177D7">
        <w:t>assistance to families with children sub</w:t>
      </w:r>
      <w:r w:rsidR="008D4F6B">
        <w:noBreakHyphen/>
      </w:r>
      <w:r w:rsidRPr="000177D7">
        <w:t xml:space="preserve">function </w:t>
      </w:r>
      <w:r w:rsidRPr="00DC1390">
        <w:t>expense</w:t>
      </w:r>
    </w:p>
    <w:tbl>
      <w:tblPr>
        <w:tblW w:w="5000" w:type="pct"/>
        <w:tblCellMar>
          <w:left w:w="0" w:type="dxa"/>
          <w:right w:w="28" w:type="dxa"/>
        </w:tblCellMar>
        <w:tblLook w:val="04A0" w:firstRow="1" w:lastRow="0" w:firstColumn="1" w:lastColumn="0" w:noHBand="0" w:noVBand="1"/>
      </w:tblPr>
      <w:tblGrid>
        <w:gridCol w:w="3366"/>
        <w:gridCol w:w="105"/>
        <w:gridCol w:w="848"/>
        <w:gridCol w:w="848"/>
        <w:gridCol w:w="848"/>
        <w:gridCol w:w="848"/>
        <w:gridCol w:w="847"/>
      </w:tblGrid>
      <w:tr w:rsidR="00FB434E" w:rsidRPr="00FB434E" w14:paraId="2E5EAB2C" w14:textId="77777777" w:rsidTr="00FB434E">
        <w:trPr>
          <w:trHeight w:hRule="exact" w:val="20"/>
        </w:trPr>
        <w:tc>
          <w:tcPr>
            <w:tcW w:w="2183" w:type="pct"/>
            <w:tcBorders>
              <w:top w:val="nil"/>
              <w:left w:val="nil"/>
              <w:bottom w:val="single" w:sz="4" w:space="0" w:color="293F5B"/>
              <w:right w:val="nil"/>
            </w:tcBorders>
            <w:shd w:val="clear" w:color="000000" w:fill="FFFFFF"/>
            <w:noWrap/>
            <w:vAlign w:val="center"/>
            <w:hideMark/>
          </w:tcPr>
          <w:p w14:paraId="18DA1242" w14:textId="5E3007F1" w:rsidR="00FB434E" w:rsidRPr="00FB434E" w:rsidRDefault="00FB434E" w:rsidP="00FB434E">
            <w:pPr>
              <w:spacing w:before="0" w:after="0" w:line="240" w:lineRule="auto"/>
              <w:rPr>
                <w:rFonts w:ascii="Arial" w:hAnsi="Arial" w:cs="Arial"/>
                <w:b/>
                <w:bCs/>
                <w:color w:val="000000"/>
                <w:sz w:val="16"/>
                <w:szCs w:val="16"/>
              </w:rPr>
            </w:pPr>
            <w:r w:rsidRPr="00FB434E">
              <w:rPr>
                <w:rFonts w:ascii="Arial" w:hAnsi="Arial" w:cs="Arial"/>
                <w:b/>
                <w:bCs/>
                <w:color w:val="000000"/>
                <w:sz w:val="16"/>
                <w:szCs w:val="16"/>
              </w:rPr>
              <w:t> </w:t>
            </w:r>
          </w:p>
        </w:tc>
        <w:tc>
          <w:tcPr>
            <w:tcW w:w="68" w:type="pct"/>
            <w:tcBorders>
              <w:top w:val="nil"/>
              <w:left w:val="nil"/>
              <w:bottom w:val="single" w:sz="4" w:space="0" w:color="293F5B"/>
              <w:right w:val="nil"/>
            </w:tcBorders>
            <w:shd w:val="clear" w:color="000000" w:fill="FFFFFF"/>
            <w:noWrap/>
            <w:vAlign w:val="center"/>
            <w:hideMark/>
          </w:tcPr>
          <w:p w14:paraId="00FB3889" w14:textId="77777777" w:rsidR="00FB434E" w:rsidRPr="00FB434E" w:rsidRDefault="00FB434E" w:rsidP="00FB434E">
            <w:pPr>
              <w:spacing w:before="0" w:after="0" w:line="240" w:lineRule="auto"/>
              <w:rPr>
                <w:rFonts w:ascii="Arial" w:hAnsi="Arial" w:cs="Arial"/>
                <w:b/>
                <w:bCs/>
                <w:color w:val="000000"/>
                <w:sz w:val="16"/>
                <w:szCs w:val="16"/>
              </w:rPr>
            </w:pPr>
            <w:r w:rsidRPr="00FB434E">
              <w:rPr>
                <w:rFonts w:ascii="Arial" w:hAnsi="Arial" w:cs="Arial"/>
                <w:b/>
                <w:bCs/>
                <w:color w:val="000000"/>
                <w:sz w:val="16"/>
                <w:szCs w:val="16"/>
              </w:rPr>
              <w:t> </w:t>
            </w:r>
          </w:p>
        </w:tc>
        <w:tc>
          <w:tcPr>
            <w:tcW w:w="550" w:type="pct"/>
            <w:tcBorders>
              <w:top w:val="nil"/>
              <w:left w:val="nil"/>
              <w:bottom w:val="single" w:sz="4" w:space="0" w:color="293F5B"/>
              <w:right w:val="nil"/>
            </w:tcBorders>
            <w:shd w:val="clear" w:color="000000" w:fill="FFFFFF"/>
            <w:noWrap/>
            <w:vAlign w:val="center"/>
            <w:hideMark/>
          </w:tcPr>
          <w:p w14:paraId="40B488FB" w14:textId="77777777" w:rsidR="00FB434E" w:rsidRPr="00FB434E" w:rsidRDefault="00FB434E" w:rsidP="00FB434E">
            <w:pPr>
              <w:spacing w:before="0" w:after="0" w:line="240" w:lineRule="auto"/>
              <w:rPr>
                <w:rFonts w:ascii="Arial" w:hAnsi="Arial" w:cs="Arial"/>
                <w:color w:val="000000"/>
                <w:sz w:val="16"/>
                <w:szCs w:val="16"/>
              </w:rPr>
            </w:pPr>
            <w:r w:rsidRPr="00FB434E">
              <w:rPr>
                <w:rFonts w:ascii="Arial" w:hAnsi="Arial" w:cs="Arial"/>
                <w:color w:val="000000"/>
                <w:sz w:val="16"/>
                <w:szCs w:val="16"/>
              </w:rPr>
              <w:t> </w:t>
            </w:r>
          </w:p>
        </w:tc>
        <w:tc>
          <w:tcPr>
            <w:tcW w:w="550" w:type="pct"/>
            <w:tcBorders>
              <w:top w:val="nil"/>
              <w:left w:val="nil"/>
              <w:bottom w:val="single" w:sz="4" w:space="0" w:color="293F5B"/>
              <w:right w:val="nil"/>
            </w:tcBorders>
            <w:shd w:val="clear" w:color="000000" w:fill="FFFFFF"/>
            <w:noWrap/>
            <w:vAlign w:val="center"/>
            <w:hideMark/>
          </w:tcPr>
          <w:p w14:paraId="68F7DB46" w14:textId="77777777" w:rsidR="00FB434E" w:rsidRPr="00FB434E" w:rsidRDefault="00FB434E" w:rsidP="00FB434E">
            <w:pPr>
              <w:spacing w:before="0" w:after="0" w:line="240" w:lineRule="auto"/>
              <w:rPr>
                <w:rFonts w:ascii="Arial" w:hAnsi="Arial" w:cs="Arial"/>
                <w:color w:val="000000"/>
                <w:sz w:val="16"/>
                <w:szCs w:val="16"/>
              </w:rPr>
            </w:pPr>
            <w:r w:rsidRPr="00FB434E">
              <w:rPr>
                <w:rFonts w:ascii="Arial" w:hAnsi="Arial" w:cs="Arial"/>
                <w:color w:val="000000"/>
                <w:sz w:val="16"/>
                <w:szCs w:val="16"/>
              </w:rPr>
              <w:t> </w:t>
            </w:r>
          </w:p>
        </w:tc>
        <w:tc>
          <w:tcPr>
            <w:tcW w:w="550" w:type="pct"/>
            <w:tcBorders>
              <w:top w:val="nil"/>
              <w:left w:val="nil"/>
              <w:bottom w:val="single" w:sz="4" w:space="0" w:color="293F5B"/>
              <w:right w:val="nil"/>
            </w:tcBorders>
            <w:shd w:val="clear" w:color="000000" w:fill="FFFFFF"/>
            <w:noWrap/>
            <w:vAlign w:val="center"/>
            <w:hideMark/>
          </w:tcPr>
          <w:p w14:paraId="07A40CC9" w14:textId="77777777" w:rsidR="00FB434E" w:rsidRPr="00FB434E" w:rsidRDefault="00FB434E" w:rsidP="00FB434E">
            <w:pPr>
              <w:spacing w:before="0" w:after="0" w:line="240" w:lineRule="auto"/>
              <w:rPr>
                <w:rFonts w:ascii="Arial" w:hAnsi="Arial" w:cs="Arial"/>
                <w:color w:val="000000"/>
                <w:sz w:val="16"/>
                <w:szCs w:val="16"/>
              </w:rPr>
            </w:pPr>
            <w:r w:rsidRPr="00FB434E">
              <w:rPr>
                <w:rFonts w:ascii="Arial" w:hAnsi="Arial" w:cs="Arial"/>
                <w:color w:val="000000"/>
                <w:sz w:val="16"/>
                <w:szCs w:val="16"/>
              </w:rPr>
              <w:t> </w:t>
            </w:r>
          </w:p>
        </w:tc>
        <w:tc>
          <w:tcPr>
            <w:tcW w:w="550" w:type="pct"/>
            <w:tcBorders>
              <w:top w:val="nil"/>
              <w:left w:val="nil"/>
              <w:bottom w:val="single" w:sz="4" w:space="0" w:color="293F5B"/>
              <w:right w:val="nil"/>
            </w:tcBorders>
            <w:shd w:val="clear" w:color="000000" w:fill="FFFFFF"/>
            <w:noWrap/>
            <w:vAlign w:val="center"/>
            <w:hideMark/>
          </w:tcPr>
          <w:p w14:paraId="3B8B3444" w14:textId="77777777" w:rsidR="00FB434E" w:rsidRPr="00FB434E" w:rsidRDefault="00FB434E" w:rsidP="00FB434E">
            <w:pPr>
              <w:spacing w:before="0" w:after="0" w:line="240" w:lineRule="auto"/>
              <w:rPr>
                <w:rFonts w:ascii="Arial" w:hAnsi="Arial" w:cs="Arial"/>
                <w:color w:val="000000"/>
                <w:sz w:val="16"/>
                <w:szCs w:val="16"/>
              </w:rPr>
            </w:pPr>
            <w:r w:rsidRPr="00FB434E">
              <w:rPr>
                <w:rFonts w:ascii="Arial" w:hAnsi="Arial" w:cs="Arial"/>
                <w:color w:val="000000"/>
                <w:sz w:val="16"/>
                <w:szCs w:val="16"/>
              </w:rPr>
              <w:t> </w:t>
            </w:r>
          </w:p>
        </w:tc>
        <w:tc>
          <w:tcPr>
            <w:tcW w:w="550" w:type="pct"/>
            <w:tcBorders>
              <w:top w:val="nil"/>
              <w:left w:val="nil"/>
              <w:bottom w:val="single" w:sz="4" w:space="0" w:color="293F5B"/>
              <w:right w:val="nil"/>
            </w:tcBorders>
            <w:shd w:val="clear" w:color="000000" w:fill="FFFFFF"/>
            <w:noWrap/>
            <w:vAlign w:val="center"/>
            <w:hideMark/>
          </w:tcPr>
          <w:p w14:paraId="6660E5D9" w14:textId="77777777" w:rsidR="00FB434E" w:rsidRPr="00FB434E" w:rsidRDefault="00FB434E" w:rsidP="00FB434E">
            <w:pPr>
              <w:spacing w:before="0" w:after="0" w:line="240" w:lineRule="auto"/>
              <w:rPr>
                <w:rFonts w:ascii="Arial" w:hAnsi="Arial" w:cs="Arial"/>
                <w:color w:val="000000"/>
                <w:sz w:val="16"/>
                <w:szCs w:val="16"/>
              </w:rPr>
            </w:pPr>
            <w:r w:rsidRPr="00FB434E">
              <w:rPr>
                <w:rFonts w:ascii="Arial" w:hAnsi="Arial" w:cs="Arial"/>
                <w:color w:val="000000"/>
                <w:sz w:val="16"/>
                <w:szCs w:val="16"/>
              </w:rPr>
              <w:t> </w:t>
            </w:r>
          </w:p>
        </w:tc>
      </w:tr>
      <w:tr w:rsidR="00FB434E" w:rsidRPr="00FB434E" w14:paraId="736A9A0A" w14:textId="77777777" w:rsidTr="00FB3363">
        <w:trPr>
          <w:trHeight w:hRule="exact" w:val="226"/>
        </w:trPr>
        <w:tc>
          <w:tcPr>
            <w:tcW w:w="2183" w:type="pct"/>
            <w:tcBorders>
              <w:top w:val="nil"/>
              <w:left w:val="nil"/>
              <w:bottom w:val="nil"/>
              <w:right w:val="nil"/>
            </w:tcBorders>
            <w:shd w:val="clear" w:color="000000" w:fill="FFFFFF"/>
            <w:noWrap/>
            <w:vAlign w:val="center"/>
            <w:hideMark/>
          </w:tcPr>
          <w:p w14:paraId="00D97BB3" w14:textId="77777777" w:rsidR="00FB434E" w:rsidRPr="00FB434E" w:rsidRDefault="00FB434E" w:rsidP="00FB434E">
            <w:pPr>
              <w:spacing w:before="0" w:after="0" w:line="240" w:lineRule="auto"/>
              <w:rPr>
                <w:rFonts w:ascii="Arial" w:hAnsi="Arial" w:cs="Arial"/>
                <w:b/>
                <w:bCs/>
                <w:color w:val="000000"/>
                <w:sz w:val="16"/>
                <w:szCs w:val="16"/>
              </w:rPr>
            </w:pPr>
            <w:r w:rsidRPr="00FB434E">
              <w:rPr>
                <w:rFonts w:ascii="Arial" w:hAnsi="Arial" w:cs="Arial"/>
                <w:b/>
                <w:bCs/>
                <w:color w:val="000000"/>
                <w:sz w:val="16"/>
                <w:szCs w:val="16"/>
              </w:rPr>
              <w:t>Component(a)</w:t>
            </w:r>
          </w:p>
        </w:tc>
        <w:tc>
          <w:tcPr>
            <w:tcW w:w="68" w:type="pct"/>
            <w:tcBorders>
              <w:top w:val="nil"/>
              <w:left w:val="nil"/>
              <w:bottom w:val="nil"/>
              <w:right w:val="nil"/>
            </w:tcBorders>
            <w:shd w:val="clear" w:color="000000" w:fill="FFFFFF"/>
            <w:noWrap/>
            <w:vAlign w:val="center"/>
            <w:hideMark/>
          </w:tcPr>
          <w:p w14:paraId="326B24CC" w14:textId="77777777" w:rsidR="00FB434E" w:rsidRPr="00FB434E" w:rsidRDefault="00FB434E" w:rsidP="00FB434E">
            <w:pPr>
              <w:spacing w:before="0" w:after="0" w:line="240" w:lineRule="auto"/>
              <w:rPr>
                <w:rFonts w:ascii="Arial" w:hAnsi="Arial" w:cs="Arial"/>
                <w:color w:val="000000"/>
                <w:sz w:val="16"/>
                <w:szCs w:val="16"/>
              </w:rPr>
            </w:pPr>
            <w:r w:rsidRPr="00FB434E">
              <w:rPr>
                <w:rFonts w:ascii="Arial" w:hAnsi="Arial" w:cs="Arial"/>
                <w:color w:val="000000"/>
                <w:sz w:val="16"/>
                <w:szCs w:val="16"/>
              </w:rPr>
              <w:t> </w:t>
            </w:r>
          </w:p>
        </w:tc>
        <w:tc>
          <w:tcPr>
            <w:tcW w:w="2748" w:type="pct"/>
            <w:gridSpan w:val="5"/>
            <w:tcBorders>
              <w:top w:val="single" w:sz="4" w:space="0" w:color="293F5B"/>
              <w:left w:val="nil"/>
              <w:bottom w:val="single" w:sz="4" w:space="0" w:color="293F5B"/>
              <w:right w:val="nil"/>
            </w:tcBorders>
            <w:shd w:val="clear" w:color="000000" w:fill="FFFFFF"/>
            <w:noWrap/>
            <w:vAlign w:val="center"/>
            <w:hideMark/>
          </w:tcPr>
          <w:p w14:paraId="536F6460" w14:textId="77777777" w:rsidR="00FB434E" w:rsidRPr="00FB434E" w:rsidRDefault="00FB434E" w:rsidP="00FB434E">
            <w:pPr>
              <w:spacing w:before="0" w:after="0" w:line="240" w:lineRule="auto"/>
              <w:jc w:val="center"/>
              <w:rPr>
                <w:rFonts w:ascii="Arial" w:hAnsi="Arial" w:cs="Arial"/>
                <w:color w:val="000000"/>
                <w:sz w:val="16"/>
                <w:szCs w:val="16"/>
              </w:rPr>
            </w:pPr>
            <w:r w:rsidRPr="00FB434E">
              <w:rPr>
                <w:rFonts w:ascii="Arial" w:hAnsi="Arial" w:cs="Arial"/>
                <w:color w:val="000000"/>
                <w:sz w:val="16"/>
                <w:szCs w:val="16"/>
              </w:rPr>
              <w:t>Estimates</w:t>
            </w:r>
          </w:p>
        </w:tc>
      </w:tr>
      <w:tr w:rsidR="00FB434E" w:rsidRPr="00FB434E" w14:paraId="5A71FAC0" w14:textId="77777777" w:rsidTr="00FB434E">
        <w:trPr>
          <w:trHeight w:hRule="exact" w:val="226"/>
        </w:trPr>
        <w:tc>
          <w:tcPr>
            <w:tcW w:w="2183" w:type="pct"/>
            <w:tcBorders>
              <w:top w:val="nil"/>
              <w:left w:val="nil"/>
              <w:bottom w:val="nil"/>
              <w:right w:val="nil"/>
            </w:tcBorders>
            <w:shd w:val="clear" w:color="000000" w:fill="FFFFFF"/>
            <w:noWrap/>
            <w:vAlign w:val="bottom"/>
            <w:hideMark/>
          </w:tcPr>
          <w:p w14:paraId="5BA46E03" w14:textId="77777777" w:rsidR="00FB434E" w:rsidRPr="00FB434E" w:rsidRDefault="00FB434E" w:rsidP="00FB434E">
            <w:pPr>
              <w:spacing w:before="0" w:after="0" w:line="240" w:lineRule="auto"/>
              <w:rPr>
                <w:rFonts w:ascii="Arial" w:hAnsi="Arial" w:cs="Arial"/>
                <w:color w:val="000000"/>
                <w:sz w:val="16"/>
                <w:szCs w:val="16"/>
              </w:rPr>
            </w:pPr>
            <w:r w:rsidRPr="00FB434E">
              <w:rPr>
                <w:rFonts w:ascii="Arial" w:hAnsi="Arial" w:cs="Arial"/>
                <w:color w:val="000000"/>
                <w:sz w:val="16"/>
                <w:szCs w:val="16"/>
              </w:rPr>
              <w:t> </w:t>
            </w:r>
          </w:p>
        </w:tc>
        <w:tc>
          <w:tcPr>
            <w:tcW w:w="68" w:type="pct"/>
            <w:tcBorders>
              <w:top w:val="nil"/>
              <w:left w:val="nil"/>
              <w:bottom w:val="nil"/>
              <w:right w:val="nil"/>
            </w:tcBorders>
            <w:shd w:val="clear" w:color="000000" w:fill="FFFFFF"/>
            <w:noWrap/>
            <w:vAlign w:val="center"/>
            <w:hideMark/>
          </w:tcPr>
          <w:p w14:paraId="4E1D5702" w14:textId="77777777" w:rsidR="00FB434E" w:rsidRPr="00FB434E" w:rsidRDefault="00FB434E" w:rsidP="00FB434E">
            <w:pPr>
              <w:spacing w:before="0" w:after="0" w:line="240" w:lineRule="auto"/>
              <w:jc w:val="right"/>
              <w:rPr>
                <w:rFonts w:ascii="Arial" w:hAnsi="Arial" w:cs="Arial"/>
                <w:sz w:val="16"/>
                <w:szCs w:val="16"/>
              </w:rPr>
            </w:pPr>
            <w:r w:rsidRPr="00FB434E">
              <w:rPr>
                <w:rFonts w:ascii="Arial" w:hAnsi="Arial" w:cs="Arial"/>
                <w:sz w:val="16"/>
                <w:szCs w:val="16"/>
              </w:rPr>
              <w:t> </w:t>
            </w:r>
          </w:p>
        </w:tc>
        <w:tc>
          <w:tcPr>
            <w:tcW w:w="550" w:type="pct"/>
            <w:tcBorders>
              <w:top w:val="single" w:sz="4" w:space="0" w:color="293F5B"/>
              <w:left w:val="nil"/>
              <w:bottom w:val="nil"/>
              <w:right w:val="nil"/>
            </w:tcBorders>
            <w:shd w:val="clear" w:color="000000" w:fill="FFFFFF"/>
            <w:noWrap/>
            <w:vAlign w:val="center"/>
            <w:hideMark/>
          </w:tcPr>
          <w:p w14:paraId="569FD379" w14:textId="41FF46F1" w:rsidR="00FB434E" w:rsidRPr="00FB434E" w:rsidRDefault="00FB434E" w:rsidP="00FB434E">
            <w:pPr>
              <w:spacing w:before="0" w:after="0" w:line="240" w:lineRule="auto"/>
              <w:jc w:val="right"/>
              <w:rPr>
                <w:rFonts w:ascii="Arial" w:hAnsi="Arial" w:cs="Arial"/>
                <w:sz w:val="16"/>
                <w:szCs w:val="16"/>
              </w:rPr>
            </w:pPr>
            <w:r w:rsidRPr="00FB434E">
              <w:rPr>
                <w:rFonts w:ascii="Arial" w:hAnsi="Arial" w:cs="Arial"/>
                <w:sz w:val="16"/>
                <w:szCs w:val="16"/>
              </w:rPr>
              <w:t>2023</w:t>
            </w:r>
            <w:r w:rsidR="008D4F6B">
              <w:rPr>
                <w:rFonts w:ascii="Arial" w:hAnsi="Arial" w:cs="Arial"/>
                <w:sz w:val="16"/>
                <w:szCs w:val="16"/>
              </w:rPr>
              <w:noBreakHyphen/>
            </w:r>
            <w:r w:rsidRPr="00FB434E">
              <w:rPr>
                <w:rFonts w:ascii="Arial" w:hAnsi="Arial" w:cs="Arial"/>
                <w:sz w:val="16"/>
                <w:szCs w:val="16"/>
              </w:rPr>
              <w:t>24</w:t>
            </w:r>
          </w:p>
        </w:tc>
        <w:tc>
          <w:tcPr>
            <w:tcW w:w="550" w:type="pct"/>
            <w:tcBorders>
              <w:top w:val="single" w:sz="4" w:space="0" w:color="293F5B"/>
              <w:left w:val="nil"/>
              <w:bottom w:val="nil"/>
              <w:right w:val="nil"/>
            </w:tcBorders>
            <w:shd w:val="clear" w:color="000000" w:fill="E6F2FF"/>
            <w:noWrap/>
            <w:vAlign w:val="center"/>
            <w:hideMark/>
          </w:tcPr>
          <w:p w14:paraId="4C80AA70" w14:textId="4201E6A1" w:rsidR="00FB434E" w:rsidRPr="00FB434E" w:rsidRDefault="00FB434E" w:rsidP="00FB434E">
            <w:pPr>
              <w:spacing w:before="0" w:after="0" w:line="240" w:lineRule="auto"/>
              <w:jc w:val="right"/>
              <w:rPr>
                <w:rFonts w:ascii="Arial" w:hAnsi="Arial" w:cs="Arial"/>
                <w:sz w:val="16"/>
                <w:szCs w:val="16"/>
              </w:rPr>
            </w:pPr>
            <w:r w:rsidRPr="00FB434E">
              <w:rPr>
                <w:rFonts w:ascii="Arial" w:hAnsi="Arial" w:cs="Arial"/>
                <w:sz w:val="16"/>
                <w:szCs w:val="16"/>
              </w:rPr>
              <w:t>2024</w:t>
            </w:r>
            <w:r w:rsidR="008D4F6B">
              <w:rPr>
                <w:rFonts w:ascii="Arial" w:hAnsi="Arial" w:cs="Arial"/>
                <w:sz w:val="16"/>
                <w:szCs w:val="16"/>
              </w:rPr>
              <w:noBreakHyphen/>
            </w:r>
            <w:r w:rsidRPr="00FB434E">
              <w:rPr>
                <w:rFonts w:ascii="Arial" w:hAnsi="Arial" w:cs="Arial"/>
                <w:sz w:val="16"/>
                <w:szCs w:val="16"/>
              </w:rPr>
              <w:t>25</w:t>
            </w:r>
          </w:p>
        </w:tc>
        <w:tc>
          <w:tcPr>
            <w:tcW w:w="550" w:type="pct"/>
            <w:tcBorders>
              <w:top w:val="single" w:sz="4" w:space="0" w:color="293F5B"/>
              <w:left w:val="nil"/>
              <w:bottom w:val="nil"/>
              <w:right w:val="nil"/>
            </w:tcBorders>
            <w:shd w:val="clear" w:color="000000" w:fill="FFFFFF"/>
            <w:noWrap/>
            <w:vAlign w:val="center"/>
            <w:hideMark/>
          </w:tcPr>
          <w:p w14:paraId="7F177096" w14:textId="4AD2BA76" w:rsidR="00FB434E" w:rsidRPr="00FB434E" w:rsidRDefault="00FB434E" w:rsidP="00FB434E">
            <w:pPr>
              <w:spacing w:before="0" w:after="0" w:line="240" w:lineRule="auto"/>
              <w:jc w:val="right"/>
              <w:rPr>
                <w:rFonts w:ascii="Arial" w:hAnsi="Arial" w:cs="Arial"/>
                <w:sz w:val="16"/>
                <w:szCs w:val="16"/>
              </w:rPr>
            </w:pPr>
            <w:r w:rsidRPr="00FB434E">
              <w:rPr>
                <w:rFonts w:ascii="Arial" w:hAnsi="Arial" w:cs="Arial"/>
                <w:sz w:val="16"/>
                <w:szCs w:val="16"/>
              </w:rPr>
              <w:t>2025</w:t>
            </w:r>
            <w:r w:rsidR="008D4F6B">
              <w:rPr>
                <w:rFonts w:ascii="Arial" w:hAnsi="Arial" w:cs="Arial"/>
                <w:sz w:val="16"/>
                <w:szCs w:val="16"/>
              </w:rPr>
              <w:noBreakHyphen/>
            </w:r>
            <w:r w:rsidRPr="00FB434E">
              <w:rPr>
                <w:rFonts w:ascii="Arial" w:hAnsi="Arial" w:cs="Arial"/>
                <w:sz w:val="16"/>
                <w:szCs w:val="16"/>
              </w:rPr>
              <w:t>26</w:t>
            </w:r>
          </w:p>
        </w:tc>
        <w:tc>
          <w:tcPr>
            <w:tcW w:w="550" w:type="pct"/>
            <w:tcBorders>
              <w:top w:val="single" w:sz="4" w:space="0" w:color="293F5B"/>
              <w:left w:val="nil"/>
              <w:bottom w:val="nil"/>
              <w:right w:val="nil"/>
            </w:tcBorders>
            <w:shd w:val="clear" w:color="000000" w:fill="FFFFFF"/>
            <w:noWrap/>
            <w:vAlign w:val="center"/>
            <w:hideMark/>
          </w:tcPr>
          <w:p w14:paraId="41472BE5" w14:textId="15DF274F" w:rsidR="00FB434E" w:rsidRPr="00FB434E" w:rsidRDefault="00FB434E" w:rsidP="00FB434E">
            <w:pPr>
              <w:spacing w:before="0" w:after="0" w:line="240" w:lineRule="auto"/>
              <w:jc w:val="right"/>
              <w:rPr>
                <w:rFonts w:ascii="Arial" w:hAnsi="Arial" w:cs="Arial"/>
                <w:sz w:val="16"/>
                <w:szCs w:val="16"/>
              </w:rPr>
            </w:pPr>
            <w:r w:rsidRPr="00FB434E">
              <w:rPr>
                <w:rFonts w:ascii="Arial" w:hAnsi="Arial" w:cs="Arial"/>
                <w:sz w:val="16"/>
                <w:szCs w:val="16"/>
              </w:rPr>
              <w:t>2026</w:t>
            </w:r>
            <w:r w:rsidR="008D4F6B">
              <w:rPr>
                <w:rFonts w:ascii="Arial" w:hAnsi="Arial" w:cs="Arial"/>
                <w:sz w:val="16"/>
                <w:szCs w:val="16"/>
              </w:rPr>
              <w:noBreakHyphen/>
            </w:r>
            <w:r w:rsidRPr="00FB434E">
              <w:rPr>
                <w:rFonts w:ascii="Arial" w:hAnsi="Arial" w:cs="Arial"/>
                <w:sz w:val="16"/>
                <w:szCs w:val="16"/>
              </w:rPr>
              <w:t>27</w:t>
            </w:r>
          </w:p>
        </w:tc>
        <w:tc>
          <w:tcPr>
            <w:tcW w:w="550" w:type="pct"/>
            <w:tcBorders>
              <w:top w:val="single" w:sz="4" w:space="0" w:color="293F5B"/>
              <w:left w:val="nil"/>
              <w:bottom w:val="nil"/>
              <w:right w:val="nil"/>
            </w:tcBorders>
            <w:shd w:val="clear" w:color="000000" w:fill="FFFFFF"/>
            <w:noWrap/>
            <w:vAlign w:val="center"/>
            <w:hideMark/>
          </w:tcPr>
          <w:p w14:paraId="626BBE57" w14:textId="1DB0C30E" w:rsidR="00FB434E" w:rsidRPr="00FB434E" w:rsidRDefault="00FB434E" w:rsidP="00FB434E">
            <w:pPr>
              <w:spacing w:before="0" w:after="0" w:line="240" w:lineRule="auto"/>
              <w:jc w:val="right"/>
              <w:rPr>
                <w:rFonts w:ascii="Arial" w:hAnsi="Arial" w:cs="Arial"/>
                <w:color w:val="000000"/>
                <w:sz w:val="16"/>
                <w:szCs w:val="16"/>
              </w:rPr>
            </w:pPr>
            <w:r w:rsidRPr="00FB434E">
              <w:rPr>
                <w:rFonts w:ascii="Arial" w:hAnsi="Arial" w:cs="Arial"/>
                <w:color w:val="000000"/>
                <w:sz w:val="16"/>
                <w:szCs w:val="16"/>
              </w:rPr>
              <w:t>2027</w:t>
            </w:r>
            <w:r w:rsidR="008D4F6B">
              <w:rPr>
                <w:rFonts w:ascii="Arial" w:hAnsi="Arial" w:cs="Arial"/>
                <w:color w:val="000000"/>
                <w:sz w:val="16"/>
                <w:szCs w:val="16"/>
              </w:rPr>
              <w:noBreakHyphen/>
            </w:r>
            <w:r w:rsidRPr="00FB434E">
              <w:rPr>
                <w:rFonts w:ascii="Arial" w:hAnsi="Arial" w:cs="Arial"/>
                <w:color w:val="000000"/>
                <w:sz w:val="16"/>
                <w:szCs w:val="16"/>
              </w:rPr>
              <w:t>28</w:t>
            </w:r>
          </w:p>
        </w:tc>
      </w:tr>
      <w:tr w:rsidR="00FB434E" w:rsidRPr="00FB434E" w14:paraId="5F1C206B" w14:textId="77777777" w:rsidTr="00FB434E">
        <w:trPr>
          <w:trHeight w:hRule="exact" w:val="226"/>
        </w:trPr>
        <w:tc>
          <w:tcPr>
            <w:tcW w:w="2183" w:type="pct"/>
            <w:tcBorders>
              <w:top w:val="nil"/>
              <w:left w:val="nil"/>
              <w:bottom w:val="nil"/>
              <w:right w:val="nil"/>
            </w:tcBorders>
            <w:shd w:val="clear" w:color="000000" w:fill="FFFFFF"/>
            <w:noWrap/>
            <w:vAlign w:val="center"/>
            <w:hideMark/>
          </w:tcPr>
          <w:p w14:paraId="61AD8E36" w14:textId="77777777" w:rsidR="00FB434E" w:rsidRPr="00FB434E" w:rsidRDefault="00FB434E" w:rsidP="00FB434E">
            <w:pPr>
              <w:spacing w:before="0" w:after="0" w:line="240" w:lineRule="auto"/>
              <w:rPr>
                <w:rFonts w:ascii="Arial" w:hAnsi="Arial" w:cs="Arial"/>
                <w:color w:val="000000"/>
                <w:sz w:val="16"/>
                <w:szCs w:val="16"/>
              </w:rPr>
            </w:pPr>
            <w:r w:rsidRPr="00FB434E">
              <w:rPr>
                <w:rFonts w:ascii="Arial" w:hAnsi="Arial" w:cs="Arial"/>
                <w:color w:val="000000"/>
                <w:sz w:val="16"/>
                <w:szCs w:val="16"/>
              </w:rPr>
              <w:t> </w:t>
            </w:r>
          </w:p>
        </w:tc>
        <w:tc>
          <w:tcPr>
            <w:tcW w:w="68" w:type="pct"/>
            <w:tcBorders>
              <w:top w:val="nil"/>
              <w:left w:val="nil"/>
              <w:bottom w:val="nil"/>
              <w:right w:val="nil"/>
            </w:tcBorders>
            <w:shd w:val="clear" w:color="000000" w:fill="FFFFFF"/>
            <w:noWrap/>
            <w:vAlign w:val="center"/>
            <w:hideMark/>
          </w:tcPr>
          <w:p w14:paraId="5A358E20" w14:textId="77777777" w:rsidR="00FB434E" w:rsidRPr="00FB434E" w:rsidRDefault="00FB434E" w:rsidP="00FB434E">
            <w:pPr>
              <w:spacing w:before="0" w:after="0" w:line="240" w:lineRule="auto"/>
              <w:jc w:val="right"/>
              <w:rPr>
                <w:rFonts w:ascii="Arial" w:hAnsi="Arial" w:cs="Arial"/>
                <w:color w:val="000000"/>
                <w:sz w:val="16"/>
                <w:szCs w:val="16"/>
              </w:rPr>
            </w:pPr>
            <w:r w:rsidRPr="00FB434E">
              <w:rPr>
                <w:rFonts w:ascii="Arial" w:hAnsi="Arial" w:cs="Arial"/>
                <w:color w:val="000000"/>
                <w:sz w:val="16"/>
                <w:szCs w:val="16"/>
              </w:rPr>
              <w:t> </w:t>
            </w:r>
          </w:p>
        </w:tc>
        <w:tc>
          <w:tcPr>
            <w:tcW w:w="550" w:type="pct"/>
            <w:tcBorders>
              <w:top w:val="nil"/>
              <w:left w:val="nil"/>
              <w:bottom w:val="single" w:sz="4" w:space="0" w:color="293F5B"/>
              <w:right w:val="nil"/>
            </w:tcBorders>
            <w:shd w:val="clear" w:color="000000" w:fill="FFFFFF"/>
            <w:noWrap/>
            <w:vAlign w:val="center"/>
            <w:hideMark/>
          </w:tcPr>
          <w:p w14:paraId="539A39AA" w14:textId="77777777" w:rsidR="00FB434E" w:rsidRPr="00FB434E" w:rsidRDefault="00FB434E" w:rsidP="00FB434E">
            <w:pPr>
              <w:spacing w:before="0" w:after="0" w:line="240" w:lineRule="auto"/>
              <w:jc w:val="right"/>
              <w:rPr>
                <w:rFonts w:ascii="Arial" w:hAnsi="Arial" w:cs="Arial"/>
                <w:color w:val="000000"/>
                <w:sz w:val="16"/>
                <w:szCs w:val="16"/>
              </w:rPr>
            </w:pPr>
            <w:r w:rsidRPr="00FB434E">
              <w:rPr>
                <w:rFonts w:ascii="Arial" w:hAnsi="Arial" w:cs="Arial"/>
                <w:color w:val="000000"/>
                <w:sz w:val="16"/>
                <w:szCs w:val="16"/>
              </w:rPr>
              <w:t>$m</w:t>
            </w:r>
          </w:p>
        </w:tc>
        <w:tc>
          <w:tcPr>
            <w:tcW w:w="550" w:type="pct"/>
            <w:tcBorders>
              <w:top w:val="nil"/>
              <w:left w:val="nil"/>
              <w:bottom w:val="single" w:sz="4" w:space="0" w:color="293F5B"/>
              <w:right w:val="nil"/>
            </w:tcBorders>
            <w:shd w:val="clear" w:color="000000" w:fill="E6F2FF"/>
            <w:noWrap/>
            <w:vAlign w:val="center"/>
            <w:hideMark/>
          </w:tcPr>
          <w:p w14:paraId="5EA31901" w14:textId="77777777" w:rsidR="00FB434E" w:rsidRPr="00FB434E" w:rsidRDefault="00FB434E" w:rsidP="00FB434E">
            <w:pPr>
              <w:spacing w:before="0" w:after="0" w:line="240" w:lineRule="auto"/>
              <w:jc w:val="right"/>
              <w:rPr>
                <w:rFonts w:ascii="Arial" w:hAnsi="Arial" w:cs="Arial"/>
                <w:color w:val="000000"/>
                <w:sz w:val="16"/>
                <w:szCs w:val="16"/>
              </w:rPr>
            </w:pPr>
            <w:r w:rsidRPr="00FB434E">
              <w:rPr>
                <w:rFonts w:ascii="Arial" w:hAnsi="Arial" w:cs="Arial"/>
                <w:color w:val="000000"/>
                <w:sz w:val="16"/>
                <w:szCs w:val="16"/>
              </w:rPr>
              <w:t>$m</w:t>
            </w:r>
          </w:p>
        </w:tc>
        <w:tc>
          <w:tcPr>
            <w:tcW w:w="550" w:type="pct"/>
            <w:tcBorders>
              <w:top w:val="nil"/>
              <w:left w:val="nil"/>
              <w:bottom w:val="single" w:sz="4" w:space="0" w:color="293F5B"/>
              <w:right w:val="nil"/>
            </w:tcBorders>
            <w:shd w:val="clear" w:color="000000" w:fill="FFFFFF"/>
            <w:noWrap/>
            <w:vAlign w:val="center"/>
            <w:hideMark/>
          </w:tcPr>
          <w:p w14:paraId="32032AEF" w14:textId="77777777" w:rsidR="00FB434E" w:rsidRPr="00FB434E" w:rsidRDefault="00FB434E" w:rsidP="00FB434E">
            <w:pPr>
              <w:spacing w:before="0" w:after="0" w:line="240" w:lineRule="auto"/>
              <w:jc w:val="right"/>
              <w:rPr>
                <w:rFonts w:ascii="Arial" w:hAnsi="Arial" w:cs="Arial"/>
                <w:color w:val="000000"/>
                <w:sz w:val="16"/>
                <w:szCs w:val="16"/>
              </w:rPr>
            </w:pPr>
            <w:r w:rsidRPr="00FB434E">
              <w:rPr>
                <w:rFonts w:ascii="Arial" w:hAnsi="Arial" w:cs="Arial"/>
                <w:color w:val="000000"/>
                <w:sz w:val="16"/>
                <w:szCs w:val="16"/>
              </w:rPr>
              <w:t>$m</w:t>
            </w:r>
          </w:p>
        </w:tc>
        <w:tc>
          <w:tcPr>
            <w:tcW w:w="550" w:type="pct"/>
            <w:tcBorders>
              <w:top w:val="nil"/>
              <w:left w:val="nil"/>
              <w:bottom w:val="single" w:sz="4" w:space="0" w:color="293F5B"/>
              <w:right w:val="nil"/>
            </w:tcBorders>
            <w:shd w:val="clear" w:color="000000" w:fill="FFFFFF"/>
            <w:noWrap/>
            <w:vAlign w:val="center"/>
            <w:hideMark/>
          </w:tcPr>
          <w:p w14:paraId="3E92D80F" w14:textId="77777777" w:rsidR="00FB434E" w:rsidRPr="00FB434E" w:rsidRDefault="00FB434E" w:rsidP="00FB434E">
            <w:pPr>
              <w:spacing w:before="0" w:after="0" w:line="240" w:lineRule="auto"/>
              <w:jc w:val="right"/>
              <w:rPr>
                <w:rFonts w:ascii="Arial" w:hAnsi="Arial" w:cs="Arial"/>
                <w:color w:val="000000"/>
                <w:sz w:val="16"/>
                <w:szCs w:val="16"/>
              </w:rPr>
            </w:pPr>
            <w:r w:rsidRPr="00FB434E">
              <w:rPr>
                <w:rFonts w:ascii="Arial" w:hAnsi="Arial" w:cs="Arial"/>
                <w:color w:val="000000"/>
                <w:sz w:val="16"/>
                <w:szCs w:val="16"/>
              </w:rPr>
              <w:t>$m</w:t>
            </w:r>
          </w:p>
        </w:tc>
        <w:tc>
          <w:tcPr>
            <w:tcW w:w="550" w:type="pct"/>
            <w:tcBorders>
              <w:top w:val="nil"/>
              <w:left w:val="nil"/>
              <w:bottom w:val="single" w:sz="4" w:space="0" w:color="293F5B"/>
              <w:right w:val="nil"/>
            </w:tcBorders>
            <w:shd w:val="clear" w:color="000000" w:fill="FFFFFF"/>
            <w:noWrap/>
            <w:vAlign w:val="center"/>
            <w:hideMark/>
          </w:tcPr>
          <w:p w14:paraId="22778AFF" w14:textId="77777777" w:rsidR="00FB434E" w:rsidRPr="00FB434E" w:rsidRDefault="00FB434E" w:rsidP="00FB434E">
            <w:pPr>
              <w:spacing w:before="0" w:after="0" w:line="240" w:lineRule="auto"/>
              <w:jc w:val="right"/>
              <w:rPr>
                <w:rFonts w:ascii="Arial" w:hAnsi="Arial" w:cs="Arial"/>
                <w:color w:val="000000"/>
                <w:sz w:val="16"/>
                <w:szCs w:val="16"/>
              </w:rPr>
            </w:pPr>
            <w:r w:rsidRPr="00FB434E">
              <w:rPr>
                <w:rFonts w:ascii="Arial" w:hAnsi="Arial" w:cs="Arial"/>
                <w:color w:val="000000"/>
                <w:sz w:val="16"/>
                <w:szCs w:val="16"/>
              </w:rPr>
              <w:t>$m</w:t>
            </w:r>
          </w:p>
        </w:tc>
      </w:tr>
      <w:tr w:rsidR="00FB434E" w:rsidRPr="00FB434E" w14:paraId="72EBBE5A" w14:textId="77777777" w:rsidTr="00FB3363">
        <w:trPr>
          <w:trHeight w:hRule="exact" w:val="224"/>
        </w:trPr>
        <w:tc>
          <w:tcPr>
            <w:tcW w:w="2183" w:type="pct"/>
            <w:tcBorders>
              <w:top w:val="nil"/>
              <w:left w:val="nil"/>
              <w:bottom w:val="nil"/>
              <w:right w:val="nil"/>
            </w:tcBorders>
            <w:shd w:val="clear" w:color="000000" w:fill="FFFFFF"/>
            <w:noWrap/>
            <w:vAlign w:val="center"/>
            <w:hideMark/>
          </w:tcPr>
          <w:p w14:paraId="55148329" w14:textId="77777777" w:rsidR="00FB434E" w:rsidRPr="00FB434E" w:rsidRDefault="00FB434E" w:rsidP="00FB434E">
            <w:pPr>
              <w:spacing w:before="0" w:after="0" w:line="240" w:lineRule="auto"/>
              <w:rPr>
                <w:rFonts w:ascii="Arial" w:hAnsi="Arial" w:cs="Arial"/>
                <w:color w:val="000000"/>
                <w:sz w:val="16"/>
                <w:szCs w:val="16"/>
              </w:rPr>
            </w:pPr>
            <w:r w:rsidRPr="00FB434E">
              <w:rPr>
                <w:rFonts w:ascii="Arial" w:hAnsi="Arial" w:cs="Arial"/>
                <w:color w:val="000000"/>
                <w:sz w:val="16"/>
                <w:szCs w:val="16"/>
              </w:rPr>
              <w:t>Family Assistance</w:t>
            </w:r>
          </w:p>
        </w:tc>
        <w:tc>
          <w:tcPr>
            <w:tcW w:w="68" w:type="pct"/>
            <w:tcBorders>
              <w:top w:val="nil"/>
              <w:left w:val="nil"/>
              <w:bottom w:val="nil"/>
              <w:right w:val="nil"/>
            </w:tcBorders>
            <w:shd w:val="clear" w:color="000000" w:fill="FFFFFF"/>
            <w:noWrap/>
            <w:vAlign w:val="center"/>
            <w:hideMark/>
          </w:tcPr>
          <w:p w14:paraId="0EF89104" w14:textId="77777777" w:rsidR="00FB434E" w:rsidRPr="00FB434E" w:rsidRDefault="00FB434E" w:rsidP="00FB434E">
            <w:pPr>
              <w:spacing w:before="0" w:after="0" w:line="240" w:lineRule="auto"/>
              <w:rPr>
                <w:rFonts w:ascii="Arial" w:hAnsi="Arial" w:cs="Arial"/>
                <w:color w:val="000000"/>
                <w:sz w:val="16"/>
                <w:szCs w:val="16"/>
              </w:rPr>
            </w:pPr>
            <w:r w:rsidRPr="00FB434E">
              <w:rPr>
                <w:rFonts w:ascii="Arial" w:hAnsi="Arial" w:cs="Arial"/>
                <w:color w:val="000000"/>
                <w:sz w:val="16"/>
                <w:szCs w:val="16"/>
              </w:rPr>
              <w:t> </w:t>
            </w:r>
          </w:p>
        </w:tc>
        <w:tc>
          <w:tcPr>
            <w:tcW w:w="550" w:type="pct"/>
            <w:tcBorders>
              <w:top w:val="single" w:sz="4" w:space="0" w:color="293F5B"/>
              <w:left w:val="nil"/>
              <w:bottom w:val="nil"/>
              <w:right w:val="nil"/>
            </w:tcBorders>
            <w:shd w:val="clear" w:color="000000" w:fill="FFFFFF"/>
            <w:noWrap/>
            <w:vAlign w:val="center"/>
            <w:hideMark/>
          </w:tcPr>
          <w:p w14:paraId="70E0071D" w14:textId="77777777" w:rsidR="00FB434E" w:rsidRPr="00FB434E" w:rsidRDefault="00FB434E" w:rsidP="00FB434E">
            <w:pPr>
              <w:spacing w:before="0" w:after="0" w:line="240" w:lineRule="auto"/>
              <w:jc w:val="right"/>
              <w:rPr>
                <w:rFonts w:ascii="Arial" w:hAnsi="Arial" w:cs="Arial"/>
                <w:color w:val="000000"/>
                <w:sz w:val="16"/>
                <w:szCs w:val="16"/>
              </w:rPr>
            </w:pPr>
            <w:r w:rsidRPr="00FB434E">
              <w:rPr>
                <w:rFonts w:ascii="Arial" w:hAnsi="Arial" w:cs="Arial"/>
                <w:color w:val="000000"/>
                <w:sz w:val="16"/>
                <w:szCs w:val="16"/>
              </w:rPr>
              <w:t>19,787</w:t>
            </w:r>
          </w:p>
        </w:tc>
        <w:tc>
          <w:tcPr>
            <w:tcW w:w="550" w:type="pct"/>
            <w:tcBorders>
              <w:top w:val="single" w:sz="4" w:space="0" w:color="293F5B"/>
              <w:left w:val="nil"/>
              <w:bottom w:val="nil"/>
              <w:right w:val="nil"/>
            </w:tcBorders>
            <w:shd w:val="clear" w:color="000000" w:fill="E6F2FF"/>
            <w:noWrap/>
            <w:vAlign w:val="center"/>
            <w:hideMark/>
          </w:tcPr>
          <w:p w14:paraId="5D7DDA5F" w14:textId="77777777" w:rsidR="00FB434E" w:rsidRPr="00FB434E" w:rsidRDefault="00FB434E" w:rsidP="00FB434E">
            <w:pPr>
              <w:spacing w:before="0" w:after="0" w:line="240" w:lineRule="auto"/>
              <w:jc w:val="right"/>
              <w:rPr>
                <w:rFonts w:ascii="Arial" w:hAnsi="Arial" w:cs="Arial"/>
                <w:color w:val="000000"/>
                <w:sz w:val="16"/>
                <w:szCs w:val="16"/>
              </w:rPr>
            </w:pPr>
            <w:r w:rsidRPr="00FB434E">
              <w:rPr>
                <w:rFonts w:ascii="Arial" w:hAnsi="Arial" w:cs="Arial"/>
                <w:color w:val="000000"/>
                <w:sz w:val="16"/>
                <w:szCs w:val="16"/>
              </w:rPr>
              <w:t>20,742</w:t>
            </w:r>
          </w:p>
        </w:tc>
        <w:tc>
          <w:tcPr>
            <w:tcW w:w="550" w:type="pct"/>
            <w:tcBorders>
              <w:top w:val="single" w:sz="4" w:space="0" w:color="293F5B"/>
              <w:left w:val="nil"/>
              <w:bottom w:val="nil"/>
              <w:right w:val="nil"/>
            </w:tcBorders>
            <w:shd w:val="clear" w:color="000000" w:fill="FFFFFF"/>
            <w:noWrap/>
            <w:vAlign w:val="center"/>
            <w:hideMark/>
          </w:tcPr>
          <w:p w14:paraId="402F4BA6" w14:textId="77777777" w:rsidR="00FB434E" w:rsidRPr="00FB434E" w:rsidRDefault="00FB434E" w:rsidP="00FB434E">
            <w:pPr>
              <w:spacing w:before="0" w:after="0" w:line="240" w:lineRule="auto"/>
              <w:jc w:val="right"/>
              <w:rPr>
                <w:rFonts w:ascii="Arial" w:hAnsi="Arial" w:cs="Arial"/>
                <w:color w:val="000000"/>
                <w:sz w:val="16"/>
                <w:szCs w:val="16"/>
              </w:rPr>
            </w:pPr>
            <w:r w:rsidRPr="00FB434E">
              <w:rPr>
                <w:rFonts w:ascii="Arial" w:hAnsi="Arial" w:cs="Arial"/>
                <w:color w:val="000000"/>
                <w:sz w:val="16"/>
                <w:szCs w:val="16"/>
              </w:rPr>
              <w:t>22,107</w:t>
            </w:r>
          </w:p>
        </w:tc>
        <w:tc>
          <w:tcPr>
            <w:tcW w:w="550" w:type="pct"/>
            <w:tcBorders>
              <w:top w:val="single" w:sz="4" w:space="0" w:color="293F5B"/>
              <w:left w:val="nil"/>
              <w:bottom w:val="nil"/>
              <w:right w:val="nil"/>
            </w:tcBorders>
            <w:shd w:val="clear" w:color="000000" w:fill="FFFFFF"/>
            <w:noWrap/>
            <w:vAlign w:val="center"/>
            <w:hideMark/>
          </w:tcPr>
          <w:p w14:paraId="7175F0AD" w14:textId="77777777" w:rsidR="00FB434E" w:rsidRPr="00FB434E" w:rsidRDefault="00FB434E" w:rsidP="00FB434E">
            <w:pPr>
              <w:spacing w:before="0" w:after="0" w:line="240" w:lineRule="auto"/>
              <w:jc w:val="right"/>
              <w:rPr>
                <w:rFonts w:ascii="Arial" w:hAnsi="Arial" w:cs="Arial"/>
                <w:color w:val="000000"/>
                <w:sz w:val="16"/>
                <w:szCs w:val="16"/>
              </w:rPr>
            </w:pPr>
            <w:r w:rsidRPr="00FB434E">
              <w:rPr>
                <w:rFonts w:ascii="Arial" w:hAnsi="Arial" w:cs="Arial"/>
                <w:color w:val="000000"/>
                <w:sz w:val="16"/>
                <w:szCs w:val="16"/>
              </w:rPr>
              <w:t>23,021</w:t>
            </w:r>
          </w:p>
        </w:tc>
        <w:tc>
          <w:tcPr>
            <w:tcW w:w="550" w:type="pct"/>
            <w:tcBorders>
              <w:top w:val="single" w:sz="4" w:space="0" w:color="293F5B"/>
              <w:left w:val="nil"/>
              <w:bottom w:val="nil"/>
              <w:right w:val="nil"/>
            </w:tcBorders>
            <w:shd w:val="clear" w:color="000000" w:fill="FFFFFF"/>
            <w:noWrap/>
            <w:vAlign w:val="center"/>
            <w:hideMark/>
          </w:tcPr>
          <w:p w14:paraId="549F00BA" w14:textId="77777777" w:rsidR="00FB434E" w:rsidRPr="00FB434E" w:rsidRDefault="00FB434E" w:rsidP="00FB434E">
            <w:pPr>
              <w:spacing w:before="0" w:after="0" w:line="240" w:lineRule="auto"/>
              <w:jc w:val="right"/>
              <w:rPr>
                <w:rFonts w:ascii="Arial" w:hAnsi="Arial" w:cs="Arial"/>
                <w:color w:val="000000"/>
                <w:sz w:val="16"/>
                <w:szCs w:val="16"/>
              </w:rPr>
            </w:pPr>
            <w:r w:rsidRPr="00FB434E">
              <w:rPr>
                <w:rFonts w:ascii="Arial" w:hAnsi="Arial" w:cs="Arial"/>
                <w:color w:val="000000"/>
                <w:sz w:val="16"/>
                <w:szCs w:val="16"/>
              </w:rPr>
              <w:t>23,381</w:t>
            </w:r>
          </w:p>
        </w:tc>
      </w:tr>
      <w:tr w:rsidR="00FB434E" w:rsidRPr="00FB434E" w14:paraId="0D2F361F" w14:textId="77777777" w:rsidTr="00FB434E">
        <w:trPr>
          <w:trHeight w:hRule="exact" w:val="224"/>
        </w:trPr>
        <w:tc>
          <w:tcPr>
            <w:tcW w:w="2183" w:type="pct"/>
            <w:tcBorders>
              <w:top w:val="nil"/>
              <w:left w:val="nil"/>
              <w:bottom w:val="nil"/>
              <w:right w:val="nil"/>
            </w:tcBorders>
            <w:shd w:val="clear" w:color="000000" w:fill="FFFFFF"/>
            <w:noWrap/>
            <w:vAlign w:val="center"/>
            <w:hideMark/>
          </w:tcPr>
          <w:p w14:paraId="58F27A48" w14:textId="77777777" w:rsidR="00FB434E" w:rsidRPr="00FB434E" w:rsidRDefault="00FB434E" w:rsidP="00FB434E">
            <w:pPr>
              <w:spacing w:before="0" w:after="0" w:line="240" w:lineRule="auto"/>
              <w:rPr>
                <w:rFonts w:ascii="Arial" w:hAnsi="Arial" w:cs="Arial"/>
                <w:color w:val="000000"/>
                <w:sz w:val="16"/>
                <w:szCs w:val="16"/>
              </w:rPr>
            </w:pPr>
            <w:r w:rsidRPr="00FB434E">
              <w:rPr>
                <w:rFonts w:ascii="Arial" w:hAnsi="Arial" w:cs="Arial"/>
                <w:color w:val="000000"/>
                <w:sz w:val="16"/>
                <w:szCs w:val="16"/>
              </w:rPr>
              <w:t>Child Care Subsidy</w:t>
            </w:r>
          </w:p>
        </w:tc>
        <w:tc>
          <w:tcPr>
            <w:tcW w:w="68" w:type="pct"/>
            <w:tcBorders>
              <w:top w:val="nil"/>
              <w:left w:val="nil"/>
              <w:bottom w:val="nil"/>
              <w:right w:val="nil"/>
            </w:tcBorders>
            <w:shd w:val="clear" w:color="000000" w:fill="FFFFFF"/>
            <w:noWrap/>
            <w:vAlign w:val="center"/>
            <w:hideMark/>
          </w:tcPr>
          <w:p w14:paraId="6949F219" w14:textId="77777777" w:rsidR="00FB434E" w:rsidRPr="00FB434E" w:rsidRDefault="00FB434E" w:rsidP="00FB434E">
            <w:pPr>
              <w:spacing w:before="0" w:after="0" w:line="240" w:lineRule="auto"/>
              <w:rPr>
                <w:rFonts w:ascii="Arial" w:hAnsi="Arial" w:cs="Arial"/>
                <w:color w:val="000000"/>
                <w:sz w:val="16"/>
                <w:szCs w:val="16"/>
              </w:rPr>
            </w:pPr>
            <w:r w:rsidRPr="00FB434E">
              <w:rPr>
                <w:rFonts w:ascii="Arial" w:hAnsi="Arial" w:cs="Arial"/>
                <w:color w:val="000000"/>
                <w:sz w:val="16"/>
                <w:szCs w:val="16"/>
              </w:rPr>
              <w:t> </w:t>
            </w:r>
          </w:p>
        </w:tc>
        <w:tc>
          <w:tcPr>
            <w:tcW w:w="550" w:type="pct"/>
            <w:tcBorders>
              <w:top w:val="nil"/>
              <w:left w:val="nil"/>
              <w:bottom w:val="nil"/>
              <w:right w:val="nil"/>
            </w:tcBorders>
            <w:shd w:val="clear" w:color="000000" w:fill="FFFFFF"/>
            <w:noWrap/>
            <w:vAlign w:val="center"/>
            <w:hideMark/>
          </w:tcPr>
          <w:p w14:paraId="54D99008" w14:textId="77777777" w:rsidR="00FB434E" w:rsidRPr="00FB434E" w:rsidRDefault="00FB434E" w:rsidP="00FB434E">
            <w:pPr>
              <w:spacing w:before="0" w:after="0" w:line="240" w:lineRule="auto"/>
              <w:jc w:val="right"/>
              <w:rPr>
                <w:rFonts w:ascii="Arial" w:hAnsi="Arial" w:cs="Arial"/>
                <w:color w:val="000000"/>
                <w:sz w:val="16"/>
                <w:szCs w:val="16"/>
              </w:rPr>
            </w:pPr>
            <w:r w:rsidRPr="00FB434E">
              <w:rPr>
                <w:rFonts w:ascii="Arial" w:hAnsi="Arial" w:cs="Arial"/>
                <w:color w:val="000000"/>
                <w:sz w:val="16"/>
                <w:szCs w:val="16"/>
              </w:rPr>
              <w:t>13,914</w:t>
            </w:r>
          </w:p>
        </w:tc>
        <w:tc>
          <w:tcPr>
            <w:tcW w:w="550" w:type="pct"/>
            <w:tcBorders>
              <w:top w:val="nil"/>
              <w:left w:val="nil"/>
              <w:bottom w:val="nil"/>
              <w:right w:val="nil"/>
            </w:tcBorders>
            <w:shd w:val="clear" w:color="000000" w:fill="E6F2FF"/>
            <w:noWrap/>
            <w:vAlign w:val="center"/>
            <w:hideMark/>
          </w:tcPr>
          <w:p w14:paraId="397772C6" w14:textId="77777777" w:rsidR="00FB434E" w:rsidRPr="00FB434E" w:rsidRDefault="00FB434E" w:rsidP="00FB434E">
            <w:pPr>
              <w:spacing w:before="0" w:after="0" w:line="240" w:lineRule="auto"/>
              <w:jc w:val="right"/>
              <w:rPr>
                <w:rFonts w:ascii="Arial" w:hAnsi="Arial" w:cs="Arial"/>
                <w:color w:val="000000"/>
                <w:sz w:val="16"/>
                <w:szCs w:val="16"/>
              </w:rPr>
            </w:pPr>
            <w:r w:rsidRPr="00FB434E">
              <w:rPr>
                <w:rFonts w:ascii="Arial" w:hAnsi="Arial" w:cs="Arial"/>
                <w:color w:val="000000"/>
                <w:sz w:val="16"/>
                <w:szCs w:val="16"/>
              </w:rPr>
              <w:t>14,531</w:t>
            </w:r>
          </w:p>
        </w:tc>
        <w:tc>
          <w:tcPr>
            <w:tcW w:w="550" w:type="pct"/>
            <w:tcBorders>
              <w:top w:val="nil"/>
              <w:left w:val="nil"/>
              <w:bottom w:val="nil"/>
              <w:right w:val="nil"/>
            </w:tcBorders>
            <w:shd w:val="clear" w:color="000000" w:fill="FFFFFF"/>
            <w:noWrap/>
            <w:vAlign w:val="center"/>
            <w:hideMark/>
          </w:tcPr>
          <w:p w14:paraId="367AF70A" w14:textId="77777777" w:rsidR="00FB434E" w:rsidRPr="00FB434E" w:rsidRDefault="00FB434E" w:rsidP="00FB434E">
            <w:pPr>
              <w:spacing w:before="0" w:after="0" w:line="240" w:lineRule="auto"/>
              <w:jc w:val="right"/>
              <w:rPr>
                <w:rFonts w:ascii="Arial" w:hAnsi="Arial" w:cs="Arial"/>
                <w:color w:val="000000"/>
                <w:sz w:val="16"/>
                <w:szCs w:val="16"/>
              </w:rPr>
            </w:pPr>
            <w:r w:rsidRPr="00FB434E">
              <w:rPr>
                <w:rFonts w:ascii="Arial" w:hAnsi="Arial" w:cs="Arial"/>
                <w:color w:val="000000"/>
                <w:sz w:val="16"/>
                <w:szCs w:val="16"/>
              </w:rPr>
              <w:t>15,113</w:t>
            </w:r>
          </w:p>
        </w:tc>
        <w:tc>
          <w:tcPr>
            <w:tcW w:w="550" w:type="pct"/>
            <w:tcBorders>
              <w:top w:val="nil"/>
              <w:left w:val="nil"/>
              <w:bottom w:val="nil"/>
              <w:right w:val="nil"/>
            </w:tcBorders>
            <w:shd w:val="clear" w:color="000000" w:fill="FFFFFF"/>
            <w:noWrap/>
            <w:vAlign w:val="center"/>
            <w:hideMark/>
          </w:tcPr>
          <w:p w14:paraId="2663FDB2" w14:textId="77777777" w:rsidR="00FB434E" w:rsidRPr="00FB434E" w:rsidRDefault="00FB434E" w:rsidP="00FB434E">
            <w:pPr>
              <w:spacing w:before="0" w:after="0" w:line="240" w:lineRule="auto"/>
              <w:jc w:val="right"/>
              <w:rPr>
                <w:rFonts w:ascii="Arial" w:hAnsi="Arial" w:cs="Arial"/>
                <w:color w:val="000000"/>
                <w:sz w:val="16"/>
                <w:szCs w:val="16"/>
              </w:rPr>
            </w:pPr>
            <w:r w:rsidRPr="00FB434E">
              <w:rPr>
                <w:rFonts w:ascii="Arial" w:hAnsi="Arial" w:cs="Arial"/>
                <w:color w:val="000000"/>
                <w:sz w:val="16"/>
                <w:szCs w:val="16"/>
              </w:rPr>
              <w:t>15,996</w:t>
            </w:r>
          </w:p>
        </w:tc>
        <w:tc>
          <w:tcPr>
            <w:tcW w:w="550" w:type="pct"/>
            <w:tcBorders>
              <w:top w:val="nil"/>
              <w:left w:val="nil"/>
              <w:bottom w:val="nil"/>
              <w:right w:val="nil"/>
            </w:tcBorders>
            <w:shd w:val="clear" w:color="000000" w:fill="FFFFFF"/>
            <w:noWrap/>
            <w:vAlign w:val="center"/>
            <w:hideMark/>
          </w:tcPr>
          <w:p w14:paraId="65085EF1" w14:textId="77777777" w:rsidR="00FB434E" w:rsidRPr="00FB434E" w:rsidRDefault="00FB434E" w:rsidP="00FB434E">
            <w:pPr>
              <w:spacing w:before="0" w:after="0" w:line="240" w:lineRule="auto"/>
              <w:jc w:val="right"/>
              <w:rPr>
                <w:rFonts w:ascii="Arial" w:hAnsi="Arial" w:cs="Arial"/>
                <w:color w:val="000000"/>
                <w:sz w:val="16"/>
                <w:szCs w:val="16"/>
              </w:rPr>
            </w:pPr>
            <w:r w:rsidRPr="00FB434E">
              <w:rPr>
                <w:rFonts w:ascii="Arial" w:hAnsi="Arial" w:cs="Arial"/>
                <w:color w:val="000000"/>
                <w:sz w:val="16"/>
                <w:szCs w:val="16"/>
              </w:rPr>
              <w:t>16,899</w:t>
            </w:r>
          </w:p>
        </w:tc>
      </w:tr>
      <w:tr w:rsidR="00FB434E" w:rsidRPr="00FB434E" w14:paraId="6F4060A8" w14:textId="77777777" w:rsidTr="00FB434E">
        <w:trPr>
          <w:trHeight w:hRule="exact" w:val="224"/>
        </w:trPr>
        <w:tc>
          <w:tcPr>
            <w:tcW w:w="2183" w:type="pct"/>
            <w:tcBorders>
              <w:top w:val="nil"/>
              <w:left w:val="nil"/>
              <w:bottom w:val="nil"/>
              <w:right w:val="nil"/>
            </w:tcBorders>
            <w:shd w:val="clear" w:color="000000" w:fill="FFFFFF"/>
            <w:noWrap/>
            <w:vAlign w:val="center"/>
            <w:hideMark/>
          </w:tcPr>
          <w:p w14:paraId="673BEC52" w14:textId="77777777" w:rsidR="00FB434E" w:rsidRPr="00FB434E" w:rsidRDefault="00FB434E" w:rsidP="00FB434E">
            <w:pPr>
              <w:spacing w:before="0" w:after="0" w:line="240" w:lineRule="auto"/>
              <w:rPr>
                <w:rFonts w:ascii="Arial" w:hAnsi="Arial" w:cs="Arial"/>
                <w:color w:val="000000"/>
                <w:sz w:val="16"/>
                <w:szCs w:val="16"/>
              </w:rPr>
            </w:pPr>
            <w:r w:rsidRPr="00FB434E">
              <w:rPr>
                <w:rFonts w:ascii="Arial" w:hAnsi="Arial" w:cs="Arial"/>
                <w:color w:val="000000"/>
                <w:sz w:val="16"/>
                <w:szCs w:val="16"/>
              </w:rPr>
              <w:t>Parents income support</w:t>
            </w:r>
          </w:p>
        </w:tc>
        <w:tc>
          <w:tcPr>
            <w:tcW w:w="68" w:type="pct"/>
            <w:tcBorders>
              <w:top w:val="nil"/>
              <w:left w:val="nil"/>
              <w:bottom w:val="nil"/>
              <w:right w:val="nil"/>
            </w:tcBorders>
            <w:shd w:val="clear" w:color="000000" w:fill="FFFFFF"/>
            <w:noWrap/>
            <w:vAlign w:val="center"/>
            <w:hideMark/>
          </w:tcPr>
          <w:p w14:paraId="00E5F450" w14:textId="77777777" w:rsidR="00FB434E" w:rsidRPr="00FB434E" w:rsidRDefault="00FB434E" w:rsidP="00FB434E">
            <w:pPr>
              <w:spacing w:before="0" w:after="0" w:line="240" w:lineRule="auto"/>
              <w:rPr>
                <w:rFonts w:ascii="Arial" w:hAnsi="Arial" w:cs="Arial"/>
                <w:color w:val="000000"/>
                <w:sz w:val="16"/>
                <w:szCs w:val="16"/>
              </w:rPr>
            </w:pPr>
            <w:r w:rsidRPr="00FB434E">
              <w:rPr>
                <w:rFonts w:ascii="Arial" w:hAnsi="Arial" w:cs="Arial"/>
                <w:color w:val="000000"/>
                <w:sz w:val="16"/>
                <w:szCs w:val="16"/>
              </w:rPr>
              <w:t> </w:t>
            </w:r>
          </w:p>
        </w:tc>
        <w:tc>
          <w:tcPr>
            <w:tcW w:w="550" w:type="pct"/>
            <w:tcBorders>
              <w:top w:val="nil"/>
              <w:left w:val="nil"/>
              <w:bottom w:val="nil"/>
              <w:right w:val="nil"/>
            </w:tcBorders>
            <w:shd w:val="clear" w:color="000000" w:fill="FFFFFF"/>
            <w:noWrap/>
            <w:vAlign w:val="center"/>
            <w:hideMark/>
          </w:tcPr>
          <w:p w14:paraId="10DA5178" w14:textId="77777777" w:rsidR="00FB434E" w:rsidRPr="00FB434E" w:rsidRDefault="00FB434E" w:rsidP="00FB434E">
            <w:pPr>
              <w:spacing w:before="0" w:after="0" w:line="240" w:lineRule="auto"/>
              <w:jc w:val="right"/>
              <w:rPr>
                <w:rFonts w:ascii="Arial" w:hAnsi="Arial" w:cs="Arial"/>
                <w:color w:val="000000"/>
                <w:sz w:val="16"/>
                <w:szCs w:val="16"/>
              </w:rPr>
            </w:pPr>
            <w:r w:rsidRPr="00FB434E">
              <w:rPr>
                <w:rFonts w:ascii="Arial" w:hAnsi="Arial" w:cs="Arial"/>
                <w:color w:val="000000"/>
                <w:sz w:val="16"/>
                <w:szCs w:val="16"/>
              </w:rPr>
              <w:t>7,223</w:t>
            </w:r>
          </w:p>
        </w:tc>
        <w:tc>
          <w:tcPr>
            <w:tcW w:w="550" w:type="pct"/>
            <w:tcBorders>
              <w:top w:val="nil"/>
              <w:left w:val="nil"/>
              <w:bottom w:val="nil"/>
              <w:right w:val="nil"/>
            </w:tcBorders>
            <w:shd w:val="clear" w:color="000000" w:fill="E6F2FF"/>
            <w:noWrap/>
            <w:vAlign w:val="center"/>
            <w:hideMark/>
          </w:tcPr>
          <w:p w14:paraId="2274291C" w14:textId="77777777" w:rsidR="00FB434E" w:rsidRPr="00FB434E" w:rsidRDefault="00FB434E" w:rsidP="00FB434E">
            <w:pPr>
              <w:spacing w:before="0" w:after="0" w:line="240" w:lineRule="auto"/>
              <w:jc w:val="right"/>
              <w:rPr>
                <w:rFonts w:ascii="Arial" w:hAnsi="Arial" w:cs="Arial"/>
                <w:color w:val="000000"/>
                <w:sz w:val="16"/>
                <w:szCs w:val="16"/>
              </w:rPr>
            </w:pPr>
            <w:r w:rsidRPr="00FB434E">
              <w:rPr>
                <w:rFonts w:ascii="Arial" w:hAnsi="Arial" w:cs="Arial"/>
                <w:color w:val="000000"/>
                <w:sz w:val="16"/>
                <w:szCs w:val="16"/>
              </w:rPr>
              <w:t>7,911</w:t>
            </w:r>
          </w:p>
        </w:tc>
        <w:tc>
          <w:tcPr>
            <w:tcW w:w="550" w:type="pct"/>
            <w:tcBorders>
              <w:top w:val="nil"/>
              <w:left w:val="nil"/>
              <w:bottom w:val="nil"/>
              <w:right w:val="nil"/>
            </w:tcBorders>
            <w:shd w:val="clear" w:color="000000" w:fill="FFFFFF"/>
            <w:noWrap/>
            <w:vAlign w:val="center"/>
            <w:hideMark/>
          </w:tcPr>
          <w:p w14:paraId="5D59E535" w14:textId="77777777" w:rsidR="00FB434E" w:rsidRPr="00FB434E" w:rsidRDefault="00FB434E" w:rsidP="00FB434E">
            <w:pPr>
              <w:spacing w:before="0" w:after="0" w:line="240" w:lineRule="auto"/>
              <w:jc w:val="right"/>
              <w:rPr>
                <w:rFonts w:ascii="Arial" w:hAnsi="Arial" w:cs="Arial"/>
                <w:color w:val="000000"/>
                <w:sz w:val="16"/>
                <w:szCs w:val="16"/>
              </w:rPr>
            </w:pPr>
            <w:r w:rsidRPr="00FB434E">
              <w:rPr>
                <w:rFonts w:ascii="Arial" w:hAnsi="Arial" w:cs="Arial"/>
                <w:color w:val="000000"/>
                <w:sz w:val="16"/>
                <w:szCs w:val="16"/>
              </w:rPr>
              <w:t>8,209</w:t>
            </w:r>
          </w:p>
        </w:tc>
        <w:tc>
          <w:tcPr>
            <w:tcW w:w="550" w:type="pct"/>
            <w:tcBorders>
              <w:top w:val="nil"/>
              <w:left w:val="nil"/>
              <w:bottom w:val="nil"/>
              <w:right w:val="nil"/>
            </w:tcBorders>
            <w:shd w:val="clear" w:color="000000" w:fill="FFFFFF"/>
            <w:noWrap/>
            <w:vAlign w:val="center"/>
            <w:hideMark/>
          </w:tcPr>
          <w:p w14:paraId="5CBB1621" w14:textId="77777777" w:rsidR="00FB434E" w:rsidRPr="00FB434E" w:rsidRDefault="00FB434E" w:rsidP="00FB434E">
            <w:pPr>
              <w:spacing w:before="0" w:after="0" w:line="240" w:lineRule="auto"/>
              <w:jc w:val="right"/>
              <w:rPr>
                <w:rFonts w:ascii="Arial" w:hAnsi="Arial" w:cs="Arial"/>
                <w:color w:val="000000"/>
                <w:sz w:val="16"/>
                <w:szCs w:val="16"/>
              </w:rPr>
            </w:pPr>
            <w:r w:rsidRPr="00FB434E">
              <w:rPr>
                <w:rFonts w:ascii="Arial" w:hAnsi="Arial" w:cs="Arial"/>
                <w:color w:val="000000"/>
                <w:sz w:val="16"/>
                <w:szCs w:val="16"/>
              </w:rPr>
              <w:t>8,535</w:t>
            </w:r>
          </w:p>
        </w:tc>
        <w:tc>
          <w:tcPr>
            <w:tcW w:w="550" w:type="pct"/>
            <w:tcBorders>
              <w:top w:val="nil"/>
              <w:left w:val="nil"/>
              <w:bottom w:val="nil"/>
              <w:right w:val="nil"/>
            </w:tcBorders>
            <w:shd w:val="clear" w:color="000000" w:fill="FFFFFF"/>
            <w:noWrap/>
            <w:vAlign w:val="center"/>
            <w:hideMark/>
          </w:tcPr>
          <w:p w14:paraId="104CD97E" w14:textId="77777777" w:rsidR="00FB434E" w:rsidRPr="00FB434E" w:rsidRDefault="00FB434E" w:rsidP="00FB434E">
            <w:pPr>
              <w:spacing w:before="0" w:after="0" w:line="240" w:lineRule="auto"/>
              <w:jc w:val="right"/>
              <w:rPr>
                <w:rFonts w:ascii="Arial" w:hAnsi="Arial" w:cs="Arial"/>
                <w:color w:val="000000"/>
                <w:sz w:val="16"/>
                <w:szCs w:val="16"/>
              </w:rPr>
            </w:pPr>
            <w:r w:rsidRPr="00FB434E">
              <w:rPr>
                <w:rFonts w:ascii="Arial" w:hAnsi="Arial" w:cs="Arial"/>
                <w:color w:val="000000"/>
                <w:sz w:val="16"/>
                <w:szCs w:val="16"/>
              </w:rPr>
              <w:t>8,716</w:t>
            </w:r>
          </w:p>
        </w:tc>
      </w:tr>
      <w:tr w:rsidR="00FB434E" w:rsidRPr="00FB434E" w14:paraId="372D10BC" w14:textId="77777777" w:rsidTr="00FB434E">
        <w:trPr>
          <w:trHeight w:hRule="exact" w:val="224"/>
        </w:trPr>
        <w:tc>
          <w:tcPr>
            <w:tcW w:w="2183" w:type="pct"/>
            <w:tcBorders>
              <w:top w:val="nil"/>
              <w:left w:val="nil"/>
              <w:bottom w:val="nil"/>
              <w:right w:val="nil"/>
            </w:tcBorders>
            <w:shd w:val="clear" w:color="000000" w:fill="FFFFFF"/>
            <w:noWrap/>
            <w:vAlign w:val="center"/>
            <w:hideMark/>
          </w:tcPr>
          <w:p w14:paraId="13C8FB7B" w14:textId="77777777" w:rsidR="00FB434E" w:rsidRPr="00FB434E" w:rsidRDefault="00FB434E" w:rsidP="00FB434E">
            <w:pPr>
              <w:spacing w:before="0" w:after="0" w:line="240" w:lineRule="auto"/>
              <w:rPr>
                <w:rFonts w:ascii="Arial" w:hAnsi="Arial" w:cs="Arial"/>
                <w:color w:val="000000"/>
                <w:sz w:val="16"/>
                <w:szCs w:val="16"/>
              </w:rPr>
            </w:pPr>
            <w:r w:rsidRPr="00FB434E">
              <w:rPr>
                <w:rFonts w:ascii="Arial" w:hAnsi="Arial" w:cs="Arial"/>
                <w:color w:val="000000"/>
                <w:sz w:val="16"/>
                <w:szCs w:val="16"/>
              </w:rPr>
              <w:t>Child Support</w:t>
            </w:r>
          </w:p>
        </w:tc>
        <w:tc>
          <w:tcPr>
            <w:tcW w:w="68" w:type="pct"/>
            <w:tcBorders>
              <w:top w:val="nil"/>
              <w:left w:val="nil"/>
              <w:bottom w:val="nil"/>
              <w:right w:val="nil"/>
            </w:tcBorders>
            <w:shd w:val="clear" w:color="000000" w:fill="FFFFFF"/>
            <w:noWrap/>
            <w:vAlign w:val="center"/>
            <w:hideMark/>
          </w:tcPr>
          <w:p w14:paraId="20644745" w14:textId="77777777" w:rsidR="00FB434E" w:rsidRPr="00FB434E" w:rsidRDefault="00FB434E" w:rsidP="00FB434E">
            <w:pPr>
              <w:spacing w:before="0" w:after="0" w:line="240" w:lineRule="auto"/>
              <w:rPr>
                <w:rFonts w:ascii="Arial" w:hAnsi="Arial" w:cs="Arial"/>
                <w:color w:val="000000"/>
                <w:sz w:val="16"/>
                <w:szCs w:val="16"/>
              </w:rPr>
            </w:pPr>
            <w:r w:rsidRPr="00FB434E">
              <w:rPr>
                <w:rFonts w:ascii="Arial" w:hAnsi="Arial" w:cs="Arial"/>
                <w:color w:val="000000"/>
                <w:sz w:val="16"/>
                <w:szCs w:val="16"/>
              </w:rPr>
              <w:t> </w:t>
            </w:r>
          </w:p>
        </w:tc>
        <w:tc>
          <w:tcPr>
            <w:tcW w:w="550" w:type="pct"/>
            <w:tcBorders>
              <w:top w:val="nil"/>
              <w:left w:val="nil"/>
              <w:bottom w:val="nil"/>
              <w:right w:val="nil"/>
            </w:tcBorders>
            <w:shd w:val="clear" w:color="000000" w:fill="FFFFFF"/>
            <w:noWrap/>
            <w:vAlign w:val="center"/>
            <w:hideMark/>
          </w:tcPr>
          <w:p w14:paraId="420EF4A3" w14:textId="77777777" w:rsidR="00FB434E" w:rsidRPr="00FB434E" w:rsidRDefault="00FB434E" w:rsidP="00FB434E">
            <w:pPr>
              <w:spacing w:before="0" w:after="0" w:line="240" w:lineRule="auto"/>
              <w:jc w:val="right"/>
              <w:rPr>
                <w:rFonts w:ascii="Arial" w:hAnsi="Arial" w:cs="Arial"/>
                <w:color w:val="000000"/>
                <w:sz w:val="16"/>
                <w:szCs w:val="16"/>
              </w:rPr>
            </w:pPr>
            <w:r w:rsidRPr="00FB434E">
              <w:rPr>
                <w:rFonts w:ascii="Arial" w:hAnsi="Arial" w:cs="Arial"/>
                <w:color w:val="000000"/>
                <w:sz w:val="16"/>
                <w:szCs w:val="16"/>
              </w:rPr>
              <w:t>1,893</w:t>
            </w:r>
          </w:p>
        </w:tc>
        <w:tc>
          <w:tcPr>
            <w:tcW w:w="550" w:type="pct"/>
            <w:tcBorders>
              <w:top w:val="nil"/>
              <w:left w:val="nil"/>
              <w:bottom w:val="nil"/>
              <w:right w:val="nil"/>
            </w:tcBorders>
            <w:shd w:val="clear" w:color="000000" w:fill="E6F2FF"/>
            <w:noWrap/>
            <w:vAlign w:val="center"/>
            <w:hideMark/>
          </w:tcPr>
          <w:p w14:paraId="52CBF17F" w14:textId="77777777" w:rsidR="00FB434E" w:rsidRPr="00FB434E" w:rsidRDefault="00FB434E" w:rsidP="00FB434E">
            <w:pPr>
              <w:spacing w:before="0" w:after="0" w:line="240" w:lineRule="auto"/>
              <w:jc w:val="right"/>
              <w:rPr>
                <w:rFonts w:ascii="Arial" w:hAnsi="Arial" w:cs="Arial"/>
                <w:color w:val="000000"/>
                <w:sz w:val="16"/>
                <w:szCs w:val="16"/>
              </w:rPr>
            </w:pPr>
            <w:r w:rsidRPr="00FB434E">
              <w:rPr>
                <w:rFonts w:ascii="Arial" w:hAnsi="Arial" w:cs="Arial"/>
                <w:color w:val="000000"/>
                <w:sz w:val="16"/>
                <w:szCs w:val="16"/>
              </w:rPr>
              <w:t>1,923</w:t>
            </w:r>
          </w:p>
        </w:tc>
        <w:tc>
          <w:tcPr>
            <w:tcW w:w="550" w:type="pct"/>
            <w:tcBorders>
              <w:top w:val="nil"/>
              <w:left w:val="nil"/>
              <w:bottom w:val="nil"/>
              <w:right w:val="nil"/>
            </w:tcBorders>
            <w:shd w:val="clear" w:color="000000" w:fill="FFFFFF"/>
            <w:noWrap/>
            <w:vAlign w:val="center"/>
            <w:hideMark/>
          </w:tcPr>
          <w:p w14:paraId="74FC7EA2" w14:textId="77777777" w:rsidR="00FB434E" w:rsidRPr="00FB434E" w:rsidRDefault="00FB434E" w:rsidP="00FB434E">
            <w:pPr>
              <w:spacing w:before="0" w:after="0" w:line="240" w:lineRule="auto"/>
              <w:jc w:val="right"/>
              <w:rPr>
                <w:rFonts w:ascii="Arial" w:hAnsi="Arial" w:cs="Arial"/>
                <w:color w:val="000000"/>
                <w:sz w:val="16"/>
                <w:szCs w:val="16"/>
              </w:rPr>
            </w:pPr>
            <w:r w:rsidRPr="00FB434E">
              <w:rPr>
                <w:rFonts w:ascii="Arial" w:hAnsi="Arial" w:cs="Arial"/>
                <w:color w:val="000000"/>
                <w:sz w:val="16"/>
                <w:szCs w:val="16"/>
              </w:rPr>
              <w:t>1,963</w:t>
            </w:r>
          </w:p>
        </w:tc>
        <w:tc>
          <w:tcPr>
            <w:tcW w:w="550" w:type="pct"/>
            <w:tcBorders>
              <w:top w:val="nil"/>
              <w:left w:val="nil"/>
              <w:bottom w:val="nil"/>
              <w:right w:val="nil"/>
            </w:tcBorders>
            <w:shd w:val="clear" w:color="000000" w:fill="FFFFFF"/>
            <w:noWrap/>
            <w:vAlign w:val="center"/>
            <w:hideMark/>
          </w:tcPr>
          <w:p w14:paraId="15930377" w14:textId="77777777" w:rsidR="00FB434E" w:rsidRPr="00FB434E" w:rsidRDefault="00FB434E" w:rsidP="00FB434E">
            <w:pPr>
              <w:spacing w:before="0" w:after="0" w:line="240" w:lineRule="auto"/>
              <w:jc w:val="right"/>
              <w:rPr>
                <w:rFonts w:ascii="Arial" w:hAnsi="Arial" w:cs="Arial"/>
                <w:color w:val="000000"/>
                <w:sz w:val="16"/>
                <w:szCs w:val="16"/>
              </w:rPr>
            </w:pPr>
            <w:r w:rsidRPr="00FB434E">
              <w:rPr>
                <w:rFonts w:ascii="Arial" w:hAnsi="Arial" w:cs="Arial"/>
                <w:color w:val="000000"/>
                <w:sz w:val="16"/>
                <w:szCs w:val="16"/>
              </w:rPr>
              <w:t>1,996</w:t>
            </w:r>
          </w:p>
        </w:tc>
        <w:tc>
          <w:tcPr>
            <w:tcW w:w="550" w:type="pct"/>
            <w:tcBorders>
              <w:top w:val="nil"/>
              <w:left w:val="nil"/>
              <w:bottom w:val="nil"/>
              <w:right w:val="nil"/>
            </w:tcBorders>
            <w:shd w:val="clear" w:color="000000" w:fill="FFFFFF"/>
            <w:noWrap/>
            <w:vAlign w:val="center"/>
            <w:hideMark/>
          </w:tcPr>
          <w:p w14:paraId="43F8B463" w14:textId="77777777" w:rsidR="00FB434E" w:rsidRPr="00FB434E" w:rsidRDefault="00FB434E" w:rsidP="00FB434E">
            <w:pPr>
              <w:spacing w:before="0" w:after="0" w:line="240" w:lineRule="auto"/>
              <w:jc w:val="right"/>
              <w:rPr>
                <w:rFonts w:ascii="Arial" w:hAnsi="Arial" w:cs="Arial"/>
                <w:color w:val="000000"/>
                <w:sz w:val="16"/>
                <w:szCs w:val="16"/>
              </w:rPr>
            </w:pPr>
            <w:r w:rsidRPr="00FB434E">
              <w:rPr>
                <w:rFonts w:ascii="Arial" w:hAnsi="Arial" w:cs="Arial"/>
                <w:color w:val="000000"/>
                <w:sz w:val="16"/>
                <w:szCs w:val="16"/>
              </w:rPr>
              <w:t>2,031</w:t>
            </w:r>
          </w:p>
        </w:tc>
      </w:tr>
      <w:tr w:rsidR="00FB434E" w:rsidRPr="00FB434E" w14:paraId="061DA52A" w14:textId="77777777" w:rsidTr="00FB434E">
        <w:trPr>
          <w:trHeight w:hRule="exact" w:val="226"/>
        </w:trPr>
        <w:tc>
          <w:tcPr>
            <w:tcW w:w="2183" w:type="pct"/>
            <w:tcBorders>
              <w:top w:val="nil"/>
              <w:left w:val="nil"/>
              <w:bottom w:val="nil"/>
              <w:right w:val="nil"/>
            </w:tcBorders>
            <w:shd w:val="clear" w:color="000000" w:fill="FFFFFF"/>
            <w:noWrap/>
            <w:vAlign w:val="center"/>
            <w:hideMark/>
          </w:tcPr>
          <w:p w14:paraId="56E7BCCF" w14:textId="77777777" w:rsidR="00FB434E" w:rsidRPr="00FB434E" w:rsidRDefault="00FB434E" w:rsidP="00FB434E">
            <w:pPr>
              <w:spacing w:before="0" w:after="0" w:line="240" w:lineRule="auto"/>
              <w:rPr>
                <w:rFonts w:ascii="Arial" w:hAnsi="Arial" w:cs="Arial"/>
                <w:color w:val="000000"/>
                <w:sz w:val="16"/>
                <w:szCs w:val="16"/>
              </w:rPr>
            </w:pPr>
            <w:r w:rsidRPr="00FB434E">
              <w:rPr>
                <w:rFonts w:ascii="Arial" w:hAnsi="Arial" w:cs="Arial"/>
                <w:color w:val="000000"/>
                <w:sz w:val="16"/>
                <w:szCs w:val="16"/>
              </w:rPr>
              <w:t>Support for the child care system</w:t>
            </w:r>
          </w:p>
        </w:tc>
        <w:tc>
          <w:tcPr>
            <w:tcW w:w="68" w:type="pct"/>
            <w:tcBorders>
              <w:top w:val="nil"/>
              <w:left w:val="nil"/>
              <w:bottom w:val="nil"/>
              <w:right w:val="nil"/>
            </w:tcBorders>
            <w:shd w:val="clear" w:color="000000" w:fill="FFFFFF"/>
            <w:noWrap/>
            <w:vAlign w:val="center"/>
            <w:hideMark/>
          </w:tcPr>
          <w:p w14:paraId="13433A1A" w14:textId="77777777" w:rsidR="00FB434E" w:rsidRPr="00FB434E" w:rsidRDefault="00FB434E" w:rsidP="00FB434E">
            <w:pPr>
              <w:spacing w:before="0" w:after="0" w:line="240" w:lineRule="auto"/>
              <w:rPr>
                <w:rFonts w:ascii="Arial" w:hAnsi="Arial" w:cs="Arial"/>
                <w:color w:val="000000"/>
                <w:sz w:val="16"/>
                <w:szCs w:val="16"/>
              </w:rPr>
            </w:pPr>
            <w:r w:rsidRPr="00FB434E">
              <w:rPr>
                <w:rFonts w:ascii="Arial" w:hAnsi="Arial" w:cs="Arial"/>
                <w:color w:val="000000"/>
                <w:sz w:val="16"/>
                <w:szCs w:val="16"/>
              </w:rPr>
              <w:t> </w:t>
            </w:r>
          </w:p>
        </w:tc>
        <w:tc>
          <w:tcPr>
            <w:tcW w:w="550" w:type="pct"/>
            <w:tcBorders>
              <w:top w:val="nil"/>
              <w:left w:val="nil"/>
              <w:bottom w:val="nil"/>
              <w:right w:val="nil"/>
            </w:tcBorders>
            <w:shd w:val="clear" w:color="000000" w:fill="FFFFFF"/>
            <w:noWrap/>
            <w:vAlign w:val="center"/>
            <w:hideMark/>
          </w:tcPr>
          <w:p w14:paraId="1518B650" w14:textId="77777777" w:rsidR="00FB434E" w:rsidRPr="00FB434E" w:rsidRDefault="00FB434E" w:rsidP="00FB434E">
            <w:pPr>
              <w:spacing w:before="0" w:after="0" w:line="240" w:lineRule="auto"/>
              <w:jc w:val="right"/>
              <w:rPr>
                <w:rFonts w:ascii="Arial" w:hAnsi="Arial" w:cs="Arial"/>
                <w:color w:val="000000"/>
                <w:sz w:val="16"/>
                <w:szCs w:val="16"/>
              </w:rPr>
            </w:pPr>
            <w:r w:rsidRPr="00FB434E">
              <w:rPr>
                <w:rFonts w:ascii="Arial" w:hAnsi="Arial" w:cs="Arial"/>
                <w:color w:val="000000"/>
                <w:sz w:val="16"/>
                <w:szCs w:val="16"/>
              </w:rPr>
              <w:t>412</w:t>
            </w:r>
          </w:p>
        </w:tc>
        <w:tc>
          <w:tcPr>
            <w:tcW w:w="550" w:type="pct"/>
            <w:tcBorders>
              <w:top w:val="nil"/>
              <w:left w:val="nil"/>
              <w:bottom w:val="nil"/>
              <w:right w:val="nil"/>
            </w:tcBorders>
            <w:shd w:val="clear" w:color="000000" w:fill="E6F2FF"/>
            <w:noWrap/>
            <w:vAlign w:val="center"/>
            <w:hideMark/>
          </w:tcPr>
          <w:p w14:paraId="7016DDBF" w14:textId="77777777" w:rsidR="00FB434E" w:rsidRPr="00FB434E" w:rsidRDefault="00FB434E" w:rsidP="00FB434E">
            <w:pPr>
              <w:spacing w:before="0" w:after="0" w:line="240" w:lineRule="auto"/>
              <w:jc w:val="right"/>
              <w:rPr>
                <w:rFonts w:ascii="Arial" w:hAnsi="Arial" w:cs="Arial"/>
                <w:color w:val="000000"/>
                <w:sz w:val="16"/>
                <w:szCs w:val="16"/>
              </w:rPr>
            </w:pPr>
            <w:r w:rsidRPr="00FB434E">
              <w:rPr>
                <w:rFonts w:ascii="Arial" w:hAnsi="Arial" w:cs="Arial"/>
                <w:color w:val="000000"/>
                <w:sz w:val="16"/>
                <w:szCs w:val="16"/>
              </w:rPr>
              <w:t>460</w:t>
            </w:r>
          </w:p>
        </w:tc>
        <w:tc>
          <w:tcPr>
            <w:tcW w:w="550" w:type="pct"/>
            <w:tcBorders>
              <w:top w:val="nil"/>
              <w:left w:val="nil"/>
              <w:bottom w:val="nil"/>
              <w:right w:val="nil"/>
            </w:tcBorders>
            <w:shd w:val="clear" w:color="000000" w:fill="FFFFFF"/>
            <w:noWrap/>
            <w:vAlign w:val="center"/>
            <w:hideMark/>
          </w:tcPr>
          <w:p w14:paraId="3845DB8D" w14:textId="77777777" w:rsidR="00FB434E" w:rsidRPr="00FB434E" w:rsidRDefault="00FB434E" w:rsidP="00FB434E">
            <w:pPr>
              <w:spacing w:before="0" w:after="0" w:line="240" w:lineRule="auto"/>
              <w:jc w:val="right"/>
              <w:rPr>
                <w:rFonts w:ascii="Arial" w:hAnsi="Arial" w:cs="Arial"/>
                <w:color w:val="000000"/>
                <w:sz w:val="16"/>
                <w:szCs w:val="16"/>
              </w:rPr>
            </w:pPr>
            <w:r w:rsidRPr="00FB434E">
              <w:rPr>
                <w:rFonts w:ascii="Arial" w:hAnsi="Arial" w:cs="Arial"/>
                <w:color w:val="000000"/>
                <w:sz w:val="16"/>
                <w:szCs w:val="16"/>
              </w:rPr>
              <w:t>333</w:t>
            </w:r>
          </w:p>
        </w:tc>
        <w:tc>
          <w:tcPr>
            <w:tcW w:w="550" w:type="pct"/>
            <w:tcBorders>
              <w:top w:val="nil"/>
              <w:left w:val="nil"/>
              <w:bottom w:val="nil"/>
              <w:right w:val="nil"/>
            </w:tcBorders>
            <w:shd w:val="clear" w:color="000000" w:fill="FFFFFF"/>
            <w:noWrap/>
            <w:vAlign w:val="center"/>
            <w:hideMark/>
          </w:tcPr>
          <w:p w14:paraId="6B04911A" w14:textId="77777777" w:rsidR="00FB434E" w:rsidRPr="00FB434E" w:rsidRDefault="00FB434E" w:rsidP="00FB434E">
            <w:pPr>
              <w:spacing w:before="0" w:after="0" w:line="240" w:lineRule="auto"/>
              <w:jc w:val="right"/>
              <w:rPr>
                <w:rFonts w:ascii="Arial" w:hAnsi="Arial" w:cs="Arial"/>
                <w:color w:val="000000"/>
                <w:sz w:val="16"/>
                <w:szCs w:val="16"/>
              </w:rPr>
            </w:pPr>
            <w:r w:rsidRPr="00FB434E">
              <w:rPr>
                <w:rFonts w:ascii="Arial" w:hAnsi="Arial" w:cs="Arial"/>
                <w:color w:val="000000"/>
                <w:sz w:val="16"/>
                <w:szCs w:val="16"/>
              </w:rPr>
              <w:t>326</w:t>
            </w:r>
          </w:p>
        </w:tc>
        <w:tc>
          <w:tcPr>
            <w:tcW w:w="550" w:type="pct"/>
            <w:tcBorders>
              <w:top w:val="nil"/>
              <w:left w:val="nil"/>
              <w:bottom w:val="nil"/>
              <w:right w:val="nil"/>
            </w:tcBorders>
            <w:shd w:val="clear" w:color="000000" w:fill="FFFFFF"/>
            <w:noWrap/>
            <w:vAlign w:val="center"/>
            <w:hideMark/>
          </w:tcPr>
          <w:p w14:paraId="293F8D54" w14:textId="77777777" w:rsidR="00FB434E" w:rsidRPr="00FB434E" w:rsidRDefault="00FB434E" w:rsidP="00FB434E">
            <w:pPr>
              <w:spacing w:before="0" w:after="0" w:line="240" w:lineRule="auto"/>
              <w:jc w:val="right"/>
              <w:rPr>
                <w:rFonts w:ascii="Arial" w:hAnsi="Arial" w:cs="Arial"/>
                <w:color w:val="000000"/>
                <w:sz w:val="16"/>
                <w:szCs w:val="16"/>
              </w:rPr>
            </w:pPr>
            <w:r w:rsidRPr="00FB434E">
              <w:rPr>
                <w:rFonts w:ascii="Arial" w:hAnsi="Arial" w:cs="Arial"/>
                <w:color w:val="000000"/>
                <w:sz w:val="16"/>
                <w:szCs w:val="16"/>
              </w:rPr>
              <w:t>326</w:t>
            </w:r>
          </w:p>
        </w:tc>
      </w:tr>
      <w:tr w:rsidR="00FB434E" w:rsidRPr="00FB434E" w14:paraId="3B749DE8" w14:textId="77777777" w:rsidTr="00FB434E">
        <w:trPr>
          <w:trHeight w:hRule="exact" w:val="226"/>
        </w:trPr>
        <w:tc>
          <w:tcPr>
            <w:tcW w:w="2183" w:type="pct"/>
            <w:tcBorders>
              <w:top w:val="nil"/>
              <w:left w:val="nil"/>
              <w:bottom w:val="nil"/>
              <w:right w:val="nil"/>
            </w:tcBorders>
            <w:shd w:val="clear" w:color="000000" w:fill="FFFFFF"/>
            <w:noWrap/>
            <w:vAlign w:val="center"/>
            <w:hideMark/>
          </w:tcPr>
          <w:p w14:paraId="3A55E0F9" w14:textId="77777777" w:rsidR="00FB434E" w:rsidRPr="00FB434E" w:rsidRDefault="00FB434E" w:rsidP="00FB434E">
            <w:pPr>
              <w:spacing w:before="0" w:after="0" w:line="240" w:lineRule="auto"/>
              <w:rPr>
                <w:rFonts w:ascii="Arial" w:hAnsi="Arial" w:cs="Arial"/>
                <w:color w:val="000000"/>
                <w:sz w:val="16"/>
                <w:szCs w:val="16"/>
              </w:rPr>
            </w:pPr>
            <w:r w:rsidRPr="00FB434E">
              <w:rPr>
                <w:rFonts w:ascii="Arial" w:hAnsi="Arial" w:cs="Arial"/>
                <w:color w:val="000000"/>
                <w:sz w:val="16"/>
                <w:szCs w:val="16"/>
              </w:rPr>
              <w:t>Families and Children</w:t>
            </w:r>
          </w:p>
        </w:tc>
        <w:tc>
          <w:tcPr>
            <w:tcW w:w="68" w:type="pct"/>
            <w:tcBorders>
              <w:top w:val="nil"/>
              <w:left w:val="nil"/>
              <w:bottom w:val="nil"/>
              <w:right w:val="nil"/>
            </w:tcBorders>
            <w:shd w:val="clear" w:color="000000" w:fill="FFFFFF"/>
            <w:noWrap/>
            <w:vAlign w:val="center"/>
            <w:hideMark/>
          </w:tcPr>
          <w:p w14:paraId="0BA48A73" w14:textId="77777777" w:rsidR="00FB434E" w:rsidRPr="00FB434E" w:rsidRDefault="00FB434E" w:rsidP="00FB434E">
            <w:pPr>
              <w:spacing w:before="0" w:after="0" w:line="240" w:lineRule="auto"/>
              <w:rPr>
                <w:rFonts w:ascii="Arial" w:hAnsi="Arial" w:cs="Arial"/>
                <w:color w:val="000000"/>
                <w:sz w:val="16"/>
                <w:szCs w:val="16"/>
              </w:rPr>
            </w:pPr>
            <w:r w:rsidRPr="00FB434E">
              <w:rPr>
                <w:rFonts w:ascii="Arial" w:hAnsi="Arial" w:cs="Arial"/>
                <w:color w:val="000000"/>
                <w:sz w:val="16"/>
                <w:szCs w:val="16"/>
              </w:rPr>
              <w:t> </w:t>
            </w:r>
          </w:p>
        </w:tc>
        <w:tc>
          <w:tcPr>
            <w:tcW w:w="550" w:type="pct"/>
            <w:tcBorders>
              <w:top w:val="nil"/>
              <w:left w:val="nil"/>
              <w:bottom w:val="nil"/>
              <w:right w:val="nil"/>
            </w:tcBorders>
            <w:shd w:val="clear" w:color="000000" w:fill="FFFFFF"/>
            <w:noWrap/>
            <w:vAlign w:val="center"/>
            <w:hideMark/>
          </w:tcPr>
          <w:p w14:paraId="42601706" w14:textId="77777777" w:rsidR="00FB434E" w:rsidRPr="00FB434E" w:rsidRDefault="00FB434E" w:rsidP="00FB434E">
            <w:pPr>
              <w:spacing w:before="0" w:after="0" w:line="240" w:lineRule="auto"/>
              <w:jc w:val="right"/>
              <w:rPr>
                <w:rFonts w:ascii="Arial" w:hAnsi="Arial" w:cs="Arial"/>
                <w:color w:val="000000"/>
                <w:sz w:val="16"/>
                <w:szCs w:val="16"/>
              </w:rPr>
            </w:pPr>
            <w:r w:rsidRPr="00FB434E">
              <w:rPr>
                <w:rFonts w:ascii="Arial" w:hAnsi="Arial" w:cs="Arial"/>
                <w:color w:val="000000"/>
                <w:sz w:val="16"/>
                <w:szCs w:val="16"/>
              </w:rPr>
              <w:t>861</w:t>
            </w:r>
          </w:p>
        </w:tc>
        <w:tc>
          <w:tcPr>
            <w:tcW w:w="550" w:type="pct"/>
            <w:tcBorders>
              <w:top w:val="nil"/>
              <w:left w:val="nil"/>
              <w:bottom w:val="nil"/>
              <w:right w:val="nil"/>
            </w:tcBorders>
            <w:shd w:val="clear" w:color="000000" w:fill="E6F2FF"/>
            <w:noWrap/>
            <w:vAlign w:val="center"/>
            <w:hideMark/>
          </w:tcPr>
          <w:p w14:paraId="7B601253" w14:textId="77777777" w:rsidR="00FB434E" w:rsidRPr="00FB434E" w:rsidRDefault="00FB434E" w:rsidP="00FB434E">
            <w:pPr>
              <w:spacing w:before="0" w:after="0" w:line="240" w:lineRule="auto"/>
              <w:jc w:val="right"/>
              <w:rPr>
                <w:rFonts w:ascii="Arial" w:hAnsi="Arial" w:cs="Arial"/>
                <w:color w:val="000000"/>
                <w:sz w:val="16"/>
                <w:szCs w:val="16"/>
              </w:rPr>
            </w:pPr>
            <w:r w:rsidRPr="00FB434E">
              <w:rPr>
                <w:rFonts w:ascii="Arial" w:hAnsi="Arial" w:cs="Arial"/>
                <w:color w:val="000000"/>
                <w:sz w:val="16"/>
                <w:szCs w:val="16"/>
              </w:rPr>
              <w:t>1,065</w:t>
            </w:r>
          </w:p>
        </w:tc>
        <w:tc>
          <w:tcPr>
            <w:tcW w:w="550" w:type="pct"/>
            <w:tcBorders>
              <w:top w:val="nil"/>
              <w:left w:val="nil"/>
              <w:bottom w:val="nil"/>
              <w:right w:val="nil"/>
            </w:tcBorders>
            <w:shd w:val="clear" w:color="000000" w:fill="FFFFFF"/>
            <w:noWrap/>
            <w:vAlign w:val="center"/>
            <w:hideMark/>
          </w:tcPr>
          <w:p w14:paraId="2FABEF7E" w14:textId="77777777" w:rsidR="00FB434E" w:rsidRPr="00FB434E" w:rsidRDefault="00FB434E" w:rsidP="00FB434E">
            <w:pPr>
              <w:spacing w:before="0" w:after="0" w:line="240" w:lineRule="auto"/>
              <w:jc w:val="right"/>
              <w:rPr>
                <w:rFonts w:ascii="Arial" w:hAnsi="Arial" w:cs="Arial"/>
                <w:color w:val="000000"/>
                <w:sz w:val="16"/>
                <w:szCs w:val="16"/>
              </w:rPr>
            </w:pPr>
            <w:r w:rsidRPr="00FB434E">
              <w:rPr>
                <w:rFonts w:ascii="Arial" w:hAnsi="Arial" w:cs="Arial"/>
                <w:color w:val="000000"/>
                <w:sz w:val="16"/>
                <w:szCs w:val="16"/>
              </w:rPr>
              <w:t>1,087</w:t>
            </w:r>
          </w:p>
        </w:tc>
        <w:tc>
          <w:tcPr>
            <w:tcW w:w="550" w:type="pct"/>
            <w:tcBorders>
              <w:top w:val="nil"/>
              <w:left w:val="nil"/>
              <w:bottom w:val="nil"/>
              <w:right w:val="nil"/>
            </w:tcBorders>
            <w:shd w:val="clear" w:color="000000" w:fill="FFFFFF"/>
            <w:noWrap/>
            <w:vAlign w:val="center"/>
            <w:hideMark/>
          </w:tcPr>
          <w:p w14:paraId="720F79A1" w14:textId="77777777" w:rsidR="00FB434E" w:rsidRPr="00FB434E" w:rsidRDefault="00FB434E" w:rsidP="00FB434E">
            <w:pPr>
              <w:spacing w:before="0" w:after="0" w:line="240" w:lineRule="auto"/>
              <w:jc w:val="right"/>
              <w:rPr>
                <w:rFonts w:ascii="Arial" w:hAnsi="Arial" w:cs="Arial"/>
                <w:color w:val="000000"/>
                <w:sz w:val="16"/>
                <w:szCs w:val="16"/>
              </w:rPr>
            </w:pPr>
            <w:r w:rsidRPr="00FB434E">
              <w:rPr>
                <w:rFonts w:ascii="Arial" w:hAnsi="Arial" w:cs="Arial"/>
                <w:color w:val="000000"/>
                <w:sz w:val="16"/>
                <w:szCs w:val="16"/>
              </w:rPr>
              <w:t>1,015</w:t>
            </w:r>
          </w:p>
        </w:tc>
        <w:tc>
          <w:tcPr>
            <w:tcW w:w="550" w:type="pct"/>
            <w:tcBorders>
              <w:top w:val="nil"/>
              <w:left w:val="nil"/>
              <w:bottom w:val="nil"/>
              <w:right w:val="nil"/>
            </w:tcBorders>
            <w:shd w:val="clear" w:color="000000" w:fill="FFFFFF"/>
            <w:noWrap/>
            <w:vAlign w:val="center"/>
            <w:hideMark/>
          </w:tcPr>
          <w:p w14:paraId="56BA12EB" w14:textId="77777777" w:rsidR="00FB434E" w:rsidRPr="00FB434E" w:rsidRDefault="00FB434E" w:rsidP="00FB434E">
            <w:pPr>
              <w:spacing w:before="0" w:after="0" w:line="240" w:lineRule="auto"/>
              <w:jc w:val="right"/>
              <w:rPr>
                <w:rFonts w:ascii="Arial" w:hAnsi="Arial" w:cs="Arial"/>
                <w:color w:val="000000"/>
                <w:sz w:val="16"/>
                <w:szCs w:val="16"/>
              </w:rPr>
            </w:pPr>
            <w:r w:rsidRPr="00FB434E">
              <w:rPr>
                <w:rFonts w:ascii="Arial" w:hAnsi="Arial" w:cs="Arial"/>
                <w:color w:val="000000"/>
                <w:sz w:val="16"/>
                <w:szCs w:val="16"/>
              </w:rPr>
              <w:t>936</w:t>
            </w:r>
          </w:p>
        </w:tc>
      </w:tr>
      <w:tr w:rsidR="00FB434E" w:rsidRPr="00FB434E" w14:paraId="222F21FB" w14:textId="77777777" w:rsidTr="00FB434E">
        <w:trPr>
          <w:trHeight w:hRule="exact" w:val="226"/>
        </w:trPr>
        <w:tc>
          <w:tcPr>
            <w:tcW w:w="2183" w:type="pct"/>
            <w:tcBorders>
              <w:top w:val="nil"/>
              <w:left w:val="nil"/>
              <w:bottom w:val="nil"/>
              <w:right w:val="nil"/>
            </w:tcBorders>
            <w:shd w:val="clear" w:color="000000" w:fill="FFFFFF"/>
            <w:noWrap/>
            <w:vAlign w:val="center"/>
            <w:hideMark/>
          </w:tcPr>
          <w:p w14:paraId="03DAB3A3" w14:textId="77777777" w:rsidR="00FB434E" w:rsidRPr="00FB434E" w:rsidRDefault="00FB434E" w:rsidP="00FB434E">
            <w:pPr>
              <w:spacing w:before="0" w:after="0" w:line="240" w:lineRule="auto"/>
              <w:rPr>
                <w:rFonts w:ascii="Arial" w:hAnsi="Arial" w:cs="Arial"/>
                <w:color w:val="000000"/>
                <w:sz w:val="16"/>
                <w:szCs w:val="16"/>
              </w:rPr>
            </w:pPr>
            <w:r w:rsidRPr="00FB434E">
              <w:rPr>
                <w:rFonts w:ascii="Arial" w:hAnsi="Arial" w:cs="Arial"/>
                <w:color w:val="000000"/>
                <w:sz w:val="16"/>
                <w:szCs w:val="16"/>
              </w:rPr>
              <w:t>Family relationship services</w:t>
            </w:r>
          </w:p>
        </w:tc>
        <w:tc>
          <w:tcPr>
            <w:tcW w:w="68" w:type="pct"/>
            <w:tcBorders>
              <w:top w:val="nil"/>
              <w:left w:val="nil"/>
              <w:bottom w:val="nil"/>
              <w:right w:val="nil"/>
            </w:tcBorders>
            <w:shd w:val="clear" w:color="000000" w:fill="FFFFFF"/>
            <w:noWrap/>
            <w:vAlign w:val="center"/>
            <w:hideMark/>
          </w:tcPr>
          <w:p w14:paraId="782A2C55" w14:textId="77777777" w:rsidR="00FB434E" w:rsidRPr="00FB434E" w:rsidRDefault="00FB434E" w:rsidP="00FB434E">
            <w:pPr>
              <w:spacing w:before="0" w:after="0" w:line="240" w:lineRule="auto"/>
              <w:rPr>
                <w:rFonts w:ascii="Arial" w:hAnsi="Arial" w:cs="Arial"/>
                <w:color w:val="000000"/>
                <w:sz w:val="16"/>
                <w:szCs w:val="16"/>
              </w:rPr>
            </w:pPr>
            <w:r w:rsidRPr="00FB434E">
              <w:rPr>
                <w:rFonts w:ascii="Arial" w:hAnsi="Arial" w:cs="Arial"/>
                <w:color w:val="000000"/>
                <w:sz w:val="16"/>
                <w:szCs w:val="16"/>
              </w:rPr>
              <w:t> </w:t>
            </w:r>
          </w:p>
        </w:tc>
        <w:tc>
          <w:tcPr>
            <w:tcW w:w="550" w:type="pct"/>
            <w:tcBorders>
              <w:top w:val="nil"/>
              <w:left w:val="nil"/>
              <w:bottom w:val="nil"/>
              <w:right w:val="nil"/>
            </w:tcBorders>
            <w:shd w:val="clear" w:color="000000" w:fill="FFFFFF"/>
            <w:noWrap/>
            <w:vAlign w:val="center"/>
            <w:hideMark/>
          </w:tcPr>
          <w:p w14:paraId="04F3BAF5" w14:textId="77777777" w:rsidR="00FB434E" w:rsidRPr="00FB434E" w:rsidRDefault="00FB434E" w:rsidP="00FB434E">
            <w:pPr>
              <w:spacing w:before="0" w:after="0" w:line="240" w:lineRule="auto"/>
              <w:jc w:val="right"/>
              <w:rPr>
                <w:rFonts w:ascii="Arial" w:hAnsi="Arial" w:cs="Arial"/>
                <w:color w:val="000000"/>
                <w:sz w:val="16"/>
                <w:szCs w:val="16"/>
              </w:rPr>
            </w:pPr>
            <w:r w:rsidRPr="00FB434E">
              <w:rPr>
                <w:rFonts w:ascii="Arial" w:hAnsi="Arial" w:cs="Arial"/>
                <w:color w:val="000000"/>
                <w:sz w:val="16"/>
                <w:szCs w:val="16"/>
              </w:rPr>
              <w:t>267</w:t>
            </w:r>
          </w:p>
        </w:tc>
        <w:tc>
          <w:tcPr>
            <w:tcW w:w="550" w:type="pct"/>
            <w:tcBorders>
              <w:top w:val="nil"/>
              <w:left w:val="nil"/>
              <w:bottom w:val="nil"/>
              <w:right w:val="nil"/>
            </w:tcBorders>
            <w:shd w:val="clear" w:color="000000" w:fill="E6F2FF"/>
            <w:noWrap/>
            <w:vAlign w:val="center"/>
            <w:hideMark/>
          </w:tcPr>
          <w:p w14:paraId="15580912" w14:textId="77777777" w:rsidR="00FB434E" w:rsidRPr="00FB434E" w:rsidRDefault="00FB434E" w:rsidP="00FB434E">
            <w:pPr>
              <w:spacing w:before="0" w:after="0" w:line="240" w:lineRule="auto"/>
              <w:jc w:val="right"/>
              <w:rPr>
                <w:rFonts w:ascii="Arial" w:hAnsi="Arial" w:cs="Arial"/>
                <w:color w:val="000000"/>
                <w:sz w:val="16"/>
                <w:szCs w:val="16"/>
              </w:rPr>
            </w:pPr>
            <w:r w:rsidRPr="00FB434E">
              <w:rPr>
                <w:rFonts w:ascii="Arial" w:hAnsi="Arial" w:cs="Arial"/>
                <w:color w:val="000000"/>
                <w:sz w:val="16"/>
                <w:szCs w:val="16"/>
              </w:rPr>
              <w:t>275</w:t>
            </w:r>
          </w:p>
        </w:tc>
        <w:tc>
          <w:tcPr>
            <w:tcW w:w="550" w:type="pct"/>
            <w:tcBorders>
              <w:top w:val="nil"/>
              <w:left w:val="nil"/>
              <w:bottom w:val="nil"/>
              <w:right w:val="nil"/>
            </w:tcBorders>
            <w:shd w:val="clear" w:color="000000" w:fill="FFFFFF"/>
            <w:noWrap/>
            <w:vAlign w:val="center"/>
            <w:hideMark/>
          </w:tcPr>
          <w:p w14:paraId="6D60B6A0" w14:textId="77777777" w:rsidR="00FB434E" w:rsidRPr="00FB434E" w:rsidRDefault="00FB434E" w:rsidP="00FB434E">
            <w:pPr>
              <w:spacing w:before="0" w:after="0" w:line="240" w:lineRule="auto"/>
              <w:jc w:val="right"/>
              <w:rPr>
                <w:rFonts w:ascii="Arial" w:hAnsi="Arial" w:cs="Arial"/>
                <w:color w:val="000000"/>
                <w:sz w:val="16"/>
                <w:szCs w:val="16"/>
              </w:rPr>
            </w:pPr>
            <w:r w:rsidRPr="00FB434E">
              <w:rPr>
                <w:rFonts w:ascii="Arial" w:hAnsi="Arial" w:cs="Arial"/>
                <w:color w:val="000000"/>
                <w:sz w:val="16"/>
                <w:szCs w:val="16"/>
              </w:rPr>
              <w:t>281</w:t>
            </w:r>
          </w:p>
        </w:tc>
        <w:tc>
          <w:tcPr>
            <w:tcW w:w="550" w:type="pct"/>
            <w:tcBorders>
              <w:top w:val="nil"/>
              <w:left w:val="nil"/>
              <w:bottom w:val="nil"/>
              <w:right w:val="nil"/>
            </w:tcBorders>
            <w:shd w:val="clear" w:color="000000" w:fill="FFFFFF"/>
            <w:noWrap/>
            <w:vAlign w:val="center"/>
            <w:hideMark/>
          </w:tcPr>
          <w:p w14:paraId="324B1615" w14:textId="77777777" w:rsidR="00FB434E" w:rsidRPr="00FB434E" w:rsidRDefault="00FB434E" w:rsidP="00FB434E">
            <w:pPr>
              <w:spacing w:before="0" w:after="0" w:line="240" w:lineRule="auto"/>
              <w:jc w:val="right"/>
              <w:rPr>
                <w:rFonts w:ascii="Arial" w:hAnsi="Arial" w:cs="Arial"/>
                <w:color w:val="000000"/>
                <w:sz w:val="16"/>
                <w:szCs w:val="16"/>
              </w:rPr>
            </w:pPr>
            <w:r w:rsidRPr="00FB434E">
              <w:rPr>
                <w:rFonts w:ascii="Arial" w:hAnsi="Arial" w:cs="Arial"/>
                <w:color w:val="000000"/>
                <w:sz w:val="16"/>
                <w:szCs w:val="16"/>
              </w:rPr>
              <w:t>281</w:t>
            </w:r>
          </w:p>
        </w:tc>
        <w:tc>
          <w:tcPr>
            <w:tcW w:w="550" w:type="pct"/>
            <w:tcBorders>
              <w:top w:val="nil"/>
              <w:left w:val="nil"/>
              <w:bottom w:val="nil"/>
              <w:right w:val="nil"/>
            </w:tcBorders>
            <w:shd w:val="clear" w:color="000000" w:fill="FFFFFF"/>
            <w:noWrap/>
            <w:vAlign w:val="center"/>
            <w:hideMark/>
          </w:tcPr>
          <w:p w14:paraId="059AE425" w14:textId="77777777" w:rsidR="00FB434E" w:rsidRPr="00FB434E" w:rsidRDefault="00FB434E" w:rsidP="00FB434E">
            <w:pPr>
              <w:spacing w:before="0" w:after="0" w:line="240" w:lineRule="auto"/>
              <w:jc w:val="right"/>
              <w:rPr>
                <w:rFonts w:ascii="Arial" w:hAnsi="Arial" w:cs="Arial"/>
                <w:color w:val="000000"/>
                <w:sz w:val="16"/>
                <w:szCs w:val="16"/>
              </w:rPr>
            </w:pPr>
            <w:r w:rsidRPr="00FB434E">
              <w:rPr>
                <w:rFonts w:ascii="Arial" w:hAnsi="Arial" w:cs="Arial"/>
                <w:color w:val="000000"/>
                <w:sz w:val="16"/>
                <w:szCs w:val="16"/>
              </w:rPr>
              <w:t>287</w:t>
            </w:r>
          </w:p>
        </w:tc>
      </w:tr>
      <w:tr w:rsidR="00FB434E" w:rsidRPr="00FB434E" w14:paraId="4F451F66" w14:textId="77777777" w:rsidTr="00FB434E">
        <w:trPr>
          <w:trHeight w:hRule="exact" w:val="226"/>
        </w:trPr>
        <w:tc>
          <w:tcPr>
            <w:tcW w:w="2183" w:type="pct"/>
            <w:tcBorders>
              <w:top w:val="nil"/>
              <w:left w:val="nil"/>
              <w:bottom w:val="nil"/>
              <w:right w:val="nil"/>
            </w:tcBorders>
            <w:shd w:val="clear" w:color="000000" w:fill="FFFFFF"/>
            <w:noWrap/>
            <w:vAlign w:val="center"/>
            <w:hideMark/>
          </w:tcPr>
          <w:p w14:paraId="0537590D" w14:textId="77777777" w:rsidR="00FB434E" w:rsidRPr="00FB434E" w:rsidRDefault="00FB434E" w:rsidP="00FB434E">
            <w:pPr>
              <w:spacing w:before="0" w:after="0" w:line="240" w:lineRule="auto"/>
              <w:rPr>
                <w:rFonts w:ascii="Arial" w:hAnsi="Arial" w:cs="Arial"/>
                <w:color w:val="000000"/>
                <w:sz w:val="16"/>
                <w:szCs w:val="16"/>
              </w:rPr>
            </w:pPr>
            <w:r w:rsidRPr="00FB434E">
              <w:rPr>
                <w:rFonts w:ascii="Arial" w:hAnsi="Arial" w:cs="Arial"/>
                <w:color w:val="000000"/>
                <w:sz w:val="16"/>
                <w:szCs w:val="16"/>
              </w:rPr>
              <w:t>Other</w:t>
            </w:r>
          </w:p>
        </w:tc>
        <w:tc>
          <w:tcPr>
            <w:tcW w:w="68" w:type="pct"/>
            <w:tcBorders>
              <w:top w:val="nil"/>
              <w:left w:val="nil"/>
              <w:bottom w:val="nil"/>
              <w:right w:val="nil"/>
            </w:tcBorders>
            <w:shd w:val="clear" w:color="000000" w:fill="FFFFFF"/>
            <w:noWrap/>
            <w:vAlign w:val="center"/>
            <w:hideMark/>
          </w:tcPr>
          <w:p w14:paraId="37600A69" w14:textId="77777777" w:rsidR="00FB434E" w:rsidRPr="00FB434E" w:rsidRDefault="00FB434E" w:rsidP="00FB434E">
            <w:pPr>
              <w:spacing w:before="0" w:after="0" w:line="240" w:lineRule="auto"/>
              <w:rPr>
                <w:rFonts w:ascii="Arial" w:hAnsi="Arial" w:cs="Arial"/>
                <w:color w:val="000000"/>
                <w:sz w:val="16"/>
                <w:szCs w:val="16"/>
              </w:rPr>
            </w:pPr>
            <w:r w:rsidRPr="00FB434E">
              <w:rPr>
                <w:rFonts w:ascii="Arial" w:hAnsi="Arial" w:cs="Arial"/>
                <w:color w:val="000000"/>
                <w:sz w:val="16"/>
                <w:szCs w:val="16"/>
              </w:rPr>
              <w:t> </w:t>
            </w:r>
          </w:p>
        </w:tc>
        <w:tc>
          <w:tcPr>
            <w:tcW w:w="550" w:type="pct"/>
            <w:tcBorders>
              <w:top w:val="nil"/>
              <w:left w:val="nil"/>
              <w:bottom w:val="single" w:sz="4" w:space="0" w:color="293F5B"/>
              <w:right w:val="nil"/>
            </w:tcBorders>
            <w:shd w:val="clear" w:color="000000" w:fill="FFFFFF"/>
            <w:noWrap/>
            <w:vAlign w:val="center"/>
            <w:hideMark/>
          </w:tcPr>
          <w:p w14:paraId="7A7C2AF1" w14:textId="77777777" w:rsidR="00FB434E" w:rsidRPr="00FB434E" w:rsidRDefault="00FB434E" w:rsidP="00FB434E">
            <w:pPr>
              <w:spacing w:before="0" w:after="0" w:line="240" w:lineRule="auto"/>
              <w:jc w:val="right"/>
              <w:rPr>
                <w:rFonts w:ascii="Arial" w:hAnsi="Arial" w:cs="Arial"/>
                <w:color w:val="000000"/>
                <w:sz w:val="16"/>
                <w:szCs w:val="16"/>
              </w:rPr>
            </w:pPr>
            <w:r w:rsidRPr="00FB434E">
              <w:rPr>
                <w:rFonts w:ascii="Arial" w:hAnsi="Arial" w:cs="Arial"/>
                <w:color w:val="000000"/>
                <w:sz w:val="16"/>
                <w:szCs w:val="16"/>
              </w:rPr>
              <w:t>24</w:t>
            </w:r>
          </w:p>
        </w:tc>
        <w:tc>
          <w:tcPr>
            <w:tcW w:w="550" w:type="pct"/>
            <w:tcBorders>
              <w:top w:val="nil"/>
              <w:left w:val="nil"/>
              <w:bottom w:val="single" w:sz="4" w:space="0" w:color="293F5B"/>
              <w:right w:val="nil"/>
            </w:tcBorders>
            <w:shd w:val="clear" w:color="000000" w:fill="E6F2FF"/>
            <w:noWrap/>
            <w:vAlign w:val="center"/>
            <w:hideMark/>
          </w:tcPr>
          <w:p w14:paraId="088866BA" w14:textId="77777777" w:rsidR="00FB434E" w:rsidRPr="00FB434E" w:rsidRDefault="00FB434E" w:rsidP="00FB434E">
            <w:pPr>
              <w:spacing w:before="0" w:after="0" w:line="240" w:lineRule="auto"/>
              <w:jc w:val="right"/>
              <w:rPr>
                <w:rFonts w:ascii="Arial" w:hAnsi="Arial" w:cs="Arial"/>
                <w:color w:val="000000"/>
                <w:sz w:val="16"/>
                <w:szCs w:val="16"/>
              </w:rPr>
            </w:pPr>
            <w:r w:rsidRPr="00FB434E">
              <w:rPr>
                <w:rFonts w:ascii="Arial" w:hAnsi="Arial" w:cs="Arial"/>
                <w:color w:val="000000"/>
                <w:sz w:val="16"/>
                <w:szCs w:val="16"/>
              </w:rPr>
              <w:t>23</w:t>
            </w:r>
          </w:p>
        </w:tc>
        <w:tc>
          <w:tcPr>
            <w:tcW w:w="550" w:type="pct"/>
            <w:tcBorders>
              <w:top w:val="nil"/>
              <w:left w:val="nil"/>
              <w:bottom w:val="single" w:sz="4" w:space="0" w:color="293F5B"/>
              <w:right w:val="nil"/>
            </w:tcBorders>
            <w:shd w:val="clear" w:color="000000" w:fill="FFFFFF"/>
            <w:noWrap/>
            <w:vAlign w:val="center"/>
            <w:hideMark/>
          </w:tcPr>
          <w:p w14:paraId="73D994C1" w14:textId="77777777" w:rsidR="00FB434E" w:rsidRPr="00FB434E" w:rsidRDefault="00FB434E" w:rsidP="00FB434E">
            <w:pPr>
              <w:spacing w:before="0" w:after="0" w:line="240" w:lineRule="auto"/>
              <w:jc w:val="right"/>
              <w:rPr>
                <w:rFonts w:ascii="Arial" w:hAnsi="Arial" w:cs="Arial"/>
                <w:color w:val="000000"/>
                <w:sz w:val="16"/>
                <w:szCs w:val="16"/>
              </w:rPr>
            </w:pPr>
            <w:r w:rsidRPr="00FB434E">
              <w:rPr>
                <w:rFonts w:ascii="Arial" w:hAnsi="Arial" w:cs="Arial"/>
                <w:color w:val="000000"/>
                <w:sz w:val="16"/>
                <w:szCs w:val="16"/>
              </w:rPr>
              <w:t>21</w:t>
            </w:r>
          </w:p>
        </w:tc>
        <w:tc>
          <w:tcPr>
            <w:tcW w:w="550" w:type="pct"/>
            <w:tcBorders>
              <w:top w:val="nil"/>
              <w:left w:val="nil"/>
              <w:bottom w:val="single" w:sz="4" w:space="0" w:color="293F5B"/>
              <w:right w:val="nil"/>
            </w:tcBorders>
            <w:shd w:val="clear" w:color="000000" w:fill="FFFFFF"/>
            <w:noWrap/>
            <w:vAlign w:val="center"/>
            <w:hideMark/>
          </w:tcPr>
          <w:p w14:paraId="7D2CB03D" w14:textId="77777777" w:rsidR="00FB434E" w:rsidRPr="00FB434E" w:rsidRDefault="00FB434E" w:rsidP="00FB434E">
            <w:pPr>
              <w:spacing w:before="0" w:after="0" w:line="240" w:lineRule="auto"/>
              <w:jc w:val="right"/>
              <w:rPr>
                <w:rFonts w:ascii="Arial" w:hAnsi="Arial" w:cs="Arial"/>
                <w:color w:val="000000"/>
                <w:sz w:val="16"/>
                <w:szCs w:val="16"/>
              </w:rPr>
            </w:pPr>
            <w:r w:rsidRPr="00FB434E">
              <w:rPr>
                <w:rFonts w:ascii="Arial" w:hAnsi="Arial" w:cs="Arial"/>
                <w:color w:val="000000"/>
                <w:sz w:val="16"/>
                <w:szCs w:val="16"/>
              </w:rPr>
              <w:t>21</w:t>
            </w:r>
          </w:p>
        </w:tc>
        <w:tc>
          <w:tcPr>
            <w:tcW w:w="550" w:type="pct"/>
            <w:tcBorders>
              <w:top w:val="nil"/>
              <w:left w:val="nil"/>
              <w:bottom w:val="single" w:sz="4" w:space="0" w:color="293F5B"/>
              <w:right w:val="nil"/>
            </w:tcBorders>
            <w:shd w:val="clear" w:color="000000" w:fill="FFFFFF"/>
            <w:noWrap/>
            <w:vAlign w:val="center"/>
            <w:hideMark/>
          </w:tcPr>
          <w:p w14:paraId="36720561" w14:textId="77777777" w:rsidR="00FB434E" w:rsidRPr="00FB434E" w:rsidRDefault="00FB434E" w:rsidP="00FB434E">
            <w:pPr>
              <w:spacing w:before="0" w:after="0" w:line="240" w:lineRule="auto"/>
              <w:jc w:val="right"/>
              <w:rPr>
                <w:rFonts w:ascii="Arial" w:hAnsi="Arial" w:cs="Arial"/>
                <w:color w:val="000000"/>
                <w:sz w:val="16"/>
                <w:szCs w:val="16"/>
              </w:rPr>
            </w:pPr>
            <w:r w:rsidRPr="00FB434E">
              <w:rPr>
                <w:rFonts w:ascii="Arial" w:hAnsi="Arial" w:cs="Arial"/>
                <w:color w:val="000000"/>
                <w:sz w:val="16"/>
                <w:szCs w:val="16"/>
              </w:rPr>
              <w:t>22</w:t>
            </w:r>
          </w:p>
        </w:tc>
      </w:tr>
      <w:tr w:rsidR="00FB434E" w:rsidRPr="00FB434E" w14:paraId="4BDD5887" w14:textId="77777777" w:rsidTr="00FB3363">
        <w:trPr>
          <w:trHeight w:hRule="exact" w:val="226"/>
        </w:trPr>
        <w:tc>
          <w:tcPr>
            <w:tcW w:w="2183" w:type="pct"/>
            <w:tcBorders>
              <w:top w:val="nil"/>
              <w:left w:val="nil"/>
              <w:bottom w:val="single" w:sz="4" w:space="0" w:color="293F5B"/>
              <w:right w:val="nil"/>
            </w:tcBorders>
            <w:shd w:val="clear" w:color="000000" w:fill="FFFFFF"/>
            <w:noWrap/>
            <w:vAlign w:val="center"/>
            <w:hideMark/>
          </w:tcPr>
          <w:p w14:paraId="29D258A2" w14:textId="77777777" w:rsidR="00FB434E" w:rsidRPr="00FB434E" w:rsidRDefault="00FB434E" w:rsidP="00FB434E">
            <w:pPr>
              <w:spacing w:before="0" w:after="0" w:line="240" w:lineRule="auto"/>
              <w:rPr>
                <w:rFonts w:ascii="Arial" w:hAnsi="Arial" w:cs="Arial"/>
                <w:b/>
                <w:bCs/>
                <w:color w:val="000000"/>
                <w:sz w:val="16"/>
                <w:szCs w:val="16"/>
              </w:rPr>
            </w:pPr>
            <w:r w:rsidRPr="00FB434E">
              <w:rPr>
                <w:rFonts w:ascii="Arial" w:hAnsi="Arial" w:cs="Arial"/>
                <w:b/>
                <w:bCs/>
                <w:color w:val="000000"/>
                <w:sz w:val="16"/>
                <w:szCs w:val="16"/>
              </w:rPr>
              <w:t>Total</w:t>
            </w:r>
          </w:p>
        </w:tc>
        <w:tc>
          <w:tcPr>
            <w:tcW w:w="68" w:type="pct"/>
            <w:tcBorders>
              <w:top w:val="nil"/>
              <w:left w:val="nil"/>
              <w:bottom w:val="single" w:sz="4" w:space="0" w:color="293F5B"/>
              <w:right w:val="nil"/>
            </w:tcBorders>
            <w:shd w:val="clear" w:color="000000" w:fill="FFFFFF"/>
            <w:noWrap/>
            <w:vAlign w:val="center"/>
            <w:hideMark/>
          </w:tcPr>
          <w:p w14:paraId="059F0AC2" w14:textId="77777777" w:rsidR="00FB434E" w:rsidRPr="00FB434E" w:rsidRDefault="00FB434E" w:rsidP="00FB434E">
            <w:pPr>
              <w:spacing w:before="0" w:after="0" w:line="240" w:lineRule="auto"/>
              <w:rPr>
                <w:rFonts w:ascii="Arial" w:hAnsi="Arial" w:cs="Arial"/>
                <w:b/>
                <w:bCs/>
                <w:color w:val="000000"/>
                <w:sz w:val="16"/>
                <w:szCs w:val="16"/>
              </w:rPr>
            </w:pPr>
            <w:r w:rsidRPr="00FB434E">
              <w:rPr>
                <w:rFonts w:ascii="Arial" w:hAnsi="Arial" w:cs="Arial"/>
                <w:b/>
                <w:bCs/>
                <w:color w:val="000000"/>
                <w:sz w:val="16"/>
                <w:szCs w:val="16"/>
              </w:rPr>
              <w:t> </w:t>
            </w:r>
          </w:p>
        </w:tc>
        <w:tc>
          <w:tcPr>
            <w:tcW w:w="550" w:type="pct"/>
            <w:tcBorders>
              <w:top w:val="single" w:sz="4" w:space="0" w:color="293F5B"/>
              <w:left w:val="nil"/>
              <w:bottom w:val="single" w:sz="4" w:space="0" w:color="293F5B"/>
              <w:right w:val="nil"/>
            </w:tcBorders>
            <w:shd w:val="clear" w:color="000000" w:fill="FFFFFF"/>
            <w:noWrap/>
            <w:vAlign w:val="center"/>
            <w:hideMark/>
          </w:tcPr>
          <w:p w14:paraId="416C6807" w14:textId="77777777" w:rsidR="00FB434E" w:rsidRPr="00FB434E" w:rsidRDefault="00FB434E" w:rsidP="00FB434E">
            <w:pPr>
              <w:spacing w:before="0" w:after="0" w:line="240" w:lineRule="auto"/>
              <w:jc w:val="right"/>
              <w:rPr>
                <w:rFonts w:ascii="Arial" w:hAnsi="Arial" w:cs="Arial"/>
                <w:b/>
                <w:bCs/>
                <w:color w:val="000000"/>
                <w:sz w:val="16"/>
                <w:szCs w:val="16"/>
              </w:rPr>
            </w:pPr>
            <w:r w:rsidRPr="00FB434E">
              <w:rPr>
                <w:rFonts w:ascii="Arial" w:hAnsi="Arial" w:cs="Arial"/>
                <w:b/>
                <w:bCs/>
                <w:color w:val="000000"/>
                <w:sz w:val="16"/>
                <w:szCs w:val="16"/>
              </w:rPr>
              <w:t>44,381</w:t>
            </w:r>
          </w:p>
        </w:tc>
        <w:tc>
          <w:tcPr>
            <w:tcW w:w="550" w:type="pct"/>
            <w:tcBorders>
              <w:top w:val="single" w:sz="4" w:space="0" w:color="293F5B"/>
              <w:left w:val="nil"/>
              <w:bottom w:val="single" w:sz="4" w:space="0" w:color="293F5B"/>
              <w:right w:val="nil"/>
            </w:tcBorders>
            <w:shd w:val="clear" w:color="000000" w:fill="E6F2FF"/>
            <w:noWrap/>
            <w:vAlign w:val="center"/>
            <w:hideMark/>
          </w:tcPr>
          <w:p w14:paraId="76DFAD2E" w14:textId="77777777" w:rsidR="00FB434E" w:rsidRPr="00FB434E" w:rsidRDefault="00FB434E" w:rsidP="00FB434E">
            <w:pPr>
              <w:spacing w:before="0" w:after="0" w:line="240" w:lineRule="auto"/>
              <w:jc w:val="right"/>
              <w:rPr>
                <w:rFonts w:ascii="Arial" w:hAnsi="Arial" w:cs="Arial"/>
                <w:b/>
                <w:bCs/>
                <w:color w:val="000000"/>
                <w:sz w:val="16"/>
                <w:szCs w:val="16"/>
              </w:rPr>
            </w:pPr>
            <w:r w:rsidRPr="00FB434E">
              <w:rPr>
                <w:rFonts w:ascii="Arial" w:hAnsi="Arial" w:cs="Arial"/>
                <w:b/>
                <w:bCs/>
                <w:color w:val="000000"/>
                <w:sz w:val="16"/>
                <w:szCs w:val="16"/>
              </w:rPr>
              <w:t>46,931</w:t>
            </w:r>
          </w:p>
        </w:tc>
        <w:tc>
          <w:tcPr>
            <w:tcW w:w="550" w:type="pct"/>
            <w:tcBorders>
              <w:top w:val="single" w:sz="4" w:space="0" w:color="293F5B"/>
              <w:left w:val="nil"/>
              <w:bottom w:val="single" w:sz="4" w:space="0" w:color="293F5B"/>
              <w:right w:val="nil"/>
            </w:tcBorders>
            <w:shd w:val="clear" w:color="000000" w:fill="FFFFFF"/>
            <w:noWrap/>
            <w:vAlign w:val="center"/>
            <w:hideMark/>
          </w:tcPr>
          <w:p w14:paraId="7E03B957" w14:textId="77777777" w:rsidR="00FB434E" w:rsidRPr="00FB434E" w:rsidRDefault="00FB434E" w:rsidP="00FB434E">
            <w:pPr>
              <w:spacing w:before="0" w:after="0" w:line="240" w:lineRule="auto"/>
              <w:jc w:val="right"/>
              <w:rPr>
                <w:rFonts w:ascii="Arial" w:hAnsi="Arial" w:cs="Arial"/>
                <w:b/>
                <w:bCs/>
                <w:color w:val="000000"/>
                <w:sz w:val="16"/>
                <w:szCs w:val="16"/>
              </w:rPr>
            </w:pPr>
            <w:r w:rsidRPr="00FB434E">
              <w:rPr>
                <w:rFonts w:ascii="Arial" w:hAnsi="Arial" w:cs="Arial"/>
                <w:b/>
                <w:bCs/>
                <w:color w:val="000000"/>
                <w:sz w:val="16"/>
                <w:szCs w:val="16"/>
              </w:rPr>
              <w:t>49,115</w:t>
            </w:r>
          </w:p>
        </w:tc>
        <w:tc>
          <w:tcPr>
            <w:tcW w:w="550" w:type="pct"/>
            <w:tcBorders>
              <w:top w:val="single" w:sz="4" w:space="0" w:color="293F5B"/>
              <w:left w:val="nil"/>
              <w:bottom w:val="single" w:sz="4" w:space="0" w:color="293F5B"/>
              <w:right w:val="nil"/>
            </w:tcBorders>
            <w:shd w:val="clear" w:color="000000" w:fill="FFFFFF"/>
            <w:noWrap/>
            <w:vAlign w:val="center"/>
            <w:hideMark/>
          </w:tcPr>
          <w:p w14:paraId="6FEA33B7" w14:textId="77777777" w:rsidR="00FB434E" w:rsidRPr="00FB434E" w:rsidRDefault="00FB434E" w:rsidP="00FB434E">
            <w:pPr>
              <w:spacing w:before="0" w:after="0" w:line="240" w:lineRule="auto"/>
              <w:jc w:val="right"/>
              <w:rPr>
                <w:rFonts w:ascii="Arial" w:hAnsi="Arial" w:cs="Arial"/>
                <w:b/>
                <w:bCs/>
                <w:color w:val="000000"/>
                <w:sz w:val="16"/>
                <w:szCs w:val="16"/>
              </w:rPr>
            </w:pPr>
            <w:r w:rsidRPr="00FB434E">
              <w:rPr>
                <w:rFonts w:ascii="Arial" w:hAnsi="Arial" w:cs="Arial"/>
                <w:b/>
                <w:bCs/>
                <w:color w:val="000000"/>
                <w:sz w:val="16"/>
                <w:szCs w:val="16"/>
              </w:rPr>
              <w:t>51,190</w:t>
            </w:r>
          </w:p>
        </w:tc>
        <w:tc>
          <w:tcPr>
            <w:tcW w:w="550" w:type="pct"/>
            <w:tcBorders>
              <w:top w:val="single" w:sz="4" w:space="0" w:color="293F5B"/>
              <w:left w:val="nil"/>
              <w:bottom w:val="single" w:sz="4" w:space="0" w:color="293F5B"/>
              <w:right w:val="nil"/>
            </w:tcBorders>
            <w:shd w:val="clear" w:color="000000" w:fill="FFFFFF"/>
            <w:noWrap/>
            <w:vAlign w:val="center"/>
            <w:hideMark/>
          </w:tcPr>
          <w:p w14:paraId="06CEF017" w14:textId="77777777" w:rsidR="00FB434E" w:rsidRPr="00FB434E" w:rsidRDefault="00FB434E" w:rsidP="00FB434E">
            <w:pPr>
              <w:spacing w:before="0" w:after="0" w:line="240" w:lineRule="auto"/>
              <w:jc w:val="right"/>
              <w:rPr>
                <w:rFonts w:ascii="Arial" w:hAnsi="Arial" w:cs="Arial"/>
                <w:b/>
                <w:bCs/>
                <w:color w:val="000000"/>
                <w:sz w:val="16"/>
                <w:szCs w:val="16"/>
              </w:rPr>
            </w:pPr>
            <w:r w:rsidRPr="00FB434E">
              <w:rPr>
                <w:rFonts w:ascii="Arial" w:hAnsi="Arial" w:cs="Arial"/>
                <w:b/>
                <w:bCs/>
                <w:color w:val="000000"/>
                <w:sz w:val="16"/>
                <w:szCs w:val="16"/>
              </w:rPr>
              <w:t>52,597</w:t>
            </w:r>
          </w:p>
        </w:tc>
      </w:tr>
    </w:tbl>
    <w:p w14:paraId="73B8A036" w14:textId="7268931B" w:rsidR="00E4171F" w:rsidRPr="000177D7" w:rsidRDefault="00E4171F" w:rsidP="00E87DDC">
      <w:pPr>
        <w:pStyle w:val="ChartandTableFootnoteAlpha"/>
        <w:numPr>
          <w:ilvl w:val="0"/>
          <w:numId w:val="15"/>
        </w:numPr>
      </w:pPr>
      <w:r w:rsidRPr="000177D7">
        <w:t>The entry for each component includes eliminations for inter</w:t>
      </w:r>
      <w:r w:rsidR="008D4F6B">
        <w:noBreakHyphen/>
      </w:r>
      <w:r w:rsidRPr="000177D7">
        <w:t>agency transactions within that component.</w:t>
      </w:r>
    </w:p>
    <w:p w14:paraId="5D395063" w14:textId="77777777" w:rsidR="00E32E1B" w:rsidRPr="00A254FB" w:rsidRDefault="00E32E1B" w:rsidP="00275B1F">
      <w:pPr>
        <w:pStyle w:val="TableLine"/>
      </w:pPr>
      <w:bookmarkStart w:id="104" w:name="_Hlk133864723"/>
      <w:bookmarkStart w:id="105" w:name="_Hlk133868144"/>
    </w:p>
    <w:bookmarkEnd w:id="104"/>
    <w:bookmarkEnd w:id="105"/>
    <w:p w14:paraId="11410E05" w14:textId="63B464F6" w:rsidR="00A94161" w:rsidRDefault="00A94161" w:rsidP="00A94161">
      <w:r>
        <w:t xml:space="preserve">Expenses for </w:t>
      </w:r>
      <w:r w:rsidRPr="0057167C">
        <w:rPr>
          <w:rStyle w:val="Strong"/>
        </w:rPr>
        <w:t>assistance to the unemployed and the sick</w:t>
      </w:r>
      <w:r>
        <w:t xml:space="preserve"> are estimated to </w:t>
      </w:r>
      <w:r w:rsidRPr="0062048B">
        <w:t>increase over</w:t>
      </w:r>
      <w:r>
        <w:t xml:space="preserve"> the period 2024–25 to 2027–28, primarily driven by growth in the expected number of benefits recipients, </w:t>
      </w:r>
      <w:r w:rsidR="003F2916">
        <w:t>as a result of the unemployment rate expecting to modestly rise from its close to historic low, and an increase in the share of recipients receiving full payment.</w:t>
      </w:r>
    </w:p>
    <w:p w14:paraId="4859082C" w14:textId="5D977BCF" w:rsidR="00A94161" w:rsidRDefault="00A94161" w:rsidP="00A94161">
      <w:bookmarkStart w:id="106" w:name="_Hlk166076383"/>
      <w:r w:rsidRPr="0057167C">
        <w:rPr>
          <w:rStyle w:val="Strong"/>
        </w:rPr>
        <w:t>Other welfare programs</w:t>
      </w:r>
      <w:r>
        <w:t xml:space="preserve"> expenses are expected to decrease over the period 2024–25 to 2027–28 as a result of terminating measures. Funding for terminating measures will be considered in future economic updates. This decrease is partially offset by an increase in funding through the 2024–25 Budget measure </w:t>
      </w:r>
      <w:r w:rsidRPr="0057167C">
        <w:rPr>
          <w:rStyle w:val="Emphasis"/>
        </w:rPr>
        <w:t>The Leaving Violence Program</w:t>
      </w:r>
      <w:r w:rsidR="008D4F6B" w:rsidRPr="0057167C">
        <w:rPr>
          <w:rStyle w:val="Emphasis"/>
        </w:rPr>
        <w:t xml:space="preserve"> – </w:t>
      </w:r>
      <w:r w:rsidRPr="0057167C">
        <w:rPr>
          <w:rStyle w:val="Emphasis"/>
        </w:rPr>
        <w:t>financial support for victim</w:t>
      </w:r>
      <w:r w:rsidR="008D4F6B" w:rsidRPr="0057167C">
        <w:rPr>
          <w:rStyle w:val="Emphasis"/>
        </w:rPr>
        <w:noBreakHyphen/>
      </w:r>
      <w:r w:rsidRPr="0057167C">
        <w:rPr>
          <w:rStyle w:val="Emphasis"/>
        </w:rPr>
        <w:t>survivors of intimate partner violence</w:t>
      </w:r>
      <w:r w:rsidRPr="00E91994">
        <w:t>,</w:t>
      </w:r>
      <w:r>
        <w:t xml:space="preserve"> which will provide $925.2 million over five years from 2023–24.</w:t>
      </w:r>
    </w:p>
    <w:p w14:paraId="6BD46D0B" w14:textId="4B113D62" w:rsidR="00BB782A" w:rsidRDefault="00F9046B" w:rsidP="00990CC3">
      <w:pPr>
        <w:keepLines/>
      </w:pPr>
      <w:r w:rsidRPr="004F3F39">
        <w:t>In t</w:t>
      </w:r>
      <w:r w:rsidR="00BB782A" w:rsidRPr="004F3F39">
        <w:t>he 2024–25</w:t>
      </w:r>
      <w:r w:rsidRPr="004F3F39">
        <w:t xml:space="preserve"> Budget, the Government is investing in measures which will drive progress under the </w:t>
      </w:r>
      <w:r w:rsidRPr="00204B48">
        <w:rPr>
          <w:i/>
        </w:rPr>
        <w:t>National Agreement on Closing the Gap</w:t>
      </w:r>
      <w:r w:rsidRPr="004F3F39">
        <w:t xml:space="preserve"> and deliver better outcomes for First Nations people. Expenses for </w:t>
      </w:r>
      <w:r w:rsidRPr="0057167C">
        <w:rPr>
          <w:rStyle w:val="Strong"/>
        </w:rPr>
        <w:t>assistance to Indigenous Australians not elsewhere classified (nec)</w:t>
      </w:r>
      <w:r w:rsidR="00CD4103" w:rsidRPr="004F3F39">
        <w:rPr>
          <w:b/>
          <w:bCs/>
        </w:rPr>
        <w:t xml:space="preserve"> </w:t>
      </w:r>
      <w:r w:rsidR="00CD4103" w:rsidRPr="004F3F39">
        <w:t>includes</w:t>
      </w:r>
      <w:r w:rsidRPr="004F3F39">
        <w:t xml:space="preserve"> investments in a range of measures to deliver outcomes across portfolios addressing the Priority Reforms and Socioeconomic Targets under the </w:t>
      </w:r>
      <w:r w:rsidRPr="00204B48">
        <w:rPr>
          <w:i/>
        </w:rPr>
        <w:t>National Agreement on</w:t>
      </w:r>
      <w:r w:rsidRPr="004F3F39">
        <w:t xml:space="preserve"> </w:t>
      </w:r>
      <w:r w:rsidRPr="0057167C">
        <w:rPr>
          <w:rStyle w:val="Emphasis"/>
        </w:rPr>
        <w:t>Closing the Gap</w:t>
      </w:r>
      <w:r w:rsidRPr="004F3F39">
        <w:rPr>
          <w:i/>
          <w:iCs/>
        </w:rPr>
        <w:t>.</w:t>
      </w:r>
      <w:r w:rsidRPr="004F3F39">
        <w:t xml:space="preserve"> Major investments through the </w:t>
      </w:r>
      <w:r w:rsidRPr="0057167C">
        <w:rPr>
          <w:rStyle w:val="Emphasis"/>
        </w:rPr>
        <w:t xml:space="preserve">Northern Territory Homelands and Housing and Remote Jobs </w:t>
      </w:r>
      <w:r w:rsidRPr="00204B48">
        <w:rPr>
          <w:rStyle w:val="Emphasis"/>
          <w:i w:val="0"/>
        </w:rPr>
        <w:t>and</w:t>
      </w:r>
      <w:r w:rsidRPr="0057167C">
        <w:rPr>
          <w:rStyle w:val="Emphasis"/>
        </w:rPr>
        <w:t xml:space="preserve"> Economic Development Program</w:t>
      </w:r>
      <w:r w:rsidRPr="004F3F39">
        <w:t xml:space="preserve"> deliver the Government</w:t>
      </w:r>
      <w:r w:rsidR="008D4F6B">
        <w:t>’</w:t>
      </w:r>
      <w:r w:rsidRPr="004F3F39">
        <w:t>s commitment to improve outcomes for First Nations people</w:t>
      </w:r>
      <w:r w:rsidR="0092332B" w:rsidRPr="004F3F39">
        <w:t xml:space="preserve"> in remote Northern Territory and remote Australia</w:t>
      </w:r>
      <w:r w:rsidRPr="004F3F39">
        <w:t>.</w:t>
      </w:r>
      <w:bookmarkEnd w:id="106"/>
    </w:p>
    <w:p w14:paraId="44A546A8" w14:textId="07EB665C" w:rsidR="00ED485A" w:rsidRPr="000177D7" w:rsidRDefault="00ED485A" w:rsidP="00ED485A">
      <w:pPr>
        <w:pStyle w:val="Heading3"/>
      </w:pPr>
      <w:bookmarkStart w:id="107" w:name="_Toc166369424"/>
      <w:r w:rsidRPr="000177D7">
        <w:t xml:space="preserve">Housing and community </w:t>
      </w:r>
      <w:bookmarkEnd w:id="90"/>
      <w:r w:rsidRPr="000177D7">
        <w:t>amenities</w:t>
      </w:r>
      <w:bookmarkEnd w:id="91"/>
      <w:bookmarkEnd w:id="107"/>
    </w:p>
    <w:p w14:paraId="328FBE69" w14:textId="24AB801F" w:rsidR="00E32E1B" w:rsidRPr="004B5DD9" w:rsidRDefault="00E32E1B" w:rsidP="00E32E1B">
      <w:bookmarkStart w:id="108" w:name="_Toc4577276"/>
      <w:bookmarkStart w:id="109" w:name="_Toc4689188"/>
      <w:bookmarkStart w:id="110" w:name="_Toc99203686"/>
      <w:bookmarkStart w:id="111" w:name="_Toc117358179"/>
      <w:r w:rsidRPr="004B5DD9">
        <w:t>The housing and community amenities function includes expenses for the Government</w:t>
      </w:r>
      <w:r w:rsidR="008D4F6B">
        <w:t>’</w:t>
      </w:r>
      <w:r w:rsidRPr="004B5DD9">
        <w:t xml:space="preserve">s contribution to the </w:t>
      </w:r>
      <w:r w:rsidRPr="00353A2D">
        <w:rPr>
          <w:rStyle w:val="Emphasis"/>
        </w:rPr>
        <w:t>National Housing and Homelessness Agreement</w:t>
      </w:r>
      <w:r w:rsidRPr="004B5DD9">
        <w:t>, other Australian Government housing programs, the expenses of Defence Housing Australia (DHA), urban and regional development programs and environmental protection initiatives.</w:t>
      </w:r>
    </w:p>
    <w:p w14:paraId="29BD47AC" w14:textId="7A1E2B1B" w:rsidR="005519D2" w:rsidRDefault="00E32E1B" w:rsidP="005519D2">
      <w:pPr>
        <w:pStyle w:val="TableHeading"/>
        <w:rPr>
          <w:rFonts w:asciiTheme="minorHAnsi" w:eastAsiaTheme="minorHAnsi" w:hAnsiTheme="minorHAnsi" w:cstheme="minorBidi"/>
          <w:sz w:val="22"/>
          <w:szCs w:val="22"/>
          <w:lang w:eastAsia="en-US"/>
        </w:rPr>
      </w:pPr>
      <w:r>
        <w:lastRenderedPageBreak/>
        <w:t>Table </w:t>
      </w:r>
      <w:r w:rsidRPr="000177D7">
        <w:t>6.10: Summary of expenses</w:t>
      </w:r>
      <w:r>
        <w:t xml:space="preserve"> – </w:t>
      </w:r>
      <w:r w:rsidRPr="000177D7">
        <w:t>housing and community amenities</w:t>
      </w:r>
      <w:bookmarkStart w:id="112" w:name="_1555615971"/>
      <w:bookmarkStart w:id="113" w:name="_1727774323"/>
      <w:bookmarkEnd w:id="112"/>
      <w:bookmarkEnd w:id="113"/>
    </w:p>
    <w:tbl>
      <w:tblPr>
        <w:tblW w:w="5000" w:type="pct"/>
        <w:tblCellMar>
          <w:left w:w="0" w:type="dxa"/>
          <w:right w:w="28" w:type="dxa"/>
        </w:tblCellMar>
        <w:tblLook w:val="04A0" w:firstRow="1" w:lastRow="0" w:firstColumn="1" w:lastColumn="0" w:noHBand="0" w:noVBand="1"/>
      </w:tblPr>
      <w:tblGrid>
        <w:gridCol w:w="3683"/>
        <w:gridCol w:w="806"/>
        <w:gridCol w:w="805"/>
        <w:gridCol w:w="805"/>
        <w:gridCol w:w="805"/>
        <w:gridCol w:w="806"/>
      </w:tblGrid>
      <w:tr w:rsidR="005519D2" w:rsidRPr="005519D2" w14:paraId="0D9AF4FD" w14:textId="77777777" w:rsidTr="00A93C6F">
        <w:trPr>
          <w:trHeight w:hRule="exact" w:val="225"/>
        </w:trPr>
        <w:tc>
          <w:tcPr>
            <w:tcW w:w="2388" w:type="pct"/>
            <w:tcBorders>
              <w:top w:val="single" w:sz="4" w:space="0" w:color="293F5B"/>
              <w:left w:val="nil"/>
              <w:bottom w:val="nil"/>
              <w:right w:val="nil"/>
            </w:tcBorders>
            <w:shd w:val="clear" w:color="000000" w:fill="FFFFFF"/>
            <w:noWrap/>
            <w:vAlign w:val="center"/>
            <w:hideMark/>
          </w:tcPr>
          <w:p w14:paraId="3117D14A" w14:textId="5A7A87EC" w:rsidR="005519D2" w:rsidRPr="005519D2" w:rsidRDefault="005519D2" w:rsidP="005519D2">
            <w:pPr>
              <w:spacing w:before="0" w:after="0" w:line="240" w:lineRule="auto"/>
              <w:rPr>
                <w:rFonts w:ascii="Arial" w:hAnsi="Arial" w:cs="Arial"/>
                <w:b/>
                <w:bCs/>
                <w:color w:val="000000"/>
                <w:sz w:val="16"/>
                <w:szCs w:val="16"/>
              </w:rPr>
            </w:pPr>
            <w:r w:rsidRPr="005519D2">
              <w:rPr>
                <w:rFonts w:ascii="Arial" w:hAnsi="Arial" w:cs="Arial"/>
                <w:b/>
                <w:bCs/>
                <w:color w:val="000000"/>
                <w:sz w:val="16"/>
                <w:szCs w:val="16"/>
              </w:rPr>
              <w:t>Sub-function</w:t>
            </w:r>
          </w:p>
        </w:tc>
        <w:tc>
          <w:tcPr>
            <w:tcW w:w="2612" w:type="pct"/>
            <w:gridSpan w:val="5"/>
            <w:tcBorders>
              <w:top w:val="single" w:sz="4" w:space="0" w:color="293F5B"/>
              <w:left w:val="nil"/>
              <w:bottom w:val="single" w:sz="4" w:space="0" w:color="293F5B"/>
              <w:right w:val="nil"/>
            </w:tcBorders>
            <w:shd w:val="clear" w:color="000000" w:fill="FFFFFF"/>
            <w:noWrap/>
            <w:vAlign w:val="center"/>
            <w:hideMark/>
          </w:tcPr>
          <w:p w14:paraId="79C4CA89" w14:textId="77777777" w:rsidR="005519D2" w:rsidRPr="005519D2" w:rsidRDefault="005519D2" w:rsidP="005519D2">
            <w:pPr>
              <w:spacing w:before="0" w:after="0" w:line="240" w:lineRule="auto"/>
              <w:jc w:val="center"/>
              <w:rPr>
                <w:rFonts w:ascii="Arial" w:hAnsi="Arial" w:cs="Arial"/>
                <w:color w:val="000000"/>
                <w:sz w:val="16"/>
                <w:szCs w:val="16"/>
              </w:rPr>
            </w:pPr>
            <w:r w:rsidRPr="005519D2">
              <w:rPr>
                <w:rFonts w:ascii="Arial" w:hAnsi="Arial" w:cs="Arial"/>
                <w:color w:val="000000"/>
                <w:sz w:val="16"/>
                <w:szCs w:val="16"/>
              </w:rPr>
              <w:t>Estimates</w:t>
            </w:r>
          </w:p>
        </w:tc>
      </w:tr>
      <w:tr w:rsidR="005519D2" w:rsidRPr="005519D2" w14:paraId="3385E1B5" w14:textId="77777777" w:rsidTr="00A93C6F">
        <w:trPr>
          <w:trHeight w:hRule="exact" w:val="225"/>
        </w:trPr>
        <w:tc>
          <w:tcPr>
            <w:tcW w:w="2388" w:type="pct"/>
            <w:tcBorders>
              <w:top w:val="nil"/>
              <w:left w:val="nil"/>
              <w:bottom w:val="nil"/>
              <w:right w:val="nil"/>
            </w:tcBorders>
            <w:shd w:val="clear" w:color="000000" w:fill="FFFFFF"/>
            <w:noWrap/>
            <w:vAlign w:val="bottom"/>
            <w:hideMark/>
          </w:tcPr>
          <w:p w14:paraId="0CB55445" w14:textId="77777777" w:rsidR="005519D2" w:rsidRPr="005519D2" w:rsidRDefault="005519D2" w:rsidP="005519D2">
            <w:pPr>
              <w:spacing w:before="0" w:after="0" w:line="240" w:lineRule="auto"/>
              <w:rPr>
                <w:rFonts w:ascii="Arial" w:hAnsi="Arial" w:cs="Arial"/>
                <w:color w:val="000000"/>
                <w:sz w:val="16"/>
                <w:szCs w:val="16"/>
              </w:rPr>
            </w:pPr>
            <w:r w:rsidRPr="005519D2">
              <w:rPr>
                <w:rFonts w:ascii="Arial" w:hAnsi="Arial" w:cs="Arial"/>
                <w:color w:val="000000"/>
                <w:sz w:val="16"/>
                <w:szCs w:val="16"/>
              </w:rPr>
              <w:t> </w:t>
            </w:r>
          </w:p>
        </w:tc>
        <w:tc>
          <w:tcPr>
            <w:tcW w:w="523" w:type="pct"/>
            <w:tcBorders>
              <w:top w:val="single" w:sz="4" w:space="0" w:color="293F5B"/>
              <w:left w:val="nil"/>
              <w:bottom w:val="nil"/>
              <w:right w:val="nil"/>
            </w:tcBorders>
            <w:shd w:val="clear" w:color="000000" w:fill="FFFFFF"/>
            <w:noWrap/>
            <w:vAlign w:val="center"/>
            <w:hideMark/>
          </w:tcPr>
          <w:p w14:paraId="236EA40C" w14:textId="77777777" w:rsidR="005519D2" w:rsidRPr="005519D2" w:rsidRDefault="005519D2" w:rsidP="005519D2">
            <w:pPr>
              <w:spacing w:before="0" w:after="0" w:line="240" w:lineRule="auto"/>
              <w:jc w:val="right"/>
              <w:rPr>
                <w:rFonts w:ascii="Arial" w:hAnsi="Arial" w:cs="Arial"/>
                <w:sz w:val="16"/>
                <w:szCs w:val="16"/>
              </w:rPr>
            </w:pPr>
            <w:r w:rsidRPr="005519D2">
              <w:rPr>
                <w:rFonts w:ascii="Arial" w:hAnsi="Arial" w:cs="Arial"/>
                <w:sz w:val="16"/>
                <w:szCs w:val="16"/>
              </w:rPr>
              <w:t>2023-24</w:t>
            </w:r>
          </w:p>
        </w:tc>
        <w:tc>
          <w:tcPr>
            <w:tcW w:w="522" w:type="pct"/>
            <w:tcBorders>
              <w:top w:val="single" w:sz="4" w:space="0" w:color="293F5B"/>
              <w:left w:val="nil"/>
              <w:bottom w:val="nil"/>
              <w:right w:val="nil"/>
            </w:tcBorders>
            <w:shd w:val="clear" w:color="000000" w:fill="E6F2FF"/>
            <w:noWrap/>
            <w:vAlign w:val="center"/>
            <w:hideMark/>
          </w:tcPr>
          <w:p w14:paraId="6698370D" w14:textId="77777777" w:rsidR="005519D2" w:rsidRPr="005519D2" w:rsidRDefault="005519D2" w:rsidP="005519D2">
            <w:pPr>
              <w:spacing w:before="0" w:after="0" w:line="240" w:lineRule="auto"/>
              <w:jc w:val="right"/>
              <w:rPr>
                <w:rFonts w:ascii="Arial" w:hAnsi="Arial" w:cs="Arial"/>
                <w:sz w:val="16"/>
                <w:szCs w:val="16"/>
              </w:rPr>
            </w:pPr>
            <w:r w:rsidRPr="005519D2">
              <w:rPr>
                <w:rFonts w:ascii="Arial" w:hAnsi="Arial" w:cs="Arial"/>
                <w:sz w:val="16"/>
                <w:szCs w:val="16"/>
              </w:rPr>
              <w:t>2024-25</w:t>
            </w:r>
          </w:p>
        </w:tc>
        <w:tc>
          <w:tcPr>
            <w:tcW w:w="522" w:type="pct"/>
            <w:tcBorders>
              <w:top w:val="single" w:sz="4" w:space="0" w:color="293F5B"/>
              <w:left w:val="nil"/>
              <w:bottom w:val="nil"/>
              <w:right w:val="nil"/>
            </w:tcBorders>
            <w:shd w:val="clear" w:color="000000" w:fill="FFFFFF"/>
            <w:noWrap/>
            <w:vAlign w:val="center"/>
            <w:hideMark/>
          </w:tcPr>
          <w:p w14:paraId="7884CDA1" w14:textId="77777777" w:rsidR="005519D2" w:rsidRPr="005519D2" w:rsidRDefault="005519D2" w:rsidP="005519D2">
            <w:pPr>
              <w:spacing w:before="0" w:after="0" w:line="240" w:lineRule="auto"/>
              <w:jc w:val="right"/>
              <w:rPr>
                <w:rFonts w:ascii="Arial" w:hAnsi="Arial" w:cs="Arial"/>
                <w:sz w:val="16"/>
                <w:szCs w:val="16"/>
              </w:rPr>
            </w:pPr>
            <w:r w:rsidRPr="005519D2">
              <w:rPr>
                <w:rFonts w:ascii="Arial" w:hAnsi="Arial" w:cs="Arial"/>
                <w:sz w:val="16"/>
                <w:szCs w:val="16"/>
              </w:rPr>
              <w:t>2025-26</w:t>
            </w:r>
          </w:p>
        </w:tc>
        <w:tc>
          <w:tcPr>
            <w:tcW w:w="522" w:type="pct"/>
            <w:tcBorders>
              <w:top w:val="single" w:sz="4" w:space="0" w:color="293F5B"/>
              <w:left w:val="nil"/>
              <w:bottom w:val="nil"/>
              <w:right w:val="nil"/>
            </w:tcBorders>
            <w:shd w:val="clear" w:color="000000" w:fill="FFFFFF"/>
            <w:noWrap/>
            <w:vAlign w:val="center"/>
            <w:hideMark/>
          </w:tcPr>
          <w:p w14:paraId="19D18683" w14:textId="77777777" w:rsidR="005519D2" w:rsidRPr="005519D2" w:rsidRDefault="005519D2" w:rsidP="005519D2">
            <w:pPr>
              <w:spacing w:before="0" w:after="0" w:line="240" w:lineRule="auto"/>
              <w:jc w:val="right"/>
              <w:rPr>
                <w:rFonts w:ascii="Arial" w:hAnsi="Arial" w:cs="Arial"/>
                <w:sz w:val="16"/>
                <w:szCs w:val="16"/>
              </w:rPr>
            </w:pPr>
            <w:r w:rsidRPr="005519D2">
              <w:rPr>
                <w:rFonts w:ascii="Arial" w:hAnsi="Arial" w:cs="Arial"/>
                <w:sz w:val="16"/>
                <w:szCs w:val="16"/>
              </w:rPr>
              <w:t>2026-27</w:t>
            </w:r>
          </w:p>
        </w:tc>
        <w:tc>
          <w:tcPr>
            <w:tcW w:w="522" w:type="pct"/>
            <w:tcBorders>
              <w:top w:val="single" w:sz="4" w:space="0" w:color="293F5B"/>
              <w:left w:val="nil"/>
              <w:bottom w:val="nil"/>
              <w:right w:val="nil"/>
            </w:tcBorders>
            <w:shd w:val="clear" w:color="000000" w:fill="FFFFFF"/>
            <w:noWrap/>
            <w:vAlign w:val="center"/>
            <w:hideMark/>
          </w:tcPr>
          <w:p w14:paraId="16220E28" w14:textId="77777777" w:rsidR="005519D2" w:rsidRPr="005519D2" w:rsidRDefault="005519D2" w:rsidP="005519D2">
            <w:pPr>
              <w:spacing w:before="0" w:after="0" w:line="240" w:lineRule="auto"/>
              <w:jc w:val="right"/>
              <w:rPr>
                <w:rFonts w:ascii="Arial" w:hAnsi="Arial" w:cs="Arial"/>
                <w:color w:val="000000"/>
                <w:sz w:val="16"/>
                <w:szCs w:val="16"/>
              </w:rPr>
            </w:pPr>
            <w:r w:rsidRPr="005519D2">
              <w:rPr>
                <w:rFonts w:ascii="Arial" w:hAnsi="Arial" w:cs="Arial"/>
                <w:color w:val="000000"/>
                <w:sz w:val="16"/>
                <w:szCs w:val="16"/>
              </w:rPr>
              <w:t>2027-28</w:t>
            </w:r>
          </w:p>
        </w:tc>
      </w:tr>
      <w:tr w:rsidR="005519D2" w:rsidRPr="005519D2" w14:paraId="41A2E432" w14:textId="77777777" w:rsidTr="00A93C6F">
        <w:trPr>
          <w:trHeight w:hRule="exact" w:val="225"/>
        </w:trPr>
        <w:tc>
          <w:tcPr>
            <w:tcW w:w="2388" w:type="pct"/>
            <w:tcBorders>
              <w:top w:val="nil"/>
              <w:left w:val="nil"/>
              <w:bottom w:val="nil"/>
              <w:right w:val="nil"/>
            </w:tcBorders>
            <w:shd w:val="clear" w:color="000000" w:fill="FFFFFF"/>
            <w:noWrap/>
            <w:vAlign w:val="center"/>
            <w:hideMark/>
          </w:tcPr>
          <w:p w14:paraId="3230BA0A" w14:textId="77777777" w:rsidR="005519D2" w:rsidRPr="005519D2" w:rsidRDefault="005519D2" w:rsidP="005519D2">
            <w:pPr>
              <w:spacing w:before="0" w:after="0" w:line="240" w:lineRule="auto"/>
              <w:rPr>
                <w:rFonts w:ascii="Arial" w:hAnsi="Arial" w:cs="Arial"/>
                <w:color w:val="000000"/>
                <w:sz w:val="16"/>
                <w:szCs w:val="16"/>
              </w:rPr>
            </w:pPr>
            <w:r w:rsidRPr="005519D2">
              <w:rPr>
                <w:rFonts w:ascii="Arial" w:hAnsi="Arial" w:cs="Arial"/>
                <w:color w:val="000000"/>
                <w:sz w:val="16"/>
                <w:szCs w:val="16"/>
              </w:rPr>
              <w:t> </w:t>
            </w:r>
          </w:p>
        </w:tc>
        <w:tc>
          <w:tcPr>
            <w:tcW w:w="523" w:type="pct"/>
            <w:tcBorders>
              <w:top w:val="nil"/>
              <w:left w:val="nil"/>
              <w:bottom w:val="single" w:sz="4" w:space="0" w:color="293F5B"/>
              <w:right w:val="nil"/>
            </w:tcBorders>
            <w:shd w:val="clear" w:color="000000" w:fill="FFFFFF"/>
            <w:noWrap/>
            <w:vAlign w:val="center"/>
            <w:hideMark/>
          </w:tcPr>
          <w:p w14:paraId="125DF0F2" w14:textId="77777777" w:rsidR="005519D2" w:rsidRPr="005519D2" w:rsidRDefault="005519D2" w:rsidP="005519D2">
            <w:pPr>
              <w:spacing w:before="0" w:after="0" w:line="240" w:lineRule="auto"/>
              <w:jc w:val="right"/>
              <w:rPr>
                <w:rFonts w:ascii="Arial" w:hAnsi="Arial" w:cs="Arial"/>
                <w:color w:val="000000"/>
                <w:sz w:val="16"/>
                <w:szCs w:val="16"/>
              </w:rPr>
            </w:pPr>
            <w:r w:rsidRPr="005519D2">
              <w:rPr>
                <w:rFonts w:ascii="Arial" w:hAnsi="Arial" w:cs="Arial"/>
                <w:color w:val="000000"/>
                <w:sz w:val="16"/>
                <w:szCs w:val="16"/>
              </w:rPr>
              <w:t>$m</w:t>
            </w:r>
          </w:p>
        </w:tc>
        <w:tc>
          <w:tcPr>
            <w:tcW w:w="522" w:type="pct"/>
            <w:tcBorders>
              <w:top w:val="nil"/>
              <w:left w:val="nil"/>
              <w:bottom w:val="single" w:sz="4" w:space="0" w:color="293F5B"/>
              <w:right w:val="nil"/>
            </w:tcBorders>
            <w:shd w:val="clear" w:color="000000" w:fill="E6F2FF"/>
            <w:noWrap/>
            <w:vAlign w:val="center"/>
            <w:hideMark/>
          </w:tcPr>
          <w:p w14:paraId="38F12930" w14:textId="77777777" w:rsidR="005519D2" w:rsidRPr="005519D2" w:rsidRDefault="005519D2" w:rsidP="005519D2">
            <w:pPr>
              <w:spacing w:before="0" w:after="0" w:line="240" w:lineRule="auto"/>
              <w:jc w:val="right"/>
              <w:rPr>
                <w:rFonts w:ascii="Arial" w:hAnsi="Arial" w:cs="Arial"/>
                <w:color w:val="000000"/>
                <w:sz w:val="16"/>
                <w:szCs w:val="16"/>
              </w:rPr>
            </w:pPr>
            <w:r w:rsidRPr="005519D2">
              <w:rPr>
                <w:rFonts w:ascii="Arial" w:hAnsi="Arial" w:cs="Arial"/>
                <w:color w:val="000000"/>
                <w:sz w:val="16"/>
                <w:szCs w:val="16"/>
              </w:rPr>
              <w:t>$m</w:t>
            </w:r>
          </w:p>
        </w:tc>
        <w:tc>
          <w:tcPr>
            <w:tcW w:w="522" w:type="pct"/>
            <w:tcBorders>
              <w:top w:val="nil"/>
              <w:left w:val="nil"/>
              <w:bottom w:val="single" w:sz="4" w:space="0" w:color="293F5B"/>
              <w:right w:val="nil"/>
            </w:tcBorders>
            <w:shd w:val="clear" w:color="000000" w:fill="FFFFFF"/>
            <w:noWrap/>
            <w:vAlign w:val="center"/>
            <w:hideMark/>
          </w:tcPr>
          <w:p w14:paraId="16C5F5E6" w14:textId="77777777" w:rsidR="005519D2" w:rsidRPr="005519D2" w:rsidRDefault="005519D2" w:rsidP="005519D2">
            <w:pPr>
              <w:spacing w:before="0" w:after="0" w:line="240" w:lineRule="auto"/>
              <w:jc w:val="right"/>
              <w:rPr>
                <w:rFonts w:ascii="Arial" w:hAnsi="Arial" w:cs="Arial"/>
                <w:color w:val="000000"/>
                <w:sz w:val="16"/>
                <w:szCs w:val="16"/>
              </w:rPr>
            </w:pPr>
            <w:r w:rsidRPr="005519D2">
              <w:rPr>
                <w:rFonts w:ascii="Arial" w:hAnsi="Arial" w:cs="Arial"/>
                <w:color w:val="000000"/>
                <w:sz w:val="16"/>
                <w:szCs w:val="16"/>
              </w:rPr>
              <w:t>$m</w:t>
            </w:r>
          </w:p>
        </w:tc>
        <w:tc>
          <w:tcPr>
            <w:tcW w:w="522" w:type="pct"/>
            <w:tcBorders>
              <w:top w:val="nil"/>
              <w:left w:val="nil"/>
              <w:bottom w:val="single" w:sz="4" w:space="0" w:color="293F5B"/>
              <w:right w:val="nil"/>
            </w:tcBorders>
            <w:shd w:val="clear" w:color="000000" w:fill="FFFFFF"/>
            <w:noWrap/>
            <w:vAlign w:val="center"/>
            <w:hideMark/>
          </w:tcPr>
          <w:p w14:paraId="43773BC4" w14:textId="77777777" w:rsidR="005519D2" w:rsidRPr="005519D2" w:rsidRDefault="005519D2" w:rsidP="005519D2">
            <w:pPr>
              <w:spacing w:before="0" w:after="0" w:line="240" w:lineRule="auto"/>
              <w:jc w:val="right"/>
              <w:rPr>
                <w:rFonts w:ascii="Arial" w:hAnsi="Arial" w:cs="Arial"/>
                <w:color w:val="000000"/>
                <w:sz w:val="16"/>
                <w:szCs w:val="16"/>
              </w:rPr>
            </w:pPr>
            <w:r w:rsidRPr="005519D2">
              <w:rPr>
                <w:rFonts w:ascii="Arial" w:hAnsi="Arial" w:cs="Arial"/>
                <w:color w:val="000000"/>
                <w:sz w:val="16"/>
                <w:szCs w:val="16"/>
              </w:rPr>
              <w:t>$m</w:t>
            </w:r>
          </w:p>
        </w:tc>
        <w:tc>
          <w:tcPr>
            <w:tcW w:w="522" w:type="pct"/>
            <w:tcBorders>
              <w:top w:val="nil"/>
              <w:left w:val="nil"/>
              <w:bottom w:val="single" w:sz="4" w:space="0" w:color="293F5B"/>
              <w:right w:val="nil"/>
            </w:tcBorders>
            <w:shd w:val="clear" w:color="000000" w:fill="FFFFFF"/>
            <w:noWrap/>
            <w:vAlign w:val="center"/>
            <w:hideMark/>
          </w:tcPr>
          <w:p w14:paraId="503CA56B" w14:textId="77777777" w:rsidR="005519D2" w:rsidRPr="005519D2" w:rsidRDefault="005519D2" w:rsidP="005519D2">
            <w:pPr>
              <w:spacing w:before="0" w:after="0" w:line="240" w:lineRule="auto"/>
              <w:jc w:val="right"/>
              <w:rPr>
                <w:rFonts w:ascii="Arial" w:hAnsi="Arial" w:cs="Arial"/>
                <w:color w:val="000000"/>
                <w:sz w:val="16"/>
                <w:szCs w:val="16"/>
              </w:rPr>
            </w:pPr>
            <w:r w:rsidRPr="005519D2">
              <w:rPr>
                <w:rFonts w:ascii="Arial" w:hAnsi="Arial" w:cs="Arial"/>
                <w:color w:val="000000"/>
                <w:sz w:val="16"/>
                <w:szCs w:val="16"/>
              </w:rPr>
              <w:t>$m</w:t>
            </w:r>
          </w:p>
        </w:tc>
      </w:tr>
      <w:tr w:rsidR="005519D2" w:rsidRPr="005519D2" w14:paraId="7E19506A" w14:textId="77777777" w:rsidTr="00F60909">
        <w:trPr>
          <w:trHeight w:hRule="exact" w:val="225"/>
        </w:trPr>
        <w:tc>
          <w:tcPr>
            <w:tcW w:w="2388" w:type="pct"/>
            <w:tcBorders>
              <w:top w:val="nil"/>
              <w:left w:val="nil"/>
              <w:bottom w:val="nil"/>
              <w:right w:val="nil"/>
            </w:tcBorders>
            <w:shd w:val="clear" w:color="000000" w:fill="FFFFFF"/>
            <w:noWrap/>
            <w:vAlign w:val="center"/>
            <w:hideMark/>
          </w:tcPr>
          <w:p w14:paraId="21192257" w14:textId="77777777" w:rsidR="005519D2" w:rsidRPr="005519D2" w:rsidRDefault="005519D2" w:rsidP="005519D2">
            <w:pPr>
              <w:spacing w:before="0" w:after="0" w:line="240" w:lineRule="auto"/>
              <w:rPr>
                <w:rFonts w:ascii="Arial" w:hAnsi="Arial" w:cs="Arial"/>
                <w:color w:val="000000"/>
                <w:sz w:val="16"/>
                <w:szCs w:val="16"/>
              </w:rPr>
            </w:pPr>
            <w:r w:rsidRPr="005519D2">
              <w:rPr>
                <w:rFonts w:ascii="Arial" w:hAnsi="Arial" w:cs="Arial"/>
                <w:color w:val="000000"/>
                <w:sz w:val="16"/>
                <w:szCs w:val="16"/>
              </w:rPr>
              <w:t>Housing</w:t>
            </w:r>
          </w:p>
        </w:tc>
        <w:tc>
          <w:tcPr>
            <w:tcW w:w="523" w:type="pct"/>
            <w:tcBorders>
              <w:top w:val="single" w:sz="4" w:space="0" w:color="293F5B"/>
              <w:left w:val="nil"/>
              <w:bottom w:val="nil"/>
              <w:right w:val="nil"/>
            </w:tcBorders>
            <w:shd w:val="clear" w:color="000000" w:fill="FFFFFF"/>
            <w:noWrap/>
            <w:vAlign w:val="center"/>
            <w:hideMark/>
          </w:tcPr>
          <w:p w14:paraId="5C4724B7" w14:textId="77777777" w:rsidR="005519D2" w:rsidRPr="005519D2" w:rsidRDefault="005519D2" w:rsidP="005519D2">
            <w:pPr>
              <w:spacing w:before="0" w:after="0" w:line="240" w:lineRule="auto"/>
              <w:jc w:val="right"/>
              <w:rPr>
                <w:rFonts w:ascii="Arial" w:hAnsi="Arial" w:cs="Arial"/>
                <w:color w:val="000000"/>
                <w:sz w:val="16"/>
                <w:szCs w:val="16"/>
              </w:rPr>
            </w:pPr>
            <w:r w:rsidRPr="005519D2">
              <w:rPr>
                <w:rFonts w:ascii="Arial" w:hAnsi="Arial" w:cs="Arial"/>
                <w:color w:val="000000"/>
                <w:sz w:val="16"/>
                <w:szCs w:val="16"/>
              </w:rPr>
              <w:t>4,305</w:t>
            </w:r>
          </w:p>
        </w:tc>
        <w:tc>
          <w:tcPr>
            <w:tcW w:w="522" w:type="pct"/>
            <w:tcBorders>
              <w:top w:val="single" w:sz="4" w:space="0" w:color="293F5B"/>
              <w:left w:val="nil"/>
              <w:bottom w:val="nil"/>
              <w:right w:val="nil"/>
            </w:tcBorders>
            <w:shd w:val="clear" w:color="000000" w:fill="E6F2FF"/>
            <w:noWrap/>
            <w:vAlign w:val="center"/>
            <w:hideMark/>
          </w:tcPr>
          <w:p w14:paraId="30587AC4" w14:textId="77777777" w:rsidR="005519D2" w:rsidRPr="005519D2" w:rsidRDefault="005519D2" w:rsidP="005519D2">
            <w:pPr>
              <w:spacing w:before="0" w:after="0" w:line="240" w:lineRule="auto"/>
              <w:jc w:val="right"/>
              <w:rPr>
                <w:rFonts w:ascii="Arial" w:hAnsi="Arial" w:cs="Arial"/>
                <w:color w:val="000000"/>
                <w:sz w:val="16"/>
                <w:szCs w:val="16"/>
              </w:rPr>
            </w:pPr>
            <w:r w:rsidRPr="005519D2">
              <w:rPr>
                <w:rFonts w:ascii="Arial" w:hAnsi="Arial" w:cs="Arial"/>
                <w:color w:val="000000"/>
                <w:sz w:val="16"/>
                <w:szCs w:val="16"/>
              </w:rPr>
              <w:t>4,372</w:t>
            </w:r>
          </w:p>
        </w:tc>
        <w:tc>
          <w:tcPr>
            <w:tcW w:w="522" w:type="pct"/>
            <w:tcBorders>
              <w:top w:val="single" w:sz="4" w:space="0" w:color="293F5B"/>
              <w:left w:val="nil"/>
              <w:bottom w:val="nil"/>
              <w:right w:val="nil"/>
            </w:tcBorders>
            <w:shd w:val="clear" w:color="000000" w:fill="FFFFFF"/>
            <w:noWrap/>
            <w:vAlign w:val="center"/>
            <w:hideMark/>
          </w:tcPr>
          <w:p w14:paraId="4D6A7576" w14:textId="77777777" w:rsidR="005519D2" w:rsidRPr="005519D2" w:rsidRDefault="005519D2" w:rsidP="005519D2">
            <w:pPr>
              <w:spacing w:before="0" w:after="0" w:line="240" w:lineRule="auto"/>
              <w:jc w:val="right"/>
              <w:rPr>
                <w:rFonts w:ascii="Arial" w:hAnsi="Arial" w:cs="Arial"/>
                <w:color w:val="000000"/>
                <w:sz w:val="16"/>
                <w:szCs w:val="16"/>
              </w:rPr>
            </w:pPr>
            <w:r w:rsidRPr="005519D2">
              <w:rPr>
                <w:rFonts w:ascii="Arial" w:hAnsi="Arial" w:cs="Arial"/>
                <w:color w:val="000000"/>
                <w:sz w:val="16"/>
                <w:szCs w:val="16"/>
              </w:rPr>
              <w:t>4,206</w:t>
            </w:r>
          </w:p>
        </w:tc>
        <w:tc>
          <w:tcPr>
            <w:tcW w:w="522" w:type="pct"/>
            <w:tcBorders>
              <w:top w:val="single" w:sz="4" w:space="0" w:color="293F5B"/>
              <w:left w:val="nil"/>
              <w:bottom w:val="nil"/>
              <w:right w:val="nil"/>
            </w:tcBorders>
            <w:shd w:val="clear" w:color="000000" w:fill="FFFFFF"/>
            <w:noWrap/>
            <w:vAlign w:val="center"/>
            <w:hideMark/>
          </w:tcPr>
          <w:p w14:paraId="08291BEB" w14:textId="77777777" w:rsidR="005519D2" w:rsidRPr="005519D2" w:rsidRDefault="005519D2" w:rsidP="005519D2">
            <w:pPr>
              <w:spacing w:before="0" w:after="0" w:line="240" w:lineRule="auto"/>
              <w:jc w:val="right"/>
              <w:rPr>
                <w:rFonts w:ascii="Arial" w:hAnsi="Arial" w:cs="Arial"/>
                <w:color w:val="000000"/>
                <w:sz w:val="16"/>
                <w:szCs w:val="16"/>
              </w:rPr>
            </w:pPr>
            <w:r w:rsidRPr="005519D2">
              <w:rPr>
                <w:rFonts w:ascii="Arial" w:hAnsi="Arial" w:cs="Arial"/>
                <w:color w:val="000000"/>
                <w:sz w:val="16"/>
                <w:szCs w:val="16"/>
              </w:rPr>
              <w:t>4,541</w:t>
            </w:r>
          </w:p>
        </w:tc>
        <w:tc>
          <w:tcPr>
            <w:tcW w:w="522" w:type="pct"/>
            <w:tcBorders>
              <w:top w:val="single" w:sz="4" w:space="0" w:color="293F5B"/>
              <w:left w:val="nil"/>
              <w:bottom w:val="nil"/>
              <w:right w:val="nil"/>
            </w:tcBorders>
            <w:shd w:val="clear" w:color="000000" w:fill="FFFFFF"/>
            <w:noWrap/>
            <w:vAlign w:val="center"/>
            <w:hideMark/>
          </w:tcPr>
          <w:p w14:paraId="2C20B700" w14:textId="77777777" w:rsidR="005519D2" w:rsidRPr="005519D2" w:rsidRDefault="005519D2" w:rsidP="005519D2">
            <w:pPr>
              <w:spacing w:before="0" w:after="0" w:line="240" w:lineRule="auto"/>
              <w:jc w:val="right"/>
              <w:rPr>
                <w:rFonts w:ascii="Arial" w:hAnsi="Arial" w:cs="Arial"/>
                <w:color w:val="000000"/>
                <w:sz w:val="16"/>
                <w:szCs w:val="16"/>
              </w:rPr>
            </w:pPr>
            <w:r w:rsidRPr="005519D2">
              <w:rPr>
                <w:rFonts w:ascii="Arial" w:hAnsi="Arial" w:cs="Arial"/>
                <w:color w:val="000000"/>
                <w:sz w:val="16"/>
                <w:szCs w:val="16"/>
              </w:rPr>
              <w:t>3,696</w:t>
            </w:r>
          </w:p>
        </w:tc>
      </w:tr>
      <w:tr w:rsidR="005519D2" w:rsidRPr="005519D2" w14:paraId="597BE47C" w14:textId="77777777" w:rsidTr="00A93C6F">
        <w:trPr>
          <w:trHeight w:hRule="exact" w:val="225"/>
        </w:trPr>
        <w:tc>
          <w:tcPr>
            <w:tcW w:w="2388" w:type="pct"/>
            <w:tcBorders>
              <w:top w:val="nil"/>
              <w:left w:val="nil"/>
              <w:bottom w:val="nil"/>
              <w:right w:val="nil"/>
            </w:tcBorders>
            <w:shd w:val="clear" w:color="000000" w:fill="FFFFFF"/>
            <w:noWrap/>
            <w:vAlign w:val="center"/>
            <w:hideMark/>
          </w:tcPr>
          <w:p w14:paraId="2C2EF569" w14:textId="77777777" w:rsidR="005519D2" w:rsidRPr="005519D2" w:rsidRDefault="005519D2" w:rsidP="005519D2">
            <w:pPr>
              <w:spacing w:before="0" w:after="0" w:line="240" w:lineRule="auto"/>
              <w:rPr>
                <w:rFonts w:ascii="Arial" w:hAnsi="Arial" w:cs="Arial"/>
                <w:color w:val="000000"/>
                <w:sz w:val="16"/>
                <w:szCs w:val="16"/>
              </w:rPr>
            </w:pPr>
            <w:r w:rsidRPr="005519D2">
              <w:rPr>
                <w:rFonts w:ascii="Arial" w:hAnsi="Arial" w:cs="Arial"/>
                <w:color w:val="000000"/>
                <w:sz w:val="16"/>
                <w:szCs w:val="16"/>
              </w:rPr>
              <w:t>Urban and regional development</w:t>
            </w:r>
          </w:p>
        </w:tc>
        <w:tc>
          <w:tcPr>
            <w:tcW w:w="523" w:type="pct"/>
            <w:tcBorders>
              <w:top w:val="nil"/>
              <w:left w:val="nil"/>
              <w:bottom w:val="nil"/>
              <w:right w:val="nil"/>
            </w:tcBorders>
            <w:shd w:val="clear" w:color="000000" w:fill="FFFFFF"/>
            <w:noWrap/>
            <w:vAlign w:val="center"/>
            <w:hideMark/>
          </w:tcPr>
          <w:p w14:paraId="20897D36" w14:textId="77777777" w:rsidR="005519D2" w:rsidRPr="005519D2" w:rsidRDefault="005519D2" w:rsidP="005519D2">
            <w:pPr>
              <w:spacing w:before="0" w:after="0" w:line="240" w:lineRule="auto"/>
              <w:jc w:val="right"/>
              <w:rPr>
                <w:rFonts w:ascii="Arial" w:hAnsi="Arial" w:cs="Arial"/>
                <w:color w:val="000000"/>
                <w:sz w:val="16"/>
                <w:szCs w:val="16"/>
              </w:rPr>
            </w:pPr>
            <w:r w:rsidRPr="005519D2">
              <w:rPr>
                <w:rFonts w:ascii="Arial" w:hAnsi="Arial" w:cs="Arial"/>
                <w:color w:val="000000"/>
                <w:sz w:val="16"/>
                <w:szCs w:val="16"/>
              </w:rPr>
              <w:t>1,620</w:t>
            </w:r>
          </w:p>
        </w:tc>
        <w:tc>
          <w:tcPr>
            <w:tcW w:w="522" w:type="pct"/>
            <w:tcBorders>
              <w:top w:val="nil"/>
              <w:left w:val="nil"/>
              <w:bottom w:val="nil"/>
              <w:right w:val="nil"/>
            </w:tcBorders>
            <w:shd w:val="clear" w:color="000000" w:fill="E6F2FF"/>
            <w:noWrap/>
            <w:vAlign w:val="center"/>
            <w:hideMark/>
          </w:tcPr>
          <w:p w14:paraId="55953FB5" w14:textId="77777777" w:rsidR="005519D2" w:rsidRPr="005519D2" w:rsidRDefault="005519D2" w:rsidP="005519D2">
            <w:pPr>
              <w:spacing w:before="0" w:after="0" w:line="240" w:lineRule="auto"/>
              <w:jc w:val="right"/>
              <w:rPr>
                <w:rFonts w:ascii="Arial" w:hAnsi="Arial" w:cs="Arial"/>
                <w:color w:val="000000"/>
                <w:sz w:val="16"/>
                <w:szCs w:val="16"/>
              </w:rPr>
            </w:pPr>
            <w:r w:rsidRPr="005519D2">
              <w:rPr>
                <w:rFonts w:ascii="Arial" w:hAnsi="Arial" w:cs="Arial"/>
                <w:color w:val="000000"/>
                <w:sz w:val="16"/>
                <w:szCs w:val="16"/>
              </w:rPr>
              <w:t>2,906</w:t>
            </w:r>
          </w:p>
        </w:tc>
        <w:tc>
          <w:tcPr>
            <w:tcW w:w="522" w:type="pct"/>
            <w:tcBorders>
              <w:top w:val="nil"/>
              <w:left w:val="nil"/>
              <w:bottom w:val="nil"/>
              <w:right w:val="nil"/>
            </w:tcBorders>
            <w:shd w:val="clear" w:color="000000" w:fill="FFFFFF"/>
            <w:noWrap/>
            <w:vAlign w:val="center"/>
            <w:hideMark/>
          </w:tcPr>
          <w:p w14:paraId="59B9DA58" w14:textId="77777777" w:rsidR="005519D2" w:rsidRPr="005519D2" w:rsidRDefault="005519D2" w:rsidP="005519D2">
            <w:pPr>
              <w:spacing w:before="0" w:after="0" w:line="240" w:lineRule="auto"/>
              <w:jc w:val="right"/>
              <w:rPr>
                <w:rFonts w:ascii="Arial" w:hAnsi="Arial" w:cs="Arial"/>
                <w:color w:val="000000"/>
                <w:sz w:val="16"/>
                <w:szCs w:val="16"/>
              </w:rPr>
            </w:pPr>
            <w:r w:rsidRPr="005519D2">
              <w:rPr>
                <w:rFonts w:ascii="Arial" w:hAnsi="Arial" w:cs="Arial"/>
                <w:color w:val="000000"/>
                <w:sz w:val="16"/>
                <w:szCs w:val="16"/>
              </w:rPr>
              <w:t>2,258</w:t>
            </w:r>
          </w:p>
        </w:tc>
        <w:tc>
          <w:tcPr>
            <w:tcW w:w="522" w:type="pct"/>
            <w:tcBorders>
              <w:top w:val="nil"/>
              <w:left w:val="nil"/>
              <w:bottom w:val="nil"/>
              <w:right w:val="nil"/>
            </w:tcBorders>
            <w:shd w:val="clear" w:color="000000" w:fill="FFFFFF"/>
            <w:noWrap/>
            <w:vAlign w:val="center"/>
            <w:hideMark/>
          </w:tcPr>
          <w:p w14:paraId="49FA48C5" w14:textId="77777777" w:rsidR="005519D2" w:rsidRPr="005519D2" w:rsidRDefault="005519D2" w:rsidP="005519D2">
            <w:pPr>
              <w:spacing w:before="0" w:after="0" w:line="240" w:lineRule="auto"/>
              <w:jc w:val="right"/>
              <w:rPr>
                <w:rFonts w:ascii="Arial" w:hAnsi="Arial" w:cs="Arial"/>
                <w:color w:val="000000"/>
                <w:sz w:val="16"/>
                <w:szCs w:val="16"/>
              </w:rPr>
            </w:pPr>
            <w:r w:rsidRPr="005519D2">
              <w:rPr>
                <w:rFonts w:ascii="Arial" w:hAnsi="Arial" w:cs="Arial"/>
                <w:color w:val="000000"/>
                <w:sz w:val="16"/>
                <w:szCs w:val="16"/>
              </w:rPr>
              <w:t>854</w:t>
            </w:r>
          </w:p>
        </w:tc>
        <w:tc>
          <w:tcPr>
            <w:tcW w:w="522" w:type="pct"/>
            <w:tcBorders>
              <w:top w:val="nil"/>
              <w:left w:val="nil"/>
              <w:bottom w:val="nil"/>
              <w:right w:val="nil"/>
            </w:tcBorders>
            <w:shd w:val="clear" w:color="000000" w:fill="FFFFFF"/>
            <w:noWrap/>
            <w:vAlign w:val="center"/>
            <w:hideMark/>
          </w:tcPr>
          <w:p w14:paraId="21C68F80" w14:textId="77777777" w:rsidR="005519D2" w:rsidRPr="005519D2" w:rsidRDefault="005519D2" w:rsidP="005519D2">
            <w:pPr>
              <w:spacing w:before="0" w:after="0" w:line="240" w:lineRule="auto"/>
              <w:jc w:val="right"/>
              <w:rPr>
                <w:rFonts w:ascii="Arial" w:hAnsi="Arial" w:cs="Arial"/>
                <w:color w:val="000000"/>
                <w:sz w:val="16"/>
                <w:szCs w:val="16"/>
              </w:rPr>
            </w:pPr>
            <w:r w:rsidRPr="005519D2">
              <w:rPr>
                <w:rFonts w:ascii="Arial" w:hAnsi="Arial" w:cs="Arial"/>
                <w:color w:val="000000"/>
                <w:sz w:val="16"/>
                <w:szCs w:val="16"/>
              </w:rPr>
              <w:t>520</w:t>
            </w:r>
          </w:p>
        </w:tc>
      </w:tr>
      <w:tr w:rsidR="005519D2" w:rsidRPr="005519D2" w14:paraId="1FB32E81" w14:textId="77777777" w:rsidTr="00F60909">
        <w:trPr>
          <w:trHeight w:hRule="exact" w:val="225"/>
        </w:trPr>
        <w:tc>
          <w:tcPr>
            <w:tcW w:w="2388" w:type="pct"/>
            <w:tcBorders>
              <w:top w:val="nil"/>
              <w:left w:val="nil"/>
              <w:bottom w:val="nil"/>
              <w:right w:val="nil"/>
            </w:tcBorders>
            <w:shd w:val="clear" w:color="000000" w:fill="FFFFFF"/>
            <w:noWrap/>
            <w:vAlign w:val="center"/>
            <w:hideMark/>
          </w:tcPr>
          <w:p w14:paraId="00F951BA" w14:textId="77777777" w:rsidR="005519D2" w:rsidRPr="005519D2" w:rsidRDefault="005519D2" w:rsidP="005519D2">
            <w:pPr>
              <w:spacing w:before="0" w:after="0" w:line="240" w:lineRule="auto"/>
              <w:rPr>
                <w:rFonts w:ascii="Arial" w:hAnsi="Arial" w:cs="Arial"/>
                <w:color w:val="000000"/>
                <w:sz w:val="16"/>
                <w:szCs w:val="16"/>
              </w:rPr>
            </w:pPr>
            <w:r w:rsidRPr="005519D2">
              <w:rPr>
                <w:rFonts w:ascii="Arial" w:hAnsi="Arial" w:cs="Arial"/>
                <w:color w:val="000000"/>
                <w:sz w:val="16"/>
                <w:szCs w:val="16"/>
              </w:rPr>
              <w:t>Environment protection</w:t>
            </w:r>
          </w:p>
        </w:tc>
        <w:tc>
          <w:tcPr>
            <w:tcW w:w="523" w:type="pct"/>
            <w:tcBorders>
              <w:top w:val="nil"/>
              <w:left w:val="nil"/>
              <w:bottom w:val="single" w:sz="4" w:space="0" w:color="293F5B"/>
              <w:right w:val="nil"/>
            </w:tcBorders>
            <w:shd w:val="clear" w:color="000000" w:fill="FFFFFF"/>
            <w:noWrap/>
            <w:vAlign w:val="center"/>
            <w:hideMark/>
          </w:tcPr>
          <w:p w14:paraId="77C0F687" w14:textId="77777777" w:rsidR="005519D2" w:rsidRPr="005519D2" w:rsidRDefault="005519D2" w:rsidP="005519D2">
            <w:pPr>
              <w:spacing w:before="0" w:after="0" w:line="240" w:lineRule="auto"/>
              <w:jc w:val="right"/>
              <w:rPr>
                <w:rFonts w:ascii="Arial" w:hAnsi="Arial" w:cs="Arial"/>
                <w:color w:val="000000"/>
                <w:sz w:val="16"/>
                <w:szCs w:val="16"/>
              </w:rPr>
            </w:pPr>
            <w:r w:rsidRPr="005519D2">
              <w:rPr>
                <w:rFonts w:ascii="Arial" w:hAnsi="Arial" w:cs="Arial"/>
                <w:color w:val="000000"/>
                <w:sz w:val="16"/>
                <w:szCs w:val="16"/>
              </w:rPr>
              <w:t>2,029</w:t>
            </w:r>
          </w:p>
        </w:tc>
        <w:tc>
          <w:tcPr>
            <w:tcW w:w="522" w:type="pct"/>
            <w:tcBorders>
              <w:top w:val="nil"/>
              <w:left w:val="nil"/>
              <w:bottom w:val="single" w:sz="4" w:space="0" w:color="293F5B"/>
              <w:right w:val="nil"/>
            </w:tcBorders>
            <w:shd w:val="clear" w:color="000000" w:fill="E6F2FF"/>
            <w:noWrap/>
            <w:vAlign w:val="center"/>
            <w:hideMark/>
          </w:tcPr>
          <w:p w14:paraId="40BE8E75" w14:textId="77777777" w:rsidR="005519D2" w:rsidRPr="005519D2" w:rsidRDefault="005519D2" w:rsidP="005519D2">
            <w:pPr>
              <w:spacing w:before="0" w:after="0" w:line="240" w:lineRule="auto"/>
              <w:jc w:val="right"/>
              <w:rPr>
                <w:rFonts w:ascii="Arial" w:hAnsi="Arial" w:cs="Arial"/>
                <w:color w:val="000000"/>
                <w:sz w:val="16"/>
                <w:szCs w:val="16"/>
              </w:rPr>
            </w:pPr>
            <w:r w:rsidRPr="005519D2">
              <w:rPr>
                <w:rFonts w:ascii="Arial" w:hAnsi="Arial" w:cs="Arial"/>
                <w:color w:val="000000"/>
                <w:sz w:val="16"/>
                <w:szCs w:val="16"/>
              </w:rPr>
              <w:t>2,721</w:t>
            </w:r>
          </w:p>
        </w:tc>
        <w:tc>
          <w:tcPr>
            <w:tcW w:w="522" w:type="pct"/>
            <w:tcBorders>
              <w:top w:val="nil"/>
              <w:left w:val="nil"/>
              <w:bottom w:val="single" w:sz="4" w:space="0" w:color="293F5B"/>
              <w:right w:val="nil"/>
            </w:tcBorders>
            <w:shd w:val="clear" w:color="000000" w:fill="FFFFFF"/>
            <w:noWrap/>
            <w:vAlign w:val="center"/>
            <w:hideMark/>
          </w:tcPr>
          <w:p w14:paraId="696BF5CB" w14:textId="77777777" w:rsidR="005519D2" w:rsidRPr="005519D2" w:rsidRDefault="005519D2" w:rsidP="005519D2">
            <w:pPr>
              <w:spacing w:before="0" w:after="0" w:line="240" w:lineRule="auto"/>
              <w:jc w:val="right"/>
              <w:rPr>
                <w:rFonts w:ascii="Arial" w:hAnsi="Arial" w:cs="Arial"/>
                <w:color w:val="000000"/>
                <w:sz w:val="16"/>
                <w:szCs w:val="16"/>
              </w:rPr>
            </w:pPr>
            <w:r w:rsidRPr="005519D2">
              <w:rPr>
                <w:rFonts w:ascii="Arial" w:hAnsi="Arial" w:cs="Arial"/>
                <w:color w:val="000000"/>
                <w:sz w:val="16"/>
                <w:szCs w:val="16"/>
              </w:rPr>
              <w:t>2,367</w:t>
            </w:r>
          </w:p>
        </w:tc>
        <w:tc>
          <w:tcPr>
            <w:tcW w:w="522" w:type="pct"/>
            <w:tcBorders>
              <w:top w:val="nil"/>
              <w:left w:val="nil"/>
              <w:bottom w:val="single" w:sz="4" w:space="0" w:color="293F5B"/>
              <w:right w:val="nil"/>
            </w:tcBorders>
            <w:shd w:val="clear" w:color="000000" w:fill="FFFFFF"/>
            <w:noWrap/>
            <w:vAlign w:val="center"/>
            <w:hideMark/>
          </w:tcPr>
          <w:p w14:paraId="6DC15E09" w14:textId="77777777" w:rsidR="005519D2" w:rsidRPr="005519D2" w:rsidRDefault="005519D2" w:rsidP="005519D2">
            <w:pPr>
              <w:spacing w:before="0" w:after="0" w:line="240" w:lineRule="auto"/>
              <w:jc w:val="right"/>
              <w:rPr>
                <w:rFonts w:ascii="Arial" w:hAnsi="Arial" w:cs="Arial"/>
                <w:color w:val="000000"/>
                <w:sz w:val="16"/>
                <w:szCs w:val="16"/>
              </w:rPr>
            </w:pPr>
            <w:r w:rsidRPr="005519D2">
              <w:rPr>
                <w:rFonts w:ascii="Arial" w:hAnsi="Arial" w:cs="Arial"/>
                <w:color w:val="000000"/>
                <w:sz w:val="16"/>
                <w:szCs w:val="16"/>
              </w:rPr>
              <w:t>1,676</w:t>
            </w:r>
          </w:p>
        </w:tc>
        <w:tc>
          <w:tcPr>
            <w:tcW w:w="522" w:type="pct"/>
            <w:tcBorders>
              <w:top w:val="nil"/>
              <w:left w:val="nil"/>
              <w:bottom w:val="single" w:sz="4" w:space="0" w:color="293F5B"/>
              <w:right w:val="nil"/>
            </w:tcBorders>
            <w:shd w:val="clear" w:color="000000" w:fill="FFFFFF"/>
            <w:noWrap/>
            <w:vAlign w:val="center"/>
            <w:hideMark/>
          </w:tcPr>
          <w:p w14:paraId="2E4171B0" w14:textId="77777777" w:rsidR="005519D2" w:rsidRPr="005519D2" w:rsidRDefault="005519D2" w:rsidP="005519D2">
            <w:pPr>
              <w:spacing w:before="0" w:after="0" w:line="240" w:lineRule="auto"/>
              <w:jc w:val="right"/>
              <w:rPr>
                <w:rFonts w:ascii="Arial" w:hAnsi="Arial" w:cs="Arial"/>
                <w:color w:val="000000"/>
                <w:sz w:val="16"/>
                <w:szCs w:val="16"/>
              </w:rPr>
            </w:pPr>
            <w:r w:rsidRPr="005519D2">
              <w:rPr>
                <w:rFonts w:ascii="Arial" w:hAnsi="Arial" w:cs="Arial"/>
                <w:color w:val="000000"/>
                <w:sz w:val="16"/>
                <w:szCs w:val="16"/>
              </w:rPr>
              <w:t>1,413</w:t>
            </w:r>
          </w:p>
        </w:tc>
      </w:tr>
      <w:tr w:rsidR="005519D2" w:rsidRPr="005519D2" w14:paraId="0ADEC5D6" w14:textId="77777777" w:rsidTr="00A93C6F">
        <w:trPr>
          <w:trHeight w:hRule="exact" w:val="225"/>
        </w:trPr>
        <w:tc>
          <w:tcPr>
            <w:tcW w:w="2388" w:type="pct"/>
            <w:tcBorders>
              <w:top w:val="nil"/>
              <w:left w:val="nil"/>
              <w:bottom w:val="single" w:sz="4" w:space="0" w:color="293F5B"/>
              <w:right w:val="nil"/>
            </w:tcBorders>
            <w:shd w:val="clear" w:color="000000" w:fill="FFFFFF"/>
            <w:noWrap/>
            <w:vAlign w:val="center"/>
            <w:hideMark/>
          </w:tcPr>
          <w:p w14:paraId="380BBBDE" w14:textId="77777777" w:rsidR="005519D2" w:rsidRPr="005519D2" w:rsidRDefault="005519D2" w:rsidP="005519D2">
            <w:pPr>
              <w:spacing w:before="0" w:after="0" w:line="240" w:lineRule="auto"/>
              <w:rPr>
                <w:rFonts w:ascii="Arial" w:hAnsi="Arial" w:cs="Arial"/>
                <w:b/>
                <w:bCs/>
                <w:color w:val="000000"/>
                <w:sz w:val="16"/>
                <w:szCs w:val="16"/>
              </w:rPr>
            </w:pPr>
            <w:r w:rsidRPr="005519D2">
              <w:rPr>
                <w:rFonts w:ascii="Arial" w:hAnsi="Arial" w:cs="Arial"/>
                <w:b/>
                <w:bCs/>
                <w:color w:val="000000"/>
                <w:sz w:val="16"/>
                <w:szCs w:val="16"/>
              </w:rPr>
              <w:t>Total housing and community amenities</w:t>
            </w:r>
          </w:p>
        </w:tc>
        <w:tc>
          <w:tcPr>
            <w:tcW w:w="523" w:type="pct"/>
            <w:tcBorders>
              <w:top w:val="single" w:sz="4" w:space="0" w:color="293F5B"/>
              <w:left w:val="nil"/>
              <w:bottom w:val="single" w:sz="4" w:space="0" w:color="293F5B"/>
              <w:right w:val="nil"/>
            </w:tcBorders>
            <w:shd w:val="clear" w:color="000000" w:fill="FFFFFF"/>
            <w:noWrap/>
            <w:vAlign w:val="center"/>
            <w:hideMark/>
          </w:tcPr>
          <w:p w14:paraId="3533058C" w14:textId="77777777" w:rsidR="005519D2" w:rsidRPr="005519D2" w:rsidRDefault="005519D2" w:rsidP="005519D2">
            <w:pPr>
              <w:spacing w:before="0" w:after="0" w:line="240" w:lineRule="auto"/>
              <w:jc w:val="right"/>
              <w:rPr>
                <w:rFonts w:ascii="Arial" w:hAnsi="Arial" w:cs="Arial"/>
                <w:b/>
                <w:bCs/>
                <w:color w:val="000000"/>
                <w:sz w:val="16"/>
                <w:szCs w:val="16"/>
              </w:rPr>
            </w:pPr>
            <w:r w:rsidRPr="005519D2">
              <w:rPr>
                <w:rFonts w:ascii="Arial" w:hAnsi="Arial" w:cs="Arial"/>
                <w:b/>
                <w:bCs/>
                <w:color w:val="000000"/>
                <w:sz w:val="16"/>
                <w:szCs w:val="16"/>
              </w:rPr>
              <w:t>7,955</w:t>
            </w:r>
          </w:p>
        </w:tc>
        <w:tc>
          <w:tcPr>
            <w:tcW w:w="522" w:type="pct"/>
            <w:tcBorders>
              <w:top w:val="single" w:sz="4" w:space="0" w:color="293F5B"/>
              <w:left w:val="nil"/>
              <w:bottom w:val="single" w:sz="4" w:space="0" w:color="293F5B"/>
              <w:right w:val="nil"/>
            </w:tcBorders>
            <w:shd w:val="clear" w:color="000000" w:fill="E6F2FF"/>
            <w:noWrap/>
            <w:vAlign w:val="center"/>
            <w:hideMark/>
          </w:tcPr>
          <w:p w14:paraId="016893CB" w14:textId="77777777" w:rsidR="005519D2" w:rsidRPr="005519D2" w:rsidRDefault="005519D2" w:rsidP="005519D2">
            <w:pPr>
              <w:spacing w:before="0" w:after="0" w:line="240" w:lineRule="auto"/>
              <w:jc w:val="right"/>
              <w:rPr>
                <w:rFonts w:ascii="Arial" w:hAnsi="Arial" w:cs="Arial"/>
                <w:b/>
                <w:bCs/>
                <w:color w:val="000000"/>
                <w:sz w:val="16"/>
                <w:szCs w:val="16"/>
              </w:rPr>
            </w:pPr>
            <w:r w:rsidRPr="005519D2">
              <w:rPr>
                <w:rFonts w:ascii="Arial" w:hAnsi="Arial" w:cs="Arial"/>
                <w:b/>
                <w:bCs/>
                <w:color w:val="000000"/>
                <w:sz w:val="16"/>
                <w:szCs w:val="16"/>
              </w:rPr>
              <w:t>9,999</w:t>
            </w:r>
          </w:p>
        </w:tc>
        <w:tc>
          <w:tcPr>
            <w:tcW w:w="522" w:type="pct"/>
            <w:tcBorders>
              <w:top w:val="single" w:sz="4" w:space="0" w:color="293F5B"/>
              <w:left w:val="nil"/>
              <w:bottom w:val="single" w:sz="4" w:space="0" w:color="293F5B"/>
              <w:right w:val="nil"/>
            </w:tcBorders>
            <w:shd w:val="clear" w:color="000000" w:fill="FFFFFF"/>
            <w:noWrap/>
            <w:vAlign w:val="center"/>
            <w:hideMark/>
          </w:tcPr>
          <w:p w14:paraId="23FA949C" w14:textId="77777777" w:rsidR="005519D2" w:rsidRPr="005519D2" w:rsidRDefault="005519D2" w:rsidP="005519D2">
            <w:pPr>
              <w:spacing w:before="0" w:after="0" w:line="240" w:lineRule="auto"/>
              <w:jc w:val="right"/>
              <w:rPr>
                <w:rFonts w:ascii="Arial" w:hAnsi="Arial" w:cs="Arial"/>
                <w:b/>
                <w:bCs/>
                <w:color w:val="000000"/>
                <w:sz w:val="16"/>
                <w:szCs w:val="16"/>
              </w:rPr>
            </w:pPr>
            <w:r w:rsidRPr="005519D2">
              <w:rPr>
                <w:rFonts w:ascii="Arial" w:hAnsi="Arial" w:cs="Arial"/>
                <w:b/>
                <w:bCs/>
                <w:color w:val="000000"/>
                <w:sz w:val="16"/>
                <w:szCs w:val="16"/>
              </w:rPr>
              <w:t>8,831</w:t>
            </w:r>
          </w:p>
        </w:tc>
        <w:tc>
          <w:tcPr>
            <w:tcW w:w="522" w:type="pct"/>
            <w:tcBorders>
              <w:top w:val="single" w:sz="4" w:space="0" w:color="293F5B"/>
              <w:left w:val="nil"/>
              <w:bottom w:val="single" w:sz="4" w:space="0" w:color="293F5B"/>
              <w:right w:val="nil"/>
            </w:tcBorders>
            <w:shd w:val="clear" w:color="000000" w:fill="FFFFFF"/>
            <w:noWrap/>
            <w:vAlign w:val="center"/>
            <w:hideMark/>
          </w:tcPr>
          <w:p w14:paraId="5F23F18C" w14:textId="77777777" w:rsidR="005519D2" w:rsidRPr="005519D2" w:rsidRDefault="005519D2" w:rsidP="005519D2">
            <w:pPr>
              <w:spacing w:before="0" w:after="0" w:line="240" w:lineRule="auto"/>
              <w:jc w:val="right"/>
              <w:rPr>
                <w:rFonts w:ascii="Arial" w:hAnsi="Arial" w:cs="Arial"/>
                <w:b/>
                <w:bCs/>
                <w:color w:val="000000"/>
                <w:sz w:val="16"/>
                <w:szCs w:val="16"/>
              </w:rPr>
            </w:pPr>
            <w:r w:rsidRPr="005519D2">
              <w:rPr>
                <w:rFonts w:ascii="Arial" w:hAnsi="Arial" w:cs="Arial"/>
                <w:b/>
                <w:bCs/>
                <w:color w:val="000000"/>
                <w:sz w:val="16"/>
                <w:szCs w:val="16"/>
              </w:rPr>
              <w:t>7,072</w:t>
            </w:r>
          </w:p>
        </w:tc>
        <w:tc>
          <w:tcPr>
            <w:tcW w:w="522" w:type="pct"/>
            <w:tcBorders>
              <w:top w:val="single" w:sz="4" w:space="0" w:color="293F5B"/>
              <w:left w:val="nil"/>
              <w:bottom w:val="single" w:sz="4" w:space="0" w:color="293F5B"/>
              <w:right w:val="nil"/>
            </w:tcBorders>
            <w:shd w:val="clear" w:color="000000" w:fill="FFFFFF"/>
            <w:noWrap/>
            <w:vAlign w:val="center"/>
            <w:hideMark/>
          </w:tcPr>
          <w:p w14:paraId="00F67B24" w14:textId="77777777" w:rsidR="005519D2" w:rsidRPr="005519D2" w:rsidRDefault="005519D2" w:rsidP="005519D2">
            <w:pPr>
              <w:spacing w:before="0" w:after="0" w:line="240" w:lineRule="auto"/>
              <w:jc w:val="right"/>
              <w:rPr>
                <w:rFonts w:ascii="Arial" w:hAnsi="Arial" w:cs="Arial"/>
                <w:b/>
                <w:bCs/>
                <w:color w:val="000000"/>
                <w:sz w:val="16"/>
                <w:szCs w:val="16"/>
              </w:rPr>
            </w:pPr>
            <w:r w:rsidRPr="005519D2">
              <w:rPr>
                <w:rFonts w:ascii="Arial" w:hAnsi="Arial" w:cs="Arial"/>
                <w:b/>
                <w:bCs/>
                <w:color w:val="000000"/>
                <w:sz w:val="16"/>
                <w:szCs w:val="16"/>
              </w:rPr>
              <w:t>5,629</w:t>
            </w:r>
          </w:p>
        </w:tc>
      </w:tr>
    </w:tbl>
    <w:p w14:paraId="0E279BB0" w14:textId="62F8B3FF" w:rsidR="00216542" w:rsidRPr="00774EDC" w:rsidRDefault="00216542" w:rsidP="005D4EF5">
      <w:bookmarkStart w:id="114" w:name="_Hlk133659064"/>
      <w:bookmarkStart w:id="115" w:name="_Toc164430106"/>
      <w:r w:rsidRPr="00D87B0B">
        <w:t xml:space="preserve">Expenses for housing and community amenities are expected to </w:t>
      </w:r>
      <w:r w:rsidRPr="00463D13">
        <w:t>decrease</w:t>
      </w:r>
      <w:r w:rsidRPr="00D87B0B">
        <w:t xml:space="preserve"> by </w:t>
      </w:r>
      <w:r w:rsidR="008F320A" w:rsidRPr="00620B78">
        <w:t>43.7</w:t>
      </w:r>
      <w:r w:rsidRPr="00620B78">
        <w:t> per</w:t>
      </w:r>
      <w:r>
        <w:t> cent</w:t>
      </w:r>
      <w:r w:rsidRPr="00D87B0B">
        <w:t xml:space="preserve"> over the period 2024</w:t>
      </w:r>
      <w:r w:rsidRPr="00002DB4">
        <w:rPr>
          <w:rFonts w:cs="Book Antiqua"/>
        </w:rPr>
        <w:t>–</w:t>
      </w:r>
      <w:r w:rsidRPr="00D87B0B">
        <w:t>25 to 2027</w:t>
      </w:r>
      <w:r w:rsidRPr="00002DB4">
        <w:rPr>
          <w:rFonts w:cs="Book Antiqua"/>
        </w:rPr>
        <w:t>–</w:t>
      </w:r>
      <w:r w:rsidRPr="00D87B0B">
        <w:t>28</w:t>
      </w:r>
      <w:r>
        <w:t xml:space="preserve">, primarily driven by </w:t>
      </w:r>
      <w:r w:rsidRPr="008F320A">
        <w:t>a decrease in expenses</w:t>
      </w:r>
      <w:r w:rsidRPr="00EC1DA1">
        <w:t xml:space="preserve"> </w:t>
      </w:r>
      <w:r w:rsidR="00326A2C">
        <w:t>for</w:t>
      </w:r>
      <w:r w:rsidRPr="00EC1DA1">
        <w:t xml:space="preserve"> </w:t>
      </w:r>
      <w:r w:rsidRPr="005D4EF5">
        <w:rPr>
          <w:rStyle w:val="Strong"/>
        </w:rPr>
        <w:t xml:space="preserve">urban and regional development </w:t>
      </w:r>
      <w:r w:rsidRPr="00204B48">
        <w:rPr>
          <w:rStyle w:val="Strong"/>
          <w:b w:val="0"/>
        </w:rPr>
        <w:t>and</w:t>
      </w:r>
      <w:r w:rsidRPr="005D4EF5">
        <w:rPr>
          <w:rStyle w:val="Strong"/>
        </w:rPr>
        <w:t xml:space="preserve"> environment protection</w:t>
      </w:r>
      <w:r w:rsidR="00326A2C">
        <w:rPr>
          <w:b/>
        </w:rPr>
        <w:t>.</w:t>
      </w:r>
    </w:p>
    <w:p w14:paraId="2EEDEB57" w14:textId="4A445299" w:rsidR="00216542" w:rsidRDefault="00CF4AFB" w:rsidP="00A4389A">
      <w:bookmarkStart w:id="116" w:name="_Hlk166178149"/>
      <w:r w:rsidRPr="00204B48">
        <w:rPr>
          <w:rStyle w:val="Strong"/>
        </w:rPr>
        <w:t>Housing</w:t>
      </w:r>
      <w:r w:rsidRPr="00002DB4">
        <w:t xml:space="preserve"> </w:t>
      </w:r>
      <w:r>
        <w:t>expenses</w:t>
      </w:r>
      <w:bookmarkEnd w:id="116"/>
      <w:r w:rsidRPr="00002DB4">
        <w:t xml:space="preserve"> </w:t>
      </w:r>
      <w:r w:rsidR="00216542" w:rsidRPr="00002DB4">
        <w:t>include the Government</w:t>
      </w:r>
      <w:r w:rsidR="008D4F6B">
        <w:t>’</w:t>
      </w:r>
      <w:r w:rsidR="00216542" w:rsidRPr="00002DB4">
        <w:t>s contribution</w:t>
      </w:r>
      <w:r w:rsidR="00216542" w:rsidRPr="001E69F6">
        <w:t xml:space="preserve"> to the </w:t>
      </w:r>
      <w:r w:rsidR="00216542">
        <w:t xml:space="preserve">new </w:t>
      </w:r>
      <w:r w:rsidR="00216542" w:rsidRPr="005D4EF5">
        <w:rPr>
          <w:rStyle w:val="Emphasis"/>
        </w:rPr>
        <w:t>National Agreement on Social Housing and Homelessness</w:t>
      </w:r>
      <w:r w:rsidR="00216542" w:rsidRPr="001E69F6">
        <w:t>, the provision of housing for the general</w:t>
      </w:r>
      <w:r w:rsidR="00326A2C">
        <w:t xml:space="preserve"> </w:t>
      </w:r>
      <w:r w:rsidR="00216542" w:rsidRPr="001E69F6">
        <w:t xml:space="preserve">public and people with special needs, and </w:t>
      </w:r>
      <w:r w:rsidR="00216542">
        <w:t>DHA</w:t>
      </w:r>
      <w:r w:rsidR="00216542" w:rsidRPr="001E69F6">
        <w:t xml:space="preserve"> expenses. </w:t>
      </w:r>
      <w:r w:rsidRPr="00204B48">
        <w:rPr>
          <w:rStyle w:val="Strong"/>
        </w:rPr>
        <w:t>Housing</w:t>
      </w:r>
      <w:r>
        <w:t xml:space="preserve"> e</w:t>
      </w:r>
      <w:r w:rsidRPr="00A63A1F">
        <w:t xml:space="preserve">xpenses </w:t>
      </w:r>
      <w:r w:rsidR="00216542" w:rsidRPr="00A63A1F">
        <w:t xml:space="preserve">are estimated to </w:t>
      </w:r>
      <w:r w:rsidR="0062048B">
        <w:t xml:space="preserve">increase from 2024–25 to 2026–27, before </w:t>
      </w:r>
      <w:r w:rsidR="00216542" w:rsidRPr="00A63A1F">
        <w:t>decrea</w:t>
      </w:r>
      <w:r w:rsidR="0062048B">
        <w:t>sing</w:t>
      </w:r>
      <w:r w:rsidR="00216542" w:rsidRPr="00A63A1F">
        <w:t xml:space="preserve"> </w:t>
      </w:r>
      <w:r w:rsidR="0062048B">
        <w:t xml:space="preserve">from </w:t>
      </w:r>
      <w:r w:rsidR="00216542" w:rsidRPr="00A63A1F">
        <w:t>202</w:t>
      </w:r>
      <w:r w:rsidR="0062048B">
        <w:t>6</w:t>
      </w:r>
      <w:r w:rsidR="00216542" w:rsidRPr="00A63A1F">
        <w:t>–2</w:t>
      </w:r>
      <w:r w:rsidR="0062048B">
        <w:t>7</w:t>
      </w:r>
      <w:r w:rsidR="00216542" w:rsidRPr="00A63A1F">
        <w:t xml:space="preserve"> to 2027</w:t>
      </w:r>
      <w:r w:rsidR="0062048B">
        <w:rPr>
          <w:rFonts w:cs="Book Antiqua"/>
        </w:rPr>
        <w:t>–</w:t>
      </w:r>
      <w:r w:rsidR="00216542" w:rsidRPr="00A63A1F">
        <w:t xml:space="preserve">28, primarily driven by </w:t>
      </w:r>
      <w:r w:rsidR="00216542" w:rsidRPr="0010703E">
        <w:t xml:space="preserve">terminating </w:t>
      </w:r>
      <w:r w:rsidR="003C0F2B">
        <w:t>N</w:t>
      </w:r>
      <w:r w:rsidR="00216542" w:rsidRPr="0010703E">
        <w:t xml:space="preserve">ational </w:t>
      </w:r>
      <w:r w:rsidR="003C0F2B">
        <w:t>P</w:t>
      </w:r>
      <w:r w:rsidR="00216542" w:rsidRPr="0010703E">
        <w:t xml:space="preserve">artnership </w:t>
      </w:r>
      <w:r w:rsidR="003C0F2B">
        <w:t>P</w:t>
      </w:r>
      <w:r w:rsidR="00216542" w:rsidRPr="0010703E">
        <w:t>ayments. The</w:t>
      </w:r>
      <w:r w:rsidR="00A4389A">
        <w:t xml:space="preserve"> National Partnership Payments </w:t>
      </w:r>
      <w:r w:rsidR="00216542" w:rsidRPr="0010703E">
        <w:t>include short</w:t>
      </w:r>
      <w:r w:rsidR="008D4F6B">
        <w:noBreakHyphen/>
      </w:r>
      <w:r w:rsidR="00216542" w:rsidRPr="0010703E">
        <w:t>term support</w:t>
      </w:r>
      <w:r w:rsidR="00216542">
        <w:t xml:space="preserve"> for enabling infrastructure through the Housing Support Program, the finalisation of Homebuilder and the initial distribution of $100</w:t>
      </w:r>
      <w:r w:rsidR="005D4EF5">
        <w:t> </w:t>
      </w:r>
      <w:r w:rsidR="00216542">
        <w:t>million in 2024</w:t>
      </w:r>
      <w:r w:rsidR="00774EDC" w:rsidRPr="00A63A1F">
        <w:rPr>
          <w:rFonts w:cs="Book Antiqua"/>
        </w:rPr>
        <w:t>–</w:t>
      </w:r>
      <w:r w:rsidR="00216542">
        <w:t>25 from the Housing Australia Future Fund (HAFF). This distribution is made towards the Government</w:t>
      </w:r>
      <w:r w:rsidR="008D4F6B">
        <w:t>’</w:t>
      </w:r>
      <w:r w:rsidR="00216542">
        <w:t>s commitment to provide $200 million over five</w:t>
      </w:r>
      <w:r w:rsidR="005D4EF5">
        <w:t> </w:t>
      </w:r>
      <w:r w:rsidR="00216542">
        <w:t xml:space="preserve">years to support repairs to, maintenance of, and improvements to infrastructure in remote </w:t>
      </w:r>
      <w:r w:rsidR="00141218">
        <w:t>First Nations</w:t>
      </w:r>
      <w:r w:rsidR="00216542">
        <w:t xml:space="preserve"> communities</w:t>
      </w:r>
      <w:r w:rsidR="00216542" w:rsidRPr="001E69F6">
        <w:t>.</w:t>
      </w:r>
    </w:p>
    <w:p w14:paraId="786A430A" w14:textId="5175CB09" w:rsidR="00216542" w:rsidRPr="0010703E" w:rsidRDefault="00216542" w:rsidP="00990CC3">
      <w:pPr>
        <w:keepLines/>
      </w:pPr>
      <w:r w:rsidRPr="00E82EFE">
        <w:t xml:space="preserve">In the 2024–25 Budget, the Government </w:t>
      </w:r>
      <w:r w:rsidR="00620B78">
        <w:t xml:space="preserve">is </w:t>
      </w:r>
      <w:r w:rsidRPr="00E82EFE">
        <w:t>invest</w:t>
      </w:r>
      <w:r w:rsidR="00620B78">
        <w:t>ing</w:t>
      </w:r>
      <w:r w:rsidRPr="00E82EFE">
        <w:t xml:space="preserve"> $9.3 billion over five years from </w:t>
      </w:r>
      <w:r w:rsidR="00990CC3">
        <w:br/>
      </w:r>
      <w:r w:rsidRPr="00E82EFE">
        <w:t>2024</w:t>
      </w:r>
      <w:r w:rsidR="004444F0">
        <w:t>–</w:t>
      </w:r>
      <w:r w:rsidRPr="00E82EFE">
        <w:t xml:space="preserve">25 through the </w:t>
      </w:r>
      <w:r w:rsidR="004444F0">
        <w:t xml:space="preserve">new </w:t>
      </w:r>
      <w:r w:rsidRPr="00564980">
        <w:rPr>
          <w:rStyle w:val="Emphasis"/>
        </w:rPr>
        <w:t>National Agreement on Social Housing and Homelessness</w:t>
      </w:r>
      <w:r w:rsidRPr="00620B78">
        <w:t>, which will support states an</w:t>
      </w:r>
      <w:r w:rsidRPr="00E82EFE">
        <w:t xml:space="preserve">d territories to provide social housing and homelessness services. </w:t>
      </w:r>
      <w:r w:rsidR="00DA4B95">
        <w:t xml:space="preserve">Subject to </w:t>
      </w:r>
      <w:r w:rsidR="00CF4AFB">
        <w:t xml:space="preserve">states and territories </w:t>
      </w:r>
      <w:r w:rsidR="00DA4B95">
        <w:t xml:space="preserve">agreement to </w:t>
      </w:r>
      <w:r w:rsidR="00CF4AFB">
        <w:t xml:space="preserve">the new </w:t>
      </w:r>
      <w:r w:rsidR="00DA4B95" w:rsidRPr="00564980">
        <w:rPr>
          <w:rStyle w:val="Emphasis"/>
        </w:rPr>
        <w:t>National Agreement on Social Housing and Homelessness</w:t>
      </w:r>
      <w:r w:rsidR="00DA4B95">
        <w:rPr>
          <w:i/>
          <w:iCs/>
        </w:rPr>
        <w:t xml:space="preserve">, </w:t>
      </w:r>
      <w:r w:rsidR="00DA4B95">
        <w:t>t</w:t>
      </w:r>
      <w:r w:rsidRPr="00A63A1F">
        <w:t xml:space="preserve">he Government </w:t>
      </w:r>
      <w:r w:rsidR="00620B78">
        <w:t xml:space="preserve">is </w:t>
      </w:r>
      <w:r w:rsidRPr="00A63A1F">
        <w:t>also provid</w:t>
      </w:r>
      <w:r w:rsidR="00620B78">
        <w:t>ing</w:t>
      </w:r>
      <w:r w:rsidRPr="00A63A1F">
        <w:t xml:space="preserve"> an additional $1 billion in 2023</w:t>
      </w:r>
      <w:r w:rsidR="00E82EFE">
        <w:t>–</w:t>
      </w:r>
      <w:r w:rsidRPr="00A63A1F">
        <w:t xml:space="preserve">24 to states and territories to support enabling infrastructure for new housing through the </w:t>
      </w:r>
      <w:r w:rsidRPr="00620B78">
        <w:t>Housing Support Program</w:t>
      </w:r>
      <w:r w:rsidR="008D4F6B">
        <w:t xml:space="preserve"> – </w:t>
      </w:r>
      <w:r w:rsidRPr="00620B78">
        <w:t>Priority Works Stream</w:t>
      </w:r>
      <w:r w:rsidR="00CF4AFB">
        <w:t>.</w:t>
      </w:r>
    </w:p>
    <w:p w14:paraId="1F9AE00E" w14:textId="794D0032" w:rsidR="00216542" w:rsidRPr="00620B78" w:rsidRDefault="00216542" w:rsidP="00A4389A">
      <w:r w:rsidRPr="00A63A1F">
        <w:t xml:space="preserve">The Government </w:t>
      </w:r>
      <w:r w:rsidR="00620B78">
        <w:t xml:space="preserve">is </w:t>
      </w:r>
      <w:r w:rsidRPr="00A63A1F">
        <w:t>provid</w:t>
      </w:r>
      <w:r w:rsidR="00620B78">
        <w:t>ing</w:t>
      </w:r>
      <w:r w:rsidRPr="00A63A1F">
        <w:t xml:space="preserve"> $1.5 billion over five years from 2023</w:t>
      </w:r>
      <w:r w:rsidR="00774EDC" w:rsidRPr="00A63A1F">
        <w:rPr>
          <w:rFonts w:cs="Book Antiqua"/>
        </w:rPr>
        <w:t>–</w:t>
      </w:r>
      <w:r w:rsidRPr="00A63A1F">
        <w:t>24 in grants and availability payments to support the supply of social and affordable housing funded through</w:t>
      </w:r>
      <w:r>
        <w:t>:</w:t>
      </w:r>
      <w:r w:rsidRPr="00A63A1F">
        <w:t xml:space="preserve"> distributions from HAFF</w:t>
      </w:r>
      <w:r>
        <w:t>;</w:t>
      </w:r>
      <w:r w:rsidRPr="00A63A1F">
        <w:t xml:space="preserve"> changes to the National Housing Infrastructure Facility to support crisis and transitional accommodation for </w:t>
      </w:r>
      <w:r w:rsidRPr="00564980">
        <w:t>women</w:t>
      </w:r>
      <w:r w:rsidRPr="00A63A1F">
        <w:t xml:space="preserve"> and children fleeing domestic violence and youth</w:t>
      </w:r>
      <w:r>
        <w:t>;</w:t>
      </w:r>
      <w:r w:rsidRPr="00A63A1F">
        <w:t xml:space="preserve"> and commitments under </w:t>
      </w:r>
      <w:r w:rsidRPr="00620B78">
        <w:t>the National Housing Accord.</w:t>
      </w:r>
    </w:p>
    <w:p w14:paraId="139231A9" w14:textId="1A0D700F" w:rsidR="00216542" w:rsidRPr="00A63A1F" w:rsidRDefault="00216542" w:rsidP="00A4389A">
      <w:r w:rsidRPr="00620B78">
        <w:t>In addition, the Government will support up to $4.7</w:t>
      </w:r>
      <w:r w:rsidRPr="00A63A1F">
        <w:t xml:space="preserve"> billion in concessional loans and increase access to guaranteed financing through the Australian Housing Bond Aggregator,</w:t>
      </w:r>
      <w:r w:rsidR="003C0F2B">
        <w:t xml:space="preserve"> as part of the</w:t>
      </w:r>
      <w:r w:rsidRPr="00A63A1F">
        <w:t xml:space="preserve"> 2024</w:t>
      </w:r>
      <w:r w:rsidR="00774EDC" w:rsidRPr="00A63A1F">
        <w:rPr>
          <w:rFonts w:cs="Book Antiqua"/>
        </w:rPr>
        <w:t>–</w:t>
      </w:r>
      <w:r w:rsidRPr="00A63A1F">
        <w:t xml:space="preserve">25 Budget measure </w:t>
      </w:r>
      <w:r w:rsidRPr="00564980">
        <w:rPr>
          <w:rStyle w:val="Emphasis"/>
        </w:rPr>
        <w:t>Housing Support</w:t>
      </w:r>
      <w:r w:rsidRPr="00B53660">
        <w:t>. This</w:t>
      </w:r>
      <w:r>
        <w:t xml:space="preserve"> measure will</w:t>
      </w:r>
      <w:r w:rsidRPr="00A63A1F">
        <w:t xml:space="preserve"> provide eligible</w:t>
      </w:r>
      <w:r w:rsidR="00BE2599">
        <w:t xml:space="preserve"> </w:t>
      </w:r>
      <w:r w:rsidRPr="00A63A1F">
        <w:t xml:space="preserve">community housing projects with lower than market rate loans to support the delivery of social and affordable housing including those being funded through the HAFF and </w:t>
      </w:r>
      <w:r w:rsidR="002A5B5A">
        <w:t xml:space="preserve">the </w:t>
      </w:r>
      <w:r w:rsidR="005960B0">
        <w:t xml:space="preserve">National Housing </w:t>
      </w:r>
      <w:r w:rsidRPr="00A63A1F">
        <w:t>Accord. These payments will flow through Housing Australia</w:t>
      </w:r>
      <w:r w:rsidR="008D4F6B">
        <w:t>.</w:t>
      </w:r>
    </w:p>
    <w:p w14:paraId="2E67F105" w14:textId="2A86F7FE" w:rsidR="004A0035" w:rsidRDefault="00141218" w:rsidP="00E52E66">
      <w:pPr>
        <w:keepLines/>
        <w:rPr>
          <w:highlight w:val="yellow"/>
        </w:rPr>
      </w:pPr>
      <w:r w:rsidRPr="00141218">
        <w:lastRenderedPageBreak/>
        <w:t>Expenses for</w:t>
      </w:r>
      <w:r>
        <w:rPr>
          <w:b/>
          <w:bCs/>
        </w:rPr>
        <w:t xml:space="preserve"> </w:t>
      </w:r>
      <w:r w:rsidRPr="00564980">
        <w:rPr>
          <w:rStyle w:val="Strong"/>
        </w:rPr>
        <w:t>u</w:t>
      </w:r>
      <w:r w:rsidR="004A0035" w:rsidRPr="00564980">
        <w:rPr>
          <w:rStyle w:val="Strong"/>
        </w:rPr>
        <w:t>rban and regional development</w:t>
      </w:r>
      <w:r w:rsidR="004A0035" w:rsidRPr="00A63A1F">
        <w:t xml:space="preserve"> comprise urban development, services to territories, and regional development programs. Expenses under </w:t>
      </w:r>
      <w:r w:rsidR="004A0035">
        <w:t xml:space="preserve">this </w:t>
      </w:r>
      <w:r w:rsidR="004A0035" w:rsidRPr="00A63A1F">
        <w:t>sub</w:t>
      </w:r>
      <w:r w:rsidR="008D4F6B">
        <w:noBreakHyphen/>
      </w:r>
      <w:r w:rsidR="004A0035" w:rsidRPr="00A63A1F">
        <w:t>function are estimated to decrease</w:t>
      </w:r>
      <w:r w:rsidR="004A0035">
        <w:t xml:space="preserve"> over the period 2024–25 to 2027–28</w:t>
      </w:r>
      <w:r w:rsidR="004A0035" w:rsidRPr="00A63A1F">
        <w:t xml:space="preserve">, </w:t>
      </w:r>
      <w:r w:rsidR="004A0035">
        <w:t xml:space="preserve">primarily reflecting the profile of funding for the Priority Community Infrastructure Program and Investing in Our Communities Program and the conclusion of </w:t>
      </w:r>
      <w:r w:rsidR="00620B78">
        <w:t xml:space="preserve">the </w:t>
      </w:r>
      <w:r w:rsidR="004A0035" w:rsidRPr="00A63A1F">
        <w:t>Community Development Grants program and</w:t>
      </w:r>
      <w:r w:rsidR="004A0035">
        <w:t xml:space="preserve"> </w:t>
      </w:r>
      <w:r w:rsidR="004A0035" w:rsidRPr="00A63A1F">
        <w:t>Building Better Regions Fund.</w:t>
      </w:r>
    </w:p>
    <w:p w14:paraId="37718E5E" w14:textId="1197F87B" w:rsidR="00C5714C" w:rsidRDefault="00141218" w:rsidP="00C5714C">
      <w:r w:rsidRPr="00564980">
        <w:rPr>
          <w:rStyle w:val="Strong"/>
        </w:rPr>
        <w:t>E</w:t>
      </w:r>
      <w:r w:rsidR="00C5714C" w:rsidRPr="00564980">
        <w:rPr>
          <w:rStyle w:val="Strong"/>
        </w:rPr>
        <w:t>nvironment protection</w:t>
      </w:r>
      <w:r>
        <w:rPr>
          <w:b/>
          <w:bCs/>
        </w:rPr>
        <w:t xml:space="preserve"> </w:t>
      </w:r>
      <w:r w:rsidRPr="00141218">
        <w:t>expenses</w:t>
      </w:r>
      <w:r w:rsidR="00C5714C" w:rsidRPr="004E330F">
        <w:t xml:space="preserve"> includes expenses for a variety of initiatives, including the protection and conservation of the environment, water and waste management, pollution abatement and environmental research. </w:t>
      </w:r>
      <w:r w:rsidR="00C5714C">
        <w:t xml:space="preserve">Expenses are </w:t>
      </w:r>
      <w:r w:rsidR="00C5714C" w:rsidRPr="004E330F">
        <w:t xml:space="preserve">estimated to decrease over the period 2024–25 to 2027–28, </w:t>
      </w:r>
      <w:r w:rsidR="00C5714C" w:rsidRPr="00963DF6">
        <w:t xml:space="preserve">primarily due to the deferral of construction for the Paradise Dam project until beyond 2027–28 and </w:t>
      </w:r>
      <w:r w:rsidR="00C5714C" w:rsidRPr="00E40434">
        <w:t xml:space="preserve">planned </w:t>
      </w:r>
      <w:r w:rsidR="00C5714C" w:rsidRPr="00963DF6">
        <w:t xml:space="preserve">termination of the </w:t>
      </w:r>
      <w:r w:rsidR="00C5714C" w:rsidRPr="00564980">
        <w:rPr>
          <w:rStyle w:val="Emphasis"/>
        </w:rPr>
        <w:t xml:space="preserve">Critical Inputs to Clean Energy Industries program </w:t>
      </w:r>
      <w:r w:rsidR="00C5714C" w:rsidRPr="00963DF6">
        <w:t>from 2026</w:t>
      </w:r>
      <w:r>
        <w:t>–</w:t>
      </w:r>
      <w:r w:rsidR="00C5714C" w:rsidRPr="00963DF6">
        <w:t xml:space="preserve">27. </w:t>
      </w:r>
      <w:r w:rsidR="00C5714C" w:rsidRPr="00141218">
        <w:t>The Government</w:t>
      </w:r>
      <w:r w:rsidR="008D4F6B">
        <w:t>’</w:t>
      </w:r>
      <w:r w:rsidR="00C5714C" w:rsidRPr="00141218">
        <w:t xml:space="preserve">s investment in clean energy is </w:t>
      </w:r>
      <w:r w:rsidR="002536C9" w:rsidRPr="00141218">
        <w:t xml:space="preserve">also </w:t>
      </w:r>
      <w:r w:rsidR="00C5714C" w:rsidRPr="00141218">
        <w:t xml:space="preserve">captured in the </w:t>
      </w:r>
      <w:r w:rsidR="002536C9" w:rsidRPr="00141218">
        <w:t>fuel and energy function</w:t>
      </w:r>
      <w:r w:rsidR="00C5714C" w:rsidRPr="00141218">
        <w:t>.</w:t>
      </w:r>
    </w:p>
    <w:p w14:paraId="78A3FA80" w14:textId="34772C9F" w:rsidR="00216542" w:rsidRDefault="00216542" w:rsidP="00620B78">
      <w:pPr>
        <w:rPr>
          <w:rFonts w:ascii="Arial Bold" w:hAnsi="Arial Bold"/>
          <w:b/>
          <w:sz w:val="22"/>
        </w:rPr>
      </w:pPr>
      <w:r w:rsidRPr="107D8380">
        <w:t>In the 2024</w:t>
      </w:r>
      <w:r w:rsidRPr="004E330F">
        <w:t>–</w:t>
      </w:r>
      <w:r w:rsidRPr="107D8380">
        <w:t xml:space="preserve">25 Budget, the Government </w:t>
      </w:r>
      <w:r w:rsidR="00620B78">
        <w:t xml:space="preserve">is </w:t>
      </w:r>
      <w:r>
        <w:t>provid</w:t>
      </w:r>
      <w:r w:rsidR="00620B78">
        <w:t>ing</w:t>
      </w:r>
      <w:r w:rsidRPr="004E330F">
        <w:t xml:space="preserve"> </w:t>
      </w:r>
      <w:r>
        <w:t>$364.5</w:t>
      </w:r>
      <w:r w:rsidR="00564980">
        <w:t> </w:t>
      </w:r>
      <w:r>
        <w:t>million over six years from 2024</w:t>
      </w:r>
      <w:r w:rsidR="004E330F">
        <w:t>–</w:t>
      </w:r>
      <w:r>
        <w:t xml:space="preserve">25 to continue implementation of environmental reforms, streamline environmental approvals and deliver </w:t>
      </w:r>
      <w:r w:rsidR="00141218">
        <w:t xml:space="preserve">the </w:t>
      </w:r>
      <w:r>
        <w:t>Government</w:t>
      </w:r>
      <w:r w:rsidR="008D4F6B">
        <w:t>’</w:t>
      </w:r>
      <w:r>
        <w:t>s circular economy functions</w:t>
      </w:r>
      <w:r w:rsidR="00C471CE">
        <w:t xml:space="preserve"> through the measure</w:t>
      </w:r>
      <w:r w:rsidR="00C471CE" w:rsidRPr="00564980">
        <w:t>s</w:t>
      </w:r>
      <w:r w:rsidR="00C471CE" w:rsidRPr="00564980">
        <w:rPr>
          <w:i/>
          <w:iCs/>
        </w:rPr>
        <w:t xml:space="preserve"> </w:t>
      </w:r>
      <w:r w:rsidR="00C471CE" w:rsidRPr="003B7ECC">
        <w:rPr>
          <w:rStyle w:val="Emphasis"/>
        </w:rPr>
        <w:t>Nature Positive Plan</w:t>
      </w:r>
      <w:r w:rsidR="008D4F6B" w:rsidRPr="003B7ECC">
        <w:rPr>
          <w:rStyle w:val="Emphasis"/>
        </w:rPr>
        <w:t xml:space="preserve"> – </w:t>
      </w:r>
      <w:r w:rsidR="00C471CE" w:rsidRPr="003B7ECC">
        <w:rPr>
          <w:rStyle w:val="Emphasis"/>
        </w:rPr>
        <w:t>additional funding, Future Made in Australia</w:t>
      </w:r>
      <w:r w:rsidR="008D4F6B" w:rsidRPr="003B7ECC">
        <w:rPr>
          <w:rStyle w:val="Emphasis"/>
        </w:rPr>
        <w:t xml:space="preserve"> – </w:t>
      </w:r>
      <w:r w:rsidR="00B53660" w:rsidRPr="003B7ECC">
        <w:rPr>
          <w:rStyle w:val="Emphasis"/>
        </w:rPr>
        <w:t>Strengthening</w:t>
      </w:r>
      <w:r w:rsidR="00C471CE" w:rsidRPr="003B7ECC">
        <w:rPr>
          <w:rStyle w:val="Emphasis"/>
        </w:rPr>
        <w:t xml:space="preserve"> </w:t>
      </w:r>
      <w:r w:rsidR="00B53660" w:rsidRPr="003B7ECC">
        <w:rPr>
          <w:rStyle w:val="Emphasis"/>
        </w:rPr>
        <w:t>A</w:t>
      </w:r>
      <w:r w:rsidR="00C471CE" w:rsidRPr="003B7ECC">
        <w:rPr>
          <w:rStyle w:val="Emphasis"/>
        </w:rPr>
        <w:t xml:space="preserve">pprovals </w:t>
      </w:r>
      <w:r w:rsidR="00B53660" w:rsidRPr="003B7ECC">
        <w:rPr>
          <w:rStyle w:val="Emphasis"/>
        </w:rPr>
        <w:t>P</w:t>
      </w:r>
      <w:r w:rsidR="00C471CE" w:rsidRPr="003B7ECC">
        <w:rPr>
          <w:rStyle w:val="Emphasis"/>
        </w:rPr>
        <w:t>rocesses</w:t>
      </w:r>
      <w:r w:rsidR="00AD0FD9">
        <w:rPr>
          <w:rStyle w:val="Emphasis"/>
        </w:rPr>
        <w:t xml:space="preserve"> </w:t>
      </w:r>
      <w:r w:rsidR="00AD0FD9" w:rsidRPr="00204B48">
        <w:rPr>
          <w:rStyle w:val="Emphasis"/>
          <w:i w:val="0"/>
          <w:iCs w:val="0"/>
        </w:rPr>
        <w:t>and</w:t>
      </w:r>
      <w:r w:rsidR="00C471CE" w:rsidRPr="003B7ECC">
        <w:rPr>
          <w:rStyle w:val="Emphasis"/>
        </w:rPr>
        <w:t xml:space="preserve"> Commonwealth Leadership for a Safe Circular Economy </w:t>
      </w:r>
      <w:r w:rsidR="00B53660" w:rsidRPr="003B7ECC">
        <w:rPr>
          <w:rStyle w:val="Emphasis"/>
        </w:rPr>
        <w:t>–</w:t>
      </w:r>
      <w:r w:rsidR="00C471CE" w:rsidRPr="003B7ECC">
        <w:rPr>
          <w:rStyle w:val="Emphasis"/>
        </w:rPr>
        <w:t xml:space="preserve"> continu</w:t>
      </w:r>
      <w:r w:rsidR="00B53660" w:rsidRPr="003B7ECC">
        <w:rPr>
          <w:rStyle w:val="Emphasis"/>
        </w:rPr>
        <w:t>ing</w:t>
      </w:r>
      <w:r w:rsidR="00C471CE" w:rsidRPr="003B7ECC">
        <w:rPr>
          <w:rStyle w:val="Emphasis"/>
        </w:rPr>
        <w:t xml:space="preserve"> delivery</w:t>
      </w:r>
      <w:r>
        <w:t xml:space="preserve">. </w:t>
      </w:r>
      <w:r w:rsidR="00986BDE">
        <w:t>The Government</w:t>
      </w:r>
      <w:r w:rsidR="00620B78">
        <w:t xml:space="preserve"> is</w:t>
      </w:r>
      <w:r>
        <w:t xml:space="preserve"> also invest</w:t>
      </w:r>
      <w:r w:rsidR="00620B78">
        <w:t>ing</w:t>
      </w:r>
      <w:r>
        <w:t xml:space="preserve"> in water infrastructure projects under the </w:t>
      </w:r>
      <w:r w:rsidR="003B7ECC">
        <w:br/>
      </w:r>
      <w:r w:rsidR="003C0F2B">
        <w:t>2024–25 Budget measure</w:t>
      </w:r>
      <w:r w:rsidR="00141218">
        <w:t xml:space="preserve"> </w:t>
      </w:r>
      <w:r w:rsidRPr="003B7ECC">
        <w:rPr>
          <w:rStyle w:val="Emphasis"/>
        </w:rPr>
        <w:t>National Water Grid Fund</w:t>
      </w:r>
      <w:r w:rsidR="008D4F6B" w:rsidRPr="003B7ECC">
        <w:rPr>
          <w:rStyle w:val="Emphasis"/>
        </w:rPr>
        <w:t xml:space="preserve"> – </w:t>
      </w:r>
      <w:r w:rsidR="00B53660" w:rsidRPr="003B7ECC">
        <w:rPr>
          <w:rStyle w:val="Emphasis"/>
        </w:rPr>
        <w:t>r</w:t>
      </w:r>
      <w:r w:rsidRPr="003B7ECC">
        <w:rPr>
          <w:rStyle w:val="Emphasis"/>
        </w:rPr>
        <w:t xml:space="preserve">esponsible </w:t>
      </w:r>
      <w:r w:rsidR="00B53660" w:rsidRPr="003B7ECC">
        <w:rPr>
          <w:rStyle w:val="Emphasis"/>
        </w:rPr>
        <w:t>i</w:t>
      </w:r>
      <w:r w:rsidRPr="003B7ECC">
        <w:rPr>
          <w:rStyle w:val="Emphasis"/>
        </w:rPr>
        <w:t xml:space="preserve">nvestment in </w:t>
      </w:r>
      <w:r w:rsidR="00B53660" w:rsidRPr="003B7ECC">
        <w:rPr>
          <w:rStyle w:val="Emphasis"/>
        </w:rPr>
        <w:t>w</w:t>
      </w:r>
      <w:r w:rsidRPr="003B7ECC">
        <w:rPr>
          <w:rStyle w:val="Emphasis"/>
        </w:rPr>
        <w:t xml:space="preserve">ater </w:t>
      </w:r>
      <w:r w:rsidR="00B53660" w:rsidRPr="003B7ECC">
        <w:rPr>
          <w:rStyle w:val="Emphasis"/>
        </w:rPr>
        <w:t>i</w:t>
      </w:r>
      <w:r w:rsidRPr="003B7ECC">
        <w:rPr>
          <w:rStyle w:val="Emphasis"/>
        </w:rPr>
        <w:t xml:space="preserve">nfrastructure for the </w:t>
      </w:r>
      <w:r w:rsidR="00B53660" w:rsidRPr="003B7ECC">
        <w:rPr>
          <w:rStyle w:val="Emphasis"/>
        </w:rPr>
        <w:t>r</w:t>
      </w:r>
      <w:r w:rsidRPr="003B7ECC">
        <w:rPr>
          <w:rStyle w:val="Emphasis"/>
        </w:rPr>
        <w:t>egions</w:t>
      </w:r>
      <w:r>
        <w:t>.</w:t>
      </w:r>
      <w:bookmarkEnd w:id="114"/>
      <w:bookmarkEnd w:id="115"/>
    </w:p>
    <w:p w14:paraId="722D708B" w14:textId="77777777" w:rsidR="00ED485A" w:rsidRPr="000177D7" w:rsidRDefault="00ED485A" w:rsidP="00ED485A">
      <w:pPr>
        <w:pStyle w:val="Heading3"/>
      </w:pPr>
      <w:bookmarkStart w:id="117" w:name="_Toc166369425"/>
      <w:r w:rsidRPr="000177D7">
        <w:t>Recreation and culture</w:t>
      </w:r>
      <w:bookmarkEnd w:id="108"/>
      <w:bookmarkEnd w:id="109"/>
      <w:bookmarkEnd w:id="110"/>
      <w:bookmarkEnd w:id="111"/>
      <w:bookmarkEnd w:id="117"/>
    </w:p>
    <w:p w14:paraId="22B457B2" w14:textId="28836FC8" w:rsidR="004E330F" w:rsidRPr="00E82EFE" w:rsidRDefault="00E32E1B" w:rsidP="00E82EFE">
      <w:bookmarkStart w:id="118" w:name="_Toc4577277"/>
      <w:bookmarkStart w:id="119" w:name="_Toc4689189"/>
      <w:bookmarkStart w:id="120" w:name="_Toc99203687"/>
      <w:bookmarkStart w:id="121" w:name="_Toc117358180"/>
      <w:r w:rsidRPr="000177D7">
        <w:t>The recreation and culture function includes expenses to support public broadcasting and cultural institutions</w:t>
      </w:r>
      <w:r>
        <w:t>,</w:t>
      </w:r>
      <w:r w:rsidRPr="000177D7">
        <w:t xml:space="preserve"> funding for the arts and the film industry</w:t>
      </w:r>
      <w:r>
        <w:t>,</w:t>
      </w:r>
      <w:r w:rsidRPr="000177D7">
        <w:t xml:space="preserve"> assistance to sport and recreation activities</w:t>
      </w:r>
      <w:r>
        <w:t>,</w:t>
      </w:r>
      <w:r w:rsidRPr="000177D7">
        <w:t xml:space="preserve"> as well as the management and protection of national parks and other world heritage areas. This function also includes expenses relating to the protection and preservation of historic sites and buildings, including war graves.</w:t>
      </w:r>
    </w:p>
    <w:p w14:paraId="2584D64D" w14:textId="1AFC7A9E" w:rsidR="00961412" w:rsidRDefault="00E32E1B" w:rsidP="00961412">
      <w:pPr>
        <w:pStyle w:val="TableHeading"/>
        <w:rPr>
          <w:rFonts w:asciiTheme="minorHAnsi" w:eastAsiaTheme="minorHAnsi" w:hAnsiTheme="minorHAnsi" w:cstheme="minorBidi"/>
          <w:sz w:val="22"/>
          <w:szCs w:val="22"/>
          <w:lang w:eastAsia="en-US"/>
        </w:rPr>
      </w:pPr>
      <w:r>
        <w:t>Table </w:t>
      </w:r>
      <w:r w:rsidRPr="000177D7">
        <w:t>6.11: Summary of expenses</w:t>
      </w:r>
      <w:r>
        <w:t xml:space="preserve"> – </w:t>
      </w:r>
      <w:r w:rsidRPr="000177D7">
        <w:t>recreation and culture</w:t>
      </w:r>
      <w:bookmarkStart w:id="122" w:name="_1555616007"/>
      <w:bookmarkStart w:id="123" w:name="_1727774331"/>
      <w:bookmarkEnd w:id="122"/>
      <w:bookmarkEnd w:id="123"/>
    </w:p>
    <w:tbl>
      <w:tblPr>
        <w:tblW w:w="5000" w:type="pct"/>
        <w:tblCellMar>
          <w:left w:w="0" w:type="dxa"/>
          <w:right w:w="28" w:type="dxa"/>
        </w:tblCellMar>
        <w:tblLook w:val="04A0" w:firstRow="1" w:lastRow="0" w:firstColumn="1" w:lastColumn="0" w:noHBand="0" w:noVBand="1"/>
      </w:tblPr>
      <w:tblGrid>
        <w:gridCol w:w="3694"/>
        <w:gridCol w:w="805"/>
        <w:gridCol w:w="803"/>
        <w:gridCol w:w="803"/>
        <w:gridCol w:w="803"/>
        <w:gridCol w:w="802"/>
      </w:tblGrid>
      <w:tr w:rsidR="00961412" w:rsidRPr="00961412" w14:paraId="1235FBFB" w14:textId="77777777" w:rsidTr="00E450B1">
        <w:trPr>
          <w:trHeight w:hRule="exact" w:val="225"/>
        </w:trPr>
        <w:tc>
          <w:tcPr>
            <w:tcW w:w="2395" w:type="pct"/>
            <w:tcBorders>
              <w:top w:val="single" w:sz="4" w:space="0" w:color="293F5B"/>
              <w:left w:val="nil"/>
              <w:bottom w:val="nil"/>
              <w:right w:val="nil"/>
            </w:tcBorders>
            <w:shd w:val="clear" w:color="000000" w:fill="FFFFFF"/>
            <w:noWrap/>
            <w:vAlign w:val="center"/>
            <w:hideMark/>
          </w:tcPr>
          <w:p w14:paraId="5C1D1B7B" w14:textId="5EACC816" w:rsidR="00961412" w:rsidRPr="00961412" w:rsidRDefault="00961412" w:rsidP="00961412">
            <w:pPr>
              <w:spacing w:before="0" w:after="0" w:line="240" w:lineRule="auto"/>
              <w:rPr>
                <w:rFonts w:ascii="Arial" w:hAnsi="Arial" w:cs="Arial"/>
                <w:b/>
                <w:bCs/>
                <w:color w:val="000000"/>
                <w:sz w:val="16"/>
                <w:szCs w:val="16"/>
              </w:rPr>
            </w:pPr>
            <w:r w:rsidRPr="00961412">
              <w:rPr>
                <w:rFonts w:ascii="Arial" w:hAnsi="Arial" w:cs="Arial"/>
                <w:b/>
                <w:bCs/>
                <w:color w:val="000000"/>
                <w:sz w:val="16"/>
                <w:szCs w:val="16"/>
              </w:rPr>
              <w:t>Sub-function</w:t>
            </w:r>
          </w:p>
        </w:tc>
        <w:tc>
          <w:tcPr>
            <w:tcW w:w="2605" w:type="pct"/>
            <w:gridSpan w:val="5"/>
            <w:tcBorders>
              <w:top w:val="single" w:sz="4" w:space="0" w:color="293F5B"/>
              <w:left w:val="nil"/>
              <w:bottom w:val="single" w:sz="4" w:space="0" w:color="293F5B"/>
              <w:right w:val="nil"/>
            </w:tcBorders>
            <w:shd w:val="clear" w:color="000000" w:fill="FFFFFF"/>
            <w:noWrap/>
            <w:vAlign w:val="center"/>
            <w:hideMark/>
          </w:tcPr>
          <w:p w14:paraId="63B42D2D" w14:textId="77777777" w:rsidR="00961412" w:rsidRPr="00961412" w:rsidRDefault="00961412" w:rsidP="00961412">
            <w:pPr>
              <w:spacing w:before="0" w:after="0" w:line="240" w:lineRule="auto"/>
              <w:jc w:val="center"/>
              <w:rPr>
                <w:rFonts w:ascii="Arial" w:hAnsi="Arial" w:cs="Arial"/>
                <w:color w:val="000000"/>
                <w:sz w:val="16"/>
                <w:szCs w:val="16"/>
              </w:rPr>
            </w:pPr>
            <w:r w:rsidRPr="00961412">
              <w:rPr>
                <w:rFonts w:ascii="Arial" w:hAnsi="Arial" w:cs="Arial"/>
                <w:color w:val="000000"/>
                <w:sz w:val="16"/>
                <w:szCs w:val="16"/>
              </w:rPr>
              <w:t>Estimates</w:t>
            </w:r>
          </w:p>
        </w:tc>
      </w:tr>
      <w:tr w:rsidR="00961412" w:rsidRPr="00961412" w14:paraId="7E9C0B44" w14:textId="77777777" w:rsidTr="00E450B1">
        <w:trPr>
          <w:trHeight w:hRule="exact" w:val="225"/>
        </w:trPr>
        <w:tc>
          <w:tcPr>
            <w:tcW w:w="2395" w:type="pct"/>
            <w:tcBorders>
              <w:top w:val="nil"/>
              <w:left w:val="nil"/>
              <w:bottom w:val="nil"/>
              <w:right w:val="nil"/>
            </w:tcBorders>
            <w:shd w:val="clear" w:color="000000" w:fill="FFFFFF"/>
            <w:noWrap/>
            <w:vAlign w:val="bottom"/>
            <w:hideMark/>
          </w:tcPr>
          <w:p w14:paraId="3C107D7D" w14:textId="77777777" w:rsidR="00961412" w:rsidRPr="00961412" w:rsidRDefault="00961412" w:rsidP="00961412">
            <w:pPr>
              <w:spacing w:before="0" w:after="0" w:line="240" w:lineRule="auto"/>
              <w:rPr>
                <w:rFonts w:ascii="Arial" w:hAnsi="Arial" w:cs="Arial"/>
                <w:color w:val="000000"/>
                <w:sz w:val="16"/>
                <w:szCs w:val="16"/>
              </w:rPr>
            </w:pPr>
            <w:r w:rsidRPr="00961412">
              <w:rPr>
                <w:rFonts w:ascii="Arial" w:hAnsi="Arial" w:cs="Arial"/>
                <w:color w:val="000000"/>
                <w:sz w:val="16"/>
                <w:szCs w:val="16"/>
              </w:rPr>
              <w:t> </w:t>
            </w:r>
          </w:p>
        </w:tc>
        <w:tc>
          <w:tcPr>
            <w:tcW w:w="522" w:type="pct"/>
            <w:tcBorders>
              <w:top w:val="single" w:sz="4" w:space="0" w:color="293F5B"/>
              <w:left w:val="nil"/>
              <w:bottom w:val="nil"/>
              <w:right w:val="nil"/>
            </w:tcBorders>
            <w:shd w:val="clear" w:color="000000" w:fill="FFFFFF"/>
            <w:noWrap/>
            <w:vAlign w:val="center"/>
            <w:hideMark/>
          </w:tcPr>
          <w:p w14:paraId="5FAAEBD1" w14:textId="77777777" w:rsidR="00961412" w:rsidRPr="00961412" w:rsidRDefault="00961412" w:rsidP="00961412">
            <w:pPr>
              <w:spacing w:before="0" w:after="0" w:line="240" w:lineRule="auto"/>
              <w:jc w:val="right"/>
              <w:rPr>
                <w:rFonts w:ascii="Arial" w:hAnsi="Arial" w:cs="Arial"/>
                <w:sz w:val="16"/>
                <w:szCs w:val="16"/>
              </w:rPr>
            </w:pPr>
            <w:r w:rsidRPr="00961412">
              <w:rPr>
                <w:rFonts w:ascii="Arial" w:hAnsi="Arial" w:cs="Arial"/>
                <w:sz w:val="16"/>
                <w:szCs w:val="16"/>
              </w:rPr>
              <w:t>2023-24</w:t>
            </w:r>
          </w:p>
        </w:tc>
        <w:tc>
          <w:tcPr>
            <w:tcW w:w="521" w:type="pct"/>
            <w:tcBorders>
              <w:top w:val="single" w:sz="4" w:space="0" w:color="293F5B"/>
              <w:left w:val="nil"/>
              <w:bottom w:val="nil"/>
              <w:right w:val="nil"/>
            </w:tcBorders>
            <w:shd w:val="clear" w:color="000000" w:fill="E6F2FF"/>
            <w:noWrap/>
            <w:vAlign w:val="center"/>
            <w:hideMark/>
          </w:tcPr>
          <w:p w14:paraId="3B258EBD" w14:textId="77777777" w:rsidR="00961412" w:rsidRPr="00961412" w:rsidRDefault="00961412" w:rsidP="00961412">
            <w:pPr>
              <w:spacing w:before="0" w:after="0" w:line="240" w:lineRule="auto"/>
              <w:jc w:val="right"/>
              <w:rPr>
                <w:rFonts w:ascii="Arial" w:hAnsi="Arial" w:cs="Arial"/>
                <w:sz w:val="16"/>
                <w:szCs w:val="16"/>
              </w:rPr>
            </w:pPr>
            <w:r w:rsidRPr="00961412">
              <w:rPr>
                <w:rFonts w:ascii="Arial" w:hAnsi="Arial" w:cs="Arial"/>
                <w:sz w:val="16"/>
                <w:szCs w:val="16"/>
              </w:rPr>
              <w:t>2024-25</w:t>
            </w:r>
          </w:p>
        </w:tc>
        <w:tc>
          <w:tcPr>
            <w:tcW w:w="521" w:type="pct"/>
            <w:tcBorders>
              <w:top w:val="single" w:sz="4" w:space="0" w:color="293F5B"/>
              <w:left w:val="nil"/>
              <w:bottom w:val="nil"/>
              <w:right w:val="nil"/>
            </w:tcBorders>
            <w:shd w:val="clear" w:color="000000" w:fill="FFFFFF"/>
            <w:noWrap/>
            <w:vAlign w:val="center"/>
            <w:hideMark/>
          </w:tcPr>
          <w:p w14:paraId="2AE1AC06" w14:textId="77777777" w:rsidR="00961412" w:rsidRPr="00961412" w:rsidRDefault="00961412" w:rsidP="00961412">
            <w:pPr>
              <w:spacing w:before="0" w:after="0" w:line="240" w:lineRule="auto"/>
              <w:jc w:val="right"/>
              <w:rPr>
                <w:rFonts w:ascii="Arial" w:hAnsi="Arial" w:cs="Arial"/>
                <w:sz w:val="16"/>
                <w:szCs w:val="16"/>
              </w:rPr>
            </w:pPr>
            <w:r w:rsidRPr="00961412">
              <w:rPr>
                <w:rFonts w:ascii="Arial" w:hAnsi="Arial" w:cs="Arial"/>
                <w:sz w:val="16"/>
                <w:szCs w:val="16"/>
              </w:rPr>
              <w:t>2025-26</w:t>
            </w:r>
          </w:p>
        </w:tc>
        <w:tc>
          <w:tcPr>
            <w:tcW w:w="521" w:type="pct"/>
            <w:tcBorders>
              <w:top w:val="single" w:sz="4" w:space="0" w:color="293F5B"/>
              <w:left w:val="nil"/>
              <w:bottom w:val="nil"/>
              <w:right w:val="nil"/>
            </w:tcBorders>
            <w:shd w:val="clear" w:color="000000" w:fill="FFFFFF"/>
            <w:noWrap/>
            <w:vAlign w:val="center"/>
            <w:hideMark/>
          </w:tcPr>
          <w:p w14:paraId="2E9120F9" w14:textId="77777777" w:rsidR="00961412" w:rsidRPr="00961412" w:rsidRDefault="00961412" w:rsidP="00961412">
            <w:pPr>
              <w:spacing w:before="0" w:after="0" w:line="240" w:lineRule="auto"/>
              <w:jc w:val="right"/>
              <w:rPr>
                <w:rFonts w:ascii="Arial" w:hAnsi="Arial" w:cs="Arial"/>
                <w:sz w:val="16"/>
                <w:szCs w:val="16"/>
              </w:rPr>
            </w:pPr>
            <w:r w:rsidRPr="00961412">
              <w:rPr>
                <w:rFonts w:ascii="Arial" w:hAnsi="Arial" w:cs="Arial"/>
                <w:sz w:val="16"/>
                <w:szCs w:val="16"/>
              </w:rPr>
              <w:t>2026-27</w:t>
            </w:r>
          </w:p>
        </w:tc>
        <w:tc>
          <w:tcPr>
            <w:tcW w:w="521" w:type="pct"/>
            <w:tcBorders>
              <w:top w:val="single" w:sz="4" w:space="0" w:color="293F5B"/>
              <w:left w:val="nil"/>
              <w:bottom w:val="nil"/>
              <w:right w:val="nil"/>
            </w:tcBorders>
            <w:shd w:val="clear" w:color="000000" w:fill="FFFFFF"/>
            <w:noWrap/>
            <w:vAlign w:val="center"/>
            <w:hideMark/>
          </w:tcPr>
          <w:p w14:paraId="10AAAC2E" w14:textId="77777777" w:rsidR="00961412" w:rsidRPr="00961412" w:rsidRDefault="00961412" w:rsidP="00961412">
            <w:pPr>
              <w:spacing w:before="0" w:after="0" w:line="240" w:lineRule="auto"/>
              <w:jc w:val="right"/>
              <w:rPr>
                <w:rFonts w:ascii="Arial" w:hAnsi="Arial" w:cs="Arial"/>
                <w:color w:val="000000"/>
                <w:sz w:val="16"/>
                <w:szCs w:val="16"/>
              </w:rPr>
            </w:pPr>
            <w:r w:rsidRPr="00961412">
              <w:rPr>
                <w:rFonts w:ascii="Arial" w:hAnsi="Arial" w:cs="Arial"/>
                <w:color w:val="000000"/>
                <w:sz w:val="16"/>
                <w:szCs w:val="16"/>
              </w:rPr>
              <w:t>2027-28</w:t>
            </w:r>
          </w:p>
        </w:tc>
      </w:tr>
      <w:tr w:rsidR="00961412" w:rsidRPr="00961412" w14:paraId="1315867A" w14:textId="77777777" w:rsidTr="00E450B1">
        <w:trPr>
          <w:trHeight w:hRule="exact" w:val="225"/>
        </w:trPr>
        <w:tc>
          <w:tcPr>
            <w:tcW w:w="2395" w:type="pct"/>
            <w:tcBorders>
              <w:top w:val="nil"/>
              <w:left w:val="nil"/>
              <w:bottom w:val="nil"/>
              <w:right w:val="nil"/>
            </w:tcBorders>
            <w:shd w:val="clear" w:color="000000" w:fill="FFFFFF"/>
            <w:noWrap/>
            <w:vAlign w:val="center"/>
            <w:hideMark/>
          </w:tcPr>
          <w:p w14:paraId="43693680" w14:textId="77777777" w:rsidR="00961412" w:rsidRPr="00961412" w:rsidRDefault="00961412" w:rsidP="00961412">
            <w:pPr>
              <w:spacing w:before="0" w:after="0" w:line="240" w:lineRule="auto"/>
              <w:rPr>
                <w:rFonts w:ascii="Arial" w:hAnsi="Arial" w:cs="Arial"/>
                <w:color w:val="000000"/>
                <w:sz w:val="16"/>
                <w:szCs w:val="16"/>
              </w:rPr>
            </w:pPr>
            <w:r w:rsidRPr="00961412">
              <w:rPr>
                <w:rFonts w:ascii="Arial" w:hAnsi="Arial" w:cs="Arial"/>
                <w:color w:val="000000"/>
                <w:sz w:val="16"/>
                <w:szCs w:val="16"/>
              </w:rPr>
              <w:t> </w:t>
            </w:r>
          </w:p>
        </w:tc>
        <w:tc>
          <w:tcPr>
            <w:tcW w:w="522" w:type="pct"/>
            <w:tcBorders>
              <w:top w:val="nil"/>
              <w:left w:val="nil"/>
              <w:bottom w:val="single" w:sz="4" w:space="0" w:color="293F5B"/>
              <w:right w:val="nil"/>
            </w:tcBorders>
            <w:shd w:val="clear" w:color="000000" w:fill="FFFFFF"/>
            <w:noWrap/>
            <w:vAlign w:val="center"/>
            <w:hideMark/>
          </w:tcPr>
          <w:p w14:paraId="365C9DA6" w14:textId="77777777" w:rsidR="00961412" w:rsidRPr="00961412" w:rsidRDefault="00961412" w:rsidP="00961412">
            <w:pPr>
              <w:spacing w:before="0" w:after="0" w:line="240" w:lineRule="auto"/>
              <w:jc w:val="right"/>
              <w:rPr>
                <w:rFonts w:ascii="Arial" w:hAnsi="Arial" w:cs="Arial"/>
                <w:color w:val="000000"/>
                <w:sz w:val="16"/>
                <w:szCs w:val="16"/>
              </w:rPr>
            </w:pPr>
            <w:r w:rsidRPr="00961412">
              <w:rPr>
                <w:rFonts w:ascii="Arial" w:hAnsi="Arial" w:cs="Arial"/>
                <w:color w:val="000000"/>
                <w:sz w:val="16"/>
                <w:szCs w:val="16"/>
              </w:rPr>
              <w:t>$m</w:t>
            </w:r>
          </w:p>
        </w:tc>
        <w:tc>
          <w:tcPr>
            <w:tcW w:w="521" w:type="pct"/>
            <w:tcBorders>
              <w:top w:val="nil"/>
              <w:left w:val="nil"/>
              <w:bottom w:val="single" w:sz="4" w:space="0" w:color="293F5B"/>
              <w:right w:val="nil"/>
            </w:tcBorders>
            <w:shd w:val="clear" w:color="000000" w:fill="E6F2FF"/>
            <w:noWrap/>
            <w:vAlign w:val="center"/>
            <w:hideMark/>
          </w:tcPr>
          <w:p w14:paraId="1A18B848" w14:textId="77777777" w:rsidR="00961412" w:rsidRPr="00961412" w:rsidRDefault="00961412" w:rsidP="00961412">
            <w:pPr>
              <w:spacing w:before="0" w:after="0" w:line="240" w:lineRule="auto"/>
              <w:jc w:val="right"/>
              <w:rPr>
                <w:rFonts w:ascii="Arial" w:hAnsi="Arial" w:cs="Arial"/>
                <w:color w:val="000000"/>
                <w:sz w:val="16"/>
                <w:szCs w:val="16"/>
              </w:rPr>
            </w:pPr>
            <w:r w:rsidRPr="00961412">
              <w:rPr>
                <w:rFonts w:ascii="Arial" w:hAnsi="Arial" w:cs="Arial"/>
                <w:color w:val="000000"/>
                <w:sz w:val="16"/>
                <w:szCs w:val="16"/>
              </w:rPr>
              <w:t>$m</w:t>
            </w:r>
          </w:p>
        </w:tc>
        <w:tc>
          <w:tcPr>
            <w:tcW w:w="521" w:type="pct"/>
            <w:tcBorders>
              <w:top w:val="nil"/>
              <w:left w:val="nil"/>
              <w:bottom w:val="single" w:sz="4" w:space="0" w:color="293F5B"/>
              <w:right w:val="nil"/>
            </w:tcBorders>
            <w:shd w:val="clear" w:color="000000" w:fill="FFFFFF"/>
            <w:noWrap/>
            <w:vAlign w:val="center"/>
            <w:hideMark/>
          </w:tcPr>
          <w:p w14:paraId="416266DE" w14:textId="77777777" w:rsidR="00961412" w:rsidRPr="00961412" w:rsidRDefault="00961412" w:rsidP="00961412">
            <w:pPr>
              <w:spacing w:before="0" w:after="0" w:line="240" w:lineRule="auto"/>
              <w:jc w:val="right"/>
              <w:rPr>
                <w:rFonts w:ascii="Arial" w:hAnsi="Arial" w:cs="Arial"/>
                <w:color w:val="000000"/>
                <w:sz w:val="16"/>
                <w:szCs w:val="16"/>
              </w:rPr>
            </w:pPr>
            <w:r w:rsidRPr="00961412">
              <w:rPr>
                <w:rFonts w:ascii="Arial" w:hAnsi="Arial" w:cs="Arial"/>
                <w:color w:val="000000"/>
                <w:sz w:val="16"/>
                <w:szCs w:val="16"/>
              </w:rPr>
              <w:t>$m</w:t>
            </w:r>
          </w:p>
        </w:tc>
        <w:tc>
          <w:tcPr>
            <w:tcW w:w="521" w:type="pct"/>
            <w:tcBorders>
              <w:top w:val="nil"/>
              <w:left w:val="nil"/>
              <w:bottom w:val="single" w:sz="4" w:space="0" w:color="293F5B"/>
              <w:right w:val="nil"/>
            </w:tcBorders>
            <w:shd w:val="clear" w:color="000000" w:fill="FFFFFF"/>
            <w:noWrap/>
            <w:vAlign w:val="center"/>
            <w:hideMark/>
          </w:tcPr>
          <w:p w14:paraId="77111BC7" w14:textId="77777777" w:rsidR="00961412" w:rsidRPr="00961412" w:rsidRDefault="00961412" w:rsidP="00961412">
            <w:pPr>
              <w:spacing w:before="0" w:after="0" w:line="240" w:lineRule="auto"/>
              <w:jc w:val="right"/>
              <w:rPr>
                <w:rFonts w:ascii="Arial" w:hAnsi="Arial" w:cs="Arial"/>
                <w:color w:val="000000"/>
                <w:sz w:val="16"/>
                <w:szCs w:val="16"/>
              </w:rPr>
            </w:pPr>
            <w:r w:rsidRPr="00961412">
              <w:rPr>
                <w:rFonts w:ascii="Arial" w:hAnsi="Arial" w:cs="Arial"/>
                <w:color w:val="000000"/>
                <w:sz w:val="16"/>
                <w:szCs w:val="16"/>
              </w:rPr>
              <w:t>$m</w:t>
            </w:r>
          </w:p>
        </w:tc>
        <w:tc>
          <w:tcPr>
            <w:tcW w:w="521" w:type="pct"/>
            <w:tcBorders>
              <w:top w:val="nil"/>
              <w:left w:val="nil"/>
              <w:bottom w:val="single" w:sz="4" w:space="0" w:color="293F5B"/>
              <w:right w:val="nil"/>
            </w:tcBorders>
            <w:shd w:val="clear" w:color="000000" w:fill="FFFFFF"/>
            <w:noWrap/>
            <w:vAlign w:val="center"/>
            <w:hideMark/>
          </w:tcPr>
          <w:p w14:paraId="666385EB" w14:textId="77777777" w:rsidR="00961412" w:rsidRPr="00961412" w:rsidRDefault="00961412" w:rsidP="00961412">
            <w:pPr>
              <w:spacing w:before="0" w:after="0" w:line="240" w:lineRule="auto"/>
              <w:jc w:val="right"/>
              <w:rPr>
                <w:rFonts w:ascii="Arial" w:hAnsi="Arial" w:cs="Arial"/>
                <w:color w:val="000000"/>
                <w:sz w:val="16"/>
                <w:szCs w:val="16"/>
              </w:rPr>
            </w:pPr>
            <w:r w:rsidRPr="00961412">
              <w:rPr>
                <w:rFonts w:ascii="Arial" w:hAnsi="Arial" w:cs="Arial"/>
                <w:color w:val="000000"/>
                <w:sz w:val="16"/>
                <w:szCs w:val="16"/>
              </w:rPr>
              <w:t>$m</w:t>
            </w:r>
          </w:p>
        </w:tc>
      </w:tr>
      <w:tr w:rsidR="00961412" w:rsidRPr="00961412" w14:paraId="2EA2D49E" w14:textId="77777777" w:rsidTr="00B64BD4">
        <w:trPr>
          <w:trHeight w:hRule="exact" w:val="225"/>
        </w:trPr>
        <w:tc>
          <w:tcPr>
            <w:tcW w:w="2395" w:type="pct"/>
            <w:tcBorders>
              <w:top w:val="nil"/>
              <w:left w:val="nil"/>
              <w:bottom w:val="nil"/>
              <w:right w:val="nil"/>
            </w:tcBorders>
            <w:shd w:val="clear" w:color="000000" w:fill="FFFFFF"/>
            <w:noWrap/>
            <w:vAlign w:val="center"/>
            <w:hideMark/>
          </w:tcPr>
          <w:p w14:paraId="3BD4C4B2" w14:textId="77777777" w:rsidR="00961412" w:rsidRPr="00961412" w:rsidRDefault="00961412" w:rsidP="00961412">
            <w:pPr>
              <w:spacing w:before="0" w:after="0" w:line="240" w:lineRule="auto"/>
              <w:rPr>
                <w:rFonts w:ascii="Arial" w:hAnsi="Arial" w:cs="Arial"/>
                <w:color w:val="000000"/>
                <w:sz w:val="16"/>
                <w:szCs w:val="16"/>
              </w:rPr>
            </w:pPr>
            <w:r w:rsidRPr="00961412">
              <w:rPr>
                <w:rFonts w:ascii="Arial" w:hAnsi="Arial" w:cs="Arial"/>
                <w:color w:val="000000"/>
                <w:sz w:val="16"/>
                <w:szCs w:val="16"/>
              </w:rPr>
              <w:t>Broadcasting(a)</w:t>
            </w:r>
          </w:p>
        </w:tc>
        <w:tc>
          <w:tcPr>
            <w:tcW w:w="522" w:type="pct"/>
            <w:tcBorders>
              <w:top w:val="single" w:sz="4" w:space="0" w:color="293F5B"/>
              <w:left w:val="nil"/>
              <w:bottom w:val="nil"/>
              <w:right w:val="nil"/>
            </w:tcBorders>
            <w:shd w:val="clear" w:color="000000" w:fill="FFFFFF"/>
            <w:noWrap/>
            <w:vAlign w:val="center"/>
            <w:hideMark/>
          </w:tcPr>
          <w:p w14:paraId="6C8ABA5A" w14:textId="77777777" w:rsidR="00961412" w:rsidRPr="00961412" w:rsidRDefault="00961412" w:rsidP="00961412">
            <w:pPr>
              <w:spacing w:before="0" w:after="0" w:line="240" w:lineRule="auto"/>
              <w:jc w:val="right"/>
              <w:rPr>
                <w:rFonts w:ascii="Arial" w:hAnsi="Arial" w:cs="Arial"/>
                <w:color w:val="000000"/>
                <w:sz w:val="16"/>
                <w:szCs w:val="16"/>
              </w:rPr>
            </w:pPr>
            <w:r w:rsidRPr="00961412">
              <w:rPr>
                <w:rFonts w:ascii="Arial" w:hAnsi="Arial" w:cs="Arial"/>
                <w:color w:val="000000"/>
                <w:sz w:val="16"/>
                <w:szCs w:val="16"/>
              </w:rPr>
              <w:t>1,688</w:t>
            </w:r>
          </w:p>
        </w:tc>
        <w:tc>
          <w:tcPr>
            <w:tcW w:w="521" w:type="pct"/>
            <w:tcBorders>
              <w:top w:val="single" w:sz="4" w:space="0" w:color="293F5B"/>
              <w:left w:val="nil"/>
              <w:bottom w:val="nil"/>
              <w:right w:val="nil"/>
            </w:tcBorders>
            <w:shd w:val="clear" w:color="000000" w:fill="E6F2FF"/>
            <w:noWrap/>
            <w:vAlign w:val="center"/>
            <w:hideMark/>
          </w:tcPr>
          <w:p w14:paraId="211BF8CC" w14:textId="77777777" w:rsidR="00961412" w:rsidRPr="00961412" w:rsidRDefault="00961412" w:rsidP="00961412">
            <w:pPr>
              <w:spacing w:before="0" w:after="0" w:line="240" w:lineRule="auto"/>
              <w:jc w:val="right"/>
              <w:rPr>
                <w:rFonts w:ascii="Arial" w:hAnsi="Arial" w:cs="Arial"/>
                <w:color w:val="000000"/>
                <w:sz w:val="16"/>
                <w:szCs w:val="16"/>
              </w:rPr>
            </w:pPr>
            <w:r w:rsidRPr="00961412">
              <w:rPr>
                <w:rFonts w:ascii="Arial" w:hAnsi="Arial" w:cs="Arial"/>
                <w:color w:val="000000"/>
                <w:sz w:val="16"/>
                <w:szCs w:val="16"/>
              </w:rPr>
              <w:t>1,749</w:t>
            </w:r>
          </w:p>
        </w:tc>
        <w:tc>
          <w:tcPr>
            <w:tcW w:w="521" w:type="pct"/>
            <w:tcBorders>
              <w:top w:val="single" w:sz="4" w:space="0" w:color="293F5B"/>
              <w:left w:val="nil"/>
              <w:bottom w:val="nil"/>
              <w:right w:val="nil"/>
            </w:tcBorders>
            <w:shd w:val="clear" w:color="000000" w:fill="FFFFFF"/>
            <w:noWrap/>
            <w:vAlign w:val="center"/>
            <w:hideMark/>
          </w:tcPr>
          <w:p w14:paraId="49246561" w14:textId="77777777" w:rsidR="00961412" w:rsidRPr="00961412" w:rsidRDefault="00961412" w:rsidP="00961412">
            <w:pPr>
              <w:spacing w:before="0" w:after="0" w:line="240" w:lineRule="auto"/>
              <w:jc w:val="right"/>
              <w:rPr>
                <w:rFonts w:ascii="Arial" w:hAnsi="Arial" w:cs="Arial"/>
                <w:color w:val="000000"/>
                <w:sz w:val="16"/>
                <w:szCs w:val="16"/>
              </w:rPr>
            </w:pPr>
            <w:r w:rsidRPr="00961412">
              <w:rPr>
                <w:rFonts w:ascii="Arial" w:hAnsi="Arial" w:cs="Arial"/>
                <w:color w:val="000000"/>
                <w:sz w:val="16"/>
                <w:szCs w:val="16"/>
              </w:rPr>
              <w:t>1,801</w:t>
            </w:r>
          </w:p>
        </w:tc>
        <w:tc>
          <w:tcPr>
            <w:tcW w:w="521" w:type="pct"/>
            <w:tcBorders>
              <w:top w:val="single" w:sz="4" w:space="0" w:color="293F5B"/>
              <w:left w:val="nil"/>
              <w:bottom w:val="nil"/>
              <w:right w:val="nil"/>
            </w:tcBorders>
            <w:shd w:val="clear" w:color="000000" w:fill="FFFFFF"/>
            <w:noWrap/>
            <w:vAlign w:val="center"/>
            <w:hideMark/>
          </w:tcPr>
          <w:p w14:paraId="145207B8" w14:textId="77777777" w:rsidR="00961412" w:rsidRPr="00961412" w:rsidRDefault="00961412" w:rsidP="00961412">
            <w:pPr>
              <w:spacing w:before="0" w:after="0" w:line="240" w:lineRule="auto"/>
              <w:jc w:val="right"/>
              <w:rPr>
                <w:rFonts w:ascii="Arial" w:hAnsi="Arial" w:cs="Arial"/>
                <w:color w:val="000000"/>
                <w:sz w:val="16"/>
                <w:szCs w:val="16"/>
              </w:rPr>
            </w:pPr>
            <w:r w:rsidRPr="00961412">
              <w:rPr>
                <w:rFonts w:ascii="Arial" w:hAnsi="Arial" w:cs="Arial"/>
                <w:color w:val="000000"/>
                <w:sz w:val="16"/>
                <w:szCs w:val="16"/>
              </w:rPr>
              <w:t>1,800</w:t>
            </w:r>
          </w:p>
        </w:tc>
        <w:tc>
          <w:tcPr>
            <w:tcW w:w="521" w:type="pct"/>
            <w:tcBorders>
              <w:top w:val="single" w:sz="4" w:space="0" w:color="293F5B"/>
              <w:left w:val="nil"/>
              <w:bottom w:val="nil"/>
              <w:right w:val="nil"/>
            </w:tcBorders>
            <w:shd w:val="clear" w:color="000000" w:fill="FFFFFF"/>
            <w:noWrap/>
            <w:vAlign w:val="center"/>
            <w:hideMark/>
          </w:tcPr>
          <w:p w14:paraId="29FECA47" w14:textId="77777777" w:rsidR="00961412" w:rsidRPr="00961412" w:rsidRDefault="00961412" w:rsidP="00961412">
            <w:pPr>
              <w:spacing w:before="0" w:after="0" w:line="240" w:lineRule="auto"/>
              <w:jc w:val="right"/>
              <w:rPr>
                <w:rFonts w:ascii="Arial" w:hAnsi="Arial" w:cs="Arial"/>
                <w:color w:val="000000"/>
                <w:sz w:val="16"/>
                <w:szCs w:val="16"/>
              </w:rPr>
            </w:pPr>
            <w:r w:rsidRPr="00961412">
              <w:rPr>
                <w:rFonts w:ascii="Arial" w:hAnsi="Arial" w:cs="Arial"/>
                <w:color w:val="000000"/>
                <w:sz w:val="16"/>
                <w:szCs w:val="16"/>
              </w:rPr>
              <w:t>1,813</w:t>
            </w:r>
          </w:p>
        </w:tc>
      </w:tr>
      <w:tr w:rsidR="00961412" w:rsidRPr="00961412" w14:paraId="194F3800" w14:textId="77777777" w:rsidTr="00E450B1">
        <w:trPr>
          <w:trHeight w:hRule="exact" w:val="225"/>
        </w:trPr>
        <w:tc>
          <w:tcPr>
            <w:tcW w:w="2395" w:type="pct"/>
            <w:tcBorders>
              <w:top w:val="nil"/>
              <w:left w:val="nil"/>
              <w:bottom w:val="nil"/>
              <w:right w:val="nil"/>
            </w:tcBorders>
            <w:shd w:val="clear" w:color="000000" w:fill="FFFFFF"/>
            <w:noWrap/>
            <w:vAlign w:val="center"/>
            <w:hideMark/>
          </w:tcPr>
          <w:p w14:paraId="37C38E89" w14:textId="77777777" w:rsidR="00961412" w:rsidRPr="00961412" w:rsidRDefault="00961412" w:rsidP="00961412">
            <w:pPr>
              <w:spacing w:before="0" w:after="0" w:line="240" w:lineRule="auto"/>
              <w:rPr>
                <w:rFonts w:ascii="Arial" w:hAnsi="Arial" w:cs="Arial"/>
                <w:color w:val="000000"/>
                <w:sz w:val="16"/>
                <w:szCs w:val="16"/>
              </w:rPr>
            </w:pPr>
            <w:r w:rsidRPr="00961412">
              <w:rPr>
                <w:rFonts w:ascii="Arial" w:hAnsi="Arial" w:cs="Arial"/>
                <w:color w:val="000000"/>
                <w:sz w:val="16"/>
                <w:szCs w:val="16"/>
              </w:rPr>
              <w:t>Arts and cultural heritage</w:t>
            </w:r>
          </w:p>
        </w:tc>
        <w:tc>
          <w:tcPr>
            <w:tcW w:w="522" w:type="pct"/>
            <w:tcBorders>
              <w:top w:val="nil"/>
              <w:left w:val="nil"/>
              <w:bottom w:val="nil"/>
              <w:right w:val="nil"/>
            </w:tcBorders>
            <w:shd w:val="clear" w:color="000000" w:fill="FFFFFF"/>
            <w:noWrap/>
            <w:vAlign w:val="center"/>
            <w:hideMark/>
          </w:tcPr>
          <w:p w14:paraId="643FEF24" w14:textId="77777777" w:rsidR="00961412" w:rsidRPr="00961412" w:rsidRDefault="00961412" w:rsidP="00961412">
            <w:pPr>
              <w:spacing w:before="0" w:after="0" w:line="240" w:lineRule="auto"/>
              <w:jc w:val="right"/>
              <w:rPr>
                <w:rFonts w:ascii="Arial" w:hAnsi="Arial" w:cs="Arial"/>
                <w:color w:val="000000"/>
                <w:sz w:val="16"/>
                <w:szCs w:val="16"/>
              </w:rPr>
            </w:pPr>
            <w:r w:rsidRPr="00961412">
              <w:rPr>
                <w:rFonts w:ascii="Arial" w:hAnsi="Arial" w:cs="Arial"/>
                <w:color w:val="000000"/>
                <w:sz w:val="16"/>
                <w:szCs w:val="16"/>
              </w:rPr>
              <w:t>1,992</w:t>
            </w:r>
          </w:p>
        </w:tc>
        <w:tc>
          <w:tcPr>
            <w:tcW w:w="521" w:type="pct"/>
            <w:tcBorders>
              <w:top w:val="nil"/>
              <w:left w:val="nil"/>
              <w:bottom w:val="nil"/>
              <w:right w:val="nil"/>
            </w:tcBorders>
            <w:shd w:val="clear" w:color="000000" w:fill="E6F2FF"/>
            <w:noWrap/>
            <w:vAlign w:val="center"/>
            <w:hideMark/>
          </w:tcPr>
          <w:p w14:paraId="03C61BF6" w14:textId="77777777" w:rsidR="00961412" w:rsidRPr="00961412" w:rsidRDefault="00961412" w:rsidP="00961412">
            <w:pPr>
              <w:spacing w:before="0" w:after="0" w:line="240" w:lineRule="auto"/>
              <w:jc w:val="right"/>
              <w:rPr>
                <w:rFonts w:ascii="Arial" w:hAnsi="Arial" w:cs="Arial"/>
                <w:color w:val="000000"/>
                <w:sz w:val="16"/>
                <w:szCs w:val="16"/>
              </w:rPr>
            </w:pPr>
            <w:r w:rsidRPr="00961412">
              <w:rPr>
                <w:rFonts w:ascii="Arial" w:hAnsi="Arial" w:cs="Arial"/>
                <w:color w:val="000000"/>
                <w:sz w:val="16"/>
                <w:szCs w:val="16"/>
              </w:rPr>
              <w:t>2,140</w:t>
            </w:r>
          </w:p>
        </w:tc>
        <w:tc>
          <w:tcPr>
            <w:tcW w:w="521" w:type="pct"/>
            <w:tcBorders>
              <w:top w:val="nil"/>
              <w:left w:val="nil"/>
              <w:bottom w:val="nil"/>
              <w:right w:val="nil"/>
            </w:tcBorders>
            <w:shd w:val="clear" w:color="000000" w:fill="FFFFFF"/>
            <w:noWrap/>
            <w:vAlign w:val="center"/>
            <w:hideMark/>
          </w:tcPr>
          <w:p w14:paraId="622B64B6" w14:textId="77777777" w:rsidR="00961412" w:rsidRPr="00961412" w:rsidRDefault="00961412" w:rsidP="00961412">
            <w:pPr>
              <w:spacing w:before="0" w:after="0" w:line="240" w:lineRule="auto"/>
              <w:jc w:val="right"/>
              <w:rPr>
                <w:rFonts w:ascii="Arial" w:hAnsi="Arial" w:cs="Arial"/>
                <w:color w:val="000000"/>
                <w:sz w:val="16"/>
                <w:szCs w:val="16"/>
              </w:rPr>
            </w:pPr>
            <w:r w:rsidRPr="00961412">
              <w:rPr>
                <w:rFonts w:ascii="Arial" w:hAnsi="Arial" w:cs="Arial"/>
                <w:color w:val="000000"/>
                <w:sz w:val="16"/>
                <w:szCs w:val="16"/>
              </w:rPr>
              <w:t>1,919</w:t>
            </w:r>
          </w:p>
        </w:tc>
        <w:tc>
          <w:tcPr>
            <w:tcW w:w="521" w:type="pct"/>
            <w:tcBorders>
              <w:top w:val="nil"/>
              <w:left w:val="nil"/>
              <w:bottom w:val="nil"/>
              <w:right w:val="nil"/>
            </w:tcBorders>
            <w:shd w:val="clear" w:color="000000" w:fill="FFFFFF"/>
            <w:noWrap/>
            <w:vAlign w:val="center"/>
            <w:hideMark/>
          </w:tcPr>
          <w:p w14:paraId="35C38ABC" w14:textId="77777777" w:rsidR="00961412" w:rsidRPr="00961412" w:rsidRDefault="00961412" w:rsidP="00961412">
            <w:pPr>
              <w:spacing w:before="0" w:after="0" w:line="240" w:lineRule="auto"/>
              <w:jc w:val="right"/>
              <w:rPr>
                <w:rFonts w:ascii="Arial" w:hAnsi="Arial" w:cs="Arial"/>
                <w:color w:val="000000"/>
                <w:sz w:val="16"/>
                <w:szCs w:val="16"/>
              </w:rPr>
            </w:pPr>
            <w:r w:rsidRPr="00961412">
              <w:rPr>
                <w:rFonts w:ascii="Arial" w:hAnsi="Arial" w:cs="Arial"/>
                <w:color w:val="000000"/>
                <w:sz w:val="16"/>
                <w:szCs w:val="16"/>
              </w:rPr>
              <w:t>1,890</w:t>
            </w:r>
          </w:p>
        </w:tc>
        <w:tc>
          <w:tcPr>
            <w:tcW w:w="521" w:type="pct"/>
            <w:tcBorders>
              <w:top w:val="nil"/>
              <w:left w:val="nil"/>
              <w:bottom w:val="nil"/>
              <w:right w:val="nil"/>
            </w:tcBorders>
            <w:shd w:val="clear" w:color="000000" w:fill="FFFFFF"/>
            <w:noWrap/>
            <w:vAlign w:val="center"/>
            <w:hideMark/>
          </w:tcPr>
          <w:p w14:paraId="29AE285D" w14:textId="77777777" w:rsidR="00961412" w:rsidRPr="00961412" w:rsidRDefault="00961412" w:rsidP="00961412">
            <w:pPr>
              <w:spacing w:before="0" w:after="0" w:line="240" w:lineRule="auto"/>
              <w:jc w:val="right"/>
              <w:rPr>
                <w:rFonts w:ascii="Arial" w:hAnsi="Arial" w:cs="Arial"/>
                <w:color w:val="000000"/>
                <w:sz w:val="16"/>
                <w:szCs w:val="16"/>
              </w:rPr>
            </w:pPr>
            <w:r w:rsidRPr="00961412">
              <w:rPr>
                <w:rFonts w:ascii="Arial" w:hAnsi="Arial" w:cs="Arial"/>
                <w:color w:val="000000"/>
                <w:sz w:val="16"/>
                <w:szCs w:val="16"/>
              </w:rPr>
              <w:t>1,851</w:t>
            </w:r>
          </w:p>
        </w:tc>
      </w:tr>
      <w:tr w:rsidR="00961412" w:rsidRPr="00961412" w14:paraId="1749DC50" w14:textId="77777777" w:rsidTr="00E450B1">
        <w:trPr>
          <w:trHeight w:hRule="exact" w:val="225"/>
        </w:trPr>
        <w:tc>
          <w:tcPr>
            <w:tcW w:w="2395" w:type="pct"/>
            <w:tcBorders>
              <w:top w:val="nil"/>
              <w:left w:val="nil"/>
              <w:bottom w:val="nil"/>
              <w:right w:val="nil"/>
            </w:tcBorders>
            <w:shd w:val="clear" w:color="000000" w:fill="FFFFFF"/>
            <w:noWrap/>
            <w:vAlign w:val="center"/>
            <w:hideMark/>
          </w:tcPr>
          <w:p w14:paraId="0F242508" w14:textId="77777777" w:rsidR="00961412" w:rsidRPr="00961412" w:rsidRDefault="00961412" w:rsidP="00961412">
            <w:pPr>
              <w:spacing w:before="0" w:after="0" w:line="240" w:lineRule="auto"/>
              <w:rPr>
                <w:rFonts w:ascii="Arial" w:hAnsi="Arial" w:cs="Arial"/>
                <w:color w:val="000000"/>
                <w:sz w:val="16"/>
                <w:szCs w:val="16"/>
              </w:rPr>
            </w:pPr>
            <w:r w:rsidRPr="00961412">
              <w:rPr>
                <w:rFonts w:ascii="Arial" w:hAnsi="Arial" w:cs="Arial"/>
                <w:color w:val="000000"/>
                <w:sz w:val="16"/>
                <w:szCs w:val="16"/>
              </w:rPr>
              <w:t>Sport and recreation</w:t>
            </w:r>
          </w:p>
        </w:tc>
        <w:tc>
          <w:tcPr>
            <w:tcW w:w="522" w:type="pct"/>
            <w:tcBorders>
              <w:top w:val="nil"/>
              <w:left w:val="nil"/>
              <w:bottom w:val="nil"/>
              <w:right w:val="nil"/>
            </w:tcBorders>
            <w:shd w:val="clear" w:color="000000" w:fill="FFFFFF"/>
            <w:noWrap/>
            <w:vAlign w:val="center"/>
            <w:hideMark/>
          </w:tcPr>
          <w:p w14:paraId="78AD4CE4" w14:textId="77777777" w:rsidR="00961412" w:rsidRPr="00961412" w:rsidRDefault="00961412" w:rsidP="00961412">
            <w:pPr>
              <w:spacing w:before="0" w:after="0" w:line="240" w:lineRule="auto"/>
              <w:jc w:val="right"/>
              <w:rPr>
                <w:rFonts w:ascii="Arial" w:hAnsi="Arial" w:cs="Arial"/>
                <w:color w:val="000000"/>
                <w:sz w:val="16"/>
                <w:szCs w:val="16"/>
              </w:rPr>
            </w:pPr>
            <w:r w:rsidRPr="00961412">
              <w:rPr>
                <w:rFonts w:ascii="Arial" w:hAnsi="Arial" w:cs="Arial"/>
                <w:color w:val="000000"/>
                <w:sz w:val="16"/>
                <w:szCs w:val="16"/>
              </w:rPr>
              <w:t>594</w:t>
            </w:r>
          </w:p>
        </w:tc>
        <w:tc>
          <w:tcPr>
            <w:tcW w:w="521" w:type="pct"/>
            <w:tcBorders>
              <w:top w:val="nil"/>
              <w:left w:val="nil"/>
              <w:bottom w:val="nil"/>
              <w:right w:val="nil"/>
            </w:tcBorders>
            <w:shd w:val="clear" w:color="000000" w:fill="E6F2FF"/>
            <w:noWrap/>
            <w:vAlign w:val="center"/>
            <w:hideMark/>
          </w:tcPr>
          <w:p w14:paraId="2B6BAE61" w14:textId="77777777" w:rsidR="00961412" w:rsidRPr="00961412" w:rsidRDefault="00961412" w:rsidP="00961412">
            <w:pPr>
              <w:spacing w:before="0" w:after="0" w:line="240" w:lineRule="auto"/>
              <w:jc w:val="right"/>
              <w:rPr>
                <w:rFonts w:ascii="Arial" w:hAnsi="Arial" w:cs="Arial"/>
                <w:color w:val="000000"/>
                <w:sz w:val="16"/>
                <w:szCs w:val="16"/>
              </w:rPr>
            </w:pPr>
            <w:r w:rsidRPr="00961412">
              <w:rPr>
                <w:rFonts w:ascii="Arial" w:hAnsi="Arial" w:cs="Arial"/>
                <w:color w:val="000000"/>
                <w:sz w:val="16"/>
                <w:szCs w:val="16"/>
              </w:rPr>
              <w:t>708</w:t>
            </w:r>
          </w:p>
        </w:tc>
        <w:tc>
          <w:tcPr>
            <w:tcW w:w="521" w:type="pct"/>
            <w:tcBorders>
              <w:top w:val="nil"/>
              <w:left w:val="nil"/>
              <w:bottom w:val="nil"/>
              <w:right w:val="nil"/>
            </w:tcBorders>
            <w:shd w:val="clear" w:color="000000" w:fill="FFFFFF"/>
            <w:noWrap/>
            <w:vAlign w:val="center"/>
            <w:hideMark/>
          </w:tcPr>
          <w:p w14:paraId="5D0D9A46" w14:textId="77777777" w:rsidR="00961412" w:rsidRPr="00961412" w:rsidRDefault="00961412" w:rsidP="00961412">
            <w:pPr>
              <w:spacing w:before="0" w:after="0" w:line="240" w:lineRule="auto"/>
              <w:jc w:val="right"/>
              <w:rPr>
                <w:rFonts w:ascii="Arial" w:hAnsi="Arial" w:cs="Arial"/>
                <w:color w:val="000000"/>
                <w:sz w:val="16"/>
                <w:szCs w:val="16"/>
              </w:rPr>
            </w:pPr>
            <w:r w:rsidRPr="00961412">
              <w:rPr>
                <w:rFonts w:ascii="Arial" w:hAnsi="Arial" w:cs="Arial"/>
                <w:color w:val="000000"/>
                <w:sz w:val="16"/>
                <w:szCs w:val="16"/>
              </w:rPr>
              <w:t>993</w:t>
            </w:r>
          </w:p>
        </w:tc>
        <w:tc>
          <w:tcPr>
            <w:tcW w:w="521" w:type="pct"/>
            <w:tcBorders>
              <w:top w:val="nil"/>
              <w:left w:val="nil"/>
              <w:bottom w:val="nil"/>
              <w:right w:val="nil"/>
            </w:tcBorders>
            <w:shd w:val="clear" w:color="000000" w:fill="FFFFFF"/>
            <w:noWrap/>
            <w:vAlign w:val="center"/>
            <w:hideMark/>
          </w:tcPr>
          <w:p w14:paraId="6DE463DE" w14:textId="77777777" w:rsidR="00961412" w:rsidRPr="00961412" w:rsidRDefault="00961412" w:rsidP="00961412">
            <w:pPr>
              <w:spacing w:before="0" w:after="0" w:line="240" w:lineRule="auto"/>
              <w:jc w:val="right"/>
              <w:rPr>
                <w:rFonts w:ascii="Arial" w:hAnsi="Arial" w:cs="Arial"/>
                <w:color w:val="000000"/>
                <w:sz w:val="16"/>
                <w:szCs w:val="16"/>
              </w:rPr>
            </w:pPr>
            <w:r w:rsidRPr="00961412">
              <w:rPr>
                <w:rFonts w:ascii="Arial" w:hAnsi="Arial" w:cs="Arial"/>
                <w:color w:val="000000"/>
                <w:sz w:val="16"/>
                <w:szCs w:val="16"/>
              </w:rPr>
              <w:t>1,016</w:t>
            </w:r>
          </w:p>
        </w:tc>
        <w:tc>
          <w:tcPr>
            <w:tcW w:w="521" w:type="pct"/>
            <w:tcBorders>
              <w:top w:val="nil"/>
              <w:left w:val="nil"/>
              <w:bottom w:val="nil"/>
              <w:right w:val="nil"/>
            </w:tcBorders>
            <w:shd w:val="clear" w:color="000000" w:fill="FFFFFF"/>
            <w:noWrap/>
            <w:vAlign w:val="center"/>
            <w:hideMark/>
          </w:tcPr>
          <w:p w14:paraId="6DD81FD3" w14:textId="77777777" w:rsidR="00961412" w:rsidRPr="00961412" w:rsidRDefault="00961412" w:rsidP="00961412">
            <w:pPr>
              <w:spacing w:before="0" w:after="0" w:line="240" w:lineRule="auto"/>
              <w:jc w:val="right"/>
              <w:rPr>
                <w:rFonts w:ascii="Arial" w:hAnsi="Arial" w:cs="Arial"/>
                <w:color w:val="000000"/>
                <w:sz w:val="16"/>
                <w:szCs w:val="16"/>
              </w:rPr>
            </w:pPr>
            <w:r w:rsidRPr="00961412">
              <w:rPr>
                <w:rFonts w:ascii="Arial" w:hAnsi="Arial" w:cs="Arial"/>
                <w:color w:val="000000"/>
                <w:sz w:val="16"/>
                <w:szCs w:val="16"/>
              </w:rPr>
              <w:t>1,223</w:t>
            </w:r>
          </w:p>
        </w:tc>
      </w:tr>
      <w:tr w:rsidR="00961412" w:rsidRPr="00961412" w14:paraId="58BF0D37" w14:textId="77777777" w:rsidTr="00B64BD4">
        <w:trPr>
          <w:trHeight w:hRule="exact" w:val="225"/>
        </w:trPr>
        <w:tc>
          <w:tcPr>
            <w:tcW w:w="2395" w:type="pct"/>
            <w:tcBorders>
              <w:top w:val="nil"/>
              <w:left w:val="nil"/>
              <w:bottom w:val="nil"/>
              <w:right w:val="nil"/>
            </w:tcBorders>
            <w:shd w:val="clear" w:color="000000" w:fill="FFFFFF"/>
            <w:noWrap/>
            <w:vAlign w:val="center"/>
            <w:hideMark/>
          </w:tcPr>
          <w:p w14:paraId="0795A9E1" w14:textId="77777777" w:rsidR="00961412" w:rsidRPr="00961412" w:rsidRDefault="00961412" w:rsidP="00961412">
            <w:pPr>
              <w:spacing w:before="0" w:after="0" w:line="240" w:lineRule="auto"/>
              <w:rPr>
                <w:rFonts w:ascii="Arial" w:hAnsi="Arial" w:cs="Arial"/>
                <w:color w:val="000000"/>
                <w:sz w:val="16"/>
                <w:szCs w:val="16"/>
              </w:rPr>
            </w:pPr>
            <w:r w:rsidRPr="00961412">
              <w:rPr>
                <w:rFonts w:ascii="Arial" w:hAnsi="Arial" w:cs="Arial"/>
                <w:color w:val="000000"/>
                <w:sz w:val="16"/>
                <w:szCs w:val="16"/>
              </w:rPr>
              <w:t>National estate and parks</w:t>
            </w:r>
          </w:p>
        </w:tc>
        <w:tc>
          <w:tcPr>
            <w:tcW w:w="522" w:type="pct"/>
            <w:tcBorders>
              <w:top w:val="nil"/>
              <w:left w:val="nil"/>
              <w:bottom w:val="single" w:sz="4" w:space="0" w:color="293F5B"/>
              <w:right w:val="nil"/>
            </w:tcBorders>
            <w:shd w:val="clear" w:color="000000" w:fill="FFFFFF"/>
            <w:noWrap/>
            <w:vAlign w:val="center"/>
            <w:hideMark/>
          </w:tcPr>
          <w:p w14:paraId="13A2D4CA" w14:textId="77777777" w:rsidR="00961412" w:rsidRPr="00961412" w:rsidRDefault="00961412" w:rsidP="00961412">
            <w:pPr>
              <w:spacing w:before="0" w:after="0" w:line="240" w:lineRule="auto"/>
              <w:jc w:val="right"/>
              <w:rPr>
                <w:rFonts w:ascii="Arial" w:hAnsi="Arial" w:cs="Arial"/>
                <w:color w:val="000000"/>
                <w:sz w:val="16"/>
                <w:szCs w:val="16"/>
              </w:rPr>
            </w:pPr>
            <w:r w:rsidRPr="00961412">
              <w:rPr>
                <w:rFonts w:ascii="Arial" w:hAnsi="Arial" w:cs="Arial"/>
                <w:color w:val="000000"/>
                <w:sz w:val="16"/>
                <w:szCs w:val="16"/>
              </w:rPr>
              <w:t>776</w:t>
            </w:r>
          </w:p>
        </w:tc>
        <w:tc>
          <w:tcPr>
            <w:tcW w:w="521" w:type="pct"/>
            <w:tcBorders>
              <w:top w:val="nil"/>
              <w:left w:val="nil"/>
              <w:bottom w:val="single" w:sz="4" w:space="0" w:color="293F5B"/>
              <w:right w:val="nil"/>
            </w:tcBorders>
            <w:shd w:val="clear" w:color="000000" w:fill="E6F2FF"/>
            <w:noWrap/>
            <w:vAlign w:val="center"/>
            <w:hideMark/>
          </w:tcPr>
          <w:p w14:paraId="68C9F7C3" w14:textId="77777777" w:rsidR="00961412" w:rsidRPr="00961412" w:rsidRDefault="00961412" w:rsidP="00961412">
            <w:pPr>
              <w:spacing w:before="0" w:after="0" w:line="240" w:lineRule="auto"/>
              <w:jc w:val="right"/>
              <w:rPr>
                <w:rFonts w:ascii="Arial" w:hAnsi="Arial" w:cs="Arial"/>
                <w:color w:val="000000"/>
                <w:sz w:val="16"/>
                <w:szCs w:val="16"/>
              </w:rPr>
            </w:pPr>
            <w:r w:rsidRPr="00961412">
              <w:rPr>
                <w:rFonts w:ascii="Arial" w:hAnsi="Arial" w:cs="Arial"/>
                <w:color w:val="000000"/>
                <w:sz w:val="16"/>
                <w:szCs w:val="16"/>
              </w:rPr>
              <w:t>774</w:t>
            </w:r>
          </w:p>
        </w:tc>
        <w:tc>
          <w:tcPr>
            <w:tcW w:w="521" w:type="pct"/>
            <w:tcBorders>
              <w:top w:val="nil"/>
              <w:left w:val="nil"/>
              <w:bottom w:val="single" w:sz="4" w:space="0" w:color="293F5B"/>
              <w:right w:val="nil"/>
            </w:tcBorders>
            <w:shd w:val="clear" w:color="000000" w:fill="FFFFFF"/>
            <w:noWrap/>
            <w:vAlign w:val="center"/>
            <w:hideMark/>
          </w:tcPr>
          <w:p w14:paraId="2732DE64" w14:textId="77777777" w:rsidR="00961412" w:rsidRPr="00961412" w:rsidRDefault="00961412" w:rsidP="00961412">
            <w:pPr>
              <w:spacing w:before="0" w:after="0" w:line="240" w:lineRule="auto"/>
              <w:jc w:val="right"/>
              <w:rPr>
                <w:rFonts w:ascii="Arial" w:hAnsi="Arial" w:cs="Arial"/>
                <w:color w:val="000000"/>
                <w:sz w:val="16"/>
                <w:szCs w:val="16"/>
              </w:rPr>
            </w:pPr>
            <w:r w:rsidRPr="00961412">
              <w:rPr>
                <w:rFonts w:ascii="Arial" w:hAnsi="Arial" w:cs="Arial"/>
                <w:color w:val="000000"/>
                <w:sz w:val="16"/>
                <w:szCs w:val="16"/>
              </w:rPr>
              <w:t>759</w:t>
            </w:r>
          </w:p>
        </w:tc>
        <w:tc>
          <w:tcPr>
            <w:tcW w:w="521" w:type="pct"/>
            <w:tcBorders>
              <w:top w:val="nil"/>
              <w:left w:val="nil"/>
              <w:bottom w:val="single" w:sz="4" w:space="0" w:color="293F5B"/>
              <w:right w:val="nil"/>
            </w:tcBorders>
            <w:shd w:val="clear" w:color="000000" w:fill="FFFFFF"/>
            <w:noWrap/>
            <w:vAlign w:val="center"/>
            <w:hideMark/>
          </w:tcPr>
          <w:p w14:paraId="658A610B" w14:textId="77777777" w:rsidR="00961412" w:rsidRPr="00961412" w:rsidRDefault="00961412" w:rsidP="00961412">
            <w:pPr>
              <w:spacing w:before="0" w:after="0" w:line="240" w:lineRule="auto"/>
              <w:jc w:val="right"/>
              <w:rPr>
                <w:rFonts w:ascii="Arial" w:hAnsi="Arial" w:cs="Arial"/>
                <w:color w:val="000000"/>
                <w:sz w:val="16"/>
                <w:szCs w:val="16"/>
              </w:rPr>
            </w:pPr>
            <w:r w:rsidRPr="00961412">
              <w:rPr>
                <w:rFonts w:ascii="Arial" w:hAnsi="Arial" w:cs="Arial"/>
                <w:color w:val="000000"/>
                <w:sz w:val="16"/>
                <w:szCs w:val="16"/>
              </w:rPr>
              <w:t>717</w:t>
            </w:r>
          </w:p>
        </w:tc>
        <w:tc>
          <w:tcPr>
            <w:tcW w:w="521" w:type="pct"/>
            <w:tcBorders>
              <w:top w:val="nil"/>
              <w:left w:val="nil"/>
              <w:bottom w:val="single" w:sz="4" w:space="0" w:color="293F5B"/>
              <w:right w:val="nil"/>
            </w:tcBorders>
            <w:shd w:val="clear" w:color="000000" w:fill="FFFFFF"/>
            <w:noWrap/>
            <w:vAlign w:val="center"/>
            <w:hideMark/>
          </w:tcPr>
          <w:p w14:paraId="08B9BE1D" w14:textId="77777777" w:rsidR="00961412" w:rsidRPr="00961412" w:rsidRDefault="00961412" w:rsidP="00961412">
            <w:pPr>
              <w:spacing w:before="0" w:after="0" w:line="240" w:lineRule="auto"/>
              <w:jc w:val="right"/>
              <w:rPr>
                <w:rFonts w:ascii="Arial" w:hAnsi="Arial" w:cs="Arial"/>
                <w:color w:val="000000"/>
                <w:sz w:val="16"/>
                <w:szCs w:val="16"/>
              </w:rPr>
            </w:pPr>
            <w:r w:rsidRPr="00961412">
              <w:rPr>
                <w:rFonts w:ascii="Arial" w:hAnsi="Arial" w:cs="Arial"/>
                <w:color w:val="000000"/>
                <w:sz w:val="16"/>
                <w:szCs w:val="16"/>
              </w:rPr>
              <w:t>717</w:t>
            </w:r>
          </w:p>
        </w:tc>
      </w:tr>
      <w:tr w:rsidR="00961412" w:rsidRPr="00961412" w14:paraId="06949934" w14:textId="77777777" w:rsidTr="00E450B1">
        <w:trPr>
          <w:trHeight w:hRule="exact" w:val="225"/>
        </w:trPr>
        <w:tc>
          <w:tcPr>
            <w:tcW w:w="2395" w:type="pct"/>
            <w:tcBorders>
              <w:top w:val="nil"/>
              <w:left w:val="nil"/>
              <w:bottom w:val="single" w:sz="4" w:space="0" w:color="293F5B"/>
              <w:right w:val="nil"/>
            </w:tcBorders>
            <w:shd w:val="clear" w:color="000000" w:fill="FFFFFF"/>
            <w:noWrap/>
            <w:vAlign w:val="center"/>
            <w:hideMark/>
          </w:tcPr>
          <w:p w14:paraId="346AD70A" w14:textId="77777777" w:rsidR="00961412" w:rsidRPr="00961412" w:rsidRDefault="00961412" w:rsidP="00961412">
            <w:pPr>
              <w:spacing w:before="0" w:after="0" w:line="240" w:lineRule="auto"/>
              <w:rPr>
                <w:rFonts w:ascii="Arial" w:hAnsi="Arial" w:cs="Arial"/>
                <w:b/>
                <w:bCs/>
                <w:color w:val="000000"/>
                <w:sz w:val="16"/>
                <w:szCs w:val="16"/>
              </w:rPr>
            </w:pPr>
            <w:r w:rsidRPr="00961412">
              <w:rPr>
                <w:rFonts w:ascii="Arial" w:hAnsi="Arial" w:cs="Arial"/>
                <w:b/>
                <w:bCs/>
                <w:color w:val="000000"/>
                <w:sz w:val="16"/>
                <w:szCs w:val="16"/>
              </w:rPr>
              <w:t>Total recreation and culture</w:t>
            </w:r>
          </w:p>
        </w:tc>
        <w:tc>
          <w:tcPr>
            <w:tcW w:w="522" w:type="pct"/>
            <w:tcBorders>
              <w:top w:val="single" w:sz="4" w:space="0" w:color="293F5B"/>
              <w:left w:val="nil"/>
              <w:bottom w:val="single" w:sz="4" w:space="0" w:color="293F5B"/>
              <w:right w:val="nil"/>
            </w:tcBorders>
            <w:shd w:val="clear" w:color="000000" w:fill="FFFFFF"/>
            <w:noWrap/>
            <w:vAlign w:val="center"/>
            <w:hideMark/>
          </w:tcPr>
          <w:p w14:paraId="01C86F3B" w14:textId="77777777" w:rsidR="00961412" w:rsidRPr="00961412" w:rsidRDefault="00961412" w:rsidP="00961412">
            <w:pPr>
              <w:spacing w:before="0" w:after="0" w:line="240" w:lineRule="auto"/>
              <w:jc w:val="right"/>
              <w:rPr>
                <w:rFonts w:ascii="Arial" w:hAnsi="Arial" w:cs="Arial"/>
                <w:b/>
                <w:bCs/>
                <w:color w:val="000000"/>
                <w:sz w:val="16"/>
                <w:szCs w:val="16"/>
              </w:rPr>
            </w:pPr>
            <w:r w:rsidRPr="00961412">
              <w:rPr>
                <w:rFonts w:ascii="Arial" w:hAnsi="Arial" w:cs="Arial"/>
                <w:b/>
                <w:bCs/>
                <w:color w:val="000000"/>
                <w:sz w:val="16"/>
                <w:szCs w:val="16"/>
              </w:rPr>
              <w:t>5,050</w:t>
            </w:r>
          </w:p>
        </w:tc>
        <w:tc>
          <w:tcPr>
            <w:tcW w:w="521" w:type="pct"/>
            <w:tcBorders>
              <w:top w:val="single" w:sz="4" w:space="0" w:color="293F5B"/>
              <w:left w:val="nil"/>
              <w:bottom w:val="single" w:sz="4" w:space="0" w:color="293F5B"/>
              <w:right w:val="nil"/>
            </w:tcBorders>
            <w:shd w:val="clear" w:color="000000" w:fill="E6F2FF"/>
            <w:noWrap/>
            <w:vAlign w:val="center"/>
            <w:hideMark/>
          </w:tcPr>
          <w:p w14:paraId="015FE0B0" w14:textId="77777777" w:rsidR="00961412" w:rsidRPr="00961412" w:rsidRDefault="00961412" w:rsidP="00961412">
            <w:pPr>
              <w:spacing w:before="0" w:after="0" w:line="240" w:lineRule="auto"/>
              <w:jc w:val="right"/>
              <w:rPr>
                <w:rFonts w:ascii="Arial" w:hAnsi="Arial" w:cs="Arial"/>
                <w:b/>
                <w:bCs/>
                <w:color w:val="000000"/>
                <w:sz w:val="16"/>
                <w:szCs w:val="16"/>
              </w:rPr>
            </w:pPr>
            <w:r w:rsidRPr="00961412">
              <w:rPr>
                <w:rFonts w:ascii="Arial" w:hAnsi="Arial" w:cs="Arial"/>
                <w:b/>
                <w:bCs/>
                <w:color w:val="000000"/>
                <w:sz w:val="16"/>
                <w:szCs w:val="16"/>
              </w:rPr>
              <w:t>5,372</w:t>
            </w:r>
          </w:p>
        </w:tc>
        <w:tc>
          <w:tcPr>
            <w:tcW w:w="521" w:type="pct"/>
            <w:tcBorders>
              <w:top w:val="single" w:sz="4" w:space="0" w:color="293F5B"/>
              <w:left w:val="nil"/>
              <w:bottom w:val="single" w:sz="4" w:space="0" w:color="293F5B"/>
              <w:right w:val="nil"/>
            </w:tcBorders>
            <w:shd w:val="clear" w:color="000000" w:fill="FFFFFF"/>
            <w:noWrap/>
            <w:vAlign w:val="center"/>
            <w:hideMark/>
          </w:tcPr>
          <w:p w14:paraId="563B6088" w14:textId="77777777" w:rsidR="00961412" w:rsidRPr="00961412" w:rsidRDefault="00961412" w:rsidP="00961412">
            <w:pPr>
              <w:spacing w:before="0" w:after="0" w:line="240" w:lineRule="auto"/>
              <w:jc w:val="right"/>
              <w:rPr>
                <w:rFonts w:ascii="Arial" w:hAnsi="Arial" w:cs="Arial"/>
                <w:b/>
                <w:bCs/>
                <w:color w:val="000000"/>
                <w:sz w:val="16"/>
                <w:szCs w:val="16"/>
              </w:rPr>
            </w:pPr>
            <w:r w:rsidRPr="00961412">
              <w:rPr>
                <w:rFonts w:ascii="Arial" w:hAnsi="Arial" w:cs="Arial"/>
                <w:b/>
                <w:bCs/>
                <w:color w:val="000000"/>
                <w:sz w:val="16"/>
                <w:szCs w:val="16"/>
              </w:rPr>
              <w:t>5,472</w:t>
            </w:r>
          </w:p>
        </w:tc>
        <w:tc>
          <w:tcPr>
            <w:tcW w:w="521" w:type="pct"/>
            <w:tcBorders>
              <w:top w:val="single" w:sz="4" w:space="0" w:color="293F5B"/>
              <w:left w:val="nil"/>
              <w:bottom w:val="single" w:sz="4" w:space="0" w:color="293F5B"/>
              <w:right w:val="nil"/>
            </w:tcBorders>
            <w:shd w:val="clear" w:color="000000" w:fill="FFFFFF"/>
            <w:noWrap/>
            <w:vAlign w:val="center"/>
            <w:hideMark/>
          </w:tcPr>
          <w:p w14:paraId="3EF332C4" w14:textId="77777777" w:rsidR="00961412" w:rsidRPr="00961412" w:rsidRDefault="00961412" w:rsidP="00961412">
            <w:pPr>
              <w:spacing w:before="0" w:after="0" w:line="240" w:lineRule="auto"/>
              <w:jc w:val="right"/>
              <w:rPr>
                <w:rFonts w:ascii="Arial" w:hAnsi="Arial" w:cs="Arial"/>
                <w:b/>
                <w:bCs/>
                <w:color w:val="000000"/>
                <w:sz w:val="16"/>
                <w:szCs w:val="16"/>
              </w:rPr>
            </w:pPr>
            <w:r w:rsidRPr="00961412">
              <w:rPr>
                <w:rFonts w:ascii="Arial" w:hAnsi="Arial" w:cs="Arial"/>
                <w:b/>
                <w:bCs/>
                <w:color w:val="000000"/>
                <w:sz w:val="16"/>
                <w:szCs w:val="16"/>
              </w:rPr>
              <w:t>5,423</w:t>
            </w:r>
          </w:p>
        </w:tc>
        <w:tc>
          <w:tcPr>
            <w:tcW w:w="521" w:type="pct"/>
            <w:tcBorders>
              <w:top w:val="single" w:sz="4" w:space="0" w:color="293F5B"/>
              <w:left w:val="nil"/>
              <w:bottom w:val="single" w:sz="4" w:space="0" w:color="293F5B"/>
              <w:right w:val="nil"/>
            </w:tcBorders>
            <w:shd w:val="clear" w:color="000000" w:fill="FFFFFF"/>
            <w:noWrap/>
            <w:vAlign w:val="center"/>
            <w:hideMark/>
          </w:tcPr>
          <w:p w14:paraId="12EF6F7C" w14:textId="77777777" w:rsidR="00961412" w:rsidRPr="00961412" w:rsidRDefault="00961412" w:rsidP="00961412">
            <w:pPr>
              <w:spacing w:before="0" w:after="0" w:line="240" w:lineRule="auto"/>
              <w:jc w:val="right"/>
              <w:rPr>
                <w:rFonts w:ascii="Arial" w:hAnsi="Arial" w:cs="Arial"/>
                <w:b/>
                <w:bCs/>
                <w:color w:val="000000"/>
                <w:sz w:val="16"/>
                <w:szCs w:val="16"/>
              </w:rPr>
            </w:pPr>
            <w:r w:rsidRPr="00961412">
              <w:rPr>
                <w:rFonts w:ascii="Arial" w:hAnsi="Arial" w:cs="Arial"/>
                <w:b/>
                <w:bCs/>
                <w:color w:val="000000"/>
                <w:sz w:val="16"/>
                <w:szCs w:val="16"/>
              </w:rPr>
              <w:t>5,604</w:t>
            </w:r>
          </w:p>
        </w:tc>
      </w:tr>
    </w:tbl>
    <w:p w14:paraId="4AF5A93A" w14:textId="56767F3F" w:rsidR="00E32E1B" w:rsidRDefault="00E32E1B" w:rsidP="00E87DDC">
      <w:pPr>
        <w:pStyle w:val="ChartandTableFootnoteAlpha"/>
        <w:numPr>
          <w:ilvl w:val="0"/>
          <w:numId w:val="27"/>
        </w:numPr>
      </w:pPr>
      <w:r>
        <w:t>A further breakdown of the broadcasting sub</w:t>
      </w:r>
      <w:r w:rsidR="008D4F6B">
        <w:noBreakHyphen/>
      </w:r>
      <w:r>
        <w:t>function is provided in Table 6.11.1.</w:t>
      </w:r>
    </w:p>
    <w:p w14:paraId="4D69FA53" w14:textId="77777777" w:rsidR="00E32E1B" w:rsidRPr="00A254FB" w:rsidRDefault="00E32E1B" w:rsidP="00390D35">
      <w:pPr>
        <w:pStyle w:val="TableLine"/>
      </w:pPr>
    </w:p>
    <w:p w14:paraId="1363AD6E" w14:textId="4AC8F903" w:rsidR="00EB2642" w:rsidRDefault="00EB2642" w:rsidP="00E52E66">
      <w:pPr>
        <w:keepLines/>
        <w:rPr>
          <w:lang w:val="en-US"/>
        </w:rPr>
      </w:pPr>
      <w:bookmarkStart w:id="124" w:name="_Hlk165745726"/>
      <w:r w:rsidRPr="000177D7">
        <w:lastRenderedPageBreak/>
        <w:t xml:space="preserve">Total </w:t>
      </w:r>
      <w:r w:rsidRPr="0021687D">
        <w:t xml:space="preserve">expenses under the recreation and culture function are estimated to </w:t>
      </w:r>
      <w:r w:rsidRPr="001E69F6">
        <w:t xml:space="preserve">increase by </w:t>
      </w:r>
      <w:r w:rsidR="008F320A">
        <w:t>4.3</w:t>
      </w:r>
      <w:r>
        <w:t> per cent</w:t>
      </w:r>
      <w:r w:rsidR="00B76600">
        <w:t xml:space="preserve"> </w:t>
      </w:r>
      <w:r w:rsidRPr="001E69F6">
        <w:t>over the period 2024–25 to 2027</w:t>
      </w:r>
      <w:r>
        <w:t>–</w:t>
      </w:r>
      <w:r w:rsidRPr="001E69F6">
        <w:t>28.</w:t>
      </w:r>
      <w:r>
        <w:t xml:space="preserve"> </w:t>
      </w:r>
      <w:r w:rsidR="00F35433">
        <w:t xml:space="preserve">This </w:t>
      </w:r>
      <w:r w:rsidR="00BC032F">
        <w:t xml:space="preserve">increase is </w:t>
      </w:r>
      <w:r w:rsidR="00A4389A">
        <w:t xml:space="preserve">primarily driven by an </w:t>
      </w:r>
      <w:r w:rsidR="001C0424">
        <w:t>expected increase</w:t>
      </w:r>
      <w:r w:rsidR="00483D01">
        <w:t xml:space="preserve"> in</w:t>
      </w:r>
      <w:r w:rsidR="001C0424">
        <w:t xml:space="preserve"> </w:t>
      </w:r>
      <w:r w:rsidRPr="00390D35">
        <w:rPr>
          <w:rStyle w:val="Strong"/>
        </w:rPr>
        <w:t>sport and recreation</w:t>
      </w:r>
      <w:r w:rsidRPr="001E69F6">
        <w:t xml:space="preserve"> </w:t>
      </w:r>
      <w:r w:rsidR="00B53660">
        <w:t>expenses</w:t>
      </w:r>
      <w:r>
        <w:t>,</w:t>
      </w:r>
      <w:r w:rsidRPr="001E69F6">
        <w:t xml:space="preserve"> </w:t>
      </w:r>
      <w:r w:rsidR="00C220F3">
        <w:t xml:space="preserve">which is </w:t>
      </w:r>
      <w:r w:rsidR="00A4389A">
        <w:t xml:space="preserve">linked to </w:t>
      </w:r>
      <w:r w:rsidR="00F35433" w:rsidRPr="001E69F6">
        <w:t>the Government</w:t>
      </w:r>
      <w:r w:rsidR="008D4F6B">
        <w:t>’</w:t>
      </w:r>
      <w:r w:rsidR="00F35433" w:rsidRPr="001E69F6">
        <w:t>s investment in</w:t>
      </w:r>
      <w:r w:rsidR="00F35433">
        <w:t xml:space="preserve"> venue</w:t>
      </w:r>
      <w:r w:rsidR="00F35433" w:rsidRPr="001E69F6">
        <w:t xml:space="preserve"> infrastructure for the 2032 Brisbane Olympic and Paralympic </w:t>
      </w:r>
      <w:r w:rsidR="00F35433">
        <w:t>G</w:t>
      </w:r>
      <w:r w:rsidR="00F35433" w:rsidRPr="001E69F6">
        <w:t xml:space="preserve">ames </w:t>
      </w:r>
      <w:r w:rsidR="00F35433">
        <w:t xml:space="preserve">provided </w:t>
      </w:r>
      <w:r w:rsidR="00F35433" w:rsidRPr="001E69F6">
        <w:t>in the 2023–24 Budget</w:t>
      </w:r>
      <w:r w:rsidRPr="001E69F6">
        <w:t>.</w:t>
      </w:r>
      <w:r>
        <w:t xml:space="preserve"> The increase is partially offset by </w:t>
      </w:r>
      <w:r w:rsidR="00326A2C">
        <w:t xml:space="preserve">a </w:t>
      </w:r>
      <w:r>
        <w:t xml:space="preserve">decrease in </w:t>
      </w:r>
      <w:r w:rsidRPr="00390D35">
        <w:rPr>
          <w:rStyle w:val="Strong"/>
        </w:rPr>
        <w:t>arts and cultural heritage</w:t>
      </w:r>
      <w:r w:rsidR="00B53660">
        <w:rPr>
          <w:b/>
          <w:bCs/>
          <w:lang w:val="en-US"/>
        </w:rPr>
        <w:t xml:space="preserve"> </w:t>
      </w:r>
      <w:r w:rsidR="00B53660">
        <w:rPr>
          <w:lang w:val="en-US"/>
        </w:rPr>
        <w:t>expenses</w:t>
      </w:r>
      <w:r>
        <w:rPr>
          <w:lang w:val="en-US"/>
        </w:rPr>
        <w:t xml:space="preserve">. </w:t>
      </w:r>
      <w:r w:rsidRPr="00002DB4">
        <w:rPr>
          <w:lang w:val="en-US"/>
        </w:rPr>
        <w:t>The remaining sub</w:t>
      </w:r>
      <w:r w:rsidR="008D4F6B">
        <w:rPr>
          <w:lang w:val="en-US"/>
        </w:rPr>
        <w:noBreakHyphen/>
      </w:r>
      <w:r w:rsidRPr="00002DB4">
        <w:rPr>
          <w:lang w:val="en-US"/>
        </w:rPr>
        <w:t xml:space="preserve">functions are estimated to remain broadly stable </w:t>
      </w:r>
      <w:r w:rsidR="00957B9D">
        <w:t>over the period 2024–25 to 2027–28</w:t>
      </w:r>
      <w:r w:rsidRPr="00002DB4">
        <w:rPr>
          <w:lang w:val="en-US"/>
        </w:rPr>
        <w:t>.</w:t>
      </w:r>
    </w:p>
    <w:p w14:paraId="291833A2" w14:textId="7B6DE6BF" w:rsidR="008D447A" w:rsidRDefault="00B53660" w:rsidP="008D447A">
      <w:pPr>
        <w:rPr>
          <w:lang w:val="en-US"/>
        </w:rPr>
      </w:pPr>
      <w:r w:rsidRPr="00390D35">
        <w:rPr>
          <w:rStyle w:val="Strong"/>
        </w:rPr>
        <w:t>B</w:t>
      </w:r>
      <w:r w:rsidR="008D447A" w:rsidRPr="00390D35">
        <w:rPr>
          <w:rStyle w:val="Strong"/>
        </w:rPr>
        <w:t>roadcasting</w:t>
      </w:r>
      <w:r w:rsidR="008D447A" w:rsidRPr="001E69F6">
        <w:rPr>
          <w:lang w:val="en-US"/>
        </w:rPr>
        <w:t xml:space="preserve"> </w:t>
      </w:r>
      <w:r>
        <w:rPr>
          <w:lang w:val="en-US"/>
        </w:rPr>
        <w:t xml:space="preserve">expenses </w:t>
      </w:r>
      <w:r w:rsidR="008D447A" w:rsidRPr="001E69F6">
        <w:rPr>
          <w:lang w:val="en-US"/>
        </w:rPr>
        <w:t xml:space="preserve">reflect the </w:t>
      </w:r>
      <w:r w:rsidR="00170882">
        <w:rPr>
          <w:lang w:val="en-US"/>
        </w:rPr>
        <w:t xml:space="preserve">five </w:t>
      </w:r>
      <w:r w:rsidR="008D447A" w:rsidRPr="001E69F6">
        <w:rPr>
          <w:lang w:val="en-US"/>
        </w:rPr>
        <w:t xml:space="preserve">year funding terms for the Australian Broadcasting Corporation and Special Broadcasting Services Corporation </w:t>
      </w:r>
      <w:r w:rsidR="008D447A" w:rsidRPr="00A1287D">
        <w:rPr>
          <w:lang w:val="en-US"/>
        </w:rPr>
        <w:t xml:space="preserve">that commenced </w:t>
      </w:r>
      <w:r w:rsidR="008D447A" w:rsidRPr="001E69F6">
        <w:rPr>
          <w:lang w:val="en-US"/>
        </w:rPr>
        <w:t>from</w:t>
      </w:r>
      <w:r w:rsidR="008D447A">
        <w:rPr>
          <w:lang w:val="en-US"/>
        </w:rPr>
        <w:t xml:space="preserve"> 1 </w:t>
      </w:r>
      <w:r w:rsidR="008D447A" w:rsidRPr="001E69F6">
        <w:rPr>
          <w:lang w:val="en-US"/>
        </w:rPr>
        <w:t>July</w:t>
      </w:r>
      <w:r w:rsidR="008B51FE">
        <w:rPr>
          <w:lang w:val="en-US"/>
        </w:rPr>
        <w:t> </w:t>
      </w:r>
      <w:r w:rsidR="008D447A" w:rsidRPr="001E69F6">
        <w:rPr>
          <w:lang w:val="en-US"/>
        </w:rPr>
        <w:t>2023.</w:t>
      </w:r>
    </w:p>
    <w:p w14:paraId="208194D0" w14:textId="0CCAE016" w:rsidR="008D447A" w:rsidRPr="00E47EE5" w:rsidRDefault="008D447A" w:rsidP="008D447A">
      <w:r>
        <w:t>Table </w:t>
      </w:r>
      <w:r w:rsidRPr="000177D7">
        <w:t>6.1</w:t>
      </w:r>
      <w:r>
        <w:t>1</w:t>
      </w:r>
      <w:r w:rsidRPr="000177D7">
        <w:t xml:space="preserve">.1 sets out the major components of the </w:t>
      </w:r>
      <w:r w:rsidRPr="00390D35">
        <w:rPr>
          <w:rStyle w:val="Strong"/>
        </w:rPr>
        <w:t>broadcasting</w:t>
      </w:r>
      <w:r w:rsidRPr="000177D7">
        <w:t xml:space="preserve"> sub</w:t>
      </w:r>
      <w:r w:rsidR="008D4F6B">
        <w:noBreakHyphen/>
      </w:r>
      <w:r w:rsidRPr="000177D7">
        <w:t>function.</w:t>
      </w:r>
    </w:p>
    <w:p w14:paraId="60B22699" w14:textId="7B03A8FA" w:rsidR="006D7D7D" w:rsidRDefault="008D447A" w:rsidP="006D7D7D">
      <w:pPr>
        <w:pStyle w:val="TableHeading"/>
        <w:rPr>
          <w:rFonts w:asciiTheme="minorHAnsi" w:eastAsiaTheme="minorHAnsi" w:hAnsiTheme="minorHAnsi" w:cstheme="minorBidi"/>
          <w:sz w:val="22"/>
          <w:szCs w:val="22"/>
          <w:lang w:eastAsia="en-US"/>
        </w:rPr>
      </w:pPr>
      <w:r>
        <w:t>Table </w:t>
      </w:r>
      <w:r w:rsidRPr="000177D7">
        <w:t xml:space="preserve">6.11.1: Trends in the major components of </w:t>
      </w:r>
      <w:r>
        <w:t xml:space="preserve">the </w:t>
      </w:r>
      <w:r w:rsidRPr="000177D7">
        <w:t>broadcasting sub</w:t>
      </w:r>
      <w:r w:rsidR="008D4F6B">
        <w:noBreakHyphen/>
      </w:r>
      <w:r w:rsidRPr="000177D7">
        <w:t xml:space="preserve">function </w:t>
      </w:r>
      <w:r w:rsidRPr="00EC5412">
        <w:t>expense</w:t>
      </w:r>
    </w:p>
    <w:tbl>
      <w:tblPr>
        <w:tblW w:w="5000" w:type="pct"/>
        <w:tblCellMar>
          <w:left w:w="0" w:type="dxa"/>
          <w:right w:w="28" w:type="dxa"/>
        </w:tblCellMar>
        <w:tblLook w:val="04A0" w:firstRow="1" w:lastRow="0" w:firstColumn="1" w:lastColumn="0" w:noHBand="0" w:noVBand="1"/>
      </w:tblPr>
      <w:tblGrid>
        <w:gridCol w:w="3366"/>
        <w:gridCol w:w="105"/>
        <w:gridCol w:w="848"/>
        <w:gridCol w:w="848"/>
        <w:gridCol w:w="848"/>
        <w:gridCol w:w="848"/>
        <w:gridCol w:w="847"/>
      </w:tblGrid>
      <w:tr w:rsidR="006D7D7D" w:rsidRPr="006D7D7D" w14:paraId="778B4143" w14:textId="77777777" w:rsidTr="006D7D7D">
        <w:trPr>
          <w:trHeight w:hRule="exact" w:val="20"/>
        </w:trPr>
        <w:tc>
          <w:tcPr>
            <w:tcW w:w="2183" w:type="pct"/>
            <w:tcBorders>
              <w:top w:val="nil"/>
              <w:left w:val="nil"/>
              <w:bottom w:val="single" w:sz="4" w:space="0" w:color="293F5B"/>
              <w:right w:val="nil"/>
            </w:tcBorders>
            <w:shd w:val="clear" w:color="000000" w:fill="FFFFFF"/>
            <w:noWrap/>
            <w:vAlign w:val="center"/>
            <w:hideMark/>
          </w:tcPr>
          <w:p w14:paraId="4C831AFF" w14:textId="5556095D" w:rsidR="006D7D7D" w:rsidRPr="006D7D7D" w:rsidRDefault="006D7D7D" w:rsidP="006D7D7D">
            <w:pPr>
              <w:spacing w:before="0" w:after="0" w:line="240" w:lineRule="auto"/>
              <w:rPr>
                <w:rFonts w:ascii="Arial" w:hAnsi="Arial" w:cs="Arial"/>
                <w:b/>
                <w:bCs/>
                <w:color w:val="000000"/>
                <w:sz w:val="16"/>
                <w:szCs w:val="16"/>
              </w:rPr>
            </w:pPr>
            <w:r w:rsidRPr="006D7D7D">
              <w:rPr>
                <w:rFonts w:ascii="Arial" w:hAnsi="Arial" w:cs="Arial"/>
                <w:b/>
                <w:bCs/>
                <w:color w:val="000000"/>
                <w:sz w:val="16"/>
                <w:szCs w:val="16"/>
              </w:rPr>
              <w:t> </w:t>
            </w:r>
          </w:p>
        </w:tc>
        <w:tc>
          <w:tcPr>
            <w:tcW w:w="68" w:type="pct"/>
            <w:tcBorders>
              <w:top w:val="nil"/>
              <w:left w:val="nil"/>
              <w:bottom w:val="single" w:sz="4" w:space="0" w:color="293F5B"/>
              <w:right w:val="nil"/>
            </w:tcBorders>
            <w:shd w:val="clear" w:color="000000" w:fill="FFFFFF"/>
            <w:noWrap/>
            <w:vAlign w:val="center"/>
            <w:hideMark/>
          </w:tcPr>
          <w:p w14:paraId="5CAF8F96" w14:textId="77777777" w:rsidR="006D7D7D" w:rsidRPr="006D7D7D" w:rsidRDefault="006D7D7D" w:rsidP="006D7D7D">
            <w:pPr>
              <w:spacing w:before="0" w:after="0" w:line="240" w:lineRule="auto"/>
              <w:rPr>
                <w:rFonts w:ascii="Arial" w:hAnsi="Arial" w:cs="Arial"/>
                <w:b/>
                <w:bCs/>
                <w:color w:val="000000"/>
                <w:sz w:val="16"/>
                <w:szCs w:val="16"/>
              </w:rPr>
            </w:pPr>
            <w:r w:rsidRPr="006D7D7D">
              <w:rPr>
                <w:rFonts w:ascii="Arial" w:hAnsi="Arial" w:cs="Arial"/>
                <w:b/>
                <w:bCs/>
                <w:color w:val="000000"/>
                <w:sz w:val="16"/>
                <w:szCs w:val="16"/>
              </w:rPr>
              <w:t> </w:t>
            </w:r>
          </w:p>
        </w:tc>
        <w:tc>
          <w:tcPr>
            <w:tcW w:w="550" w:type="pct"/>
            <w:tcBorders>
              <w:top w:val="nil"/>
              <w:left w:val="nil"/>
              <w:bottom w:val="single" w:sz="4" w:space="0" w:color="293F5B"/>
              <w:right w:val="nil"/>
            </w:tcBorders>
            <w:shd w:val="clear" w:color="000000" w:fill="FFFFFF"/>
            <w:noWrap/>
            <w:vAlign w:val="center"/>
            <w:hideMark/>
          </w:tcPr>
          <w:p w14:paraId="56245D5C" w14:textId="77777777" w:rsidR="006D7D7D" w:rsidRPr="006D7D7D" w:rsidRDefault="006D7D7D" w:rsidP="006D7D7D">
            <w:pPr>
              <w:spacing w:before="0" w:after="0" w:line="240" w:lineRule="auto"/>
              <w:rPr>
                <w:rFonts w:ascii="Arial" w:hAnsi="Arial" w:cs="Arial"/>
                <w:color w:val="000000"/>
                <w:sz w:val="16"/>
                <w:szCs w:val="16"/>
              </w:rPr>
            </w:pPr>
            <w:r w:rsidRPr="006D7D7D">
              <w:rPr>
                <w:rFonts w:ascii="Arial" w:hAnsi="Arial" w:cs="Arial"/>
                <w:color w:val="000000"/>
                <w:sz w:val="16"/>
                <w:szCs w:val="16"/>
              </w:rPr>
              <w:t> </w:t>
            </w:r>
          </w:p>
        </w:tc>
        <w:tc>
          <w:tcPr>
            <w:tcW w:w="550" w:type="pct"/>
            <w:tcBorders>
              <w:top w:val="nil"/>
              <w:left w:val="nil"/>
              <w:bottom w:val="single" w:sz="4" w:space="0" w:color="293F5B"/>
              <w:right w:val="nil"/>
            </w:tcBorders>
            <w:shd w:val="clear" w:color="000000" w:fill="FFFFFF"/>
            <w:noWrap/>
            <w:vAlign w:val="center"/>
            <w:hideMark/>
          </w:tcPr>
          <w:p w14:paraId="4C1E7387" w14:textId="77777777" w:rsidR="006D7D7D" w:rsidRPr="006D7D7D" w:rsidRDefault="006D7D7D" w:rsidP="006D7D7D">
            <w:pPr>
              <w:spacing w:before="0" w:after="0" w:line="240" w:lineRule="auto"/>
              <w:rPr>
                <w:rFonts w:ascii="Arial" w:hAnsi="Arial" w:cs="Arial"/>
                <w:color w:val="000000"/>
                <w:sz w:val="16"/>
                <w:szCs w:val="16"/>
              </w:rPr>
            </w:pPr>
            <w:r w:rsidRPr="006D7D7D">
              <w:rPr>
                <w:rFonts w:ascii="Arial" w:hAnsi="Arial" w:cs="Arial"/>
                <w:color w:val="000000"/>
                <w:sz w:val="16"/>
                <w:szCs w:val="16"/>
              </w:rPr>
              <w:t> </w:t>
            </w:r>
          </w:p>
        </w:tc>
        <w:tc>
          <w:tcPr>
            <w:tcW w:w="550" w:type="pct"/>
            <w:tcBorders>
              <w:top w:val="nil"/>
              <w:left w:val="nil"/>
              <w:bottom w:val="single" w:sz="4" w:space="0" w:color="293F5B"/>
              <w:right w:val="nil"/>
            </w:tcBorders>
            <w:shd w:val="clear" w:color="000000" w:fill="FFFFFF"/>
            <w:noWrap/>
            <w:vAlign w:val="center"/>
            <w:hideMark/>
          </w:tcPr>
          <w:p w14:paraId="4742EB78" w14:textId="77777777" w:rsidR="006D7D7D" w:rsidRPr="006D7D7D" w:rsidRDefault="006D7D7D" w:rsidP="006D7D7D">
            <w:pPr>
              <w:spacing w:before="0" w:after="0" w:line="240" w:lineRule="auto"/>
              <w:rPr>
                <w:rFonts w:ascii="Arial" w:hAnsi="Arial" w:cs="Arial"/>
                <w:color w:val="000000"/>
                <w:sz w:val="16"/>
                <w:szCs w:val="16"/>
              </w:rPr>
            </w:pPr>
            <w:r w:rsidRPr="006D7D7D">
              <w:rPr>
                <w:rFonts w:ascii="Arial" w:hAnsi="Arial" w:cs="Arial"/>
                <w:color w:val="000000"/>
                <w:sz w:val="16"/>
                <w:szCs w:val="16"/>
              </w:rPr>
              <w:t> </w:t>
            </w:r>
          </w:p>
        </w:tc>
        <w:tc>
          <w:tcPr>
            <w:tcW w:w="550" w:type="pct"/>
            <w:tcBorders>
              <w:top w:val="nil"/>
              <w:left w:val="nil"/>
              <w:bottom w:val="single" w:sz="4" w:space="0" w:color="293F5B"/>
              <w:right w:val="nil"/>
            </w:tcBorders>
            <w:shd w:val="clear" w:color="000000" w:fill="FFFFFF"/>
            <w:noWrap/>
            <w:vAlign w:val="center"/>
            <w:hideMark/>
          </w:tcPr>
          <w:p w14:paraId="6D5023DF" w14:textId="77777777" w:rsidR="006D7D7D" w:rsidRPr="006D7D7D" w:rsidRDefault="006D7D7D" w:rsidP="006D7D7D">
            <w:pPr>
              <w:spacing w:before="0" w:after="0" w:line="240" w:lineRule="auto"/>
              <w:rPr>
                <w:rFonts w:ascii="Arial" w:hAnsi="Arial" w:cs="Arial"/>
                <w:color w:val="000000"/>
                <w:sz w:val="16"/>
                <w:szCs w:val="16"/>
              </w:rPr>
            </w:pPr>
            <w:r w:rsidRPr="006D7D7D">
              <w:rPr>
                <w:rFonts w:ascii="Arial" w:hAnsi="Arial" w:cs="Arial"/>
                <w:color w:val="000000"/>
                <w:sz w:val="16"/>
                <w:szCs w:val="16"/>
              </w:rPr>
              <w:t> </w:t>
            </w:r>
          </w:p>
        </w:tc>
        <w:tc>
          <w:tcPr>
            <w:tcW w:w="550" w:type="pct"/>
            <w:tcBorders>
              <w:top w:val="nil"/>
              <w:left w:val="nil"/>
              <w:bottom w:val="single" w:sz="4" w:space="0" w:color="293F5B"/>
              <w:right w:val="nil"/>
            </w:tcBorders>
            <w:shd w:val="clear" w:color="000000" w:fill="FFFFFF"/>
            <w:noWrap/>
            <w:vAlign w:val="center"/>
            <w:hideMark/>
          </w:tcPr>
          <w:p w14:paraId="367D1494" w14:textId="77777777" w:rsidR="006D7D7D" w:rsidRPr="006D7D7D" w:rsidRDefault="006D7D7D" w:rsidP="006D7D7D">
            <w:pPr>
              <w:spacing w:before="0" w:after="0" w:line="240" w:lineRule="auto"/>
              <w:rPr>
                <w:rFonts w:ascii="Arial" w:hAnsi="Arial" w:cs="Arial"/>
                <w:color w:val="000000"/>
                <w:sz w:val="16"/>
                <w:szCs w:val="16"/>
              </w:rPr>
            </w:pPr>
            <w:r w:rsidRPr="006D7D7D">
              <w:rPr>
                <w:rFonts w:ascii="Arial" w:hAnsi="Arial" w:cs="Arial"/>
                <w:color w:val="000000"/>
                <w:sz w:val="16"/>
                <w:szCs w:val="16"/>
              </w:rPr>
              <w:t> </w:t>
            </w:r>
          </w:p>
        </w:tc>
      </w:tr>
      <w:tr w:rsidR="006D7D7D" w:rsidRPr="006D7D7D" w14:paraId="7AA44C51" w14:textId="77777777" w:rsidTr="00B64BD4">
        <w:trPr>
          <w:trHeight w:hRule="exact" w:val="226"/>
        </w:trPr>
        <w:tc>
          <w:tcPr>
            <w:tcW w:w="2183" w:type="pct"/>
            <w:tcBorders>
              <w:top w:val="nil"/>
              <w:left w:val="nil"/>
              <w:bottom w:val="nil"/>
              <w:right w:val="nil"/>
            </w:tcBorders>
            <w:shd w:val="clear" w:color="000000" w:fill="FFFFFF"/>
            <w:noWrap/>
            <w:vAlign w:val="center"/>
            <w:hideMark/>
          </w:tcPr>
          <w:p w14:paraId="34539CD4" w14:textId="77777777" w:rsidR="006D7D7D" w:rsidRPr="006D7D7D" w:rsidRDefault="006D7D7D" w:rsidP="006D7D7D">
            <w:pPr>
              <w:spacing w:before="0" w:after="0" w:line="240" w:lineRule="auto"/>
              <w:rPr>
                <w:rFonts w:ascii="Arial" w:hAnsi="Arial" w:cs="Arial"/>
                <w:b/>
                <w:bCs/>
                <w:color w:val="000000"/>
                <w:sz w:val="16"/>
                <w:szCs w:val="16"/>
              </w:rPr>
            </w:pPr>
            <w:r w:rsidRPr="006D7D7D">
              <w:rPr>
                <w:rFonts w:ascii="Arial" w:hAnsi="Arial" w:cs="Arial"/>
                <w:b/>
                <w:bCs/>
                <w:color w:val="000000"/>
                <w:sz w:val="16"/>
                <w:szCs w:val="16"/>
              </w:rPr>
              <w:t>Component(a)</w:t>
            </w:r>
          </w:p>
        </w:tc>
        <w:tc>
          <w:tcPr>
            <w:tcW w:w="68" w:type="pct"/>
            <w:tcBorders>
              <w:top w:val="nil"/>
              <w:left w:val="nil"/>
              <w:bottom w:val="nil"/>
              <w:right w:val="nil"/>
            </w:tcBorders>
            <w:shd w:val="clear" w:color="000000" w:fill="FFFFFF"/>
            <w:noWrap/>
            <w:vAlign w:val="center"/>
            <w:hideMark/>
          </w:tcPr>
          <w:p w14:paraId="06B443AA" w14:textId="77777777" w:rsidR="006D7D7D" w:rsidRPr="006D7D7D" w:rsidRDefault="006D7D7D" w:rsidP="006D7D7D">
            <w:pPr>
              <w:spacing w:before="0" w:after="0" w:line="240" w:lineRule="auto"/>
              <w:rPr>
                <w:rFonts w:ascii="Arial" w:hAnsi="Arial" w:cs="Arial"/>
                <w:color w:val="000000"/>
                <w:sz w:val="16"/>
                <w:szCs w:val="16"/>
              </w:rPr>
            </w:pPr>
            <w:r w:rsidRPr="006D7D7D">
              <w:rPr>
                <w:rFonts w:ascii="Arial" w:hAnsi="Arial" w:cs="Arial"/>
                <w:color w:val="000000"/>
                <w:sz w:val="16"/>
                <w:szCs w:val="16"/>
              </w:rPr>
              <w:t> </w:t>
            </w:r>
          </w:p>
        </w:tc>
        <w:tc>
          <w:tcPr>
            <w:tcW w:w="2748" w:type="pct"/>
            <w:gridSpan w:val="5"/>
            <w:tcBorders>
              <w:top w:val="single" w:sz="4" w:space="0" w:color="293F5B"/>
              <w:left w:val="nil"/>
              <w:bottom w:val="single" w:sz="4" w:space="0" w:color="293F5B"/>
              <w:right w:val="nil"/>
            </w:tcBorders>
            <w:shd w:val="clear" w:color="000000" w:fill="FFFFFF"/>
            <w:noWrap/>
            <w:vAlign w:val="center"/>
            <w:hideMark/>
          </w:tcPr>
          <w:p w14:paraId="4C9491A5" w14:textId="77777777" w:rsidR="006D7D7D" w:rsidRPr="006D7D7D" w:rsidRDefault="006D7D7D" w:rsidP="006D7D7D">
            <w:pPr>
              <w:spacing w:before="0" w:after="0" w:line="240" w:lineRule="auto"/>
              <w:jc w:val="center"/>
              <w:rPr>
                <w:rFonts w:ascii="Arial" w:hAnsi="Arial" w:cs="Arial"/>
                <w:color w:val="000000"/>
                <w:sz w:val="16"/>
                <w:szCs w:val="16"/>
              </w:rPr>
            </w:pPr>
            <w:r w:rsidRPr="006D7D7D">
              <w:rPr>
                <w:rFonts w:ascii="Arial" w:hAnsi="Arial" w:cs="Arial"/>
                <w:color w:val="000000"/>
                <w:sz w:val="16"/>
                <w:szCs w:val="16"/>
              </w:rPr>
              <w:t>Estimates</w:t>
            </w:r>
          </w:p>
        </w:tc>
      </w:tr>
      <w:tr w:rsidR="006D7D7D" w:rsidRPr="006D7D7D" w14:paraId="18AC2DD0" w14:textId="77777777" w:rsidTr="006D7D7D">
        <w:trPr>
          <w:trHeight w:hRule="exact" w:val="226"/>
        </w:trPr>
        <w:tc>
          <w:tcPr>
            <w:tcW w:w="2183" w:type="pct"/>
            <w:tcBorders>
              <w:top w:val="nil"/>
              <w:left w:val="nil"/>
              <w:bottom w:val="nil"/>
              <w:right w:val="nil"/>
            </w:tcBorders>
            <w:shd w:val="clear" w:color="000000" w:fill="FFFFFF"/>
            <w:noWrap/>
            <w:vAlign w:val="bottom"/>
            <w:hideMark/>
          </w:tcPr>
          <w:p w14:paraId="0C10B66A" w14:textId="77777777" w:rsidR="006D7D7D" w:rsidRPr="006D7D7D" w:rsidRDefault="006D7D7D" w:rsidP="006D7D7D">
            <w:pPr>
              <w:spacing w:before="0" w:after="0" w:line="240" w:lineRule="auto"/>
              <w:rPr>
                <w:rFonts w:ascii="Arial" w:hAnsi="Arial" w:cs="Arial"/>
                <w:color w:val="000000"/>
                <w:sz w:val="16"/>
                <w:szCs w:val="16"/>
              </w:rPr>
            </w:pPr>
            <w:r w:rsidRPr="006D7D7D">
              <w:rPr>
                <w:rFonts w:ascii="Arial" w:hAnsi="Arial" w:cs="Arial"/>
                <w:color w:val="000000"/>
                <w:sz w:val="16"/>
                <w:szCs w:val="16"/>
              </w:rPr>
              <w:t> </w:t>
            </w:r>
          </w:p>
        </w:tc>
        <w:tc>
          <w:tcPr>
            <w:tcW w:w="68" w:type="pct"/>
            <w:tcBorders>
              <w:top w:val="nil"/>
              <w:left w:val="nil"/>
              <w:bottom w:val="nil"/>
              <w:right w:val="nil"/>
            </w:tcBorders>
            <w:shd w:val="clear" w:color="000000" w:fill="FFFFFF"/>
            <w:noWrap/>
            <w:vAlign w:val="center"/>
            <w:hideMark/>
          </w:tcPr>
          <w:p w14:paraId="7832C510" w14:textId="77777777" w:rsidR="006D7D7D" w:rsidRPr="006D7D7D" w:rsidRDefault="006D7D7D" w:rsidP="006D7D7D">
            <w:pPr>
              <w:spacing w:before="0" w:after="0" w:line="240" w:lineRule="auto"/>
              <w:jc w:val="right"/>
              <w:rPr>
                <w:rFonts w:ascii="Arial" w:hAnsi="Arial" w:cs="Arial"/>
                <w:sz w:val="16"/>
                <w:szCs w:val="16"/>
              </w:rPr>
            </w:pPr>
            <w:r w:rsidRPr="006D7D7D">
              <w:rPr>
                <w:rFonts w:ascii="Arial" w:hAnsi="Arial" w:cs="Arial"/>
                <w:sz w:val="16"/>
                <w:szCs w:val="16"/>
              </w:rPr>
              <w:t> </w:t>
            </w:r>
          </w:p>
        </w:tc>
        <w:tc>
          <w:tcPr>
            <w:tcW w:w="550" w:type="pct"/>
            <w:tcBorders>
              <w:top w:val="single" w:sz="4" w:space="0" w:color="293F5B"/>
              <w:left w:val="nil"/>
              <w:bottom w:val="nil"/>
              <w:right w:val="nil"/>
            </w:tcBorders>
            <w:shd w:val="clear" w:color="000000" w:fill="FFFFFF"/>
            <w:noWrap/>
            <w:vAlign w:val="center"/>
            <w:hideMark/>
          </w:tcPr>
          <w:p w14:paraId="4EBEFEBB" w14:textId="6EF894F6" w:rsidR="006D7D7D" w:rsidRPr="006D7D7D" w:rsidRDefault="006D7D7D" w:rsidP="006D7D7D">
            <w:pPr>
              <w:spacing w:before="0" w:after="0" w:line="240" w:lineRule="auto"/>
              <w:jc w:val="right"/>
              <w:rPr>
                <w:rFonts w:ascii="Arial" w:hAnsi="Arial" w:cs="Arial"/>
                <w:sz w:val="16"/>
                <w:szCs w:val="16"/>
              </w:rPr>
            </w:pPr>
            <w:r w:rsidRPr="006D7D7D">
              <w:rPr>
                <w:rFonts w:ascii="Arial" w:hAnsi="Arial" w:cs="Arial"/>
                <w:sz w:val="16"/>
                <w:szCs w:val="16"/>
              </w:rPr>
              <w:t>2023</w:t>
            </w:r>
            <w:r w:rsidR="008D4F6B">
              <w:rPr>
                <w:rFonts w:ascii="Arial" w:hAnsi="Arial" w:cs="Arial"/>
                <w:sz w:val="16"/>
                <w:szCs w:val="16"/>
              </w:rPr>
              <w:noBreakHyphen/>
            </w:r>
            <w:r w:rsidRPr="006D7D7D">
              <w:rPr>
                <w:rFonts w:ascii="Arial" w:hAnsi="Arial" w:cs="Arial"/>
                <w:sz w:val="16"/>
                <w:szCs w:val="16"/>
              </w:rPr>
              <w:t>24</w:t>
            </w:r>
          </w:p>
        </w:tc>
        <w:tc>
          <w:tcPr>
            <w:tcW w:w="550" w:type="pct"/>
            <w:tcBorders>
              <w:top w:val="single" w:sz="4" w:space="0" w:color="293F5B"/>
              <w:left w:val="nil"/>
              <w:bottom w:val="nil"/>
              <w:right w:val="nil"/>
            </w:tcBorders>
            <w:shd w:val="clear" w:color="000000" w:fill="E6F2FF"/>
            <w:noWrap/>
            <w:vAlign w:val="center"/>
            <w:hideMark/>
          </w:tcPr>
          <w:p w14:paraId="103F38F5" w14:textId="7264D37A" w:rsidR="006D7D7D" w:rsidRPr="006D7D7D" w:rsidRDefault="006D7D7D" w:rsidP="006D7D7D">
            <w:pPr>
              <w:spacing w:before="0" w:after="0" w:line="240" w:lineRule="auto"/>
              <w:jc w:val="right"/>
              <w:rPr>
                <w:rFonts w:ascii="Arial" w:hAnsi="Arial" w:cs="Arial"/>
                <w:sz w:val="16"/>
                <w:szCs w:val="16"/>
              </w:rPr>
            </w:pPr>
            <w:r w:rsidRPr="006D7D7D">
              <w:rPr>
                <w:rFonts w:ascii="Arial" w:hAnsi="Arial" w:cs="Arial"/>
                <w:sz w:val="16"/>
                <w:szCs w:val="16"/>
              </w:rPr>
              <w:t>2024</w:t>
            </w:r>
            <w:r w:rsidR="008D4F6B">
              <w:rPr>
                <w:rFonts w:ascii="Arial" w:hAnsi="Arial" w:cs="Arial"/>
                <w:sz w:val="16"/>
                <w:szCs w:val="16"/>
              </w:rPr>
              <w:noBreakHyphen/>
            </w:r>
            <w:r w:rsidRPr="006D7D7D">
              <w:rPr>
                <w:rFonts w:ascii="Arial" w:hAnsi="Arial" w:cs="Arial"/>
                <w:sz w:val="16"/>
                <w:szCs w:val="16"/>
              </w:rPr>
              <w:t>25</w:t>
            </w:r>
          </w:p>
        </w:tc>
        <w:tc>
          <w:tcPr>
            <w:tcW w:w="550" w:type="pct"/>
            <w:tcBorders>
              <w:top w:val="single" w:sz="4" w:space="0" w:color="293F5B"/>
              <w:left w:val="nil"/>
              <w:bottom w:val="nil"/>
              <w:right w:val="nil"/>
            </w:tcBorders>
            <w:shd w:val="clear" w:color="000000" w:fill="FFFFFF"/>
            <w:noWrap/>
            <w:vAlign w:val="center"/>
            <w:hideMark/>
          </w:tcPr>
          <w:p w14:paraId="6478CD7E" w14:textId="47136587" w:rsidR="006D7D7D" w:rsidRPr="006D7D7D" w:rsidRDefault="006D7D7D" w:rsidP="006D7D7D">
            <w:pPr>
              <w:spacing w:before="0" w:after="0" w:line="240" w:lineRule="auto"/>
              <w:jc w:val="right"/>
              <w:rPr>
                <w:rFonts w:ascii="Arial" w:hAnsi="Arial" w:cs="Arial"/>
                <w:sz w:val="16"/>
                <w:szCs w:val="16"/>
              </w:rPr>
            </w:pPr>
            <w:r w:rsidRPr="006D7D7D">
              <w:rPr>
                <w:rFonts w:ascii="Arial" w:hAnsi="Arial" w:cs="Arial"/>
                <w:sz w:val="16"/>
                <w:szCs w:val="16"/>
              </w:rPr>
              <w:t>2025</w:t>
            </w:r>
            <w:r w:rsidR="008D4F6B">
              <w:rPr>
                <w:rFonts w:ascii="Arial" w:hAnsi="Arial" w:cs="Arial"/>
                <w:sz w:val="16"/>
                <w:szCs w:val="16"/>
              </w:rPr>
              <w:noBreakHyphen/>
            </w:r>
            <w:r w:rsidRPr="006D7D7D">
              <w:rPr>
                <w:rFonts w:ascii="Arial" w:hAnsi="Arial" w:cs="Arial"/>
                <w:sz w:val="16"/>
                <w:szCs w:val="16"/>
              </w:rPr>
              <w:t>26</w:t>
            </w:r>
          </w:p>
        </w:tc>
        <w:tc>
          <w:tcPr>
            <w:tcW w:w="550" w:type="pct"/>
            <w:tcBorders>
              <w:top w:val="single" w:sz="4" w:space="0" w:color="293F5B"/>
              <w:left w:val="nil"/>
              <w:bottom w:val="nil"/>
              <w:right w:val="nil"/>
            </w:tcBorders>
            <w:shd w:val="clear" w:color="000000" w:fill="FFFFFF"/>
            <w:noWrap/>
            <w:vAlign w:val="center"/>
            <w:hideMark/>
          </w:tcPr>
          <w:p w14:paraId="09704759" w14:textId="5BED4A24" w:rsidR="006D7D7D" w:rsidRPr="006D7D7D" w:rsidRDefault="006D7D7D" w:rsidP="006D7D7D">
            <w:pPr>
              <w:spacing w:before="0" w:after="0" w:line="240" w:lineRule="auto"/>
              <w:jc w:val="right"/>
              <w:rPr>
                <w:rFonts w:ascii="Arial" w:hAnsi="Arial" w:cs="Arial"/>
                <w:sz w:val="16"/>
                <w:szCs w:val="16"/>
              </w:rPr>
            </w:pPr>
            <w:r w:rsidRPr="006D7D7D">
              <w:rPr>
                <w:rFonts w:ascii="Arial" w:hAnsi="Arial" w:cs="Arial"/>
                <w:sz w:val="16"/>
                <w:szCs w:val="16"/>
              </w:rPr>
              <w:t>2026</w:t>
            </w:r>
            <w:r w:rsidR="008D4F6B">
              <w:rPr>
                <w:rFonts w:ascii="Arial" w:hAnsi="Arial" w:cs="Arial"/>
                <w:sz w:val="16"/>
                <w:szCs w:val="16"/>
              </w:rPr>
              <w:noBreakHyphen/>
            </w:r>
            <w:r w:rsidRPr="006D7D7D">
              <w:rPr>
                <w:rFonts w:ascii="Arial" w:hAnsi="Arial" w:cs="Arial"/>
                <w:sz w:val="16"/>
                <w:szCs w:val="16"/>
              </w:rPr>
              <w:t>27</w:t>
            </w:r>
          </w:p>
        </w:tc>
        <w:tc>
          <w:tcPr>
            <w:tcW w:w="550" w:type="pct"/>
            <w:tcBorders>
              <w:top w:val="single" w:sz="4" w:space="0" w:color="293F5B"/>
              <w:left w:val="nil"/>
              <w:bottom w:val="nil"/>
              <w:right w:val="nil"/>
            </w:tcBorders>
            <w:shd w:val="clear" w:color="000000" w:fill="FFFFFF"/>
            <w:noWrap/>
            <w:vAlign w:val="center"/>
            <w:hideMark/>
          </w:tcPr>
          <w:p w14:paraId="336DDC60" w14:textId="3A0C7C80" w:rsidR="006D7D7D" w:rsidRPr="006D7D7D" w:rsidRDefault="006D7D7D" w:rsidP="006D7D7D">
            <w:pPr>
              <w:spacing w:before="0" w:after="0" w:line="240" w:lineRule="auto"/>
              <w:jc w:val="right"/>
              <w:rPr>
                <w:rFonts w:ascii="Arial" w:hAnsi="Arial" w:cs="Arial"/>
                <w:color w:val="000000"/>
                <w:sz w:val="16"/>
                <w:szCs w:val="16"/>
              </w:rPr>
            </w:pPr>
            <w:r w:rsidRPr="006D7D7D">
              <w:rPr>
                <w:rFonts w:ascii="Arial" w:hAnsi="Arial" w:cs="Arial"/>
                <w:color w:val="000000"/>
                <w:sz w:val="16"/>
                <w:szCs w:val="16"/>
              </w:rPr>
              <w:t>2027</w:t>
            </w:r>
            <w:r w:rsidR="008D4F6B">
              <w:rPr>
                <w:rFonts w:ascii="Arial" w:hAnsi="Arial" w:cs="Arial"/>
                <w:color w:val="000000"/>
                <w:sz w:val="16"/>
                <w:szCs w:val="16"/>
              </w:rPr>
              <w:noBreakHyphen/>
            </w:r>
            <w:r w:rsidRPr="006D7D7D">
              <w:rPr>
                <w:rFonts w:ascii="Arial" w:hAnsi="Arial" w:cs="Arial"/>
                <w:color w:val="000000"/>
                <w:sz w:val="16"/>
                <w:szCs w:val="16"/>
              </w:rPr>
              <w:t>28</w:t>
            </w:r>
          </w:p>
        </w:tc>
      </w:tr>
      <w:tr w:rsidR="006D7D7D" w:rsidRPr="006D7D7D" w14:paraId="7DF6DD44" w14:textId="77777777" w:rsidTr="006D7D7D">
        <w:trPr>
          <w:trHeight w:hRule="exact" w:val="226"/>
        </w:trPr>
        <w:tc>
          <w:tcPr>
            <w:tcW w:w="2183" w:type="pct"/>
            <w:tcBorders>
              <w:top w:val="nil"/>
              <w:left w:val="nil"/>
              <w:bottom w:val="nil"/>
              <w:right w:val="nil"/>
            </w:tcBorders>
            <w:shd w:val="clear" w:color="000000" w:fill="FFFFFF"/>
            <w:noWrap/>
            <w:vAlign w:val="center"/>
            <w:hideMark/>
          </w:tcPr>
          <w:p w14:paraId="20663D5C" w14:textId="77777777" w:rsidR="006D7D7D" w:rsidRPr="006D7D7D" w:rsidRDefault="006D7D7D" w:rsidP="006D7D7D">
            <w:pPr>
              <w:spacing w:before="0" w:after="0" w:line="240" w:lineRule="auto"/>
              <w:rPr>
                <w:rFonts w:ascii="Arial" w:hAnsi="Arial" w:cs="Arial"/>
                <w:color w:val="000000"/>
                <w:sz w:val="16"/>
                <w:szCs w:val="16"/>
              </w:rPr>
            </w:pPr>
            <w:r w:rsidRPr="006D7D7D">
              <w:rPr>
                <w:rFonts w:ascii="Arial" w:hAnsi="Arial" w:cs="Arial"/>
                <w:color w:val="000000"/>
                <w:sz w:val="16"/>
                <w:szCs w:val="16"/>
              </w:rPr>
              <w:t> </w:t>
            </w:r>
          </w:p>
        </w:tc>
        <w:tc>
          <w:tcPr>
            <w:tcW w:w="68" w:type="pct"/>
            <w:tcBorders>
              <w:top w:val="nil"/>
              <w:left w:val="nil"/>
              <w:bottom w:val="nil"/>
              <w:right w:val="nil"/>
            </w:tcBorders>
            <w:shd w:val="clear" w:color="000000" w:fill="FFFFFF"/>
            <w:noWrap/>
            <w:vAlign w:val="center"/>
            <w:hideMark/>
          </w:tcPr>
          <w:p w14:paraId="0D4CC020" w14:textId="77777777" w:rsidR="006D7D7D" w:rsidRPr="006D7D7D" w:rsidRDefault="006D7D7D" w:rsidP="006D7D7D">
            <w:pPr>
              <w:spacing w:before="0" w:after="0" w:line="240" w:lineRule="auto"/>
              <w:jc w:val="right"/>
              <w:rPr>
                <w:rFonts w:ascii="Arial" w:hAnsi="Arial" w:cs="Arial"/>
                <w:color w:val="000000"/>
                <w:sz w:val="16"/>
                <w:szCs w:val="16"/>
              </w:rPr>
            </w:pPr>
            <w:r w:rsidRPr="006D7D7D">
              <w:rPr>
                <w:rFonts w:ascii="Arial" w:hAnsi="Arial" w:cs="Arial"/>
                <w:color w:val="000000"/>
                <w:sz w:val="16"/>
                <w:szCs w:val="16"/>
              </w:rPr>
              <w:t> </w:t>
            </w:r>
          </w:p>
        </w:tc>
        <w:tc>
          <w:tcPr>
            <w:tcW w:w="550" w:type="pct"/>
            <w:tcBorders>
              <w:top w:val="nil"/>
              <w:left w:val="nil"/>
              <w:bottom w:val="single" w:sz="4" w:space="0" w:color="293F5B"/>
              <w:right w:val="nil"/>
            </w:tcBorders>
            <w:shd w:val="clear" w:color="000000" w:fill="FFFFFF"/>
            <w:noWrap/>
            <w:vAlign w:val="center"/>
            <w:hideMark/>
          </w:tcPr>
          <w:p w14:paraId="54734CF6" w14:textId="77777777" w:rsidR="006D7D7D" w:rsidRPr="006D7D7D" w:rsidRDefault="006D7D7D" w:rsidP="006D7D7D">
            <w:pPr>
              <w:spacing w:before="0" w:after="0" w:line="240" w:lineRule="auto"/>
              <w:jc w:val="right"/>
              <w:rPr>
                <w:rFonts w:ascii="Arial" w:hAnsi="Arial" w:cs="Arial"/>
                <w:color w:val="000000"/>
                <w:sz w:val="16"/>
                <w:szCs w:val="16"/>
              </w:rPr>
            </w:pPr>
            <w:r w:rsidRPr="006D7D7D">
              <w:rPr>
                <w:rFonts w:ascii="Arial" w:hAnsi="Arial" w:cs="Arial"/>
                <w:color w:val="000000"/>
                <w:sz w:val="16"/>
                <w:szCs w:val="16"/>
              </w:rPr>
              <w:t>$m</w:t>
            </w:r>
          </w:p>
        </w:tc>
        <w:tc>
          <w:tcPr>
            <w:tcW w:w="550" w:type="pct"/>
            <w:tcBorders>
              <w:top w:val="nil"/>
              <w:left w:val="nil"/>
              <w:bottom w:val="single" w:sz="4" w:space="0" w:color="293F5B"/>
              <w:right w:val="nil"/>
            </w:tcBorders>
            <w:shd w:val="clear" w:color="000000" w:fill="E6F2FF"/>
            <w:noWrap/>
            <w:vAlign w:val="center"/>
            <w:hideMark/>
          </w:tcPr>
          <w:p w14:paraId="665C6231" w14:textId="77777777" w:rsidR="006D7D7D" w:rsidRPr="006D7D7D" w:rsidRDefault="006D7D7D" w:rsidP="006D7D7D">
            <w:pPr>
              <w:spacing w:before="0" w:after="0" w:line="240" w:lineRule="auto"/>
              <w:jc w:val="right"/>
              <w:rPr>
                <w:rFonts w:ascii="Arial" w:hAnsi="Arial" w:cs="Arial"/>
                <w:color w:val="000000"/>
                <w:sz w:val="16"/>
                <w:szCs w:val="16"/>
              </w:rPr>
            </w:pPr>
            <w:r w:rsidRPr="006D7D7D">
              <w:rPr>
                <w:rFonts w:ascii="Arial" w:hAnsi="Arial" w:cs="Arial"/>
                <w:color w:val="000000"/>
                <w:sz w:val="16"/>
                <w:szCs w:val="16"/>
              </w:rPr>
              <w:t>$m</w:t>
            </w:r>
          </w:p>
        </w:tc>
        <w:tc>
          <w:tcPr>
            <w:tcW w:w="550" w:type="pct"/>
            <w:tcBorders>
              <w:top w:val="nil"/>
              <w:left w:val="nil"/>
              <w:bottom w:val="single" w:sz="4" w:space="0" w:color="293F5B"/>
              <w:right w:val="nil"/>
            </w:tcBorders>
            <w:shd w:val="clear" w:color="000000" w:fill="FFFFFF"/>
            <w:noWrap/>
            <w:vAlign w:val="center"/>
            <w:hideMark/>
          </w:tcPr>
          <w:p w14:paraId="012FD011" w14:textId="77777777" w:rsidR="006D7D7D" w:rsidRPr="006D7D7D" w:rsidRDefault="006D7D7D" w:rsidP="006D7D7D">
            <w:pPr>
              <w:spacing w:before="0" w:after="0" w:line="240" w:lineRule="auto"/>
              <w:jc w:val="right"/>
              <w:rPr>
                <w:rFonts w:ascii="Arial" w:hAnsi="Arial" w:cs="Arial"/>
                <w:color w:val="000000"/>
                <w:sz w:val="16"/>
                <w:szCs w:val="16"/>
              </w:rPr>
            </w:pPr>
            <w:r w:rsidRPr="006D7D7D">
              <w:rPr>
                <w:rFonts w:ascii="Arial" w:hAnsi="Arial" w:cs="Arial"/>
                <w:color w:val="000000"/>
                <w:sz w:val="16"/>
                <w:szCs w:val="16"/>
              </w:rPr>
              <w:t>$m</w:t>
            </w:r>
          </w:p>
        </w:tc>
        <w:tc>
          <w:tcPr>
            <w:tcW w:w="550" w:type="pct"/>
            <w:tcBorders>
              <w:top w:val="nil"/>
              <w:left w:val="nil"/>
              <w:bottom w:val="single" w:sz="4" w:space="0" w:color="293F5B"/>
              <w:right w:val="nil"/>
            </w:tcBorders>
            <w:shd w:val="clear" w:color="000000" w:fill="FFFFFF"/>
            <w:noWrap/>
            <w:vAlign w:val="center"/>
            <w:hideMark/>
          </w:tcPr>
          <w:p w14:paraId="224DBC9F" w14:textId="77777777" w:rsidR="006D7D7D" w:rsidRPr="006D7D7D" w:rsidRDefault="006D7D7D" w:rsidP="006D7D7D">
            <w:pPr>
              <w:spacing w:before="0" w:after="0" w:line="240" w:lineRule="auto"/>
              <w:jc w:val="right"/>
              <w:rPr>
                <w:rFonts w:ascii="Arial" w:hAnsi="Arial" w:cs="Arial"/>
                <w:color w:val="000000"/>
                <w:sz w:val="16"/>
                <w:szCs w:val="16"/>
              </w:rPr>
            </w:pPr>
            <w:r w:rsidRPr="006D7D7D">
              <w:rPr>
                <w:rFonts w:ascii="Arial" w:hAnsi="Arial" w:cs="Arial"/>
                <w:color w:val="000000"/>
                <w:sz w:val="16"/>
                <w:szCs w:val="16"/>
              </w:rPr>
              <w:t>$m</w:t>
            </w:r>
          </w:p>
        </w:tc>
        <w:tc>
          <w:tcPr>
            <w:tcW w:w="550" w:type="pct"/>
            <w:tcBorders>
              <w:top w:val="nil"/>
              <w:left w:val="nil"/>
              <w:bottom w:val="single" w:sz="4" w:space="0" w:color="293F5B"/>
              <w:right w:val="nil"/>
            </w:tcBorders>
            <w:shd w:val="clear" w:color="000000" w:fill="FFFFFF"/>
            <w:noWrap/>
            <w:vAlign w:val="center"/>
            <w:hideMark/>
          </w:tcPr>
          <w:p w14:paraId="1B49EC31" w14:textId="77777777" w:rsidR="006D7D7D" w:rsidRPr="006D7D7D" w:rsidRDefault="006D7D7D" w:rsidP="006D7D7D">
            <w:pPr>
              <w:spacing w:before="0" w:after="0" w:line="240" w:lineRule="auto"/>
              <w:jc w:val="right"/>
              <w:rPr>
                <w:rFonts w:ascii="Arial" w:hAnsi="Arial" w:cs="Arial"/>
                <w:color w:val="000000"/>
                <w:sz w:val="16"/>
                <w:szCs w:val="16"/>
              </w:rPr>
            </w:pPr>
            <w:r w:rsidRPr="006D7D7D">
              <w:rPr>
                <w:rFonts w:ascii="Arial" w:hAnsi="Arial" w:cs="Arial"/>
                <w:color w:val="000000"/>
                <w:sz w:val="16"/>
                <w:szCs w:val="16"/>
              </w:rPr>
              <w:t>$m</w:t>
            </w:r>
          </w:p>
        </w:tc>
      </w:tr>
      <w:tr w:rsidR="006D7D7D" w:rsidRPr="006D7D7D" w14:paraId="64A2D356" w14:textId="77777777" w:rsidTr="00B64BD4">
        <w:trPr>
          <w:trHeight w:hRule="exact" w:val="224"/>
        </w:trPr>
        <w:tc>
          <w:tcPr>
            <w:tcW w:w="2183" w:type="pct"/>
            <w:tcBorders>
              <w:top w:val="nil"/>
              <w:left w:val="nil"/>
              <w:bottom w:val="nil"/>
              <w:right w:val="nil"/>
            </w:tcBorders>
            <w:shd w:val="clear" w:color="000000" w:fill="FFFFFF"/>
            <w:noWrap/>
            <w:vAlign w:val="center"/>
            <w:hideMark/>
          </w:tcPr>
          <w:p w14:paraId="02936A83" w14:textId="77777777" w:rsidR="006D7D7D" w:rsidRPr="006D7D7D" w:rsidRDefault="006D7D7D" w:rsidP="006D7D7D">
            <w:pPr>
              <w:spacing w:before="0" w:after="0" w:line="240" w:lineRule="auto"/>
              <w:rPr>
                <w:rFonts w:ascii="Arial" w:hAnsi="Arial" w:cs="Arial"/>
                <w:color w:val="000000"/>
                <w:sz w:val="16"/>
                <w:szCs w:val="16"/>
              </w:rPr>
            </w:pPr>
            <w:r w:rsidRPr="006D7D7D">
              <w:rPr>
                <w:rFonts w:ascii="Arial" w:hAnsi="Arial" w:cs="Arial"/>
                <w:color w:val="000000"/>
                <w:sz w:val="16"/>
                <w:szCs w:val="16"/>
              </w:rPr>
              <w:t>ABC general operational activities</w:t>
            </w:r>
          </w:p>
        </w:tc>
        <w:tc>
          <w:tcPr>
            <w:tcW w:w="68" w:type="pct"/>
            <w:tcBorders>
              <w:top w:val="nil"/>
              <w:left w:val="nil"/>
              <w:bottom w:val="nil"/>
              <w:right w:val="nil"/>
            </w:tcBorders>
            <w:shd w:val="clear" w:color="000000" w:fill="FFFFFF"/>
            <w:noWrap/>
            <w:vAlign w:val="center"/>
            <w:hideMark/>
          </w:tcPr>
          <w:p w14:paraId="6C69D591" w14:textId="77777777" w:rsidR="006D7D7D" w:rsidRPr="006D7D7D" w:rsidRDefault="006D7D7D" w:rsidP="006D7D7D">
            <w:pPr>
              <w:spacing w:before="0" w:after="0" w:line="240" w:lineRule="auto"/>
              <w:rPr>
                <w:rFonts w:ascii="Arial" w:hAnsi="Arial" w:cs="Arial"/>
                <w:color w:val="000000"/>
                <w:sz w:val="16"/>
                <w:szCs w:val="16"/>
              </w:rPr>
            </w:pPr>
            <w:r w:rsidRPr="006D7D7D">
              <w:rPr>
                <w:rFonts w:ascii="Arial" w:hAnsi="Arial" w:cs="Arial"/>
                <w:color w:val="000000"/>
                <w:sz w:val="16"/>
                <w:szCs w:val="16"/>
              </w:rPr>
              <w:t> </w:t>
            </w:r>
          </w:p>
        </w:tc>
        <w:tc>
          <w:tcPr>
            <w:tcW w:w="550" w:type="pct"/>
            <w:tcBorders>
              <w:top w:val="single" w:sz="4" w:space="0" w:color="293F5B"/>
              <w:left w:val="nil"/>
              <w:bottom w:val="nil"/>
              <w:right w:val="nil"/>
            </w:tcBorders>
            <w:shd w:val="clear" w:color="000000" w:fill="FFFFFF"/>
            <w:noWrap/>
            <w:vAlign w:val="center"/>
            <w:hideMark/>
          </w:tcPr>
          <w:p w14:paraId="3332FB70" w14:textId="77777777" w:rsidR="006D7D7D" w:rsidRPr="006D7D7D" w:rsidRDefault="006D7D7D" w:rsidP="006D7D7D">
            <w:pPr>
              <w:spacing w:before="0" w:after="0" w:line="240" w:lineRule="auto"/>
              <w:jc w:val="right"/>
              <w:rPr>
                <w:rFonts w:ascii="Arial" w:hAnsi="Arial" w:cs="Arial"/>
                <w:color w:val="000000"/>
                <w:sz w:val="16"/>
                <w:szCs w:val="16"/>
              </w:rPr>
            </w:pPr>
            <w:r w:rsidRPr="006D7D7D">
              <w:rPr>
                <w:rFonts w:ascii="Arial" w:hAnsi="Arial" w:cs="Arial"/>
                <w:color w:val="000000"/>
                <w:sz w:val="16"/>
                <w:szCs w:val="16"/>
              </w:rPr>
              <w:t>1,004</w:t>
            </w:r>
          </w:p>
        </w:tc>
        <w:tc>
          <w:tcPr>
            <w:tcW w:w="550" w:type="pct"/>
            <w:tcBorders>
              <w:top w:val="single" w:sz="4" w:space="0" w:color="293F5B"/>
              <w:left w:val="nil"/>
              <w:bottom w:val="nil"/>
              <w:right w:val="nil"/>
            </w:tcBorders>
            <w:shd w:val="clear" w:color="000000" w:fill="E6F2FF"/>
            <w:noWrap/>
            <w:vAlign w:val="center"/>
            <w:hideMark/>
          </w:tcPr>
          <w:p w14:paraId="45E4C77C" w14:textId="77777777" w:rsidR="006D7D7D" w:rsidRPr="006D7D7D" w:rsidRDefault="006D7D7D" w:rsidP="006D7D7D">
            <w:pPr>
              <w:spacing w:before="0" w:after="0" w:line="240" w:lineRule="auto"/>
              <w:jc w:val="right"/>
              <w:rPr>
                <w:rFonts w:ascii="Arial" w:hAnsi="Arial" w:cs="Arial"/>
                <w:color w:val="000000"/>
                <w:sz w:val="16"/>
                <w:szCs w:val="16"/>
              </w:rPr>
            </w:pPr>
            <w:r w:rsidRPr="006D7D7D">
              <w:rPr>
                <w:rFonts w:ascii="Arial" w:hAnsi="Arial" w:cs="Arial"/>
                <w:color w:val="000000"/>
                <w:sz w:val="16"/>
                <w:szCs w:val="16"/>
              </w:rPr>
              <w:t>1,042</w:t>
            </w:r>
          </w:p>
        </w:tc>
        <w:tc>
          <w:tcPr>
            <w:tcW w:w="550" w:type="pct"/>
            <w:tcBorders>
              <w:top w:val="single" w:sz="4" w:space="0" w:color="293F5B"/>
              <w:left w:val="nil"/>
              <w:bottom w:val="nil"/>
              <w:right w:val="nil"/>
            </w:tcBorders>
            <w:shd w:val="clear" w:color="000000" w:fill="FFFFFF"/>
            <w:noWrap/>
            <w:vAlign w:val="center"/>
            <w:hideMark/>
          </w:tcPr>
          <w:p w14:paraId="74C5CB0B" w14:textId="77777777" w:rsidR="006D7D7D" w:rsidRPr="006D7D7D" w:rsidRDefault="006D7D7D" w:rsidP="006D7D7D">
            <w:pPr>
              <w:spacing w:before="0" w:after="0" w:line="240" w:lineRule="auto"/>
              <w:jc w:val="right"/>
              <w:rPr>
                <w:rFonts w:ascii="Arial" w:hAnsi="Arial" w:cs="Arial"/>
                <w:color w:val="000000"/>
                <w:sz w:val="16"/>
                <w:szCs w:val="16"/>
              </w:rPr>
            </w:pPr>
            <w:r w:rsidRPr="006D7D7D">
              <w:rPr>
                <w:rFonts w:ascii="Arial" w:hAnsi="Arial" w:cs="Arial"/>
                <w:color w:val="000000"/>
                <w:sz w:val="16"/>
                <w:szCs w:val="16"/>
              </w:rPr>
              <w:t>1,060</w:t>
            </w:r>
          </w:p>
        </w:tc>
        <w:tc>
          <w:tcPr>
            <w:tcW w:w="550" w:type="pct"/>
            <w:tcBorders>
              <w:top w:val="single" w:sz="4" w:space="0" w:color="293F5B"/>
              <w:left w:val="nil"/>
              <w:bottom w:val="nil"/>
              <w:right w:val="nil"/>
            </w:tcBorders>
            <w:shd w:val="clear" w:color="000000" w:fill="FFFFFF"/>
            <w:noWrap/>
            <w:vAlign w:val="center"/>
            <w:hideMark/>
          </w:tcPr>
          <w:p w14:paraId="630B4D85" w14:textId="77777777" w:rsidR="006D7D7D" w:rsidRPr="006D7D7D" w:rsidRDefault="006D7D7D" w:rsidP="006D7D7D">
            <w:pPr>
              <w:spacing w:before="0" w:after="0" w:line="240" w:lineRule="auto"/>
              <w:jc w:val="right"/>
              <w:rPr>
                <w:rFonts w:ascii="Arial" w:hAnsi="Arial" w:cs="Arial"/>
                <w:color w:val="000000"/>
                <w:sz w:val="16"/>
                <w:szCs w:val="16"/>
              </w:rPr>
            </w:pPr>
            <w:r w:rsidRPr="006D7D7D">
              <w:rPr>
                <w:rFonts w:ascii="Arial" w:hAnsi="Arial" w:cs="Arial"/>
                <w:color w:val="000000"/>
                <w:sz w:val="16"/>
                <w:szCs w:val="16"/>
              </w:rPr>
              <w:t>1,045</w:t>
            </w:r>
          </w:p>
        </w:tc>
        <w:tc>
          <w:tcPr>
            <w:tcW w:w="550" w:type="pct"/>
            <w:tcBorders>
              <w:top w:val="single" w:sz="4" w:space="0" w:color="293F5B"/>
              <w:left w:val="nil"/>
              <w:bottom w:val="nil"/>
              <w:right w:val="nil"/>
            </w:tcBorders>
            <w:shd w:val="clear" w:color="000000" w:fill="FFFFFF"/>
            <w:noWrap/>
            <w:vAlign w:val="center"/>
            <w:hideMark/>
          </w:tcPr>
          <w:p w14:paraId="43A9D024" w14:textId="77777777" w:rsidR="006D7D7D" w:rsidRPr="006D7D7D" w:rsidRDefault="006D7D7D" w:rsidP="006D7D7D">
            <w:pPr>
              <w:spacing w:before="0" w:after="0" w:line="240" w:lineRule="auto"/>
              <w:jc w:val="right"/>
              <w:rPr>
                <w:rFonts w:ascii="Arial" w:hAnsi="Arial" w:cs="Arial"/>
                <w:color w:val="000000"/>
                <w:sz w:val="16"/>
                <w:szCs w:val="16"/>
              </w:rPr>
            </w:pPr>
            <w:r w:rsidRPr="006D7D7D">
              <w:rPr>
                <w:rFonts w:ascii="Arial" w:hAnsi="Arial" w:cs="Arial"/>
                <w:color w:val="000000"/>
                <w:sz w:val="16"/>
                <w:szCs w:val="16"/>
              </w:rPr>
              <w:t>1,063</w:t>
            </w:r>
          </w:p>
        </w:tc>
      </w:tr>
      <w:tr w:rsidR="006D7D7D" w:rsidRPr="006D7D7D" w14:paraId="1FC1FBA9" w14:textId="77777777" w:rsidTr="006D7D7D">
        <w:trPr>
          <w:trHeight w:hRule="exact" w:val="224"/>
        </w:trPr>
        <w:tc>
          <w:tcPr>
            <w:tcW w:w="2183" w:type="pct"/>
            <w:tcBorders>
              <w:top w:val="nil"/>
              <w:left w:val="nil"/>
              <w:bottom w:val="nil"/>
              <w:right w:val="nil"/>
            </w:tcBorders>
            <w:shd w:val="clear" w:color="000000" w:fill="FFFFFF"/>
            <w:noWrap/>
            <w:vAlign w:val="center"/>
            <w:hideMark/>
          </w:tcPr>
          <w:p w14:paraId="55927769" w14:textId="77777777" w:rsidR="006D7D7D" w:rsidRPr="006D7D7D" w:rsidRDefault="006D7D7D" w:rsidP="006D7D7D">
            <w:pPr>
              <w:spacing w:before="0" w:after="0" w:line="240" w:lineRule="auto"/>
              <w:rPr>
                <w:rFonts w:ascii="Arial" w:hAnsi="Arial" w:cs="Arial"/>
                <w:color w:val="000000"/>
                <w:sz w:val="16"/>
                <w:szCs w:val="16"/>
              </w:rPr>
            </w:pPr>
            <w:r w:rsidRPr="006D7D7D">
              <w:rPr>
                <w:rFonts w:ascii="Arial" w:hAnsi="Arial" w:cs="Arial"/>
                <w:color w:val="000000"/>
                <w:sz w:val="16"/>
                <w:szCs w:val="16"/>
              </w:rPr>
              <w:t>SBS general operational activities</w:t>
            </w:r>
          </w:p>
        </w:tc>
        <w:tc>
          <w:tcPr>
            <w:tcW w:w="68" w:type="pct"/>
            <w:tcBorders>
              <w:top w:val="nil"/>
              <w:left w:val="nil"/>
              <w:bottom w:val="nil"/>
              <w:right w:val="nil"/>
            </w:tcBorders>
            <w:shd w:val="clear" w:color="000000" w:fill="FFFFFF"/>
            <w:noWrap/>
            <w:vAlign w:val="center"/>
            <w:hideMark/>
          </w:tcPr>
          <w:p w14:paraId="6EFBE9EF" w14:textId="77777777" w:rsidR="006D7D7D" w:rsidRPr="006D7D7D" w:rsidRDefault="006D7D7D" w:rsidP="006D7D7D">
            <w:pPr>
              <w:spacing w:before="0" w:after="0" w:line="240" w:lineRule="auto"/>
              <w:rPr>
                <w:rFonts w:ascii="Arial" w:hAnsi="Arial" w:cs="Arial"/>
                <w:color w:val="000000"/>
                <w:sz w:val="16"/>
                <w:szCs w:val="16"/>
              </w:rPr>
            </w:pPr>
            <w:r w:rsidRPr="006D7D7D">
              <w:rPr>
                <w:rFonts w:ascii="Arial" w:hAnsi="Arial" w:cs="Arial"/>
                <w:color w:val="000000"/>
                <w:sz w:val="16"/>
                <w:szCs w:val="16"/>
              </w:rPr>
              <w:t> </w:t>
            </w:r>
          </w:p>
        </w:tc>
        <w:tc>
          <w:tcPr>
            <w:tcW w:w="550" w:type="pct"/>
            <w:tcBorders>
              <w:top w:val="nil"/>
              <w:left w:val="nil"/>
              <w:bottom w:val="nil"/>
              <w:right w:val="nil"/>
            </w:tcBorders>
            <w:shd w:val="clear" w:color="000000" w:fill="FFFFFF"/>
            <w:noWrap/>
            <w:vAlign w:val="center"/>
            <w:hideMark/>
          </w:tcPr>
          <w:p w14:paraId="514A5A27" w14:textId="77777777" w:rsidR="006D7D7D" w:rsidRPr="006D7D7D" w:rsidRDefault="006D7D7D" w:rsidP="006D7D7D">
            <w:pPr>
              <w:spacing w:before="0" w:after="0" w:line="240" w:lineRule="auto"/>
              <w:jc w:val="right"/>
              <w:rPr>
                <w:rFonts w:ascii="Arial" w:hAnsi="Arial" w:cs="Arial"/>
                <w:color w:val="000000"/>
                <w:sz w:val="16"/>
                <w:szCs w:val="16"/>
              </w:rPr>
            </w:pPr>
            <w:r w:rsidRPr="006D7D7D">
              <w:rPr>
                <w:rFonts w:ascii="Arial" w:hAnsi="Arial" w:cs="Arial"/>
                <w:color w:val="000000"/>
                <w:sz w:val="16"/>
                <w:szCs w:val="16"/>
              </w:rPr>
              <w:t>409</w:t>
            </w:r>
          </w:p>
        </w:tc>
        <w:tc>
          <w:tcPr>
            <w:tcW w:w="550" w:type="pct"/>
            <w:tcBorders>
              <w:top w:val="nil"/>
              <w:left w:val="nil"/>
              <w:bottom w:val="nil"/>
              <w:right w:val="nil"/>
            </w:tcBorders>
            <w:shd w:val="clear" w:color="000000" w:fill="E6F2FF"/>
            <w:noWrap/>
            <w:vAlign w:val="center"/>
            <w:hideMark/>
          </w:tcPr>
          <w:p w14:paraId="2C716C67" w14:textId="77777777" w:rsidR="006D7D7D" w:rsidRPr="006D7D7D" w:rsidRDefault="006D7D7D" w:rsidP="006D7D7D">
            <w:pPr>
              <w:spacing w:before="0" w:after="0" w:line="240" w:lineRule="auto"/>
              <w:jc w:val="right"/>
              <w:rPr>
                <w:rFonts w:ascii="Arial" w:hAnsi="Arial" w:cs="Arial"/>
                <w:color w:val="000000"/>
                <w:sz w:val="16"/>
                <w:szCs w:val="16"/>
              </w:rPr>
            </w:pPr>
            <w:r w:rsidRPr="006D7D7D">
              <w:rPr>
                <w:rFonts w:ascii="Arial" w:hAnsi="Arial" w:cs="Arial"/>
                <w:color w:val="000000"/>
                <w:sz w:val="16"/>
                <w:szCs w:val="16"/>
              </w:rPr>
              <w:t>421</w:t>
            </w:r>
          </w:p>
        </w:tc>
        <w:tc>
          <w:tcPr>
            <w:tcW w:w="550" w:type="pct"/>
            <w:tcBorders>
              <w:top w:val="nil"/>
              <w:left w:val="nil"/>
              <w:bottom w:val="nil"/>
              <w:right w:val="nil"/>
            </w:tcBorders>
            <w:shd w:val="clear" w:color="000000" w:fill="FFFFFF"/>
            <w:noWrap/>
            <w:vAlign w:val="center"/>
            <w:hideMark/>
          </w:tcPr>
          <w:p w14:paraId="165863EB" w14:textId="77777777" w:rsidR="006D7D7D" w:rsidRPr="006D7D7D" w:rsidRDefault="006D7D7D" w:rsidP="006D7D7D">
            <w:pPr>
              <w:spacing w:before="0" w:after="0" w:line="240" w:lineRule="auto"/>
              <w:jc w:val="right"/>
              <w:rPr>
                <w:rFonts w:ascii="Arial" w:hAnsi="Arial" w:cs="Arial"/>
                <w:color w:val="000000"/>
                <w:sz w:val="16"/>
                <w:szCs w:val="16"/>
              </w:rPr>
            </w:pPr>
            <w:r w:rsidRPr="006D7D7D">
              <w:rPr>
                <w:rFonts w:ascii="Arial" w:hAnsi="Arial" w:cs="Arial"/>
                <w:color w:val="000000"/>
                <w:sz w:val="16"/>
                <w:szCs w:val="16"/>
              </w:rPr>
              <w:t>447</w:t>
            </w:r>
          </w:p>
        </w:tc>
        <w:tc>
          <w:tcPr>
            <w:tcW w:w="550" w:type="pct"/>
            <w:tcBorders>
              <w:top w:val="nil"/>
              <w:left w:val="nil"/>
              <w:bottom w:val="nil"/>
              <w:right w:val="nil"/>
            </w:tcBorders>
            <w:shd w:val="clear" w:color="000000" w:fill="FFFFFF"/>
            <w:noWrap/>
            <w:vAlign w:val="center"/>
            <w:hideMark/>
          </w:tcPr>
          <w:p w14:paraId="57FDE033" w14:textId="77777777" w:rsidR="006D7D7D" w:rsidRPr="006D7D7D" w:rsidRDefault="006D7D7D" w:rsidP="006D7D7D">
            <w:pPr>
              <w:spacing w:before="0" w:after="0" w:line="240" w:lineRule="auto"/>
              <w:jc w:val="right"/>
              <w:rPr>
                <w:rFonts w:ascii="Arial" w:hAnsi="Arial" w:cs="Arial"/>
                <w:color w:val="000000"/>
                <w:sz w:val="16"/>
                <w:szCs w:val="16"/>
              </w:rPr>
            </w:pPr>
            <w:r w:rsidRPr="006D7D7D">
              <w:rPr>
                <w:rFonts w:ascii="Arial" w:hAnsi="Arial" w:cs="Arial"/>
                <w:color w:val="000000"/>
                <w:sz w:val="16"/>
                <w:szCs w:val="16"/>
              </w:rPr>
              <w:t>457</w:t>
            </w:r>
          </w:p>
        </w:tc>
        <w:tc>
          <w:tcPr>
            <w:tcW w:w="550" w:type="pct"/>
            <w:tcBorders>
              <w:top w:val="nil"/>
              <w:left w:val="nil"/>
              <w:bottom w:val="nil"/>
              <w:right w:val="nil"/>
            </w:tcBorders>
            <w:shd w:val="clear" w:color="000000" w:fill="FFFFFF"/>
            <w:noWrap/>
            <w:vAlign w:val="center"/>
            <w:hideMark/>
          </w:tcPr>
          <w:p w14:paraId="418ED659" w14:textId="77777777" w:rsidR="006D7D7D" w:rsidRPr="006D7D7D" w:rsidRDefault="006D7D7D" w:rsidP="006D7D7D">
            <w:pPr>
              <w:spacing w:before="0" w:after="0" w:line="240" w:lineRule="auto"/>
              <w:jc w:val="right"/>
              <w:rPr>
                <w:rFonts w:ascii="Arial" w:hAnsi="Arial" w:cs="Arial"/>
                <w:color w:val="000000"/>
                <w:sz w:val="16"/>
                <w:szCs w:val="16"/>
              </w:rPr>
            </w:pPr>
            <w:r w:rsidRPr="006D7D7D">
              <w:rPr>
                <w:rFonts w:ascii="Arial" w:hAnsi="Arial" w:cs="Arial"/>
                <w:color w:val="000000"/>
                <w:sz w:val="16"/>
                <w:szCs w:val="16"/>
              </w:rPr>
              <w:t>446</w:t>
            </w:r>
          </w:p>
        </w:tc>
      </w:tr>
      <w:tr w:rsidR="006D7D7D" w:rsidRPr="006D7D7D" w14:paraId="12FA849D" w14:textId="77777777" w:rsidTr="006D7D7D">
        <w:trPr>
          <w:trHeight w:hRule="exact" w:val="224"/>
        </w:trPr>
        <w:tc>
          <w:tcPr>
            <w:tcW w:w="2183" w:type="pct"/>
            <w:tcBorders>
              <w:top w:val="nil"/>
              <w:left w:val="nil"/>
              <w:bottom w:val="nil"/>
              <w:right w:val="nil"/>
            </w:tcBorders>
            <w:shd w:val="clear" w:color="000000" w:fill="FFFFFF"/>
            <w:noWrap/>
            <w:vAlign w:val="center"/>
            <w:hideMark/>
          </w:tcPr>
          <w:p w14:paraId="6FE04860" w14:textId="77777777" w:rsidR="006D7D7D" w:rsidRPr="006D7D7D" w:rsidRDefault="006D7D7D" w:rsidP="006D7D7D">
            <w:pPr>
              <w:spacing w:before="0" w:after="0" w:line="240" w:lineRule="auto"/>
              <w:rPr>
                <w:rFonts w:ascii="Arial" w:hAnsi="Arial" w:cs="Arial"/>
                <w:color w:val="000000"/>
                <w:sz w:val="16"/>
                <w:szCs w:val="16"/>
              </w:rPr>
            </w:pPr>
            <w:r w:rsidRPr="006D7D7D">
              <w:rPr>
                <w:rFonts w:ascii="Arial" w:hAnsi="Arial" w:cs="Arial"/>
                <w:color w:val="000000"/>
                <w:sz w:val="16"/>
                <w:szCs w:val="16"/>
              </w:rPr>
              <w:t>ABC transmission and distribution</w:t>
            </w:r>
          </w:p>
        </w:tc>
        <w:tc>
          <w:tcPr>
            <w:tcW w:w="68" w:type="pct"/>
            <w:tcBorders>
              <w:top w:val="nil"/>
              <w:left w:val="nil"/>
              <w:bottom w:val="nil"/>
              <w:right w:val="nil"/>
            </w:tcBorders>
            <w:shd w:val="clear" w:color="000000" w:fill="FFFFFF"/>
            <w:noWrap/>
            <w:vAlign w:val="center"/>
            <w:hideMark/>
          </w:tcPr>
          <w:p w14:paraId="0A457DBE" w14:textId="77777777" w:rsidR="006D7D7D" w:rsidRPr="006D7D7D" w:rsidRDefault="006D7D7D" w:rsidP="006D7D7D">
            <w:pPr>
              <w:spacing w:before="0" w:after="0" w:line="240" w:lineRule="auto"/>
              <w:rPr>
                <w:rFonts w:ascii="Arial" w:hAnsi="Arial" w:cs="Arial"/>
                <w:color w:val="000000"/>
                <w:sz w:val="16"/>
                <w:szCs w:val="16"/>
              </w:rPr>
            </w:pPr>
            <w:r w:rsidRPr="006D7D7D">
              <w:rPr>
                <w:rFonts w:ascii="Arial" w:hAnsi="Arial" w:cs="Arial"/>
                <w:color w:val="000000"/>
                <w:sz w:val="16"/>
                <w:szCs w:val="16"/>
              </w:rPr>
              <w:t> </w:t>
            </w:r>
          </w:p>
        </w:tc>
        <w:tc>
          <w:tcPr>
            <w:tcW w:w="550" w:type="pct"/>
            <w:tcBorders>
              <w:top w:val="nil"/>
              <w:left w:val="nil"/>
              <w:bottom w:val="nil"/>
              <w:right w:val="nil"/>
            </w:tcBorders>
            <w:shd w:val="clear" w:color="000000" w:fill="FFFFFF"/>
            <w:noWrap/>
            <w:vAlign w:val="center"/>
            <w:hideMark/>
          </w:tcPr>
          <w:p w14:paraId="26F5A709" w14:textId="77777777" w:rsidR="006D7D7D" w:rsidRPr="006D7D7D" w:rsidRDefault="006D7D7D" w:rsidP="006D7D7D">
            <w:pPr>
              <w:spacing w:before="0" w:after="0" w:line="240" w:lineRule="auto"/>
              <w:rPr>
                <w:rFonts w:ascii="Arial" w:hAnsi="Arial" w:cs="Arial"/>
                <w:color w:val="000000"/>
                <w:sz w:val="16"/>
                <w:szCs w:val="16"/>
              </w:rPr>
            </w:pPr>
            <w:r w:rsidRPr="006D7D7D">
              <w:rPr>
                <w:rFonts w:ascii="Arial" w:hAnsi="Arial" w:cs="Arial"/>
                <w:color w:val="000000"/>
                <w:sz w:val="16"/>
                <w:szCs w:val="16"/>
              </w:rPr>
              <w:t> </w:t>
            </w:r>
          </w:p>
        </w:tc>
        <w:tc>
          <w:tcPr>
            <w:tcW w:w="550" w:type="pct"/>
            <w:tcBorders>
              <w:top w:val="nil"/>
              <w:left w:val="nil"/>
              <w:bottom w:val="nil"/>
              <w:right w:val="nil"/>
            </w:tcBorders>
            <w:shd w:val="clear" w:color="000000" w:fill="E6F2FF"/>
            <w:noWrap/>
            <w:vAlign w:val="center"/>
            <w:hideMark/>
          </w:tcPr>
          <w:p w14:paraId="3915C2E9" w14:textId="77777777" w:rsidR="006D7D7D" w:rsidRPr="006D7D7D" w:rsidRDefault="006D7D7D" w:rsidP="006D7D7D">
            <w:pPr>
              <w:spacing w:before="0" w:after="0" w:line="240" w:lineRule="auto"/>
              <w:rPr>
                <w:rFonts w:ascii="Arial" w:hAnsi="Arial" w:cs="Arial"/>
                <w:color w:val="000000"/>
                <w:sz w:val="16"/>
                <w:szCs w:val="16"/>
              </w:rPr>
            </w:pPr>
            <w:r w:rsidRPr="006D7D7D">
              <w:rPr>
                <w:rFonts w:ascii="Arial" w:hAnsi="Arial" w:cs="Arial"/>
                <w:color w:val="000000"/>
                <w:sz w:val="16"/>
                <w:szCs w:val="16"/>
              </w:rPr>
              <w:t> </w:t>
            </w:r>
          </w:p>
        </w:tc>
        <w:tc>
          <w:tcPr>
            <w:tcW w:w="550" w:type="pct"/>
            <w:tcBorders>
              <w:top w:val="nil"/>
              <w:left w:val="nil"/>
              <w:bottom w:val="nil"/>
              <w:right w:val="nil"/>
            </w:tcBorders>
            <w:shd w:val="clear" w:color="000000" w:fill="FFFFFF"/>
            <w:noWrap/>
            <w:vAlign w:val="center"/>
            <w:hideMark/>
          </w:tcPr>
          <w:p w14:paraId="12E338CB" w14:textId="77777777" w:rsidR="006D7D7D" w:rsidRPr="006D7D7D" w:rsidRDefault="006D7D7D" w:rsidP="006D7D7D">
            <w:pPr>
              <w:spacing w:before="0" w:after="0" w:line="240" w:lineRule="auto"/>
              <w:rPr>
                <w:rFonts w:ascii="Arial" w:hAnsi="Arial" w:cs="Arial"/>
                <w:color w:val="000000"/>
                <w:sz w:val="16"/>
                <w:szCs w:val="16"/>
              </w:rPr>
            </w:pPr>
            <w:r w:rsidRPr="006D7D7D">
              <w:rPr>
                <w:rFonts w:ascii="Arial" w:hAnsi="Arial" w:cs="Arial"/>
                <w:color w:val="000000"/>
                <w:sz w:val="16"/>
                <w:szCs w:val="16"/>
              </w:rPr>
              <w:t> </w:t>
            </w:r>
          </w:p>
        </w:tc>
        <w:tc>
          <w:tcPr>
            <w:tcW w:w="550" w:type="pct"/>
            <w:tcBorders>
              <w:top w:val="nil"/>
              <w:left w:val="nil"/>
              <w:bottom w:val="nil"/>
              <w:right w:val="nil"/>
            </w:tcBorders>
            <w:shd w:val="clear" w:color="000000" w:fill="FFFFFF"/>
            <w:noWrap/>
            <w:vAlign w:val="center"/>
            <w:hideMark/>
          </w:tcPr>
          <w:p w14:paraId="3206768C" w14:textId="77777777" w:rsidR="006D7D7D" w:rsidRPr="006D7D7D" w:rsidRDefault="006D7D7D" w:rsidP="006D7D7D">
            <w:pPr>
              <w:spacing w:before="0" w:after="0" w:line="240" w:lineRule="auto"/>
              <w:rPr>
                <w:rFonts w:ascii="Arial" w:hAnsi="Arial" w:cs="Arial"/>
                <w:color w:val="000000"/>
                <w:sz w:val="16"/>
                <w:szCs w:val="16"/>
              </w:rPr>
            </w:pPr>
            <w:r w:rsidRPr="006D7D7D">
              <w:rPr>
                <w:rFonts w:ascii="Arial" w:hAnsi="Arial" w:cs="Arial"/>
                <w:color w:val="000000"/>
                <w:sz w:val="16"/>
                <w:szCs w:val="16"/>
              </w:rPr>
              <w:t> </w:t>
            </w:r>
          </w:p>
        </w:tc>
        <w:tc>
          <w:tcPr>
            <w:tcW w:w="550" w:type="pct"/>
            <w:tcBorders>
              <w:top w:val="nil"/>
              <w:left w:val="nil"/>
              <w:bottom w:val="nil"/>
              <w:right w:val="nil"/>
            </w:tcBorders>
            <w:shd w:val="clear" w:color="000000" w:fill="FFFFFF"/>
            <w:noWrap/>
            <w:vAlign w:val="center"/>
            <w:hideMark/>
          </w:tcPr>
          <w:p w14:paraId="3CFEB88B" w14:textId="77777777" w:rsidR="006D7D7D" w:rsidRPr="006D7D7D" w:rsidRDefault="006D7D7D" w:rsidP="006D7D7D">
            <w:pPr>
              <w:spacing w:before="0" w:after="0" w:line="240" w:lineRule="auto"/>
              <w:rPr>
                <w:rFonts w:ascii="Arial" w:hAnsi="Arial" w:cs="Arial"/>
                <w:color w:val="000000"/>
                <w:sz w:val="16"/>
                <w:szCs w:val="16"/>
              </w:rPr>
            </w:pPr>
            <w:r w:rsidRPr="006D7D7D">
              <w:rPr>
                <w:rFonts w:ascii="Arial" w:hAnsi="Arial" w:cs="Arial"/>
                <w:color w:val="000000"/>
                <w:sz w:val="16"/>
                <w:szCs w:val="16"/>
              </w:rPr>
              <w:t> </w:t>
            </w:r>
          </w:p>
        </w:tc>
      </w:tr>
      <w:tr w:rsidR="006D7D7D" w:rsidRPr="006D7D7D" w14:paraId="2C7F2B29" w14:textId="77777777" w:rsidTr="006D7D7D">
        <w:trPr>
          <w:trHeight w:hRule="exact" w:val="224"/>
        </w:trPr>
        <w:tc>
          <w:tcPr>
            <w:tcW w:w="2183" w:type="pct"/>
            <w:tcBorders>
              <w:top w:val="nil"/>
              <w:left w:val="nil"/>
              <w:bottom w:val="nil"/>
              <w:right w:val="nil"/>
            </w:tcBorders>
            <w:shd w:val="clear" w:color="000000" w:fill="FFFFFF"/>
            <w:noWrap/>
            <w:vAlign w:val="center"/>
            <w:hideMark/>
          </w:tcPr>
          <w:p w14:paraId="2FBE45E4" w14:textId="77777777" w:rsidR="006D7D7D" w:rsidRPr="006D7D7D" w:rsidRDefault="006D7D7D" w:rsidP="006D7D7D">
            <w:pPr>
              <w:spacing w:before="0" w:after="0" w:line="240" w:lineRule="auto"/>
              <w:ind w:left="170"/>
              <w:rPr>
                <w:rFonts w:ascii="Arial" w:hAnsi="Arial" w:cs="Arial"/>
                <w:color w:val="000000"/>
                <w:sz w:val="16"/>
                <w:szCs w:val="16"/>
              </w:rPr>
            </w:pPr>
            <w:r w:rsidRPr="006D7D7D">
              <w:rPr>
                <w:rFonts w:ascii="Arial" w:hAnsi="Arial" w:cs="Arial"/>
                <w:color w:val="000000"/>
                <w:sz w:val="16"/>
                <w:szCs w:val="16"/>
              </w:rPr>
              <w:t>services</w:t>
            </w:r>
          </w:p>
        </w:tc>
        <w:tc>
          <w:tcPr>
            <w:tcW w:w="68" w:type="pct"/>
            <w:tcBorders>
              <w:top w:val="nil"/>
              <w:left w:val="nil"/>
              <w:bottom w:val="nil"/>
              <w:right w:val="nil"/>
            </w:tcBorders>
            <w:shd w:val="clear" w:color="000000" w:fill="FFFFFF"/>
            <w:noWrap/>
            <w:vAlign w:val="center"/>
            <w:hideMark/>
          </w:tcPr>
          <w:p w14:paraId="318C00EA" w14:textId="77777777" w:rsidR="006D7D7D" w:rsidRPr="006D7D7D" w:rsidRDefault="006D7D7D" w:rsidP="006D7D7D">
            <w:pPr>
              <w:spacing w:before="0" w:after="0" w:line="240" w:lineRule="auto"/>
              <w:rPr>
                <w:rFonts w:ascii="Arial" w:hAnsi="Arial" w:cs="Arial"/>
                <w:color w:val="000000"/>
                <w:sz w:val="16"/>
                <w:szCs w:val="16"/>
              </w:rPr>
            </w:pPr>
            <w:r w:rsidRPr="006D7D7D">
              <w:rPr>
                <w:rFonts w:ascii="Arial" w:hAnsi="Arial" w:cs="Arial"/>
                <w:color w:val="000000"/>
                <w:sz w:val="16"/>
                <w:szCs w:val="16"/>
              </w:rPr>
              <w:t> </w:t>
            </w:r>
          </w:p>
        </w:tc>
        <w:tc>
          <w:tcPr>
            <w:tcW w:w="550" w:type="pct"/>
            <w:tcBorders>
              <w:top w:val="nil"/>
              <w:left w:val="nil"/>
              <w:bottom w:val="nil"/>
              <w:right w:val="nil"/>
            </w:tcBorders>
            <w:shd w:val="clear" w:color="000000" w:fill="FFFFFF"/>
            <w:noWrap/>
            <w:vAlign w:val="center"/>
            <w:hideMark/>
          </w:tcPr>
          <w:p w14:paraId="630BD69D" w14:textId="77777777" w:rsidR="006D7D7D" w:rsidRPr="006D7D7D" w:rsidRDefault="006D7D7D" w:rsidP="006D7D7D">
            <w:pPr>
              <w:spacing w:before="0" w:after="0" w:line="240" w:lineRule="auto"/>
              <w:jc w:val="right"/>
              <w:rPr>
                <w:rFonts w:ascii="Arial" w:hAnsi="Arial" w:cs="Arial"/>
                <w:color w:val="000000"/>
                <w:sz w:val="16"/>
                <w:szCs w:val="16"/>
              </w:rPr>
            </w:pPr>
            <w:r w:rsidRPr="006D7D7D">
              <w:rPr>
                <w:rFonts w:ascii="Arial" w:hAnsi="Arial" w:cs="Arial"/>
                <w:color w:val="000000"/>
                <w:sz w:val="16"/>
                <w:szCs w:val="16"/>
              </w:rPr>
              <w:t>197</w:t>
            </w:r>
          </w:p>
        </w:tc>
        <w:tc>
          <w:tcPr>
            <w:tcW w:w="550" w:type="pct"/>
            <w:tcBorders>
              <w:top w:val="nil"/>
              <w:left w:val="nil"/>
              <w:bottom w:val="nil"/>
              <w:right w:val="nil"/>
            </w:tcBorders>
            <w:shd w:val="clear" w:color="000000" w:fill="E6F2FF"/>
            <w:noWrap/>
            <w:vAlign w:val="center"/>
            <w:hideMark/>
          </w:tcPr>
          <w:p w14:paraId="58353B6C" w14:textId="77777777" w:rsidR="006D7D7D" w:rsidRPr="006D7D7D" w:rsidRDefault="006D7D7D" w:rsidP="006D7D7D">
            <w:pPr>
              <w:spacing w:before="0" w:after="0" w:line="240" w:lineRule="auto"/>
              <w:jc w:val="right"/>
              <w:rPr>
                <w:rFonts w:ascii="Arial" w:hAnsi="Arial" w:cs="Arial"/>
                <w:color w:val="000000"/>
                <w:sz w:val="16"/>
                <w:szCs w:val="16"/>
              </w:rPr>
            </w:pPr>
            <w:r w:rsidRPr="006D7D7D">
              <w:rPr>
                <w:rFonts w:ascii="Arial" w:hAnsi="Arial" w:cs="Arial"/>
                <w:color w:val="000000"/>
                <w:sz w:val="16"/>
                <w:szCs w:val="16"/>
              </w:rPr>
              <w:t>207</w:t>
            </w:r>
          </w:p>
        </w:tc>
        <w:tc>
          <w:tcPr>
            <w:tcW w:w="550" w:type="pct"/>
            <w:tcBorders>
              <w:top w:val="nil"/>
              <w:left w:val="nil"/>
              <w:bottom w:val="nil"/>
              <w:right w:val="nil"/>
            </w:tcBorders>
            <w:shd w:val="clear" w:color="000000" w:fill="FFFFFF"/>
            <w:noWrap/>
            <w:vAlign w:val="center"/>
            <w:hideMark/>
          </w:tcPr>
          <w:p w14:paraId="0D3577C7" w14:textId="77777777" w:rsidR="006D7D7D" w:rsidRPr="006D7D7D" w:rsidRDefault="006D7D7D" w:rsidP="006D7D7D">
            <w:pPr>
              <w:spacing w:before="0" w:after="0" w:line="240" w:lineRule="auto"/>
              <w:jc w:val="right"/>
              <w:rPr>
                <w:rFonts w:ascii="Arial" w:hAnsi="Arial" w:cs="Arial"/>
                <w:color w:val="000000"/>
                <w:sz w:val="16"/>
                <w:szCs w:val="16"/>
              </w:rPr>
            </w:pPr>
            <w:r w:rsidRPr="006D7D7D">
              <w:rPr>
                <w:rFonts w:ascii="Arial" w:hAnsi="Arial" w:cs="Arial"/>
                <w:color w:val="000000"/>
                <w:sz w:val="16"/>
                <w:szCs w:val="16"/>
              </w:rPr>
              <w:t>213</w:t>
            </w:r>
          </w:p>
        </w:tc>
        <w:tc>
          <w:tcPr>
            <w:tcW w:w="550" w:type="pct"/>
            <w:tcBorders>
              <w:top w:val="nil"/>
              <w:left w:val="nil"/>
              <w:bottom w:val="nil"/>
              <w:right w:val="nil"/>
            </w:tcBorders>
            <w:shd w:val="clear" w:color="000000" w:fill="FFFFFF"/>
            <w:noWrap/>
            <w:vAlign w:val="center"/>
            <w:hideMark/>
          </w:tcPr>
          <w:p w14:paraId="5740C317" w14:textId="77777777" w:rsidR="006D7D7D" w:rsidRPr="006D7D7D" w:rsidRDefault="006D7D7D" w:rsidP="006D7D7D">
            <w:pPr>
              <w:spacing w:before="0" w:after="0" w:line="240" w:lineRule="auto"/>
              <w:jc w:val="right"/>
              <w:rPr>
                <w:rFonts w:ascii="Arial" w:hAnsi="Arial" w:cs="Arial"/>
                <w:color w:val="000000"/>
                <w:sz w:val="16"/>
                <w:szCs w:val="16"/>
              </w:rPr>
            </w:pPr>
            <w:r w:rsidRPr="006D7D7D">
              <w:rPr>
                <w:rFonts w:ascii="Arial" w:hAnsi="Arial" w:cs="Arial"/>
                <w:color w:val="000000"/>
                <w:sz w:val="16"/>
                <w:szCs w:val="16"/>
              </w:rPr>
              <w:t>216</w:t>
            </w:r>
          </w:p>
        </w:tc>
        <w:tc>
          <w:tcPr>
            <w:tcW w:w="550" w:type="pct"/>
            <w:tcBorders>
              <w:top w:val="nil"/>
              <w:left w:val="nil"/>
              <w:bottom w:val="nil"/>
              <w:right w:val="nil"/>
            </w:tcBorders>
            <w:shd w:val="clear" w:color="000000" w:fill="FFFFFF"/>
            <w:noWrap/>
            <w:vAlign w:val="center"/>
            <w:hideMark/>
          </w:tcPr>
          <w:p w14:paraId="6A89333A" w14:textId="77777777" w:rsidR="006D7D7D" w:rsidRPr="006D7D7D" w:rsidRDefault="006D7D7D" w:rsidP="006D7D7D">
            <w:pPr>
              <w:spacing w:before="0" w:after="0" w:line="240" w:lineRule="auto"/>
              <w:jc w:val="right"/>
              <w:rPr>
                <w:rFonts w:ascii="Arial" w:hAnsi="Arial" w:cs="Arial"/>
                <w:color w:val="000000"/>
                <w:sz w:val="16"/>
                <w:szCs w:val="16"/>
              </w:rPr>
            </w:pPr>
            <w:r w:rsidRPr="006D7D7D">
              <w:rPr>
                <w:rFonts w:ascii="Arial" w:hAnsi="Arial" w:cs="Arial"/>
                <w:color w:val="000000"/>
                <w:sz w:val="16"/>
                <w:szCs w:val="16"/>
              </w:rPr>
              <w:t>221</w:t>
            </w:r>
          </w:p>
        </w:tc>
      </w:tr>
      <w:tr w:rsidR="006D7D7D" w:rsidRPr="006D7D7D" w14:paraId="0C726B1A" w14:textId="77777777" w:rsidTr="006D7D7D">
        <w:trPr>
          <w:trHeight w:hRule="exact" w:val="226"/>
        </w:trPr>
        <w:tc>
          <w:tcPr>
            <w:tcW w:w="2183" w:type="pct"/>
            <w:tcBorders>
              <w:top w:val="nil"/>
              <w:left w:val="nil"/>
              <w:bottom w:val="nil"/>
              <w:right w:val="nil"/>
            </w:tcBorders>
            <w:shd w:val="clear" w:color="000000" w:fill="FFFFFF"/>
            <w:noWrap/>
            <w:vAlign w:val="center"/>
            <w:hideMark/>
          </w:tcPr>
          <w:p w14:paraId="25A79DBC" w14:textId="77777777" w:rsidR="006D7D7D" w:rsidRPr="006D7D7D" w:rsidRDefault="006D7D7D" w:rsidP="006D7D7D">
            <w:pPr>
              <w:spacing w:before="0" w:after="0" w:line="240" w:lineRule="auto"/>
              <w:rPr>
                <w:rFonts w:ascii="Arial" w:hAnsi="Arial" w:cs="Arial"/>
                <w:color w:val="000000"/>
                <w:sz w:val="16"/>
                <w:szCs w:val="16"/>
              </w:rPr>
            </w:pPr>
            <w:r w:rsidRPr="006D7D7D">
              <w:rPr>
                <w:rFonts w:ascii="Arial" w:hAnsi="Arial" w:cs="Arial"/>
                <w:color w:val="000000"/>
                <w:sz w:val="16"/>
                <w:szCs w:val="16"/>
              </w:rPr>
              <w:t>SBS transmission and distribution</w:t>
            </w:r>
          </w:p>
        </w:tc>
        <w:tc>
          <w:tcPr>
            <w:tcW w:w="68" w:type="pct"/>
            <w:tcBorders>
              <w:top w:val="nil"/>
              <w:left w:val="nil"/>
              <w:bottom w:val="nil"/>
              <w:right w:val="nil"/>
            </w:tcBorders>
            <w:shd w:val="clear" w:color="000000" w:fill="FFFFFF"/>
            <w:noWrap/>
            <w:vAlign w:val="center"/>
            <w:hideMark/>
          </w:tcPr>
          <w:p w14:paraId="2A5B06F8" w14:textId="77777777" w:rsidR="006D7D7D" w:rsidRPr="006D7D7D" w:rsidRDefault="006D7D7D" w:rsidP="006D7D7D">
            <w:pPr>
              <w:spacing w:before="0" w:after="0" w:line="240" w:lineRule="auto"/>
              <w:rPr>
                <w:rFonts w:ascii="Arial" w:hAnsi="Arial" w:cs="Arial"/>
                <w:color w:val="000000"/>
                <w:sz w:val="16"/>
                <w:szCs w:val="16"/>
              </w:rPr>
            </w:pPr>
            <w:r w:rsidRPr="006D7D7D">
              <w:rPr>
                <w:rFonts w:ascii="Arial" w:hAnsi="Arial" w:cs="Arial"/>
                <w:color w:val="000000"/>
                <w:sz w:val="16"/>
                <w:szCs w:val="16"/>
              </w:rPr>
              <w:t> </w:t>
            </w:r>
          </w:p>
        </w:tc>
        <w:tc>
          <w:tcPr>
            <w:tcW w:w="550" w:type="pct"/>
            <w:tcBorders>
              <w:top w:val="nil"/>
              <w:left w:val="nil"/>
              <w:bottom w:val="nil"/>
              <w:right w:val="nil"/>
            </w:tcBorders>
            <w:shd w:val="clear" w:color="000000" w:fill="FFFFFF"/>
            <w:noWrap/>
            <w:vAlign w:val="center"/>
            <w:hideMark/>
          </w:tcPr>
          <w:p w14:paraId="0127317D" w14:textId="77777777" w:rsidR="006D7D7D" w:rsidRPr="006D7D7D" w:rsidRDefault="006D7D7D" w:rsidP="006D7D7D">
            <w:pPr>
              <w:spacing w:before="0" w:after="0" w:line="240" w:lineRule="auto"/>
              <w:rPr>
                <w:rFonts w:ascii="Arial" w:hAnsi="Arial" w:cs="Arial"/>
                <w:color w:val="000000"/>
                <w:sz w:val="16"/>
                <w:szCs w:val="16"/>
              </w:rPr>
            </w:pPr>
            <w:r w:rsidRPr="006D7D7D">
              <w:rPr>
                <w:rFonts w:ascii="Arial" w:hAnsi="Arial" w:cs="Arial"/>
                <w:color w:val="000000"/>
                <w:sz w:val="16"/>
                <w:szCs w:val="16"/>
              </w:rPr>
              <w:t> </w:t>
            </w:r>
          </w:p>
        </w:tc>
        <w:tc>
          <w:tcPr>
            <w:tcW w:w="550" w:type="pct"/>
            <w:tcBorders>
              <w:top w:val="nil"/>
              <w:left w:val="nil"/>
              <w:bottom w:val="nil"/>
              <w:right w:val="nil"/>
            </w:tcBorders>
            <w:shd w:val="clear" w:color="000000" w:fill="E6F2FF"/>
            <w:noWrap/>
            <w:vAlign w:val="center"/>
            <w:hideMark/>
          </w:tcPr>
          <w:p w14:paraId="57A23045" w14:textId="77777777" w:rsidR="006D7D7D" w:rsidRPr="006D7D7D" w:rsidRDefault="006D7D7D" w:rsidP="006D7D7D">
            <w:pPr>
              <w:spacing w:before="0" w:after="0" w:line="240" w:lineRule="auto"/>
              <w:rPr>
                <w:rFonts w:ascii="Arial" w:hAnsi="Arial" w:cs="Arial"/>
                <w:color w:val="000000"/>
                <w:sz w:val="16"/>
                <w:szCs w:val="16"/>
              </w:rPr>
            </w:pPr>
            <w:r w:rsidRPr="006D7D7D">
              <w:rPr>
                <w:rFonts w:ascii="Arial" w:hAnsi="Arial" w:cs="Arial"/>
                <w:color w:val="000000"/>
                <w:sz w:val="16"/>
                <w:szCs w:val="16"/>
              </w:rPr>
              <w:t> </w:t>
            </w:r>
          </w:p>
        </w:tc>
        <w:tc>
          <w:tcPr>
            <w:tcW w:w="550" w:type="pct"/>
            <w:tcBorders>
              <w:top w:val="nil"/>
              <w:left w:val="nil"/>
              <w:bottom w:val="nil"/>
              <w:right w:val="nil"/>
            </w:tcBorders>
            <w:shd w:val="clear" w:color="000000" w:fill="FFFFFF"/>
            <w:noWrap/>
            <w:vAlign w:val="center"/>
            <w:hideMark/>
          </w:tcPr>
          <w:p w14:paraId="0422B930" w14:textId="77777777" w:rsidR="006D7D7D" w:rsidRPr="006D7D7D" w:rsidRDefault="006D7D7D" w:rsidP="006D7D7D">
            <w:pPr>
              <w:spacing w:before="0" w:after="0" w:line="240" w:lineRule="auto"/>
              <w:rPr>
                <w:rFonts w:ascii="Arial" w:hAnsi="Arial" w:cs="Arial"/>
                <w:color w:val="000000"/>
                <w:sz w:val="16"/>
                <w:szCs w:val="16"/>
              </w:rPr>
            </w:pPr>
            <w:r w:rsidRPr="006D7D7D">
              <w:rPr>
                <w:rFonts w:ascii="Arial" w:hAnsi="Arial" w:cs="Arial"/>
                <w:color w:val="000000"/>
                <w:sz w:val="16"/>
                <w:szCs w:val="16"/>
              </w:rPr>
              <w:t> </w:t>
            </w:r>
          </w:p>
        </w:tc>
        <w:tc>
          <w:tcPr>
            <w:tcW w:w="550" w:type="pct"/>
            <w:tcBorders>
              <w:top w:val="nil"/>
              <w:left w:val="nil"/>
              <w:bottom w:val="nil"/>
              <w:right w:val="nil"/>
            </w:tcBorders>
            <w:shd w:val="clear" w:color="000000" w:fill="FFFFFF"/>
            <w:noWrap/>
            <w:vAlign w:val="center"/>
            <w:hideMark/>
          </w:tcPr>
          <w:p w14:paraId="43271784" w14:textId="77777777" w:rsidR="006D7D7D" w:rsidRPr="006D7D7D" w:rsidRDefault="006D7D7D" w:rsidP="006D7D7D">
            <w:pPr>
              <w:spacing w:before="0" w:after="0" w:line="240" w:lineRule="auto"/>
              <w:rPr>
                <w:rFonts w:ascii="Arial" w:hAnsi="Arial" w:cs="Arial"/>
                <w:color w:val="000000"/>
                <w:sz w:val="16"/>
                <w:szCs w:val="16"/>
              </w:rPr>
            </w:pPr>
            <w:r w:rsidRPr="006D7D7D">
              <w:rPr>
                <w:rFonts w:ascii="Arial" w:hAnsi="Arial" w:cs="Arial"/>
                <w:color w:val="000000"/>
                <w:sz w:val="16"/>
                <w:szCs w:val="16"/>
              </w:rPr>
              <w:t> </w:t>
            </w:r>
          </w:p>
        </w:tc>
        <w:tc>
          <w:tcPr>
            <w:tcW w:w="550" w:type="pct"/>
            <w:tcBorders>
              <w:top w:val="nil"/>
              <w:left w:val="nil"/>
              <w:bottom w:val="nil"/>
              <w:right w:val="nil"/>
            </w:tcBorders>
            <w:shd w:val="clear" w:color="000000" w:fill="FFFFFF"/>
            <w:noWrap/>
            <w:vAlign w:val="center"/>
            <w:hideMark/>
          </w:tcPr>
          <w:p w14:paraId="4DBDFBD1" w14:textId="77777777" w:rsidR="006D7D7D" w:rsidRPr="006D7D7D" w:rsidRDefault="006D7D7D" w:rsidP="006D7D7D">
            <w:pPr>
              <w:spacing w:before="0" w:after="0" w:line="240" w:lineRule="auto"/>
              <w:rPr>
                <w:rFonts w:ascii="Arial" w:hAnsi="Arial" w:cs="Arial"/>
                <w:color w:val="000000"/>
                <w:sz w:val="16"/>
                <w:szCs w:val="16"/>
              </w:rPr>
            </w:pPr>
            <w:r w:rsidRPr="006D7D7D">
              <w:rPr>
                <w:rFonts w:ascii="Arial" w:hAnsi="Arial" w:cs="Arial"/>
                <w:color w:val="000000"/>
                <w:sz w:val="16"/>
                <w:szCs w:val="16"/>
              </w:rPr>
              <w:t> </w:t>
            </w:r>
          </w:p>
        </w:tc>
      </w:tr>
      <w:tr w:rsidR="006D7D7D" w:rsidRPr="006D7D7D" w14:paraId="550F7839" w14:textId="77777777" w:rsidTr="006D7D7D">
        <w:trPr>
          <w:trHeight w:hRule="exact" w:val="226"/>
        </w:trPr>
        <w:tc>
          <w:tcPr>
            <w:tcW w:w="2183" w:type="pct"/>
            <w:tcBorders>
              <w:top w:val="nil"/>
              <w:left w:val="nil"/>
              <w:bottom w:val="nil"/>
              <w:right w:val="nil"/>
            </w:tcBorders>
            <w:shd w:val="clear" w:color="000000" w:fill="FFFFFF"/>
            <w:noWrap/>
            <w:vAlign w:val="center"/>
            <w:hideMark/>
          </w:tcPr>
          <w:p w14:paraId="1C8386AF" w14:textId="77777777" w:rsidR="006D7D7D" w:rsidRPr="006D7D7D" w:rsidRDefault="006D7D7D" w:rsidP="006D7D7D">
            <w:pPr>
              <w:spacing w:before="0" w:after="0" w:line="240" w:lineRule="auto"/>
              <w:ind w:left="170"/>
              <w:rPr>
                <w:rFonts w:ascii="Arial" w:hAnsi="Arial" w:cs="Arial"/>
                <w:color w:val="000000"/>
                <w:sz w:val="16"/>
                <w:szCs w:val="16"/>
              </w:rPr>
            </w:pPr>
            <w:r w:rsidRPr="006D7D7D">
              <w:rPr>
                <w:rFonts w:ascii="Arial" w:hAnsi="Arial" w:cs="Arial"/>
                <w:color w:val="000000"/>
                <w:sz w:val="16"/>
                <w:szCs w:val="16"/>
              </w:rPr>
              <w:t>services</w:t>
            </w:r>
          </w:p>
        </w:tc>
        <w:tc>
          <w:tcPr>
            <w:tcW w:w="68" w:type="pct"/>
            <w:tcBorders>
              <w:top w:val="nil"/>
              <w:left w:val="nil"/>
              <w:bottom w:val="nil"/>
              <w:right w:val="nil"/>
            </w:tcBorders>
            <w:shd w:val="clear" w:color="000000" w:fill="FFFFFF"/>
            <w:noWrap/>
            <w:vAlign w:val="center"/>
            <w:hideMark/>
          </w:tcPr>
          <w:p w14:paraId="7CD2B0ED" w14:textId="77777777" w:rsidR="006D7D7D" w:rsidRPr="006D7D7D" w:rsidRDefault="006D7D7D" w:rsidP="006D7D7D">
            <w:pPr>
              <w:spacing w:before="0" w:after="0" w:line="240" w:lineRule="auto"/>
              <w:rPr>
                <w:rFonts w:ascii="Arial" w:hAnsi="Arial" w:cs="Arial"/>
                <w:color w:val="000000"/>
                <w:sz w:val="16"/>
                <w:szCs w:val="16"/>
              </w:rPr>
            </w:pPr>
            <w:r w:rsidRPr="006D7D7D">
              <w:rPr>
                <w:rFonts w:ascii="Arial" w:hAnsi="Arial" w:cs="Arial"/>
                <w:color w:val="000000"/>
                <w:sz w:val="16"/>
                <w:szCs w:val="16"/>
              </w:rPr>
              <w:t> </w:t>
            </w:r>
          </w:p>
        </w:tc>
        <w:tc>
          <w:tcPr>
            <w:tcW w:w="550" w:type="pct"/>
            <w:tcBorders>
              <w:top w:val="nil"/>
              <w:left w:val="nil"/>
              <w:bottom w:val="single" w:sz="4" w:space="0" w:color="293F5B"/>
              <w:right w:val="nil"/>
            </w:tcBorders>
            <w:shd w:val="clear" w:color="000000" w:fill="FFFFFF"/>
            <w:noWrap/>
            <w:vAlign w:val="center"/>
            <w:hideMark/>
          </w:tcPr>
          <w:p w14:paraId="39DA6DA2" w14:textId="77777777" w:rsidR="006D7D7D" w:rsidRPr="006D7D7D" w:rsidRDefault="006D7D7D" w:rsidP="006D7D7D">
            <w:pPr>
              <w:spacing w:before="0" w:after="0" w:line="240" w:lineRule="auto"/>
              <w:jc w:val="right"/>
              <w:rPr>
                <w:rFonts w:ascii="Arial" w:hAnsi="Arial" w:cs="Arial"/>
                <w:color w:val="000000"/>
                <w:sz w:val="16"/>
                <w:szCs w:val="16"/>
              </w:rPr>
            </w:pPr>
            <w:r w:rsidRPr="006D7D7D">
              <w:rPr>
                <w:rFonts w:ascii="Arial" w:hAnsi="Arial" w:cs="Arial"/>
                <w:color w:val="000000"/>
                <w:sz w:val="16"/>
                <w:szCs w:val="16"/>
              </w:rPr>
              <w:t>77</w:t>
            </w:r>
          </w:p>
        </w:tc>
        <w:tc>
          <w:tcPr>
            <w:tcW w:w="550" w:type="pct"/>
            <w:tcBorders>
              <w:top w:val="nil"/>
              <w:left w:val="nil"/>
              <w:bottom w:val="single" w:sz="4" w:space="0" w:color="293F5B"/>
              <w:right w:val="nil"/>
            </w:tcBorders>
            <w:shd w:val="clear" w:color="000000" w:fill="E6F2FF"/>
            <w:noWrap/>
            <w:vAlign w:val="center"/>
            <w:hideMark/>
          </w:tcPr>
          <w:p w14:paraId="0BACAB4F" w14:textId="77777777" w:rsidR="006D7D7D" w:rsidRPr="006D7D7D" w:rsidRDefault="006D7D7D" w:rsidP="006D7D7D">
            <w:pPr>
              <w:spacing w:before="0" w:after="0" w:line="240" w:lineRule="auto"/>
              <w:jc w:val="right"/>
              <w:rPr>
                <w:rFonts w:ascii="Arial" w:hAnsi="Arial" w:cs="Arial"/>
                <w:color w:val="000000"/>
                <w:sz w:val="16"/>
                <w:szCs w:val="16"/>
              </w:rPr>
            </w:pPr>
            <w:r w:rsidRPr="006D7D7D">
              <w:rPr>
                <w:rFonts w:ascii="Arial" w:hAnsi="Arial" w:cs="Arial"/>
                <w:color w:val="000000"/>
                <w:sz w:val="16"/>
                <w:szCs w:val="16"/>
              </w:rPr>
              <w:t>79</w:t>
            </w:r>
          </w:p>
        </w:tc>
        <w:tc>
          <w:tcPr>
            <w:tcW w:w="550" w:type="pct"/>
            <w:tcBorders>
              <w:top w:val="nil"/>
              <w:left w:val="nil"/>
              <w:bottom w:val="single" w:sz="4" w:space="0" w:color="293F5B"/>
              <w:right w:val="nil"/>
            </w:tcBorders>
            <w:shd w:val="clear" w:color="000000" w:fill="FFFFFF"/>
            <w:noWrap/>
            <w:vAlign w:val="center"/>
            <w:hideMark/>
          </w:tcPr>
          <w:p w14:paraId="7A34A5CD" w14:textId="77777777" w:rsidR="006D7D7D" w:rsidRPr="006D7D7D" w:rsidRDefault="006D7D7D" w:rsidP="006D7D7D">
            <w:pPr>
              <w:spacing w:before="0" w:after="0" w:line="240" w:lineRule="auto"/>
              <w:jc w:val="right"/>
              <w:rPr>
                <w:rFonts w:ascii="Arial" w:hAnsi="Arial" w:cs="Arial"/>
                <w:color w:val="000000"/>
                <w:sz w:val="16"/>
                <w:szCs w:val="16"/>
              </w:rPr>
            </w:pPr>
            <w:r w:rsidRPr="006D7D7D">
              <w:rPr>
                <w:rFonts w:ascii="Arial" w:hAnsi="Arial" w:cs="Arial"/>
                <w:color w:val="000000"/>
                <w:sz w:val="16"/>
                <w:szCs w:val="16"/>
              </w:rPr>
              <w:t>81</w:t>
            </w:r>
          </w:p>
        </w:tc>
        <w:tc>
          <w:tcPr>
            <w:tcW w:w="550" w:type="pct"/>
            <w:tcBorders>
              <w:top w:val="nil"/>
              <w:left w:val="nil"/>
              <w:bottom w:val="single" w:sz="4" w:space="0" w:color="293F5B"/>
              <w:right w:val="nil"/>
            </w:tcBorders>
            <w:shd w:val="clear" w:color="000000" w:fill="FFFFFF"/>
            <w:noWrap/>
            <w:vAlign w:val="center"/>
            <w:hideMark/>
          </w:tcPr>
          <w:p w14:paraId="50C99AD7" w14:textId="77777777" w:rsidR="006D7D7D" w:rsidRPr="006D7D7D" w:rsidRDefault="006D7D7D" w:rsidP="006D7D7D">
            <w:pPr>
              <w:spacing w:before="0" w:after="0" w:line="240" w:lineRule="auto"/>
              <w:jc w:val="right"/>
              <w:rPr>
                <w:rFonts w:ascii="Arial" w:hAnsi="Arial" w:cs="Arial"/>
                <w:color w:val="000000"/>
                <w:sz w:val="16"/>
                <w:szCs w:val="16"/>
              </w:rPr>
            </w:pPr>
            <w:r w:rsidRPr="006D7D7D">
              <w:rPr>
                <w:rFonts w:ascii="Arial" w:hAnsi="Arial" w:cs="Arial"/>
                <w:color w:val="000000"/>
                <w:sz w:val="16"/>
                <w:szCs w:val="16"/>
              </w:rPr>
              <w:t>82</w:t>
            </w:r>
          </w:p>
        </w:tc>
        <w:tc>
          <w:tcPr>
            <w:tcW w:w="550" w:type="pct"/>
            <w:tcBorders>
              <w:top w:val="nil"/>
              <w:left w:val="nil"/>
              <w:bottom w:val="single" w:sz="4" w:space="0" w:color="293F5B"/>
              <w:right w:val="nil"/>
            </w:tcBorders>
            <w:shd w:val="clear" w:color="000000" w:fill="FFFFFF"/>
            <w:noWrap/>
            <w:vAlign w:val="center"/>
            <w:hideMark/>
          </w:tcPr>
          <w:p w14:paraId="6145FD33" w14:textId="77777777" w:rsidR="006D7D7D" w:rsidRPr="006D7D7D" w:rsidRDefault="006D7D7D" w:rsidP="006D7D7D">
            <w:pPr>
              <w:spacing w:before="0" w:after="0" w:line="240" w:lineRule="auto"/>
              <w:jc w:val="right"/>
              <w:rPr>
                <w:rFonts w:ascii="Arial" w:hAnsi="Arial" w:cs="Arial"/>
                <w:color w:val="000000"/>
                <w:sz w:val="16"/>
                <w:szCs w:val="16"/>
              </w:rPr>
            </w:pPr>
            <w:r w:rsidRPr="006D7D7D">
              <w:rPr>
                <w:rFonts w:ascii="Arial" w:hAnsi="Arial" w:cs="Arial"/>
                <w:color w:val="000000"/>
                <w:sz w:val="16"/>
                <w:szCs w:val="16"/>
              </w:rPr>
              <w:t>83</w:t>
            </w:r>
          </w:p>
        </w:tc>
      </w:tr>
      <w:tr w:rsidR="006D7D7D" w:rsidRPr="006D7D7D" w14:paraId="2AB8875A" w14:textId="77777777" w:rsidTr="00B64BD4">
        <w:trPr>
          <w:trHeight w:hRule="exact" w:val="226"/>
        </w:trPr>
        <w:tc>
          <w:tcPr>
            <w:tcW w:w="2183" w:type="pct"/>
            <w:tcBorders>
              <w:top w:val="nil"/>
              <w:left w:val="nil"/>
              <w:bottom w:val="single" w:sz="4" w:space="0" w:color="293F5B"/>
              <w:right w:val="nil"/>
            </w:tcBorders>
            <w:shd w:val="clear" w:color="000000" w:fill="FFFFFF"/>
            <w:noWrap/>
            <w:vAlign w:val="center"/>
            <w:hideMark/>
          </w:tcPr>
          <w:p w14:paraId="4D8415B9" w14:textId="77777777" w:rsidR="006D7D7D" w:rsidRPr="006D7D7D" w:rsidRDefault="006D7D7D" w:rsidP="006D7D7D">
            <w:pPr>
              <w:spacing w:before="0" w:after="0" w:line="240" w:lineRule="auto"/>
              <w:rPr>
                <w:rFonts w:ascii="Arial" w:hAnsi="Arial" w:cs="Arial"/>
                <w:b/>
                <w:bCs/>
                <w:color w:val="000000"/>
                <w:sz w:val="16"/>
                <w:szCs w:val="16"/>
              </w:rPr>
            </w:pPr>
            <w:r w:rsidRPr="006D7D7D">
              <w:rPr>
                <w:rFonts w:ascii="Arial" w:hAnsi="Arial" w:cs="Arial"/>
                <w:b/>
                <w:bCs/>
                <w:color w:val="000000"/>
                <w:sz w:val="16"/>
                <w:szCs w:val="16"/>
              </w:rPr>
              <w:t>Total</w:t>
            </w:r>
          </w:p>
        </w:tc>
        <w:tc>
          <w:tcPr>
            <w:tcW w:w="68" w:type="pct"/>
            <w:tcBorders>
              <w:top w:val="nil"/>
              <w:left w:val="nil"/>
              <w:bottom w:val="single" w:sz="4" w:space="0" w:color="293F5B"/>
              <w:right w:val="nil"/>
            </w:tcBorders>
            <w:shd w:val="clear" w:color="000000" w:fill="FFFFFF"/>
            <w:noWrap/>
            <w:vAlign w:val="center"/>
            <w:hideMark/>
          </w:tcPr>
          <w:p w14:paraId="5F422D13" w14:textId="77777777" w:rsidR="006D7D7D" w:rsidRPr="006D7D7D" w:rsidRDefault="006D7D7D" w:rsidP="006D7D7D">
            <w:pPr>
              <w:spacing w:before="0" w:after="0" w:line="240" w:lineRule="auto"/>
              <w:rPr>
                <w:rFonts w:ascii="Arial" w:hAnsi="Arial" w:cs="Arial"/>
                <w:b/>
                <w:bCs/>
                <w:color w:val="000000"/>
                <w:sz w:val="16"/>
                <w:szCs w:val="16"/>
              </w:rPr>
            </w:pPr>
            <w:r w:rsidRPr="006D7D7D">
              <w:rPr>
                <w:rFonts w:ascii="Arial" w:hAnsi="Arial" w:cs="Arial"/>
                <w:b/>
                <w:bCs/>
                <w:color w:val="000000"/>
                <w:sz w:val="16"/>
                <w:szCs w:val="16"/>
              </w:rPr>
              <w:t> </w:t>
            </w:r>
          </w:p>
        </w:tc>
        <w:tc>
          <w:tcPr>
            <w:tcW w:w="550" w:type="pct"/>
            <w:tcBorders>
              <w:top w:val="single" w:sz="4" w:space="0" w:color="293F5B"/>
              <w:left w:val="nil"/>
              <w:bottom w:val="single" w:sz="4" w:space="0" w:color="293F5B"/>
              <w:right w:val="nil"/>
            </w:tcBorders>
            <w:shd w:val="clear" w:color="000000" w:fill="FFFFFF"/>
            <w:noWrap/>
            <w:vAlign w:val="center"/>
            <w:hideMark/>
          </w:tcPr>
          <w:p w14:paraId="08C82E10" w14:textId="77777777" w:rsidR="006D7D7D" w:rsidRPr="006D7D7D" w:rsidRDefault="006D7D7D" w:rsidP="006D7D7D">
            <w:pPr>
              <w:spacing w:before="0" w:after="0" w:line="240" w:lineRule="auto"/>
              <w:jc w:val="right"/>
              <w:rPr>
                <w:rFonts w:ascii="Arial" w:hAnsi="Arial" w:cs="Arial"/>
                <w:b/>
                <w:bCs/>
                <w:color w:val="000000"/>
                <w:sz w:val="16"/>
                <w:szCs w:val="16"/>
              </w:rPr>
            </w:pPr>
            <w:r w:rsidRPr="006D7D7D">
              <w:rPr>
                <w:rFonts w:ascii="Arial" w:hAnsi="Arial" w:cs="Arial"/>
                <w:b/>
                <w:bCs/>
                <w:color w:val="000000"/>
                <w:sz w:val="16"/>
                <w:szCs w:val="16"/>
              </w:rPr>
              <w:t>1,688</w:t>
            </w:r>
          </w:p>
        </w:tc>
        <w:tc>
          <w:tcPr>
            <w:tcW w:w="550" w:type="pct"/>
            <w:tcBorders>
              <w:top w:val="single" w:sz="4" w:space="0" w:color="293F5B"/>
              <w:left w:val="nil"/>
              <w:bottom w:val="single" w:sz="4" w:space="0" w:color="293F5B"/>
              <w:right w:val="nil"/>
            </w:tcBorders>
            <w:shd w:val="clear" w:color="000000" w:fill="E6F2FF"/>
            <w:noWrap/>
            <w:vAlign w:val="center"/>
            <w:hideMark/>
          </w:tcPr>
          <w:p w14:paraId="029BCE78" w14:textId="77777777" w:rsidR="006D7D7D" w:rsidRPr="006D7D7D" w:rsidRDefault="006D7D7D" w:rsidP="006D7D7D">
            <w:pPr>
              <w:spacing w:before="0" w:after="0" w:line="240" w:lineRule="auto"/>
              <w:jc w:val="right"/>
              <w:rPr>
                <w:rFonts w:ascii="Arial" w:hAnsi="Arial" w:cs="Arial"/>
                <w:b/>
                <w:bCs/>
                <w:color w:val="000000"/>
                <w:sz w:val="16"/>
                <w:szCs w:val="16"/>
              </w:rPr>
            </w:pPr>
            <w:r w:rsidRPr="006D7D7D">
              <w:rPr>
                <w:rFonts w:ascii="Arial" w:hAnsi="Arial" w:cs="Arial"/>
                <w:b/>
                <w:bCs/>
                <w:color w:val="000000"/>
                <w:sz w:val="16"/>
                <w:szCs w:val="16"/>
              </w:rPr>
              <w:t>1,749</w:t>
            </w:r>
          </w:p>
        </w:tc>
        <w:tc>
          <w:tcPr>
            <w:tcW w:w="550" w:type="pct"/>
            <w:tcBorders>
              <w:top w:val="single" w:sz="4" w:space="0" w:color="293F5B"/>
              <w:left w:val="nil"/>
              <w:bottom w:val="single" w:sz="4" w:space="0" w:color="293F5B"/>
              <w:right w:val="nil"/>
            </w:tcBorders>
            <w:shd w:val="clear" w:color="000000" w:fill="FFFFFF"/>
            <w:noWrap/>
            <w:vAlign w:val="center"/>
            <w:hideMark/>
          </w:tcPr>
          <w:p w14:paraId="2E4C7CFB" w14:textId="77777777" w:rsidR="006D7D7D" w:rsidRPr="006D7D7D" w:rsidRDefault="006D7D7D" w:rsidP="006D7D7D">
            <w:pPr>
              <w:spacing w:before="0" w:after="0" w:line="240" w:lineRule="auto"/>
              <w:jc w:val="right"/>
              <w:rPr>
                <w:rFonts w:ascii="Arial" w:hAnsi="Arial" w:cs="Arial"/>
                <w:b/>
                <w:bCs/>
                <w:color w:val="000000"/>
                <w:sz w:val="16"/>
                <w:szCs w:val="16"/>
              </w:rPr>
            </w:pPr>
            <w:r w:rsidRPr="006D7D7D">
              <w:rPr>
                <w:rFonts w:ascii="Arial" w:hAnsi="Arial" w:cs="Arial"/>
                <w:b/>
                <w:bCs/>
                <w:color w:val="000000"/>
                <w:sz w:val="16"/>
                <w:szCs w:val="16"/>
              </w:rPr>
              <w:t>1,801</w:t>
            </w:r>
          </w:p>
        </w:tc>
        <w:tc>
          <w:tcPr>
            <w:tcW w:w="550" w:type="pct"/>
            <w:tcBorders>
              <w:top w:val="single" w:sz="4" w:space="0" w:color="293F5B"/>
              <w:left w:val="nil"/>
              <w:bottom w:val="single" w:sz="4" w:space="0" w:color="293F5B"/>
              <w:right w:val="nil"/>
            </w:tcBorders>
            <w:shd w:val="clear" w:color="000000" w:fill="FFFFFF"/>
            <w:noWrap/>
            <w:vAlign w:val="center"/>
            <w:hideMark/>
          </w:tcPr>
          <w:p w14:paraId="4763632E" w14:textId="77777777" w:rsidR="006D7D7D" w:rsidRPr="006D7D7D" w:rsidRDefault="006D7D7D" w:rsidP="006D7D7D">
            <w:pPr>
              <w:spacing w:before="0" w:after="0" w:line="240" w:lineRule="auto"/>
              <w:jc w:val="right"/>
              <w:rPr>
                <w:rFonts w:ascii="Arial" w:hAnsi="Arial" w:cs="Arial"/>
                <w:b/>
                <w:bCs/>
                <w:color w:val="000000"/>
                <w:sz w:val="16"/>
                <w:szCs w:val="16"/>
              </w:rPr>
            </w:pPr>
            <w:r w:rsidRPr="006D7D7D">
              <w:rPr>
                <w:rFonts w:ascii="Arial" w:hAnsi="Arial" w:cs="Arial"/>
                <w:b/>
                <w:bCs/>
                <w:color w:val="000000"/>
                <w:sz w:val="16"/>
                <w:szCs w:val="16"/>
              </w:rPr>
              <w:t>1,800</w:t>
            </w:r>
          </w:p>
        </w:tc>
        <w:tc>
          <w:tcPr>
            <w:tcW w:w="550" w:type="pct"/>
            <w:tcBorders>
              <w:top w:val="single" w:sz="4" w:space="0" w:color="293F5B"/>
              <w:left w:val="nil"/>
              <w:bottom w:val="single" w:sz="4" w:space="0" w:color="293F5B"/>
              <w:right w:val="nil"/>
            </w:tcBorders>
            <w:shd w:val="clear" w:color="000000" w:fill="FFFFFF"/>
            <w:noWrap/>
            <w:vAlign w:val="center"/>
            <w:hideMark/>
          </w:tcPr>
          <w:p w14:paraId="4AE0BCD1" w14:textId="77777777" w:rsidR="006D7D7D" w:rsidRPr="006D7D7D" w:rsidRDefault="006D7D7D" w:rsidP="006D7D7D">
            <w:pPr>
              <w:spacing w:before="0" w:after="0" w:line="240" w:lineRule="auto"/>
              <w:jc w:val="right"/>
              <w:rPr>
                <w:rFonts w:ascii="Arial" w:hAnsi="Arial" w:cs="Arial"/>
                <w:b/>
                <w:bCs/>
                <w:color w:val="000000"/>
                <w:sz w:val="16"/>
                <w:szCs w:val="16"/>
              </w:rPr>
            </w:pPr>
            <w:r w:rsidRPr="006D7D7D">
              <w:rPr>
                <w:rFonts w:ascii="Arial" w:hAnsi="Arial" w:cs="Arial"/>
                <w:b/>
                <w:bCs/>
                <w:color w:val="000000"/>
                <w:sz w:val="16"/>
                <w:szCs w:val="16"/>
              </w:rPr>
              <w:t>1,813</w:t>
            </w:r>
          </w:p>
        </w:tc>
      </w:tr>
    </w:tbl>
    <w:p w14:paraId="6FB08E0B" w14:textId="0503BA03" w:rsidR="008D447A" w:rsidRPr="000177D7" w:rsidRDefault="008D447A" w:rsidP="00E87DDC">
      <w:pPr>
        <w:pStyle w:val="ChartandTableFootnoteAlpha"/>
        <w:numPr>
          <w:ilvl w:val="0"/>
          <w:numId w:val="16"/>
        </w:numPr>
      </w:pPr>
      <w:r w:rsidRPr="000177D7">
        <w:t>The entry for each component includes eliminations for inter</w:t>
      </w:r>
      <w:r w:rsidR="008D4F6B">
        <w:noBreakHyphen/>
      </w:r>
      <w:r w:rsidRPr="000177D7">
        <w:t>agency transactions within that component.</w:t>
      </w:r>
    </w:p>
    <w:p w14:paraId="63462305" w14:textId="77777777" w:rsidR="008D447A" w:rsidRPr="000177D7" w:rsidRDefault="008D447A" w:rsidP="00D91079">
      <w:pPr>
        <w:pStyle w:val="TableLine"/>
      </w:pPr>
    </w:p>
    <w:p w14:paraId="0E0BECBA" w14:textId="0825D18D" w:rsidR="00C96C20" w:rsidRDefault="00C96C20" w:rsidP="00C96C20">
      <w:pPr>
        <w:spacing w:line="240" w:lineRule="auto"/>
      </w:pPr>
      <w:r w:rsidRPr="00A1287D">
        <w:rPr>
          <w:lang w:val="en-US"/>
        </w:rPr>
        <w:t xml:space="preserve">Expenses </w:t>
      </w:r>
      <w:r w:rsidR="00141218">
        <w:rPr>
          <w:lang w:val="en-US"/>
        </w:rPr>
        <w:t xml:space="preserve">under </w:t>
      </w:r>
      <w:r w:rsidRPr="00390D35">
        <w:rPr>
          <w:rStyle w:val="Strong"/>
        </w:rPr>
        <w:t>arts and cultural heritage</w:t>
      </w:r>
      <w:r w:rsidRPr="00A1287D">
        <w:rPr>
          <w:lang w:val="en-US"/>
        </w:rPr>
        <w:t xml:space="preserve"> are estimated to increase from 2023–24 to </w:t>
      </w:r>
      <w:r w:rsidR="008B51FE">
        <w:rPr>
          <w:lang w:val="en-US"/>
        </w:rPr>
        <w:br/>
      </w:r>
      <w:r w:rsidRPr="00A1287D">
        <w:rPr>
          <w:lang w:val="en-US"/>
        </w:rPr>
        <w:t>2024</w:t>
      </w:r>
      <w:r w:rsidR="00141218">
        <w:rPr>
          <w:lang w:val="en-US"/>
        </w:rPr>
        <w:t>–</w:t>
      </w:r>
      <w:r w:rsidRPr="00A1287D">
        <w:rPr>
          <w:lang w:val="en-US"/>
        </w:rPr>
        <w:t xml:space="preserve">25, followed by a decrease </w:t>
      </w:r>
      <w:r w:rsidR="00957B9D">
        <w:t>over the period 2024–25 to 2027–28</w:t>
      </w:r>
      <w:r w:rsidRPr="00A1287D">
        <w:rPr>
          <w:lang w:val="en-US"/>
        </w:rPr>
        <w:t xml:space="preserve">. This is due to increased estimated payments under the Australian Screen Production Incentives and Digital Game Production Offset programs in 2023–24 and 2024–25 and a reduction in funding for the Location Incentive Program over the </w:t>
      </w:r>
      <w:r>
        <w:rPr>
          <w:lang w:val="en-US"/>
        </w:rPr>
        <w:t>five years from 2023–24 to 2027–28</w:t>
      </w:r>
      <w:r w:rsidRPr="00A1287D">
        <w:rPr>
          <w:lang w:val="en-US"/>
        </w:rPr>
        <w:t xml:space="preserve">. The decrease is partially offset by additional funding for the national arts training organisations and the Australian Film Television and Radio School through the </w:t>
      </w:r>
      <w:r w:rsidR="008B51FE">
        <w:rPr>
          <w:lang w:val="en-US"/>
        </w:rPr>
        <w:br/>
      </w:r>
      <w:r w:rsidRPr="00A1287D">
        <w:rPr>
          <w:lang w:val="en-US"/>
        </w:rPr>
        <w:t>2024</w:t>
      </w:r>
      <w:r>
        <w:rPr>
          <w:rFonts w:cs="Book Antiqua"/>
          <w:lang w:val="en-US"/>
        </w:rPr>
        <w:t>–</w:t>
      </w:r>
      <w:r w:rsidRPr="00A1287D">
        <w:rPr>
          <w:lang w:val="en-US"/>
        </w:rPr>
        <w:t>25</w:t>
      </w:r>
      <w:r>
        <w:rPr>
          <w:lang w:val="en-US"/>
        </w:rPr>
        <w:t> </w:t>
      </w:r>
      <w:r w:rsidRPr="00A1287D">
        <w:rPr>
          <w:lang w:val="en-US"/>
        </w:rPr>
        <w:t xml:space="preserve">Budget </w:t>
      </w:r>
      <w:r w:rsidRPr="00BA5C26">
        <w:rPr>
          <w:lang w:val="en-US"/>
        </w:rPr>
        <w:t xml:space="preserve">measure </w:t>
      </w:r>
      <w:r w:rsidRPr="00390D35">
        <w:rPr>
          <w:rStyle w:val="Emphasis"/>
        </w:rPr>
        <w:t xml:space="preserve">Revive </w:t>
      </w:r>
      <w:r w:rsidR="00BA5C26" w:rsidRPr="00390D35">
        <w:rPr>
          <w:rStyle w:val="Emphasis"/>
        </w:rPr>
        <w:t>–</w:t>
      </w:r>
      <w:r w:rsidRPr="00390D35">
        <w:rPr>
          <w:rStyle w:val="Emphasis"/>
        </w:rPr>
        <w:t xml:space="preserve"> National Cultural Policy</w:t>
      </w:r>
      <w:r w:rsidRPr="00BA5C26">
        <w:rPr>
          <w:i/>
          <w:iCs/>
          <w:lang w:val="en-US"/>
        </w:rPr>
        <w:t>.</w:t>
      </w:r>
      <w:r>
        <w:rPr>
          <w:lang w:val="en-US"/>
        </w:rPr>
        <w:t xml:space="preserve"> This measure</w:t>
      </w:r>
      <w:r w:rsidRPr="00A1287D">
        <w:rPr>
          <w:lang w:val="en-US"/>
        </w:rPr>
        <w:t xml:space="preserve"> will provide </w:t>
      </w:r>
      <w:r w:rsidR="008A521E">
        <w:rPr>
          <w:lang w:val="en-US"/>
        </w:rPr>
        <w:t>$216.6</w:t>
      </w:r>
      <w:r w:rsidRPr="00A1287D">
        <w:rPr>
          <w:lang w:val="en-US"/>
        </w:rPr>
        <w:t> million over four years to support Australia</w:t>
      </w:r>
      <w:r w:rsidR="008D4F6B">
        <w:rPr>
          <w:lang w:val="en-US"/>
        </w:rPr>
        <w:t>’</w:t>
      </w:r>
      <w:r w:rsidRPr="00A1287D">
        <w:rPr>
          <w:lang w:val="en-US"/>
        </w:rPr>
        <w:t>s arts, entertainment, and cultural sector.</w:t>
      </w:r>
    </w:p>
    <w:p w14:paraId="720101FD" w14:textId="2DE4B077" w:rsidR="00EB2642" w:rsidRDefault="00BA5C26" w:rsidP="00EB2642">
      <w:pPr>
        <w:rPr>
          <w:szCs w:val="19"/>
          <w:lang w:val="en-US"/>
        </w:rPr>
      </w:pPr>
      <w:r w:rsidRPr="00390D35">
        <w:rPr>
          <w:rStyle w:val="Strong"/>
        </w:rPr>
        <w:t>S</w:t>
      </w:r>
      <w:r w:rsidR="00EB2642" w:rsidRPr="00390D35">
        <w:rPr>
          <w:rStyle w:val="Strong"/>
        </w:rPr>
        <w:t>port and recreation</w:t>
      </w:r>
      <w:r w:rsidR="00EB2642" w:rsidRPr="00002DB4">
        <w:rPr>
          <w:lang w:val="en-US"/>
        </w:rPr>
        <w:t xml:space="preserve"> </w:t>
      </w:r>
      <w:r>
        <w:rPr>
          <w:szCs w:val="19"/>
          <w:lang w:val="en-US"/>
        </w:rPr>
        <w:t xml:space="preserve">expenses </w:t>
      </w:r>
      <w:r w:rsidR="00EB2642" w:rsidRPr="6EDBD11D">
        <w:rPr>
          <w:szCs w:val="19"/>
          <w:lang w:val="en-US"/>
        </w:rPr>
        <w:t xml:space="preserve">are estimated to increase over the period 2024–25 to </w:t>
      </w:r>
      <w:r w:rsidR="008B51FE">
        <w:rPr>
          <w:szCs w:val="19"/>
          <w:lang w:val="en-US"/>
        </w:rPr>
        <w:br/>
      </w:r>
      <w:r w:rsidR="00EB2642" w:rsidRPr="6EDBD11D">
        <w:rPr>
          <w:szCs w:val="19"/>
          <w:lang w:val="en-US"/>
        </w:rPr>
        <w:t>2027</w:t>
      </w:r>
      <w:r>
        <w:rPr>
          <w:szCs w:val="19"/>
          <w:lang w:val="en-US"/>
        </w:rPr>
        <w:t>–</w:t>
      </w:r>
      <w:r w:rsidR="00EB2642" w:rsidRPr="6EDBD11D">
        <w:rPr>
          <w:szCs w:val="19"/>
          <w:lang w:val="en-US"/>
        </w:rPr>
        <w:t>28</w:t>
      </w:r>
      <w:r w:rsidR="00EB2642" w:rsidRPr="002C6845">
        <w:rPr>
          <w:szCs w:val="19"/>
          <w:lang w:val="en-US"/>
        </w:rPr>
        <w:t xml:space="preserve">, </w:t>
      </w:r>
      <w:r w:rsidR="00E82EFE">
        <w:rPr>
          <w:szCs w:val="19"/>
          <w:lang w:val="en-US"/>
        </w:rPr>
        <w:t>due to</w:t>
      </w:r>
      <w:r w:rsidR="002C6845" w:rsidRPr="002C6845">
        <w:rPr>
          <w:szCs w:val="19"/>
          <w:lang w:val="en-US"/>
        </w:rPr>
        <w:t xml:space="preserve"> the </w:t>
      </w:r>
      <w:r w:rsidR="002C6845" w:rsidRPr="002C6845">
        <w:t>Government</w:t>
      </w:r>
      <w:r w:rsidR="008D4F6B">
        <w:t>’</w:t>
      </w:r>
      <w:r w:rsidR="002C6845" w:rsidRPr="002C6845">
        <w:t>s investment in venue infrastructure for the 2032 Brisbane Olympic and Paralympic Games</w:t>
      </w:r>
      <w:r w:rsidR="00BE6BBB" w:rsidRPr="002C6845">
        <w:rPr>
          <w:szCs w:val="19"/>
          <w:lang w:val="en-US"/>
        </w:rPr>
        <w:t>.</w:t>
      </w:r>
      <w:r w:rsidR="00BE6BBB">
        <w:rPr>
          <w:lang w:val="en-US"/>
        </w:rPr>
        <w:t xml:space="preserve"> The Government is also providing additional funding through the 2024</w:t>
      </w:r>
      <w:r w:rsidR="00E82EFE">
        <w:rPr>
          <w:lang w:val="en-US"/>
        </w:rPr>
        <w:t>–</w:t>
      </w:r>
      <w:r w:rsidR="00BE6BBB">
        <w:rPr>
          <w:lang w:val="en-US"/>
        </w:rPr>
        <w:t xml:space="preserve">25 Budget </w:t>
      </w:r>
      <w:r w:rsidR="00BE6BBB" w:rsidRPr="00BA5C26">
        <w:rPr>
          <w:lang w:val="en-US"/>
        </w:rPr>
        <w:t xml:space="preserve">measures </w:t>
      </w:r>
      <w:r w:rsidR="00BE6BBB" w:rsidRPr="00390D35">
        <w:rPr>
          <w:rStyle w:val="Emphasis"/>
        </w:rPr>
        <w:t xml:space="preserve">Supporting Sports Participation </w:t>
      </w:r>
      <w:r w:rsidR="00BE6BBB" w:rsidRPr="00204B48">
        <w:rPr>
          <w:rStyle w:val="Emphasis"/>
          <w:i w:val="0"/>
        </w:rPr>
        <w:t xml:space="preserve">and </w:t>
      </w:r>
      <w:r w:rsidR="00BE6BBB" w:rsidRPr="00390D35">
        <w:rPr>
          <w:rStyle w:val="Emphasis"/>
        </w:rPr>
        <w:t>Sport Integrity Australia – funding support</w:t>
      </w:r>
      <w:r w:rsidR="00BE6BBB" w:rsidRPr="00BA5C26">
        <w:rPr>
          <w:lang w:val="en-US"/>
        </w:rPr>
        <w:t xml:space="preserve"> to continue Commonwealth sport participation and</w:t>
      </w:r>
      <w:r w:rsidR="00BE6BBB" w:rsidRPr="00E82EFE">
        <w:rPr>
          <w:lang w:val="en-US"/>
        </w:rPr>
        <w:t xml:space="preserve"> </w:t>
      </w:r>
      <w:r w:rsidR="00D62489" w:rsidRPr="00E82EFE">
        <w:rPr>
          <w:lang w:val="en-US"/>
        </w:rPr>
        <w:t>high</w:t>
      </w:r>
      <w:r w:rsidR="008D4F6B">
        <w:rPr>
          <w:lang w:val="en-US"/>
        </w:rPr>
        <w:noBreakHyphen/>
      </w:r>
      <w:r w:rsidR="00D62489" w:rsidRPr="00E82EFE">
        <w:rPr>
          <w:lang w:val="en-US"/>
        </w:rPr>
        <w:t>performance</w:t>
      </w:r>
      <w:r w:rsidR="00BE6BBB" w:rsidRPr="00E82EFE">
        <w:rPr>
          <w:lang w:val="en-US"/>
        </w:rPr>
        <w:t xml:space="preserve"> grants funding programs, provide additional funding to support preparation for and delivery of key international events, safeguard the integrity of Australian sport and invest in the upgrade and restoration of sporting infrastructure.</w:t>
      </w:r>
    </w:p>
    <w:bookmarkEnd w:id="124"/>
    <w:p w14:paraId="25E36A2F" w14:textId="3E1B1420" w:rsidR="00A073D9" w:rsidRPr="001E69F6" w:rsidRDefault="00BA5C26" w:rsidP="00A073D9">
      <w:pPr>
        <w:spacing w:beforeAutospacing="1" w:afterAutospacing="1" w:line="240" w:lineRule="auto"/>
        <w:rPr>
          <w:rFonts w:cs="Book Antiqua"/>
        </w:rPr>
      </w:pPr>
      <w:r w:rsidRPr="00390D35">
        <w:rPr>
          <w:rStyle w:val="Strong"/>
        </w:rPr>
        <w:lastRenderedPageBreak/>
        <w:t>N</w:t>
      </w:r>
      <w:r w:rsidR="00A073D9" w:rsidRPr="00390D35">
        <w:rPr>
          <w:rStyle w:val="Strong"/>
        </w:rPr>
        <w:t>ational estate and parks</w:t>
      </w:r>
      <w:r w:rsidR="00A073D9" w:rsidRPr="5EA37B54">
        <w:rPr>
          <w:lang w:val="en-US"/>
        </w:rPr>
        <w:t> </w:t>
      </w:r>
      <w:r>
        <w:rPr>
          <w:lang w:val="en-US"/>
        </w:rPr>
        <w:t xml:space="preserve">expenses </w:t>
      </w:r>
      <w:r w:rsidR="00A073D9" w:rsidRPr="5EA37B54">
        <w:rPr>
          <w:lang w:val="en-US"/>
        </w:rPr>
        <w:t xml:space="preserve">are </w:t>
      </w:r>
      <w:r w:rsidR="00A073D9" w:rsidRPr="1229AB4F">
        <w:rPr>
          <w:rFonts w:cstheme="minorBidi"/>
        </w:rPr>
        <w:t xml:space="preserve">estimated to </w:t>
      </w:r>
      <w:r w:rsidR="00A073D9" w:rsidRPr="5EA37B54">
        <w:rPr>
          <w:rFonts w:cs="Book Antiqua"/>
        </w:rPr>
        <w:t xml:space="preserve">decrease </w:t>
      </w:r>
      <w:r w:rsidR="00A073D9">
        <w:rPr>
          <w:rFonts w:cs="Book Antiqua"/>
        </w:rPr>
        <w:t xml:space="preserve">slightly </w:t>
      </w:r>
      <w:r w:rsidR="00A073D9" w:rsidRPr="1229AB4F">
        <w:rPr>
          <w:rFonts w:cstheme="minorBidi"/>
        </w:rPr>
        <w:t>over the period 2024–25 to 2027–28,</w:t>
      </w:r>
      <w:r w:rsidR="00A073D9" w:rsidRPr="5EA37B54">
        <w:rPr>
          <w:rFonts w:cs="Book Antiqua"/>
        </w:rPr>
        <w:t xml:space="preserve"> reflecting</w:t>
      </w:r>
      <w:r w:rsidR="00A073D9">
        <w:rPr>
          <w:rFonts w:cs="Book Antiqua"/>
        </w:rPr>
        <w:t xml:space="preserve"> the </w:t>
      </w:r>
      <w:r w:rsidR="00A073D9" w:rsidRPr="24C0E60C">
        <w:rPr>
          <w:rFonts w:cs="Book Antiqua"/>
        </w:rPr>
        <w:t>Government</w:t>
      </w:r>
      <w:r w:rsidR="008D4F6B">
        <w:rPr>
          <w:rFonts w:cs="Book Antiqua"/>
        </w:rPr>
        <w:t>’</w:t>
      </w:r>
      <w:r w:rsidR="00A073D9" w:rsidRPr="24C0E60C">
        <w:rPr>
          <w:rFonts w:cs="Book Antiqua"/>
        </w:rPr>
        <w:t>s</w:t>
      </w:r>
      <w:r w:rsidR="00A073D9" w:rsidRPr="24C0E60C" w:rsidDel="003F6288">
        <w:rPr>
          <w:rFonts w:cs="Book Antiqua"/>
        </w:rPr>
        <w:t xml:space="preserve"> </w:t>
      </w:r>
      <w:r w:rsidR="00A073D9" w:rsidRPr="24C0E60C">
        <w:rPr>
          <w:rFonts w:cs="Book Antiqua"/>
        </w:rPr>
        <w:t xml:space="preserve">upfront </w:t>
      </w:r>
      <w:r w:rsidR="00A073D9">
        <w:rPr>
          <w:rFonts w:cs="Book Antiqua"/>
        </w:rPr>
        <w:t xml:space="preserve">investment </w:t>
      </w:r>
      <w:r w:rsidR="00A073D9" w:rsidRPr="24C0E60C">
        <w:rPr>
          <w:rFonts w:cs="Book Antiqua"/>
        </w:rPr>
        <w:t>in 2024</w:t>
      </w:r>
      <w:r w:rsidR="00A073D9">
        <w:rPr>
          <w:rFonts w:cs="Book Antiqua"/>
        </w:rPr>
        <w:t>–</w:t>
      </w:r>
      <w:r w:rsidR="00A073D9" w:rsidRPr="24C0E60C">
        <w:rPr>
          <w:rFonts w:cs="Book Antiqua"/>
        </w:rPr>
        <w:t>25</w:t>
      </w:r>
      <w:r w:rsidR="00A073D9" w:rsidRPr="1229AB4F">
        <w:rPr>
          <w:rFonts w:cs="Book Antiqua"/>
        </w:rPr>
        <w:t xml:space="preserve"> </w:t>
      </w:r>
      <w:r w:rsidR="00A073D9" w:rsidRPr="00A073D9">
        <w:rPr>
          <w:rFonts w:cs="Book Antiqua"/>
        </w:rPr>
        <w:t xml:space="preserve">for </w:t>
      </w:r>
      <w:r w:rsidR="00A073D9" w:rsidRPr="00A073D9">
        <w:rPr>
          <w:rFonts w:cstheme="minorBidi"/>
        </w:rPr>
        <w:t>Antarctic</w:t>
      </w:r>
      <w:r w:rsidR="00A073D9" w:rsidRPr="1229AB4F">
        <w:rPr>
          <w:rFonts w:cstheme="minorBidi"/>
        </w:rPr>
        <w:t xml:space="preserve"> shipping requirements, </w:t>
      </w:r>
      <w:r w:rsidR="00A4389A">
        <w:rPr>
          <w:rFonts w:cstheme="minorBidi"/>
        </w:rPr>
        <w:t xml:space="preserve">the </w:t>
      </w:r>
      <w:r w:rsidR="00A073D9" w:rsidRPr="1229AB4F">
        <w:rPr>
          <w:rFonts w:cstheme="minorBidi"/>
        </w:rPr>
        <w:t xml:space="preserve">Macquarie Island Research Station and cultural heritage reform through the 2024–25 Budget measures, </w:t>
      </w:r>
      <w:r w:rsidR="00A073D9" w:rsidRPr="00390D35">
        <w:rPr>
          <w:rStyle w:val="Emphasis"/>
        </w:rPr>
        <w:t>Australian Antarctic Program</w:t>
      </w:r>
      <w:r w:rsidR="00A4389A" w:rsidRPr="00390D35">
        <w:rPr>
          <w:rStyle w:val="Emphasis"/>
        </w:rPr>
        <w:t> </w:t>
      </w:r>
      <w:r w:rsidRPr="00390D35">
        <w:rPr>
          <w:rStyle w:val="Emphasis"/>
        </w:rPr>
        <w:t>–</w:t>
      </w:r>
      <w:r w:rsidR="00A4389A" w:rsidRPr="00390D35">
        <w:rPr>
          <w:rStyle w:val="Emphasis"/>
        </w:rPr>
        <w:t> </w:t>
      </w:r>
      <w:r w:rsidR="00A073D9" w:rsidRPr="00390D35">
        <w:rPr>
          <w:rStyle w:val="Emphasis"/>
        </w:rPr>
        <w:t>additional funding</w:t>
      </w:r>
      <w:r w:rsidR="00A073D9" w:rsidRPr="00BA5C26">
        <w:rPr>
          <w:rFonts w:cstheme="minorBidi"/>
        </w:rPr>
        <w:t xml:space="preserve"> and </w:t>
      </w:r>
      <w:r w:rsidR="00A073D9" w:rsidRPr="00390D35">
        <w:rPr>
          <w:rStyle w:val="Emphasis"/>
        </w:rPr>
        <w:t>Future Made in Australia</w:t>
      </w:r>
      <w:r w:rsidR="008D4F6B" w:rsidRPr="00390D35">
        <w:rPr>
          <w:rStyle w:val="Emphasis"/>
        </w:rPr>
        <w:t xml:space="preserve"> – </w:t>
      </w:r>
      <w:r w:rsidRPr="00390D35">
        <w:rPr>
          <w:rStyle w:val="Emphasis"/>
        </w:rPr>
        <w:t>Strengthening A</w:t>
      </w:r>
      <w:r w:rsidR="00A073D9" w:rsidRPr="00390D35">
        <w:rPr>
          <w:rStyle w:val="Emphasis"/>
        </w:rPr>
        <w:t xml:space="preserve">pprovals </w:t>
      </w:r>
      <w:r w:rsidRPr="00390D35">
        <w:rPr>
          <w:rStyle w:val="Emphasis"/>
        </w:rPr>
        <w:t>P</w:t>
      </w:r>
      <w:r w:rsidR="00A073D9" w:rsidRPr="00390D35">
        <w:rPr>
          <w:rStyle w:val="Emphasis"/>
        </w:rPr>
        <w:t>rocesses.</w:t>
      </w:r>
    </w:p>
    <w:p w14:paraId="4C8F5FE8" w14:textId="3C12D209" w:rsidR="00ED485A" w:rsidRPr="000177D7" w:rsidRDefault="00ED485A" w:rsidP="00ED485A">
      <w:pPr>
        <w:pStyle w:val="Heading3"/>
      </w:pPr>
      <w:bookmarkStart w:id="125" w:name="_Toc166369426"/>
      <w:r w:rsidRPr="000177D7">
        <w:t>Fuel and energy</w:t>
      </w:r>
      <w:bookmarkEnd w:id="118"/>
      <w:bookmarkEnd w:id="119"/>
      <w:bookmarkEnd w:id="120"/>
      <w:bookmarkEnd w:id="121"/>
      <w:bookmarkEnd w:id="125"/>
    </w:p>
    <w:p w14:paraId="6C971B18" w14:textId="3883CFF5" w:rsidR="00E32E1B" w:rsidRDefault="00E32E1B" w:rsidP="00E32E1B">
      <w:bookmarkStart w:id="126" w:name="_Toc4577278"/>
      <w:bookmarkStart w:id="127" w:name="_Toc4689190"/>
      <w:bookmarkStart w:id="128" w:name="_Toc99203688"/>
      <w:bookmarkStart w:id="129" w:name="_Toc117358181"/>
      <w:r w:rsidRPr="000177D7">
        <w:t xml:space="preserve">The fuel and energy function includes expenses for the Fuel Tax Credits and Product Stewardship </w:t>
      </w:r>
      <w:r w:rsidR="0092332B">
        <w:t xml:space="preserve">for </w:t>
      </w:r>
      <w:r w:rsidRPr="000177D7">
        <w:t>Oil schemes administered by the Australian Taxation Office. It also includes expenses related to improving Australia</w:t>
      </w:r>
      <w:r w:rsidR="008D4F6B">
        <w:t>’</w:t>
      </w:r>
      <w:r w:rsidRPr="000177D7">
        <w:t>s energy efficiency, resource related initiatives, and programs to support the production and use of renewable energy.</w:t>
      </w:r>
    </w:p>
    <w:p w14:paraId="5A1403FB" w14:textId="3B108D26" w:rsidR="00573073" w:rsidRDefault="00E32E1B" w:rsidP="00573073">
      <w:pPr>
        <w:pStyle w:val="TableHeading"/>
        <w:rPr>
          <w:rFonts w:asciiTheme="minorHAnsi" w:eastAsiaTheme="minorHAnsi" w:hAnsiTheme="minorHAnsi" w:cstheme="minorBidi"/>
          <w:sz w:val="22"/>
          <w:szCs w:val="22"/>
          <w:lang w:eastAsia="en-US"/>
        </w:rPr>
      </w:pPr>
      <w:r>
        <w:t>Table </w:t>
      </w:r>
      <w:r w:rsidRPr="000177D7">
        <w:t>6.12: Summary of expenses</w:t>
      </w:r>
      <w:r>
        <w:t xml:space="preserve"> – </w:t>
      </w:r>
      <w:r w:rsidRPr="000177D7">
        <w:t>fuel and energy</w:t>
      </w:r>
      <w:bookmarkStart w:id="130" w:name="_1586323063"/>
      <w:bookmarkStart w:id="131" w:name="_1727774340"/>
      <w:bookmarkEnd w:id="130"/>
      <w:bookmarkEnd w:id="131"/>
    </w:p>
    <w:tbl>
      <w:tblPr>
        <w:tblW w:w="5000" w:type="pct"/>
        <w:tblCellMar>
          <w:left w:w="0" w:type="dxa"/>
          <w:right w:w="28" w:type="dxa"/>
        </w:tblCellMar>
        <w:tblLook w:val="04A0" w:firstRow="1" w:lastRow="0" w:firstColumn="1" w:lastColumn="0" w:noHBand="0" w:noVBand="1"/>
      </w:tblPr>
      <w:tblGrid>
        <w:gridCol w:w="3694"/>
        <w:gridCol w:w="805"/>
        <w:gridCol w:w="803"/>
        <w:gridCol w:w="803"/>
        <w:gridCol w:w="803"/>
        <w:gridCol w:w="802"/>
      </w:tblGrid>
      <w:tr w:rsidR="00573073" w:rsidRPr="00573073" w14:paraId="757D4657" w14:textId="77777777" w:rsidTr="00A47752">
        <w:trPr>
          <w:trHeight w:hRule="exact" w:val="225"/>
        </w:trPr>
        <w:tc>
          <w:tcPr>
            <w:tcW w:w="2395" w:type="pct"/>
            <w:tcBorders>
              <w:top w:val="single" w:sz="4" w:space="0" w:color="293F5B"/>
              <w:left w:val="nil"/>
              <w:bottom w:val="nil"/>
              <w:right w:val="nil"/>
            </w:tcBorders>
            <w:shd w:val="clear" w:color="000000" w:fill="FFFFFF"/>
            <w:noWrap/>
            <w:vAlign w:val="center"/>
            <w:hideMark/>
          </w:tcPr>
          <w:p w14:paraId="4A4DF28D" w14:textId="5B07ECCB" w:rsidR="00573073" w:rsidRPr="00573073" w:rsidRDefault="00573073" w:rsidP="00573073">
            <w:pPr>
              <w:spacing w:before="0" w:after="0" w:line="240" w:lineRule="auto"/>
              <w:rPr>
                <w:rFonts w:ascii="Arial" w:hAnsi="Arial" w:cs="Arial"/>
                <w:b/>
                <w:bCs/>
                <w:color w:val="000000"/>
                <w:sz w:val="16"/>
                <w:szCs w:val="16"/>
              </w:rPr>
            </w:pPr>
            <w:r w:rsidRPr="00573073">
              <w:rPr>
                <w:rFonts w:ascii="Arial" w:hAnsi="Arial" w:cs="Arial"/>
                <w:b/>
                <w:bCs/>
                <w:color w:val="000000"/>
                <w:sz w:val="16"/>
                <w:szCs w:val="16"/>
              </w:rPr>
              <w:t>Sub-function</w:t>
            </w:r>
          </w:p>
        </w:tc>
        <w:tc>
          <w:tcPr>
            <w:tcW w:w="2605" w:type="pct"/>
            <w:gridSpan w:val="5"/>
            <w:tcBorders>
              <w:top w:val="single" w:sz="4" w:space="0" w:color="293F5B"/>
              <w:left w:val="nil"/>
              <w:bottom w:val="single" w:sz="4" w:space="0" w:color="293F5B"/>
              <w:right w:val="nil"/>
            </w:tcBorders>
            <w:shd w:val="clear" w:color="000000" w:fill="FFFFFF"/>
            <w:noWrap/>
            <w:vAlign w:val="center"/>
            <w:hideMark/>
          </w:tcPr>
          <w:p w14:paraId="2B5EF8D8" w14:textId="77777777" w:rsidR="00573073" w:rsidRPr="00573073" w:rsidRDefault="00573073" w:rsidP="00573073">
            <w:pPr>
              <w:spacing w:before="0" w:after="0" w:line="240" w:lineRule="auto"/>
              <w:jc w:val="center"/>
              <w:rPr>
                <w:rFonts w:ascii="Arial" w:hAnsi="Arial" w:cs="Arial"/>
                <w:color w:val="000000"/>
                <w:sz w:val="16"/>
                <w:szCs w:val="16"/>
              </w:rPr>
            </w:pPr>
            <w:r w:rsidRPr="00573073">
              <w:rPr>
                <w:rFonts w:ascii="Arial" w:hAnsi="Arial" w:cs="Arial"/>
                <w:color w:val="000000"/>
                <w:sz w:val="16"/>
                <w:szCs w:val="16"/>
              </w:rPr>
              <w:t>Estimates</w:t>
            </w:r>
          </w:p>
        </w:tc>
      </w:tr>
      <w:tr w:rsidR="00573073" w:rsidRPr="00573073" w14:paraId="40C19105" w14:textId="77777777" w:rsidTr="00A47752">
        <w:trPr>
          <w:trHeight w:hRule="exact" w:val="225"/>
        </w:trPr>
        <w:tc>
          <w:tcPr>
            <w:tcW w:w="2395" w:type="pct"/>
            <w:tcBorders>
              <w:top w:val="nil"/>
              <w:left w:val="nil"/>
              <w:bottom w:val="nil"/>
              <w:right w:val="nil"/>
            </w:tcBorders>
            <w:shd w:val="clear" w:color="000000" w:fill="FFFFFF"/>
            <w:noWrap/>
            <w:vAlign w:val="bottom"/>
            <w:hideMark/>
          </w:tcPr>
          <w:p w14:paraId="62006992" w14:textId="77777777" w:rsidR="00573073" w:rsidRPr="00573073" w:rsidRDefault="00573073" w:rsidP="00573073">
            <w:pPr>
              <w:spacing w:before="0" w:after="0" w:line="240" w:lineRule="auto"/>
              <w:rPr>
                <w:rFonts w:ascii="Arial" w:hAnsi="Arial" w:cs="Arial"/>
                <w:color w:val="000000"/>
                <w:sz w:val="16"/>
                <w:szCs w:val="16"/>
              </w:rPr>
            </w:pPr>
            <w:r w:rsidRPr="00573073">
              <w:rPr>
                <w:rFonts w:ascii="Arial" w:hAnsi="Arial" w:cs="Arial"/>
                <w:color w:val="000000"/>
                <w:sz w:val="16"/>
                <w:szCs w:val="16"/>
              </w:rPr>
              <w:t> </w:t>
            </w:r>
          </w:p>
        </w:tc>
        <w:tc>
          <w:tcPr>
            <w:tcW w:w="522" w:type="pct"/>
            <w:tcBorders>
              <w:top w:val="single" w:sz="4" w:space="0" w:color="293F5B"/>
              <w:left w:val="nil"/>
              <w:bottom w:val="nil"/>
              <w:right w:val="nil"/>
            </w:tcBorders>
            <w:shd w:val="clear" w:color="000000" w:fill="FFFFFF"/>
            <w:noWrap/>
            <w:vAlign w:val="center"/>
            <w:hideMark/>
          </w:tcPr>
          <w:p w14:paraId="44DEEA85" w14:textId="77777777" w:rsidR="00573073" w:rsidRPr="00573073" w:rsidRDefault="00573073" w:rsidP="00573073">
            <w:pPr>
              <w:spacing w:before="0" w:after="0" w:line="240" w:lineRule="auto"/>
              <w:jc w:val="right"/>
              <w:rPr>
                <w:rFonts w:ascii="Arial" w:hAnsi="Arial" w:cs="Arial"/>
                <w:sz w:val="16"/>
                <w:szCs w:val="16"/>
              </w:rPr>
            </w:pPr>
            <w:r w:rsidRPr="00573073">
              <w:rPr>
                <w:rFonts w:ascii="Arial" w:hAnsi="Arial" w:cs="Arial"/>
                <w:sz w:val="16"/>
                <w:szCs w:val="16"/>
              </w:rPr>
              <w:t>2023-24</w:t>
            </w:r>
          </w:p>
        </w:tc>
        <w:tc>
          <w:tcPr>
            <w:tcW w:w="521" w:type="pct"/>
            <w:tcBorders>
              <w:top w:val="single" w:sz="4" w:space="0" w:color="293F5B"/>
              <w:left w:val="nil"/>
              <w:bottom w:val="nil"/>
              <w:right w:val="nil"/>
            </w:tcBorders>
            <w:shd w:val="clear" w:color="000000" w:fill="E6F2FF"/>
            <w:noWrap/>
            <w:vAlign w:val="center"/>
            <w:hideMark/>
          </w:tcPr>
          <w:p w14:paraId="36D7BA0C" w14:textId="77777777" w:rsidR="00573073" w:rsidRPr="00573073" w:rsidRDefault="00573073" w:rsidP="00573073">
            <w:pPr>
              <w:spacing w:before="0" w:after="0" w:line="240" w:lineRule="auto"/>
              <w:jc w:val="right"/>
              <w:rPr>
                <w:rFonts w:ascii="Arial" w:hAnsi="Arial" w:cs="Arial"/>
                <w:sz w:val="16"/>
                <w:szCs w:val="16"/>
              </w:rPr>
            </w:pPr>
            <w:r w:rsidRPr="00573073">
              <w:rPr>
                <w:rFonts w:ascii="Arial" w:hAnsi="Arial" w:cs="Arial"/>
                <w:sz w:val="16"/>
                <w:szCs w:val="16"/>
              </w:rPr>
              <w:t>2024-25</w:t>
            </w:r>
          </w:p>
        </w:tc>
        <w:tc>
          <w:tcPr>
            <w:tcW w:w="521" w:type="pct"/>
            <w:tcBorders>
              <w:top w:val="single" w:sz="4" w:space="0" w:color="293F5B"/>
              <w:left w:val="nil"/>
              <w:bottom w:val="nil"/>
              <w:right w:val="nil"/>
            </w:tcBorders>
            <w:shd w:val="clear" w:color="000000" w:fill="FFFFFF"/>
            <w:noWrap/>
            <w:vAlign w:val="center"/>
            <w:hideMark/>
          </w:tcPr>
          <w:p w14:paraId="0D092E03" w14:textId="77777777" w:rsidR="00573073" w:rsidRPr="00573073" w:rsidRDefault="00573073" w:rsidP="00573073">
            <w:pPr>
              <w:spacing w:before="0" w:after="0" w:line="240" w:lineRule="auto"/>
              <w:jc w:val="right"/>
              <w:rPr>
                <w:rFonts w:ascii="Arial" w:hAnsi="Arial" w:cs="Arial"/>
                <w:sz w:val="16"/>
                <w:szCs w:val="16"/>
              </w:rPr>
            </w:pPr>
            <w:r w:rsidRPr="00573073">
              <w:rPr>
                <w:rFonts w:ascii="Arial" w:hAnsi="Arial" w:cs="Arial"/>
                <w:sz w:val="16"/>
                <w:szCs w:val="16"/>
              </w:rPr>
              <w:t>2025-26</w:t>
            </w:r>
          </w:p>
        </w:tc>
        <w:tc>
          <w:tcPr>
            <w:tcW w:w="521" w:type="pct"/>
            <w:tcBorders>
              <w:top w:val="single" w:sz="4" w:space="0" w:color="293F5B"/>
              <w:left w:val="nil"/>
              <w:bottom w:val="nil"/>
              <w:right w:val="nil"/>
            </w:tcBorders>
            <w:shd w:val="clear" w:color="000000" w:fill="FFFFFF"/>
            <w:noWrap/>
            <w:vAlign w:val="center"/>
            <w:hideMark/>
          </w:tcPr>
          <w:p w14:paraId="3436DFCA" w14:textId="77777777" w:rsidR="00573073" w:rsidRPr="00573073" w:rsidRDefault="00573073" w:rsidP="00573073">
            <w:pPr>
              <w:spacing w:before="0" w:after="0" w:line="240" w:lineRule="auto"/>
              <w:jc w:val="right"/>
              <w:rPr>
                <w:rFonts w:ascii="Arial" w:hAnsi="Arial" w:cs="Arial"/>
                <w:sz w:val="16"/>
                <w:szCs w:val="16"/>
              </w:rPr>
            </w:pPr>
            <w:r w:rsidRPr="00573073">
              <w:rPr>
                <w:rFonts w:ascii="Arial" w:hAnsi="Arial" w:cs="Arial"/>
                <w:sz w:val="16"/>
                <w:szCs w:val="16"/>
              </w:rPr>
              <w:t>2026-27</w:t>
            </w:r>
          </w:p>
        </w:tc>
        <w:tc>
          <w:tcPr>
            <w:tcW w:w="521" w:type="pct"/>
            <w:tcBorders>
              <w:top w:val="single" w:sz="4" w:space="0" w:color="293F5B"/>
              <w:left w:val="nil"/>
              <w:bottom w:val="nil"/>
              <w:right w:val="nil"/>
            </w:tcBorders>
            <w:shd w:val="clear" w:color="000000" w:fill="FFFFFF"/>
            <w:noWrap/>
            <w:vAlign w:val="center"/>
            <w:hideMark/>
          </w:tcPr>
          <w:p w14:paraId="383412CA" w14:textId="77777777" w:rsidR="00573073" w:rsidRPr="00573073" w:rsidRDefault="00573073" w:rsidP="00573073">
            <w:pPr>
              <w:spacing w:before="0" w:after="0" w:line="240" w:lineRule="auto"/>
              <w:jc w:val="right"/>
              <w:rPr>
                <w:rFonts w:ascii="Arial" w:hAnsi="Arial" w:cs="Arial"/>
                <w:color w:val="000000"/>
                <w:sz w:val="16"/>
                <w:szCs w:val="16"/>
              </w:rPr>
            </w:pPr>
            <w:r w:rsidRPr="00573073">
              <w:rPr>
                <w:rFonts w:ascii="Arial" w:hAnsi="Arial" w:cs="Arial"/>
                <w:color w:val="000000"/>
                <w:sz w:val="16"/>
                <w:szCs w:val="16"/>
              </w:rPr>
              <w:t>2027-28</w:t>
            </w:r>
          </w:p>
        </w:tc>
      </w:tr>
      <w:tr w:rsidR="00573073" w:rsidRPr="00573073" w14:paraId="75C477EB" w14:textId="77777777" w:rsidTr="00A47752">
        <w:trPr>
          <w:trHeight w:hRule="exact" w:val="225"/>
        </w:trPr>
        <w:tc>
          <w:tcPr>
            <w:tcW w:w="2395" w:type="pct"/>
            <w:tcBorders>
              <w:top w:val="nil"/>
              <w:left w:val="nil"/>
              <w:bottom w:val="nil"/>
              <w:right w:val="nil"/>
            </w:tcBorders>
            <w:shd w:val="clear" w:color="000000" w:fill="FFFFFF"/>
            <w:noWrap/>
            <w:vAlign w:val="bottom"/>
            <w:hideMark/>
          </w:tcPr>
          <w:p w14:paraId="5CE54B26" w14:textId="77777777" w:rsidR="00573073" w:rsidRPr="00573073" w:rsidRDefault="00573073" w:rsidP="00573073">
            <w:pPr>
              <w:spacing w:before="0" w:after="0" w:line="240" w:lineRule="auto"/>
              <w:rPr>
                <w:rFonts w:ascii="Arial" w:hAnsi="Arial" w:cs="Arial"/>
                <w:color w:val="000000"/>
                <w:sz w:val="16"/>
                <w:szCs w:val="16"/>
              </w:rPr>
            </w:pPr>
            <w:r w:rsidRPr="00573073">
              <w:rPr>
                <w:rFonts w:ascii="Arial" w:hAnsi="Arial" w:cs="Arial"/>
                <w:color w:val="000000"/>
                <w:sz w:val="16"/>
                <w:szCs w:val="16"/>
              </w:rPr>
              <w:t> </w:t>
            </w:r>
          </w:p>
        </w:tc>
        <w:tc>
          <w:tcPr>
            <w:tcW w:w="522" w:type="pct"/>
            <w:tcBorders>
              <w:top w:val="nil"/>
              <w:left w:val="nil"/>
              <w:bottom w:val="nil"/>
              <w:right w:val="nil"/>
            </w:tcBorders>
            <w:shd w:val="clear" w:color="000000" w:fill="FFFFFF"/>
            <w:noWrap/>
            <w:vAlign w:val="bottom"/>
            <w:hideMark/>
          </w:tcPr>
          <w:p w14:paraId="6380E4F1" w14:textId="77777777" w:rsidR="00573073" w:rsidRPr="00573073" w:rsidRDefault="00573073" w:rsidP="00573073">
            <w:pPr>
              <w:spacing w:before="0" w:after="0" w:line="240" w:lineRule="auto"/>
              <w:jc w:val="right"/>
              <w:rPr>
                <w:rFonts w:ascii="Arial" w:hAnsi="Arial" w:cs="Arial"/>
                <w:color w:val="000000"/>
                <w:sz w:val="16"/>
                <w:szCs w:val="16"/>
              </w:rPr>
            </w:pPr>
            <w:r w:rsidRPr="00573073">
              <w:rPr>
                <w:rFonts w:ascii="Arial" w:hAnsi="Arial" w:cs="Arial"/>
                <w:color w:val="000000"/>
                <w:sz w:val="16"/>
                <w:szCs w:val="16"/>
              </w:rPr>
              <w:t>$m</w:t>
            </w:r>
          </w:p>
        </w:tc>
        <w:tc>
          <w:tcPr>
            <w:tcW w:w="521" w:type="pct"/>
            <w:tcBorders>
              <w:top w:val="nil"/>
              <w:left w:val="nil"/>
              <w:bottom w:val="nil"/>
              <w:right w:val="nil"/>
            </w:tcBorders>
            <w:shd w:val="clear" w:color="000000" w:fill="E6F2FF"/>
            <w:noWrap/>
            <w:vAlign w:val="bottom"/>
            <w:hideMark/>
          </w:tcPr>
          <w:p w14:paraId="62DBE038" w14:textId="77777777" w:rsidR="00573073" w:rsidRPr="00573073" w:rsidRDefault="00573073" w:rsidP="00573073">
            <w:pPr>
              <w:spacing w:before="0" w:after="0" w:line="240" w:lineRule="auto"/>
              <w:jc w:val="right"/>
              <w:rPr>
                <w:rFonts w:ascii="Arial" w:hAnsi="Arial" w:cs="Arial"/>
                <w:color w:val="000000"/>
                <w:sz w:val="16"/>
                <w:szCs w:val="16"/>
              </w:rPr>
            </w:pPr>
            <w:r w:rsidRPr="00573073">
              <w:rPr>
                <w:rFonts w:ascii="Arial" w:hAnsi="Arial" w:cs="Arial"/>
                <w:color w:val="000000"/>
                <w:sz w:val="16"/>
                <w:szCs w:val="16"/>
              </w:rPr>
              <w:t>$m</w:t>
            </w:r>
          </w:p>
        </w:tc>
        <w:tc>
          <w:tcPr>
            <w:tcW w:w="521" w:type="pct"/>
            <w:tcBorders>
              <w:top w:val="nil"/>
              <w:left w:val="nil"/>
              <w:bottom w:val="nil"/>
              <w:right w:val="nil"/>
            </w:tcBorders>
            <w:shd w:val="clear" w:color="000000" w:fill="FFFFFF"/>
            <w:noWrap/>
            <w:vAlign w:val="bottom"/>
            <w:hideMark/>
          </w:tcPr>
          <w:p w14:paraId="2835A90D" w14:textId="77777777" w:rsidR="00573073" w:rsidRPr="00573073" w:rsidRDefault="00573073" w:rsidP="00573073">
            <w:pPr>
              <w:spacing w:before="0" w:after="0" w:line="240" w:lineRule="auto"/>
              <w:jc w:val="right"/>
              <w:rPr>
                <w:rFonts w:ascii="Arial" w:hAnsi="Arial" w:cs="Arial"/>
                <w:color w:val="000000"/>
                <w:sz w:val="16"/>
                <w:szCs w:val="16"/>
              </w:rPr>
            </w:pPr>
            <w:r w:rsidRPr="00573073">
              <w:rPr>
                <w:rFonts w:ascii="Arial" w:hAnsi="Arial" w:cs="Arial"/>
                <w:color w:val="000000"/>
                <w:sz w:val="16"/>
                <w:szCs w:val="16"/>
              </w:rPr>
              <w:t>$m</w:t>
            </w:r>
          </w:p>
        </w:tc>
        <w:tc>
          <w:tcPr>
            <w:tcW w:w="521" w:type="pct"/>
            <w:tcBorders>
              <w:top w:val="nil"/>
              <w:left w:val="nil"/>
              <w:bottom w:val="nil"/>
              <w:right w:val="nil"/>
            </w:tcBorders>
            <w:shd w:val="clear" w:color="000000" w:fill="FFFFFF"/>
            <w:noWrap/>
            <w:vAlign w:val="bottom"/>
            <w:hideMark/>
          </w:tcPr>
          <w:p w14:paraId="2DA30FFF" w14:textId="77777777" w:rsidR="00573073" w:rsidRPr="00573073" w:rsidRDefault="00573073" w:rsidP="00573073">
            <w:pPr>
              <w:spacing w:before="0" w:after="0" w:line="240" w:lineRule="auto"/>
              <w:jc w:val="right"/>
              <w:rPr>
                <w:rFonts w:ascii="Arial" w:hAnsi="Arial" w:cs="Arial"/>
                <w:color w:val="000000"/>
                <w:sz w:val="16"/>
                <w:szCs w:val="16"/>
              </w:rPr>
            </w:pPr>
            <w:r w:rsidRPr="00573073">
              <w:rPr>
                <w:rFonts w:ascii="Arial" w:hAnsi="Arial" w:cs="Arial"/>
                <w:color w:val="000000"/>
                <w:sz w:val="16"/>
                <w:szCs w:val="16"/>
              </w:rPr>
              <w:t>$m</w:t>
            </w:r>
          </w:p>
        </w:tc>
        <w:tc>
          <w:tcPr>
            <w:tcW w:w="521" w:type="pct"/>
            <w:tcBorders>
              <w:top w:val="nil"/>
              <w:left w:val="nil"/>
              <w:bottom w:val="nil"/>
              <w:right w:val="nil"/>
            </w:tcBorders>
            <w:shd w:val="clear" w:color="000000" w:fill="FFFFFF"/>
            <w:noWrap/>
            <w:vAlign w:val="bottom"/>
            <w:hideMark/>
          </w:tcPr>
          <w:p w14:paraId="63A96CEC" w14:textId="77777777" w:rsidR="00573073" w:rsidRPr="00573073" w:rsidRDefault="00573073" w:rsidP="00573073">
            <w:pPr>
              <w:spacing w:before="0" w:after="0" w:line="240" w:lineRule="auto"/>
              <w:jc w:val="right"/>
              <w:rPr>
                <w:rFonts w:ascii="Arial" w:hAnsi="Arial" w:cs="Arial"/>
                <w:color w:val="000000"/>
                <w:sz w:val="16"/>
                <w:szCs w:val="16"/>
              </w:rPr>
            </w:pPr>
            <w:r w:rsidRPr="00573073">
              <w:rPr>
                <w:rFonts w:ascii="Arial" w:hAnsi="Arial" w:cs="Arial"/>
                <w:color w:val="000000"/>
                <w:sz w:val="16"/>
                <w:szCs w:val="16"/>
              </w:rPr>
              <w:t>$m</w:t>
            </w:r>
          </w:p>
        </w:tc>
      </w:tr>
      <w:tr w:rsidR="00573073" w:rsidRPr="00573073" w14:paraId="02D04BB6" w14:textId="77777777" w:rsidTr="00A47752">
        <w:trPr>
          <w:trHeight w:hRule="exact" w:val="225"/>
        </w:trPr>
        <w:tc>
          <w:tcPr>
            <w:tcW w:w="2395" w:type="pct"/>
            <w:tcBorders>
              <w:top w:val="nil"/>
              <w:left w:val="nil"/>
              <w:bottom w:val="nil"/>
              <w:right w:val="nil"/>
            </w:tcBorders>
            <w:shd w:val="clear" w:color="000000" w:fill="FFFFFF"/>
            <w:noWrap/>
            <w:vAlign w:val="bottom"/>
            <w:hideMark/>
          </w:tcPr>
          <w:p w14:paraId="0D395894" w14:textId="77777777" w:rsidR="00573073" w:rsidRPr="00573073" w:rsidRDefault="00573073" w:rsidP="00573073">
            <w:pPr>
              <w:spacing w:before="0" w:after="0" w:line="240" w:lineRule="auto"/>
              <w:rPr>
                <w:rFonts w:ascii="Arial" w:hAnsi="Arial" w:cs="Arial"/>
                <w:color w:val="000000"/>
                <w:sz w:val="16"/>
                <w:szCs w:val="16"/>
              </w:rPr>
            </w:pPr>
            <w:r w:rsidRPr="00573073">
              <w:rPr>
                <w:rFonts w:ascii="Arial" w:hAnsi="Arial" w:cs="Arial"/>
                <w:color w:val="000000"/>
                <w:sz w:val="16"/>
                <w:szCs w:val="16"/>
              </w:rPr>
              <w:t>Fuel and energy(a)</w:t>
            </w:r>
          </w:p>
        </w:tc>
        <w:tc>
          <w:tcPr>
            <w:tcW w:w="522" w:type="pct"/>
            <w:tcBorders>
              <w:top w:val="single" w:sz="4" w:space="0" w:color="293F5B"/>
              <w:left w:val="nil"/>
              <w:bottom w:val="nil"/>
              <w:right w:val="nil"/>
            </w:tcBorders>
            <w:shd w:val="clear" w:color="000000" w:fill="FFFFFF"/>
            <w:noWrap/>
            <w:vAlign w:val="center"/>
            <w:hideMark/>
          </w:tcPr>
          <w:p w14:paraId="6C07CFF3" w14:textId="77777777" w:rsidR="00573073" w:rsidRPr="00573073" w:rsidRDefault="00573073" w:rsidP="00573073">
            <w:pPr>
              <w:spacing w:before="0" w:after="0" w:line="240" w:lineRule="auto"/>
              <w:jc w:val="right"/>
              <w:rPr>
                <w:rFonts w:ascii="Arial" w:hAnsi="Arial" w:cs="Arial"/>
                <w:color w:val="000000"/>
                <w:sz w:val="16"/>
                <w:szCs w:val="16"/>
              </w:rPr>
            </w:pPr>
            <w:r w:rsidRPr="00573073">
              <w:rPr>
                <w:rFonts w:ascii="Arial" w:hAnsi="Arial" w:cs="Arial"/>
                <w:color w:val="000000"/>
                <w:sz w:val="16"/>
                <w:szCs w:val="16"/>
              </w:rPr>
              <w:t>13,273</w:t>
            </w:r>
          </w:p>
        </w:tc>
        <w:tc>
          <w:tcPr>
            <w:tcW w:w="521" w:type="pct"/>
            <w:tcBorders>
              <w:top w:val="single" w:sz="4" w:space="0" w:color="293F5B"/>
              <w:left w:val="nil"/>
              <w:bottom w:val="nil"/>
              <w:right w:val="nil"/>
            </w:tcBorders>
            <w:shd w:val="clear" w:color="000000" w:fill="E6F2FF"/>
            <w:noWrap/>
            <w:vAlign w:val="center"/>
            <w:hideMark/>
          </w:tcPr>
          <w:p w14:paraId="02C1813C" w14:textId="77777777" w:rsidR="00573073" w:rsidRPr="00573073" w:rsidRDefault="00573073" w:rsidP="00573073">
            <w:pPr>
              <w:spacing w:before="0" w:after="0" w:line="240" w:lineRule="auto"/>
              <w:jc w:val="right"/>
              <w:rPr>
                <w:rFonts w:ascii="Arial" w:hAnsi="Arial" w:cs="Arial"/>
                <w:color w:val="000000"/>
                <w:sz w:val="16"/>
                <w:szCs w:val="16"/>
              </w:rPr>
            </w:pPr>
            <w:r w:rsidRPr="00573073">
              <w:rPr>
                <w:rFonts w:ascii="Arial" w:hAnsi="Arial" w:cs="Arial"/>
                <w:color w:val="000000"/>
                <w:sz w:val="16"/>
                <w:szCs w:val="16"/>
              </w:rPr>
              <w:t>20,121</w:t>
            </w:r>
          </w:p>
        </w:tc>
        <w:tc>
          <w:tcPr>
            <w:tcW w:w="521" w:type="pct"/>
            <w:tcBorders>
              <w:top w:val="single" w:sz="4" w:space="0" w:color="293F5B"/>
              <w:left w:val="nil"/>
              <w:bottom w:val="nil"/>
              <w:right w:val="nil"/>
            </w:tcBorders>
            <w:shd w:val="clear" w:color="000000" w:fill="FFFFFF"/>
            <w:noWrap/>
            <w:vAlign w:val="center"/>
            <w:hideMark/>
          </w:tcPr>
          <w:p w14:paraId="54879A43" w14:textId="77777777" w:rsidR="00573073" w:rsidRPr="00573073" w:rsidRDefault="00573073" w:rsidP="00573073">
            <w:pPr>
              <w:spacing w:before="0" w:after="0" w:line="240" w:lineRule="auto"/>
              <w:jc w:val="right"/>
              <w:rPr>
                <w:rFonts w:ascii="Arial" w:hAnsi="Arial" w:cs="Arial"/>
                <w:color w:val="000000"/>
                <w:sz w:val="16"/>
                <w:szCs w:val="16"/>
              </w:rPr>
            </w:pPr>
            <w:r w:rsidRPr="00573073">
              <w:rPr>
                <w:rFonts w:ascii="Arial" w:hAnsi="Arial" w:cs="Arial"/>
                <w:color w:val="000000"/>
                <w:sz w:val="16"/>
                <w:szCs w:val="16"/>
              </w:rPr>
              <w:t>13,908</w:t>
            </w:r>
          </w:p>
        </w:tc>
        <w:tc>
          <w:tcPr>
            <w:tcW w:w="521" w:type="pct"/>
            <w:tcBorders>
              <w:top w:val="single" w:sz="4" w:space="0" w:color="293F5B"/>
              <w:left w:val="nil"/>
              <w:bottom w:val="nil"/>
              <w:right w:val="nil"/>
            </w:tcBorders>
            <w:shd w:val="clear" w:color="000000" w:fill="FFFFFF"/>
            <w:noWrap/>
            <w:vAlign w:val="center"/>
            <w:hideMark/>
          </w:tcPr>
          <w:p w14:paraId="7135D069" w14:textId="77777777" w:rsidR="00573073" w:rsidRPr="00573073" w:rsidRDefault="00573073" w:rsidP="00573073">
            <w:pPr>
              <w:spacing w:before="0" w:after="0" w:line="240" w:lineRule="auto"/>
              <w:jc w:val="right"/>
              <w:rPr>
                <w:rFonts w:ascii="Arial" w:hAnsi="Arial" w:cs="Arial"/>
                <w:color w:val="000000"/>
                <w:sz w:val="16"/>
                <w:szCs w:val="16"/>
              </w:rPr>
            </w:pPr>
            <w:r w:rsidRPr="00573073">
              <w:rPr>
                <w:rFonts w:ascii="Arial" w:hAnsi="Arial" w:cs="Arial"/>
                <w:color w:val="000000"/>
                <w:sz w:val="16"/>
                <w:szCs w:val="16"/>
              </w:rPr>
              <w:t>13,794</w:t>
            </w:r>
          </w:p>
        </w:tc>
        <w:tc>
          <w:tcPr>
            <w:tcW w:w="521" w:type="pct"/>
            <w:tcBorders>
              <w:top w:val="single" w:sz="4" w:space="0" w:color="293F5B"/>
              <w:left w:val="nil"/>
              <w:bottom w:val="nil"/>
              <w:right w:val="nil"/>
            </w:tcBorders>
            <w:shd w:val="clear" w:color="000000" w:fill="FFFFFF"/>
            <w:noWrap/>
            <w:vAlign w:val="center"/>
            <w:hideMark/>
          </w:tcPr>
          <w:p w14:paraId="38893558" w14:textId="77777777" w:rsidR="00573073" w:rsidRPr="00573073" w:rsidRDefault="00573073" w:rsidP="00573073">
            <w:pPr>
              <w:spacing w:before="0" w:after="0" w:line="240" w:lineRule="auto"/>
              <w:jc w:val="right"/>
              <w:rPr>
                <w:rFonts w:ascii="Arial" w:hAnsi="Arial" w:cs="Arial"/>
                <w:color w:val="000000"/>
                <w:sz w:val="16"/>
                <w:szCs w:val="16"/>
              </w:rPr>
            </w:pPr>
            <w:r w:rsidRPr="00573073">
              <w:rPr>
                <w:rFonts w:ascii="Arial" w:hAnsi="Arial" w:cs="Arial"/>
                <w:color w:val="000000"/>
                <w:sz w:val="16"/>
                <w:szCs w:val="16"/>
              </w:rPr>
              <w:t>13,825</w:t>
            </w:r>
          </w:p>
        </w:tc>
      </w:tr>
      <w:tr w:rsidR="00573073" w:rsidRPr="00573073" w14:paraId="1029D9C0" w14:textId="77777777" w:rsidTr="00A47752">
        <w:trPr>
          <w:trHeight w:hRule="exact" w:val="225"/>
        </w:trPr>
        <w:tc>
          <w:tcPr>
            <w:tcW w:w="2395" w:type="pct"/>
            <w:tcBorders>
              <w:top w:val="nil"/>
              <w:left w:val="nil"/>
              <w:bottom w:val="single" w:sz="4" w:space="0" w:color="293F5B"/>
              <w:right w:val="nil"/>
            </w:tcBorders>
            <w:shd w:val="clear" w:color="000000" w:fill="FFFFFF"/>
            <w:noWrap/>
            <w:vAlign w:val="center"/>
            <w:hideMark/>
          </w:tcPr>
          <w:p w14:paraId="0BF53753" w14:textId="77777777" w:rsidR="00573073" w:rsidRPr="00573073" w:rsidRDefault="00573073" w:rsidP="00573073">
            <w:pPr>
              <w:spacing w:before="0" w:after="0" w:line="240" w:lineRule="auto"/>
              <w:rPr>
                <w:rFonts w:ascii="Arial" w:hAnsi="Arial" w:cs="Arial"/>
                <w:b/>
                <w:bCs/>
                <w:color w:val="000000"/>
                <w:sz w:val="16"/>
                <w:szCs w:val="16"/>
              </w:rPr>
            </w:pPr>
            <w:r w:rsidRPr="00573073">
              <w:rPr>
                <w:rFonts w:ascii="Arial" w:hAnsi="Arial" w:cs="Arial"/>
                <w:b/>
                <w:bCs/>
                <w:color w:val="000000"/>
                <w:sz w:val="16"/>
                <w:szCs w:val="16"/>
              </w:rPr>
              <w:t>Total fuel and energy</w:t>
            </w:r>
          </w:p>
        </w:tc>
        <w:tc>
          <w:tcPr>
            <w:tcW w:w="522" w:type="pct"/>
            <w:tcBorders>
              <w:top w:val="single" w:sz="4" w:space="0" w:color="293F5B"/>
              <w:left w:val="nil"/>
              <w:bottom w:val="single" w:sz="4" w:space="0" w:color="293F5B"/>
              <w:right w:val="nil"/>
            </w:tcBorders>
            <w:shd w:val="clear" w:color="000000" w:fill="FFFFFF"/>
            <w:noWrap/>
            <w:vAlign w:val="center"/>
            <w:hideMark/>
          </w:tcPr>
          <w:p w14:paraId="59581317" w14:textId="77777777" w:rsidR="00573073" w:rsidRPr="00573073" w:rsidRDefault="00573073" w:rsidP="00573073">
            <w:pPr>
              <w:spacing w:before="0" w:after="0" w:line="240" w:lineRule="auto"/>
              <w:jc w:val="right"/>
              <w:rPr>
                <w:rFonts w:ascii="Arial" w:hAnsi="Arial" w:cs="Arial"/>
                <w:b/>
                <w:bCs/>
                <w:color w:val="000000"/>
                <w:sz w:val="16"/>
                <w:szCs w:val="16"/>
              </w:rPr>
            </w:pPr>
            <w:r w:rsidRPr="00573073">
              <w:rPr>
                <w:rFonts w:ascii="Arial" w:hAnsi="Arial" w:cs="Arial"/>
                <w:b/>
                <w:bCs/>
                <w:color w:val="000000"/>
                <w:sz w:val="16"/>
                <w:szCs w:val="16"/>
              </w:rPr>
              <w:t>13,273</w:t>
            </w:r>
          </w:p>
        </w:tc>
        <w:tc>
          <w:tcPr>
            <w:tcW w:w="521" w:type="pct"/>
            <w:tcBorders>
              <w:top w:val="single" w:sz="4" w:space="0" w:color="293F5B"/>
              <w:left w:val="nil"/>
              <w:bottom w:val="single" w:sz="4" w:space="0" w:color="293F5B"/>
              <w:right w:val="nil"/>
            </w:tcBorders>
            <w:shd w:val="clear" w:color="000000" w:fill="E6F2FF"/>
            <w:noWrap/>
            <w:vAlign w:val="center"/>
            <w:hideMark/>
          </w:tcPr>
          <w:p w14:paraId="22E14312" w14:textId="77777777" w:rsidR="00573073" w:rsidRPr="00573073" w:rsidRDefault="00573073" w:rsidP="00573073">
            <w:pPr>
              <w:spacing w:before="0" w:after="0" w:line="240" w:lineRule="auto"/>
              <w:jc w:val="right"/>
              <w:rPr>
                <w:rFonts w:ascii="Arial" w:hAnsi="Arial" w:cs="Arial"/>
                <w:b/>
                <w:bCs/>
                <w:color w:val="000000"/>
                <w:sz w:val="16"/>
                <w:szCs w:val="16"/>
              </w:rPr>
            </w:pPr>
            <w:r w:rsidRPr="00573073">
              <w:rPr>
                <w:rFonts w:ascii="Arial" w:hAnsi="Arial" w:cs="Arial"/>
                <w:b/>
                <w:bCs/>
                <w:color w:val="000000"/>
                <w:sz w:val="16"/>
                <w:szCs w:val="16"/>
              </w:rPr>
              <w:t>20,121</w:t>
            </w:r>
          </w:p>
        </w:tc>
        <w:tc>
          <w:tcPr>
            <w:tcW w:w="521" w:type="pct"/>
            <w:tcBorders>
              <w:top w:val="single" w:sz="4" w:space="0" w:color="293F5B"/>
              <w:left w:val="nil"/>
              <w:bottom w:val="single" w:sz="4" w:space="0" w:color="293F5B"/>
              <w:right w:val="nil"/>
            </w:tcBorders>
            <w:shd w:val="clear" w:color="000000" w:fill="FFFFFF"/>
            <w:noWrap/>
            <w:vAlign w:val="center"/>
            <w:hideMark/>
          </w:tcPr>
          <w:p w14:paraId="36D6DF68" w14:textId="77777777" w:rsidR="00573073" w:rsidRPr="00573073" w:rsidRDefault="00573073" w:rsidP="00573073">
            <w:pPr>
              <w:spacing w:before="0" w:after="0" w:line="240" w:lineRule="auto"/>
              <w:jc w:val="right"/>
              <w:rPr>
                <w:rFonts w:ascii="Arial" w:hAnsi="Arial" w:cs="Arial"/>
                <w:b/>
                <w:bCs/>
                <w:color w:val="000000"/>
                <w:sz w:val="16"/>
                <w:szCs w:val="16"/>
              </w:rPr>
            </w:pPr>
            <w:r w:rsidRPr="00573073">
              <w:rPr>
                <w:rFonts w:ascii="Arial" w:hAnsi="Arial" w:cs="Arial"/>
                <w:b/>
                <w:bCs/>
                <w:color w:val="000000"/>
                <w:sz w:val="16"/>
                <w:szCs w:val="16"/>
              </w:rPr>
              <w:t>13,908</w:t>
            </w:r>
          </w:p>
        </w:tc>
        <w:tc>
          <w:tcPr>
            <w:tcW w:w="521" w:type="pct"/>
            <w:tcBorders>
              <w:top w:val="single" w:sz="4" w:space="0" w:color="293F5B"/>
              <w:left w:val="nil"/>
              <w:bottom w:val="single" w:sz="4" w:space="0" w:color="293F5B"/>
              <w:right w:val="nil"/>
            </w:tcBorders>
            <w:shd w:val="clear" w:color="000000" w:fill="FFFFFF"/>
            <w:noWrap/>
            <w:vAlign w:val="center"/>
            <w:hideMark/>
          </w:tcPr>
          <w:p w14:paraId="6C4578C3" w14:textId="77777777" w:rsidR="00573073" w:rsidRPr="00573073" w:rsidRDefault="00573073" w:rsidP="00573073">
            <w:pPr>
              <w:spacing w:before="0" w:after="0" w:line="240" w:lineRule="auto"/>
              <w:jc w:val="right"/>
              <w:rPr>
                <w:rFonts w:ascii="Arial" w:hAnsi="Arial" w:cs="Arial"/>
                <w:b/>
                <w:bCs/>
                <w:color w:val="000000"/>
                <w:sz w:val="16"/>
                <w:szCs w:val="16"/>
              </w:rPr>
            </w:pPr>
            <w:r w:rsidRPr="00573073">
              <w:rPr>
                <w:rFonts w:ascii="Arial" w:hAnsi="Arial" w:cs="Arial"/>
                <w:b/>
                <w:bCs/>
                <w:color w:val="000000"/>
                <w:sz w:val="16"/>
                <w:szCs w:val="16"/>
              </w:rPr>
              <w:t>13,794</w:t>
            </w:r>
          </w:p>
        </w:tc>
        <w:tc>
          <w:tcPr>
            <w:tcW w:w="521" w:type="pct"/>
            <w:tcBorders>
              <w:top w:val="single" w:sz="4" w:space="0" w:color="293F5B"/>
              <w:left w:val="nil"/>
              <w:bottom w:val="single" w:sz="4" w:space="0" w:color="293F5B"/>
              <w:right w:val="nil"/>
            </w:tcBorders>
            <w:shd w:val="clear" w:color="000000" w:fill="FFFFFF"/>
            <w:noWrap/>
            <w:vAlign w:val="center"/>
            <w:hideMark/>
          </w:tcPr>
          <w:p w14:paraId="4036C4D4" w14:textId="77777777" w:rsidR="00573073" w:rsidRPr="00573073" w:rsidRDefault="00573073" w:rsidP="00573073">
            <w:pPr>
              <w:spacing w:before="0" w:after="0" w:line="240" w:lineRule="auto"/>
              <w:jc w:val="right"/>
              <w:rPr>
                <w:rFonts w:ascii="Arial" w:hAnsi="Arial" w:cs="Arial"/>
                <w:b/>
                <w:bCs/>
                <w:color w:val="000000"/>
                <w:sz w:val="16"/>
                <w:szCs w:val="16"/>
              </w:rPr>
            </w:pPr>
            <w:r w:rsidRPr="00573073">
              <w:rPr>
                <w:rFonts w:ascii="Arial" w:hAnsi="Arial" w:cs="Arial"/>
                <w:b/>
                <w:bCs/>
                <w:color w:val="000000"/>
                <w:sz w:val="16"/>
                <w:szCs w:val="16"/>
              </w:rPr>
              <w:t>13,825</w:t>
            </w:r>
          </w:p>
        </w:tc>
      </w:tr>
    </w:tbl>
    <w:p w14:paraId="597DD1E2" w14:textId="025CBECE" w:rsidR="00E32E1B" w:rsidRDefault="00E32E1B" w:rsidP="00E87DDC">
      <w:pPr>
        <w:pStyle w:val="ChartandTableFootnoteAlpha"/>
        <w:numPr>
          <w:ilvl w:val="0"/>
          <w:numId w:val="28"/>
        </w:numPr>
      </w:pPr>
      <w:r>
        <w:t>A further breakdown of the fuel and energy sub</w:t>
      </w:r>
      <w:r w:rsidR="008D4F6B">
        <w:noBreakHyphen/>
      </w:r>
      <w:r>
        <w:t>function is provided in Table 6.12.1.</w:t>
      </w:r>
    </w:p>
    <w:p w14:paraId="4AE9A70A" w14:textId="77777777" w:rsidR="00E32E1B" w:rsidRPr="000177D7" w:rsidRDefault="00E32E1B" w:rsidP="00D91079">
      <w:pPr>
        <w:pStyle w:val="TableLine"/>
      </w:pPr>
    </w:p>
    <w:p w14:paraId="1329A20C" w14:textId="16F456EF" w:rsidR="001C4944" w:rsidRDefault="00C0177B" w:rsidP="00C0177B">
      <w:r>
        <w:t xml:space="preserve">Total </w:t>
      </w:r>
      <w:r w:rsidRPr="00A44A0C">
        <w:t xml:space="preserve">fuel and energy </w:t>
      </w:r>
      <w:r w:rsidR="00BA5C26">
        <w:t xml:space="preserve">expenses </w:t>
      </w:r>
      <w:r>
        <w:t>are estimated to incre</w:t>
      </w:r>
      <w:r w:rsidRPr="00FF3DD4">
        <w:t>ase</w:t>
      </w:r>
      <w:r w:rsidR="00A4389A">
        <w:t xml:space="preserve"> in 2024–25,</w:t>
      </w:r>
      <w:r>
        <w:t xml:space="preserve"> before</w:t>
      </w:r>
      <w:r w:rsidR="00A4389A">
        <w:t xml:space="preserve"> returning to a stable trend</w:t>
      </w:r>
      <w:r>
        <w:t xml:space="preserve">. The increase in 2024–25 is </w:t>
      </w:r>
      <w:r w:rsidRPr="00151DFF">
        <w:t xml:space="preserve">driven by </w:t>
      </w:r>
      <w:bookmarkStart w:id="132" w:name="_Hlk165732219"/>
      <w:r>
        <w:t>the concessional component of the Government</w:t>
      </w:r>
      <w:r w:rsidR="008D4F6B">
        <w:t>’</w:t>
      </w:r>
      <w:r>
        <w:t>s concessional loan investments to grow Australia</w:t>
      </w:r>
      <w:r w:rsidR="008D4F6B">
        <w:t>’</w:t>
      </w:r>
      <w:r>
        <w:t xml:space="preserve">s renewable energy sector through the </w:t>
      </w:r>
      <w:r w:rsidRPr="0011281D">
        <w:t>Rewiring the Nation Fund</w:t>
      </w:r>
      <w:r>
        <w:t>, administered by the Clean Energy Finance Corporation.</w:t>
      </w:r>
      <w:bookmarkEnd w:id="132"/>
    </w:p>
    <w:p w14:paraId="6DE43794" w14:textId="7E2CCDB9" w:rsidR="001C4944" w:rsidRPr="00E47EE5" w:rsidRDefault="001C4944" w:rsidP="001C4944">
      <w:r>
        <w:t>Table </w:t>
      </w:r>
      <w:r w:rsidRPr="000177D7">
        <w:t xml:space="preserve">6.12.1 sets out the major components of the </w:t>
      </w:r>
      <w:r w:rsidRPr="00875214">
        <w:rPr>
          <w:rStyle w:val="Strong"/>
        </w:rPr>
        <w:t>fuel and energy</w:t>
      </w:r>
      <w:r w:rsidRPr="000177D7">
        <w:t xml:space="preserve"> sub</w:t>
      </w:r>
      <w:r w:rsidR="008D4F6B">
        <w:noBreakHyphen/>
      </w:r>
      <w:r w:rsidRPr="000177D7">
        <w:t>function.</w:t>
      </w:r>
    </w:p>
    <w:p w14:paraId="0EAB12B4" w14:textId="57C6D817" w:rsidR="00A21BFD" w:rsidRDefault="001C4944" w:rsidP="00A21BFD">
      <w:pPr>
        <w:pStyle w:val="TableHeading"/>
        <w:rPr>
          <w:rFonts w:asciiTheme="minorHAnsi" w:eastAsiaTheme="minorHAnsi" w:hAnsiTheme="minorHAnsi" w:cstheme="minorBidi"/>
          <w:sz w:val="22"/>
          <w:szCs w:val="22"/>
          <w:lang w:eastAsia="en-US"/>
        </w:rPr>
      </w:pPr>
      <w:r>
        <w:t>Table </w:t>
      </w:r>
      <w:r w:rsidRPr="000177D7">
        <w:t xml:space="preserve">6.12.1: Trends in the major components of </w:t>
      </w:r>
      <w:r>
        <w:t xml:space="preserve">the </w:t>
      </w:r>
      <w:r w:rsidRPr="000177D7">
        <w:t>fuel and energy sub</w:t>
      </w:r>
      <w:r w:rsidR="008D4F6B">
        <w:noBreakHyphen/>
      </w:r>
      <w:r w:rsidRPr="000177D7">
        <w:t xml:space="preserve">function </w:t>
      </w:r>
      <w:r w:rsidRPr="00B965A6">
        <w:t>expense</w:t>
      </w:r>
    </w:p>
    <w:tbl>
      <w:tblPr>
        <w:tblW w:w="5000" w:type="pct"/>
        <w:tblCellMar>
          <w:left w:w="0" w:type="dxa"/>
          <w:right w:w="28" w:type="dxa"/>
        </w:tblCellMar>
        <w:tblLook w:val="04A0" w:firstRow="1" w:lastRow="0" w:firstColumn="1" w:lastColumn="0" w:noHBand="0" w:noVBand="1"/>
      </w:tblPr>
      <w:tblGrid>
        <w:gridCol w:w="3366"/>
        <w:gridCol w:w="105"/>
        <w:gridCol w:w="848"/>
        <w:gridCol w:w="848"/>
        <w:gridCol w:w="848"/>
        <w:gridCol w:w="848"/>
        <w:gridCol w:w="847"/>
      </w:tblGrid>
      <w:tr w:rsidR="00A21BFD" w:rsidRPr="00A21BFD" w14:paraId="4A667040" w14:textId="77777777" w:rsidTr="00A21BFD">
        <w:trPr>
          <w:trHeight w:hRule="exact" w:val="20"/>
        </w:trPr>
        <w:tc>
          <w:tcPr>
            <w:tcW w:w="2183" w:type="pct"/>
            <w:tcBorders>
              <w:top w:val="nil"/>
              <w:left w:val="nil"/>
              <w:bottom w:val="single" w:sz="4" w:space="0" w:color="293F5B"/>
              <w:right w:val="nil"/>
            </w:tcBorders>
            <w:shd w:val="clear" w:color="000000" w:fill="FFFFFF"/>
            <w:noWrap/>
            <w:vAlign w:val="center"/>
            <w:hideMark/>
          </w:tcPr>
          <w:p w14:paraId="0BD7BA77" w14:textId="6EC174CF" w:rsidR="00A21BFD" w:rsidRPr="00A21BFD" w:rsidRDefault="00A21BFD" w:rsidP="00A21BFD">
            <w:pPr>
              <w:spacing w:before="0" w:after="0" w:line="240" w:lineRule="auto"/>
              <w:rPr>
                <w:rFonts w:ascii="Arial" w:hAnsi="Arial" w:cs="Arial"/>
                <w:b/>
                <w:bCs/>
                <w:color w:val="000000"/>
                <w:sz w:val="16"/>
                <w:szCs w:val="16"/>
              </w:rPr>
            </w:pPr>
            <w:r w:rsidRPr="00A21BFD">
              <w:rPr>
                <w:rFonts w:ascii="Arial" w:hAnsi="Arial" w:cs="Arial"/>
                <w:b/>
                <w:bCs/>
                <w:color w:val="000000"/>
                <w:sz w:val="16"/>
                <w:szCs w:val="16"/>
              </w:rPr>
              <w:t> </w:t>
            </w:r>
          </w:p>
        </w:tc>
        <w:tc>
          <w:tcPr>
            <w:tcW w:w="68" w:type="pct"/>
            <w:tcBorders>
              <w:top w:val="nil"/>
              <w:left w:val="nil"/>
              <w:bottom w:val="single" w:sz="4" w:space="0" w:color="293F5B"/>
              <w:right w:val="nil"/>
            </w:tcBorders>
            <w:shd w:val="clear" w:color="000000" w:fill="FFFFFF"/>
            <w:noWrap/>
            <w:vAlign w:val="center"/>
            <w:hideMark/>
          </w:tcPr>
          <w:p w14:paraId="6E19214C" w14:textId="77777777" w:rsidR="00A21BFD" w:rsidRPr="00A21BFD" w:rsidRDefault="00A21BFD" w:rsidP="00A21BFD">
            <w:pPr>
              <w:spacing w:before="0" w:after="0" w:line="240" w:lineRule="auto"/>
              <w:rPr>
                <w:rFonts w:ascii="Arial" w:hAnsi="Arial" w:cs="Arial"/>
                <w:b/>
                <w:bCs/>
                <w:color w:val="000000"/>
                <w:sz w:val="16"/>
                <w:szCs w:val="16"/>
              </w:rPr>
            </w:pPr>
            <w:r w:rsidRPr="00A21BFD">
              <w:rPr>
                <w:rFonts w:ascii="Arial" w:hAnsi="Arial" w:cs="Arial"/>
                <w:b/>
                <w:bCs/>
                <w:color w:val="000000"/>
                <w:sz w:val="16"/>
                <w:szCs w:val="16"/>
              </w:rPr>
              <w:t> </w:t>
            </w:r>
          </w:p>
        </w:tc>
        <w:tc>
          <w:tcPr>
            <w:tcW w:w="550" w:type="pct"/>
            <w:tcBorders>
              <w:top w:val="nil"/>
              <w:left w:val="nil"/>
              <w:bottom w:val="single" w:sz="4" w:space="0" w:color="293F5B"/>
              <w:right w:val="nil"/>
            </w:tcBorders>
            <w:shd w:val="clear" w:color="000000" w:fill="FFFFFF"/>
            <w:noWrap/>
            <w:vAlign w:val="center"/>
            <w:hideMark/>
          </w:tcPr>
          <w:p w14:paraId="551F580B" w14:textId="77777777" w:rsidR="00A21BFD" w:rsidRPr="00A21BFD" w:rsidRDefault="00A21BFD" w:rsidP="00A21BFD">
            <w:pPr>
              <w:spacing w:before="0" w:after="0" w:line="240" w:lineRule="auto"/>
              <w:rPr>
                <w:rFonts w:ascii="Arial" w:hAnsi="Arial" w:cs="Arial"/>
                <w:color w:val="000000"/>
                <w:sz w:val="16"/>
                <w:szCs w:val="16"/>
              </w:rPr>
            </w:pPr>
            <w:r w:rsidRPr="00A21BFD">
              <w:rPr>
                <w:rFonts w:ascii="Arial" w:hAnsi="Arial" w:cs="Arial"/>
                <w:color w:val="000000"/>
                <w:sz w:val="16"/>
                <w:szCs w:val="16"/>
              </w:rPr>
              <w:t> </w:t>
            </w:r>
          </w:p>
        </w:tc>
        <w:tc>
          <w:tcPr>
            <w:tcW w:w="550" w:type="pct"/>
            <w:tcBorders>
              <w:top w:val="nil"/>
              <w:left w:val="nil"/>
              <w:bottom w:val="single" w:sz="4" w:space="0" w:color="293F5B"/>
              <w:right w:val="nil"/>
            </w:tcBorders>
            <w:shd w:val="clear" w:color="000000" w:fill="FFFFFF"/>
            <w:noWrap/>
            <w:vAlign w:val="center"/>
            <w:hideMark/>
          </w:tcPr>
          <w:p w14:paraId="2E818C84" w14:textId="77777777" w:rsidR="00A21BFD" w:rsidRPr="00A21BFD" w:rsidRDefault="00A21BFD" w:rsidP="00A21BFD">
            <w:pPr>
              <w:spacing w:before="0" w:after="0" w:line="240" w:lineRule="auto"/>
              <w:rPr>
                <w:rFonts w:ascii="Arial" w:hAnsi="Arial" w:cs="Arial"/>
                <w:color w:val="000000"/>
                <w:sz w:val="16"/>
                <w:szCs w:val="16"/>
              </w:rPr>
            </w:pPr>
            <w:r w:rsidRPr="00A21BFD">
              <w:rPr>
                <w:rFonts w:ascii="Arial" w:hAnsi="Arial" w:cs="Arial"/>
                <w:color w:val="000000"/>
                <w:sz w:val="16"/>
                <w:szCs w:val="16"/>
              </w:rPr>
              <w:t> </w:t>
            </w:r>
          </w:p>
        </w:tc>
        <w:tc>
          <w:tcPr>
            <w:tcW w:w="550" w:type="pct"/>
            <w:tcBorders>
              <w:top w:val="nil"/>
              <w:left w:val="nil"/>
              <w:bottom w:val="single" w:sz="4" w:space="0" w:color="293F5B"/>
              <w:right w:val="nil"/>
            </w:tcBorders>
            <w:shd w:val="clear" w:color="000000" w:fill="FFFFFF"/>
            <w:noWrap/>
            <w:vAlign w:val="center"/>
            <w:hideMark/>
          </w:tcPr>
          <w:p w14:paraId="3AF87AB9" w14:textId="77777777" w:rsidR="00A21BFD" w:rsidRPr="00A21BFD" w:rsidRDefault="00A21BFD" w:rsidP="00A21BFD">
            <w:pPr>
              <w:spacing w:before="0" w:after="0" w:line="240" w:lineRule="auto"/>
              <w:rPr>
                <w:rFonts w:ascii="Arial" w:hAnsi="Arial" w:cs="Arial"/>
                <w:color w:val="000000"/>
                <w:sz w:val="16"/>
                <w:szCs w:val="16"/>
              </w:rPr>
            </w:pPr>
            <w:r w:rsidRPr="00A21BFD">
              <w:rPr>
                <w:rFonts w:ascii="Arial" w:hAnsi="Arial" w:cs="Arial"/>
                <w:color w:val="000000"/>
                <w:sz w:val="16"/>
                <w:szCs w:val="16"/>
              </w:rPr>
              <w:t> </w:t>
            </w:r>
          </w:p>
        </w:tc>
        <w:tc>
          <w:tcPr>
            <w:tcW w:w="550" w:type="pct"/>
            <w:tcBorders>
              <w:top w:val="nil"/>
              <w:left w:val="nil"/>
              <w:bottom w:val="single" w:sz="4" w:space="0" w:color="293F5B"/>
              <w:right w:val="nil"/>
            </w:tcBorders>
            <w:shd w:val="clear" w:color="000000" w:fill="FFFFFF"/>
            <w:noWrap/>
            <w:vAlign w:val="center"/>
            <w:hideMark/>
          </w:tcPr>
          <w:p w14:paraId="6988CBB8" w14:textId="77777777" w:rsidR="00A21BFD" w:rsidRPr="00A21BFD" w:rsidRDefault="00A21BFD" w:rsidP="00A21BFD">
            <w:pPr>
              <w:spacing w:before="0" w:after="0" w:line="240" w:lineRule="auto"/>
              <w:rPr>
                <w:rFonts w:ascii="Arial" w:hAnsi="Arial" w:cs="Arial"/>
                <w:color w:val="000000"/>
                <w:sz w:val="16"/>
                <w:szCs w:val="16"/>
              </w:rPr>
            </w:pPr>
            <w:r w:rsidRPr="00A21BFD">
              <w:rPr>
                <w:rFonts w:ascii="Arial" w:hAnsi="Arial" w:cs="Arial"/>
                <w:color w:val="000000"/>
                <w:sz w:val="16"/>
                <w:szCs w:val="16"/>
              </w:rPr>
              <w:t> </w:t>
            </w:r>
          </w:p>
        </w:tc>
        <w:tc>
          <w:tcPr>
            <w:tcW w:w="550" w:type="pct"/>
            <w:tcBorders>
              <w:top w:val="nil"/>
              <w:left w:val="nil"/>
              <w:bottom w:val="single" w:sz="4" w:space="0" w:color="293F5B"/>
              <w:right w:val="nil"/>
            </w:tcBorders>
            <w:shd w:val="clear" w:color="000000" w:fill="FFFFFF"/>
            <w:noWrap/>
            <w:vAlign w:val="center"/>
            <w:hideMark/>
          </w:tcPr>
          <w:p w14:paraId="3FFC3ABE" w14:textId="77777777" w:rsidR="00A21BFD" w:rsidRPr="00A21BFD" w:rsidRDefault="00A21BFD" w:rsidP="00A21BFD">
            <w:pPr>
              <w:spacing w:before="0" w:after="0" w:line="240" w:lineRule="auto"/>
              <w:rPr>
                <w:rFonts w:ascii="Arial" w:hAnsi="Arial" w:cs="Arial"/>
                <w:color w:val="000000"/>
                <w:sz w:val="16"/>
                <w:szCs w:val="16"/>
              </w:rPr>
            </w:pPr>
            <w:r w:rsidRPr="00A21BFD">
              <w:rPr>
                <w:rFonts w:ascii="Arial" w:hAnsi="Arial" w:cs="Arial"/>
                <w:color w:val="000000"/>
                <w:sz w:val="16"/>
                <w:szCs w:val="16"/>
              </w:rPr>
              <w:t> </w:t>
            </w:r>
          </w:p>
        </w:tc>
      </w:tr>
      <w:tr w:rsidR="00A21BFD" w:rsidRPr="00A21BFD" w14:paraId="42217236" w14:textId="77777777" w:rsidTr="00236E34">
        <w:trPr>
          <w:trHeight w:hRule="exact" w:val="226"/>
        </w:trPr>
        <w:tc>
          <w:tcPr>
            <w:tcW w:w="2183" w:type="pct"/>
            <w:tcBorders>
              <w:top w:val="nil"/>
              <w:left w:val="nil"/>
              <w:bottom w:val="nil"/>
              <w:right w:val="nil"/>
            </w:tcBorders>
            <w:shd w:val="clear" w:color="000000" w:fill="FFFFFF"/>
            <w:noWrap/>
            <w:vAlign w:val="center"/>
            <w:hideMark/>
          </w:tcPr>
          <w:p w14:paraId="56ED304C" w14:textId="77777777" w:rsidR="00A21BFD" w:rsidRPr="00A21BFD" w:rsidRDefault="00A21BFD" w:rsidP="00A21BFD">
            <w:pPr>
              <w:spacing w:before="0" w:after="0" w:line="240" w:lineRule="auto"/>
              <w:rPr>
                <w:rFonts w:ascii="Arial" w:hAnsi="Arial" w:cs="Arial"/>
                <w:b/>
                <w:bCs/>
                <w:color w:val="000000"/>
                <w:sz w:val="16"/>
                <w:szCs w:val="16"/>
              </w:rPr>
            </w:pPr>
            <w:r w:rsidRPr="00A21BFD">
              <w:rPr>
                <w:rFonts w:ascii="Arial" w:hAnsi="Arial" w:cs="Arial"/>
                <w:b/>
                <w:bCs/>
                <w:color w:val="000000"/>
                <w:sz w:val="16"/>
                <w:szCs w:val="16"/>
              </w:rPr>
              <w:t>Component(a)</w:t>
            </w:r>
          </w:p>
        </w:tc>
        <w:tc>
          <w:tcPr>
            <w:tcW w:w="68" w:type="pct"/>
            <w:tcBorders>
              <w:top w:val="nil"/>
              <w:left w:val="nil"/>
              <w:bottom w:val="nil"/>
              <w:right w:val="nil"/>
            </w:tcBorders>
            <w:shd w:val="clear" w:color="000000" w:fill="FFFFFF"/>
            <w:noWrap/>
            <w:vAlign w:val="center"/>
            <w:hideMark/>
          </w:tcPr>
          <w:p w14:paraId="6462C6C6" w14:textId="77777777" w:rsidR="00A21BFD" w:rsidRPr="00A21BFD" w:rsidRDefault="00A21BFD" w:rsidP="00A21BFD">
            <w:pPr>
              <w:spacing w:before="0" w:after="0" w:line="240" w:lineRule="auto"/>
              <w:rPr>
                <w:rFonts w:ascii="Arial" w:hAnsi="Arial" w:cs="Arial"/>
                <w:color w:val="000000"/>
                <w:sz w:val="16"/>
                <w:szCs w:val="16"/>
              </w:rPr>
            </w:pPr>
            <w:r w:rsidRPr="00A21BFD">
              <w:rPr>
                <w:rFonts w:ascii="Arial" w:hAnsi="Arial" w:cs="Arial"/>
                <w:color w:val="000000"/>
                <w:sz w:val="16"/>
                <w:szCs w:val="16"/>
              </w:rPr>
              <w:t> </w:t>
            </w:r>
          </w:p>
        </w:tc>
        <w:tc>
          <w:tcPr>
            <w:tcW w:w="2748" w:type="pct"/>
            <w:gridSpan w:val="5"/>
            <w:tcBorders>
              <w:top w:val="single" w:sz="4" w:space="0" w:color="293F5B"/>
              <w:left w:val="nil"/>
              <w:bottom w:val="single" w:sz="4" w:space="0" w:color="293F5B"/>
              <w:right w:val="nil"/>
            </w:tcBorders>
            <w:shd w:val="clear" w:color="000000" w:fill="FFFFFF"/>
            <w:noWrap/>
            <w:vAlign w:val="center"/>
            <w:hideMark/>
          </w:tcPr>
          <w:p w14:paraId="3C707ABD" w14:textId="77777777" w:rsidR="00A21BFD" w:rsidRPr="00A21BFD" w:rsidRDefault="00A21BFD" w:rsidP="00A21BFD">
            <w:pPr>
              <w:spacing w:before="0" w:after="0" w:line="240" w:lineRule="auto"/>
              <w:jc w:val="center"/>
              <w:rPr>
                <w:rFonts w:ascii="Arial" w:hAnsi="Arial" w:cs="Arial"/>
                <w:color w:val="000000"/>
                <w:sz w:val="16"/>
                <w:szCs w:val="16"/>
              </w:rPr>
            </w:pPr>
            <w:r w:rsidRPr="00A21BFD">
              <w:rPr>
                <w:rFonts w:ascii="Arial" w:hAnsi="Arial" w:cs="Arial"/>
                <w:color w:val="000000"/>
                <w:sz w:val="16"/>
                <w:szCs w:val="16"/>
              </w:rPr>
              <w:t>Estimates</w:t>
            </w:r>
          </w:p>
        </w:tc>
      </w:tr>
      <w:tr w:rsidR="00A21BFD" w:rsidRPr="00A21BFD" w14:paraId="2A206C49" w14:textId="77777777" w:rsidTr="00A21BFD">
        <w:trPr>
          <w:trHeight w:hRule="exact" w:val="226"/>
        </w:trPr>
        <w:tc>
          <w:tcPr>
            <w:tcW w:w="2183" w:type="pct"/>
            <w:tcBorders>
              <w:top w:val="nil"/>
              <w:left w:val="nil"/>
              <w:bottom w:val="nil"/>
              <w:right w:val="nil"/>
            </w:tcBorders>
            <w:shd w:val="clear" w:color="000000" w:fill="FFFFFF"/>
            <w:noWrap/>
            <w:vAlign w:val="bottom"/>
            <w:hideMark/>
          </w:tcPr>
          <w:p w14:paraId="18275B62" w14:textId="77777777" w:rsidR="00A21BFD" w:rsidRPr="00A21BFD" w:rsidRDefault="00A21BFD" w:rsidP="00A21BFD">
            <w:pPr>
              <w:spacing w:before="0" w:after="0" w:line="240" w:lineRule="auto"/>
              <w:rPr>
                <w:rFonts w:ascii="Arial" w:hAnsi="Arial" w:cs="Arial"/>
                <w:color w:val="000000"/>
                <w:sz w:val="16"/>
                <w:szCs w:val="16"/>
              </w:rPr>
            </w:pPr>
            <w:r w:rsidRPr="00A21BFD">
              <w:rPr>
                <w:rFonts w:ascii="Arial" w:hAnsi="Arial" w:cs="Arial"/>
                <w:color w:val="000000"/>
                <w:sz w:val="16"/>
                <w:szCs w:val="16"/>
              </w:rPr>
              <w:t> </w:t>
            </w:r>
          </w:p>
        </w:tc>
        <w:tc>
          <w:tcPr>
            <w:tcW w:w="68" w:type="pct"/>
            <w:tcBorders>
              <w:top w:val="nil"/>
              <w:left w:val="nil"/>
              <w:bottom w:val="nil"/>
              <w:right w:val="nil"/>
            </w:tcBorders>
            <w:shd w:val="clear" w:color="000000" w:fill="FFFFFF"/>
            <w:noWrap/>
            <w:vAlign w:val="center"/>
            <w:hideMark/>
          </w:tcPr>
          <w:p w14:paraId="38E9894E" w14:textId="77777777" w:rsidR="00A21BFD" w:rsidRPr="00A21BFD" w:rsidRDefault="00A21BFD" w:rsidP="00A21BFD">
            <w:pPr>
              <w:spacing w:before="0" w:after="0" w:line="240" w:lineRule="auto"/>
              <w:jc w:val="right"/>
              <w:rPr>
                <w:rFonts w:ascii="Arial" w:hAnsi="Arial" w:cs="Arial"/>
                <w:sz w:val="16"/>
                <w:szCs w:val="16"/>
              </w:rPr>
            </w:pPr>
            <w:r w:rsidRPr="00A21BFD">
              <w:rPr>
                <w:rFonts w:ascii="Arial" w:hAnsi="Arial" w:cs="Arial"/>
                <w:sz w:val="16"/>
                <w:szCs w:val="16"/>
              </w:rPr>
              <w:t> </w:t>
            </w:r>
          </w:p>
        </w:tc>
        <w:tc>
          <w:tcPr>
            <w:tcW w:w="550" w:type="pct"/>
            <w:tcBorders>
              <w:top w:val="single" w:sz="4" w:space="0" w:color="293F5B"/>
              <w:left w:val="nil"/>
              <w:bottom w:val="nil"/>
              <w:right w:val="nil"/>
            </w:tcBorders>
            <w:shd w:val="clear" w:color="000000" w:fill="FFFFFF"/>
            <w:noWrap/>
            <w:vAlign w:val="center"/>
            <w:hideMark/>
          </w:tcPr>
          <w:p w14:paraId="724552D8" w14:textId="64232FFE" w:rsidR="00A21BFD" w:rsidRPr="00A21BFD" w:rsidRDefault="00A21BFD" w:rsidP="00A21BFD">
            <w:pPr>
              <w:spacing w:before="0" w:after="0" w:line="240" w:lineRule="auto"/>
              <w:jc w:val="right"/>
              <w:rPr>
                <w:rFonts w:ascii="Arial" w:hAnsi="Arial" w:cs="Arial"/>
                <w:sz w:val="16"/>
                <w:szCs w:val="16"/>
              </w:rPr>
            </w:pPr>
            <w:r w:rsidRPr="00A21BFD">
              <w:rPr>
                <w:rFonts w:ascii="Arial" w:hAnsi="Arial" w:cs="Arial"/>
                <w:sz w:val="16"/>
                <w:szCs w:val="16"/>
              </w:rPr>
              <w:t>2023</w:t>
            </w:r>
            <w:r w:rsidR="008D4F6B">
              <w:rPr>
                <w:rFonts w:ascii="Arial" w:hAnsi="Arial" w:cs="Arial"/>
                <w:sz w:val="16"/>
                <w:szCs w:val="16"/>
              </w:rPr>
              <w:noBreakHyphen/>
            </w:r>
            <w:r w:rsidRPr="00A21BFD">
              <w:rPr>
                <w:rFonts w:ascii="Arial" w:hAnsi="Arial" w:cs="Arial"/>
                <w:sz w:val="16"/>
                <w:szCs w:val="16"/>
              </w:rPr>
              <w:t>24</w:t>
            </w:r>
          </w:p>
        </w:tc>
        <w:tc>
          <w:tcPr>
            <w:tcW w:w="550" w:type="pct"/>
            <w:tcBorders>
              <w:top w:val="single" w:sz="4" w:space="0" w:color="293F5B"/>
              <w:left w:val="nil"/>
              <w:bottom w:val="nil"/>
              <w:right w:val="nil"/>
            </w:tcBorders>
            <w:shd w:val="clear" w:color="000000" w:fill="E6F2FF"/>
            <w:noWrap/>
            <w:vAlign w:val="center"/>
            <w:hideMark/>
          </w:tcPr>
          <w:p w14:paraId="68881CAE" w14:textId="36D2A55F" w:rsidR="00A21BFD" w:rsidRPr="00A21BFD" w:rsidRDefault="00A21BFD" w:rsidP="00A21BFD">
            <w:pPr>
              <w:spacing w:before="0" w:after="0" w:line="240" w:lineRule="auto"/>
              <w:jc w:val="right"/>
              <w:rPr>
                <w:rFonts w:ascii="Arial" w:hAnsi="Arial" w:cs="Arial"/>
                <w:sz w:val="16"/>
                <w:szCs w:val="16"/>
              </w:rPr>
            </w:pPr>
            <w:r w:rsidRPr="00A21BFD">
              <w:rPr>
                <w:rFonts w:ascii="Arial" w:hAnsi="Arial" w:cs="Arial"/>
                <w:sz w:val="16"/>
                <w:szCs w:val="16"/>
              </w:rPr>
              <w:t>2024</w:t>
            </w:r>
            <w:r w:rsidR="008D4F6B">
              <w:rPr>
                <w:rFonts w:ascii="Arial" w:hAnsi="Arial" w:cs="Arial"/>
                <w:sz w:val="16"/>
                <w:szCs w:val="16"/>
              </w:rPr>
              <w:noBreakHyphen/>
            </w:r>
            <w:r w:rsidRPr="00A21BFD">
              <w:rPr>
                <w:rFonts w:ascii="Arial" w:hAnsi="Arial" w:cs="Arial"/>
                <w:sz w:val="16"/>
                <w:szCs w:val="16"/>
              </w:rPr>
              <w:t>25</w:t>
            </w:r>
          </w:p>
        </w:tc>
        <w:tc>
          <w:tcPr>
            <w:tcW w:w="550" w:type="pct"/>
            <w:tcBorders>
              <w:top w:val="single" w:sz="4" w:space="0" w:color="293F5B"/>
              <w:left w:val="nil"/>
              <w:bottom w:val="nil"/>
              <w:right w:val="nil"/>
            </w:tcBorders>
            <w:shd w:val="clear" w:color="000000" w:fill="FFFFFF"/>
            <w:noWrap/>
            <w:vAlign w:val="center"/>
            <w:hideMark/>
          </w:tcPr>
          <w:p w14:paraId="48C134EC" w14:textId="20815ADD" w:rsidR="00A21BFD" w:rsidRPr="00A21BFD" w:rsidRDefault="00A21BFD" w:rsidP="00A21BFD">
            <w:pPr>
              <w:spacing w:before="0" w:after="0" w:line="240" w:lineRule="auto"/>
              <w:jc w:val="right"/>
              <w:rPr>
                <w:rFonts w:ascii="Arial" w:hAnsi="Arial" w:cs="Arial"/>
                <w:sz w:val="16"/>
                <w:szCs w:val="16"/>
              </w:rPr>
            </w:pPr>
            <w:r w:rsidRPr="00A21BFD">
              <w:rPr>
                <w:rFonts w:ascii="Arial" w:hAnsi="Arial" w:cs="Arial"/>
                <w:sz w:val="16"/>
                <w:szCs w:val="16"/>
              </w:rPr>
              <w:t>2025</w:t>
            </w:r>
            <w:r w:rsidR="008D4F6B">
              <w:rPr>
                <w:rFonts w:ascii="Arial" w:hAnsi="Arial" w:cs="Arial"/>
                <w:sz w:val="16"/>
                <w:szCs w:val="16"/>
              </w:rPr>
              <w:noBreakHyphen/>
            </w:r>
            <w:r w:rsidRPr="00A21BFD">
              <w:rPr>
                <w:rFonts w:ascii="Arial" w:hAnsi="Arial" w:cs="Arial"/>
                <w:sz w:val="16"/>
                <w:szCs w:val="16"/>
              </w:rPr>
              <w:t>26</w:t>
            </w:r>
          </w:p>
        </w:tc>
        <w:tc>
          <w:tcPr>
            <w:tcW w:w="550" w:type="pct"/>
            <w:tcBorders>
              <w:top w:val="single" w:sz="4" w:space="0" w:color="293F5B"/>
              <w:left w:val="nil"/>
              <w:bottom w:val="nil"/>
              <w:right w:val="nil"/>
            </w:tcBorders>
            <w:shd w:val="clear" w:color="000000" w:fill="FFFFFF"/>
            <w:noWrap/>
            <w:vAlign w:val="center"/>
            <w:hideMark/>
          </w:tcPr>
          <w:p w14:paraId="37182949" w14:textId="777F8BD7" w:rsidR="00A21BFD" w:rsidRPr="00A21BFD" w:rsidRDefault="00A21BFD" w:rsidP="00A21BFD">
            <w:pPr>
              <w:spacing w:before="0" w:after="0" w:line="240" w:lineRule="auto"/>
              <w:jc w:val="right"/>
              <w:rPr>
                <w:rFonts w:ascii="Arial" w:hAnsi="Arial" w:cs="Arial"/>
                <w:sz w:val="16"/>
                <w:szCs w:val="16"/>
              </w:rPr>
            </w:pPr>
            <w:r w:rsidRPr="00A21BFD">
              <w:rPr>
                <w:rFonts w:ascii="Arial" w:hAnsi="Arial" w:cs="Arial"/>
                <w:sz w:val="16"/>
                <w:szCs w:val="16"/>
              </w:rPr>
              <w:t>2026</w:t>
            </w:r>
            <w:r w:rsidR="008D4F6B">
              <w:rPr>
                <w:rFonts w:ascii="Arial" w:hAnsi="Arial" w:cs="Arial"/>
                <w:sz w:val="16"/>
                <w:szCs w:val="16"/>
              </w:rPr>
              <w:noBreakHyphen/>
            </w:r>
            <w:r w:rsidRPr="00A21BFD">
              <w:rPr>
                <w:rFonts w:ascii="Arial" w:hAnsi="Arial" w:cs="Arial"/>
                <w:sz w:val="16"/>
                <w:szCs w:val="16"/>
              </w:rPr>
              <w:t>27</w:t>
            </w:r>
          </w:p>
        </w:tc>
        <w:tc>
          <w:tcPr>
            <w:tcW w:w="550" w:type="pct"/>
            <w:tcBorders>
              <w:top w:val="single" w:sz="4" w:space="0" w:color="293F5B"/>
              <w:left w:val="nil"/>
              <w:bottom w:val="nil"/>
              <w:right w:val="nil"/>
            </w:tcBorders>
            <w:shd w:val="clear" w:color="000000" w:fill="FFFFFF"/>
            <w:noWrap/>
            <w:vAlign w:val="center"/>
            <w:hideMark/>
          </w:tcPr>
          <w:p w14:paraId="34F4B069" w14:textId="5F322A8E" w:rsidR="00A21BFD" w:rsidRPr="00A21BFD" w:rsidRDefault="00A21BFD" w:rsidP="00A21BFD">
            <w:pPr>
              <w:spacing w:before="0" w:after="0" w:line="240" w:lineRule="auto"/>
              <w:jc w:val="right"/>
              <w:rPr>
                <w:rFonts w:ascii="Arial" w:hAnsi="Arial" w:cs="Arial"/>
                <w:color w:val="000000"/>
                <w:sz w:val="16"/>
                <w:szCs w:val="16"/>
              </w:rPr>
            </w:pPr>
            <w:r w:rsidRPr="00A21BFD">
              <w:rPr>
                <w:rFonts w:ascii="Arial" w:hAnsi="Arial" w:cs="Arial"/>
                <w:color w:val="000000"/>
                <w:sz w:val="16"/>
                <w:szCs w:val="16"/>
              </w:rPr>
              <w:t>2027</w:t>
            </w:r>
            <w:r w:rsidR="008D4F6B">
              <w:rPr>
                <w:rFonts w:ascii="Arial" w:hAnsi="Arial" w:cs="Arial"/>
                <w:color w:val="000000"/>
                <w:sz w:val="16"/>
                <w:szCs w:val="16"/>
              </w:rPr>
              <w:noBreakHyphen/>
            </w:r>
            <w:r w:rsidRPr="00A21BFD">
              <w:rPr>
                <w:rFonts w:ascii="Arial" w:hAnsi="Arial" w:cs="Arial"/>
                <w:color w:val="000000"/>
                <w:sz w:val="16"/>
                <w:szCs w:val="16"/>
              </w:rPr>
              <w:t>28</w:t>
            </w:r>
          </w:p>
        </w:tc>
      </w:tr>
      <w:tr w:rsidR="00A21BFD" w:rsidRPr="00A21BFD" w14:paraId="51AFC341" w14:textId="77777777" w:rsidTr="00A21BFD">
        <w:trPr>
          <w:trHeight w:hRule="exact" w:val="226"/>
        </w:trPr>
        <w:tc>
          <w:tcPr>
            <w:tcW w:w="2183" w:type="pct"/>
            <w:tcBorders>
              <w:top w:val="nil"/>
              <w:left w:val="nil"/>
              <w:bottom w:val="nil"/>
              <w:right w:val="nil"/>
            </w:tcBorders>
            <w:shd w:val="clear" w:color="000000" w:fill="FFFFFF"/>
            <w:noWrap/>
            <w:vAlign w:val="center"/>
            <w:hideMark/>
          </w:tcPr>
          <w:p w14:paraId="38E6F294" w14:textId="77777777" w:rsidR="00A21BFD" w:rsidRPr="00A21BFD" w:rsidRDefault="00A21BFD" w:rsidP="00A21BFD">
            <w:pPr>
              <w:spacing w:before="0" w:after="0" w:line="240" w:lineRule="auto"/>
              <w:rPr>
                <w:rFonts w:ascii="Arial" w:hAnsi="Arial" w:cs="Arial"/>
                <w:color w:val="000000"/>
                <w:sz w:val="16"/>
                <w:szCs w:val="16"/>
              </w:rPr>
            </w:pPr>
            <w:r w:rsidRPr="00A21BFD">
              <w:rPr>
                <w:rFonts w:ascii="Arial" w:hAnsi="Arial" w:cs="Arial"/>
                <w:color w:val="000000"/>
                <w:sz w:val="16"/>
                <w:szCs w:val="16"/>
              </w:rPr>
              <w:t> </w:t>
            </w:r>
          </w:p>
        </w:tc>
        <w:tc>
          <w:tcPr>
            <w:tcW w:w="68" w:type="pct"/>
            <w:tcBorders>
              <w:top w:val="nil"/>
              <w:left w:val="nil"/>
              <w:bottom w:val="nil"/>
              <w:right w:val="nil"/>
            </w:tcBorders>
            <w:shd w:val="clear" w:color="000000" w:fill="FFFFFF"/>
            <w:noWrap/>
            <w:vAlign w:val="center"/>
            <w:hideMark/>
          </w:tcPr>
          <w:p w14:paraId="0EF4EB3D" w14:textId="77777777" w:rsidR="00A21BFD" w:rsidRPr="00A21BFD" w:rsidRDefault="00A21BFD" w:rsidP="00A21BFD">
            <w:pPr>
              <w:spacing w:before="0" w:after="0" w:line="240" w:lineRule="auto"/>
              <w:jc w:val="right"/>
              <w:rPr>
                <w:rFonts w:ascii="Arial" w:hAnsi="Arial" w:cs="Arial"/>
                <w:color w:val="000000"/>
                <w:sz w:val="16"/>
                <w:szCs w:val="16"/>
              </w:rPr>
            </w:pPr>
            <w:r w:rsidRPr="00A21BFD">
              <w:rPr>
                <w:rFonts w:ascii="Arial" w:hAnsi="Arial" w:cs="Arial"/>
                <w:color w:val="000000"/>
                <w:sz w:val="16"/>
                <w:szCs w:val="16"/>
              </w:rPr>
              <w:t> </w:t>
            </w:r>
          </w:p>
        </w:tc>
        <w:tc>
          <w:tcPr>
            <w:tcW w:w="550" w:type="pct"/>
            <w:tcBorders>
              <w:top w:val="nil"/>
              <w:left w:val="nil"/>
              <w:bottom w:val="single" w:sz="4" w:space="0" w:color="293F5B"/>
              <w:right w:val="nil"/>
            </w:tcBorders>
            <w:shd w:val="clear" w:color="000000" w:fill="FFFFFF"/>
            <w:noWrap/>
            <w:vAlign w:val="center"/>
            <w:hideMark/>
          </w:tcPr>
          <w:p w14:paraId="64F143F9" w14:textId="77777777" w:rsidR="00A21BFD" w:rsidRPr="00A21BFD" w:rsidRDefault="00A21BFD" w:rsidP="00A21BFD">
            <w:pPr>
              <w:spacing w:before="0" w:after="0" w:line="240" w:lineRule="auto"/>
              <w:jc w:val="right"/>
              <w:rPr>
                <w:rFonts w:ascii="Arial" w:hAnsi="Arial" w:cs="Arial"/>
                <w:color w:val="000000"/>
                <w:sz w:val="16"/>
                <w:szCs w:val="16"/>
              </w:rPr>
            </w:pPr>
            <w:r w:rsidRPr="00A21BFD">
              <w:rPr>
                <w:rFonts w:ascii="Arial" w:hAnsi="Arial" w:cs="Arial"/>
                <w:color w:val="000000"/>
                <w:sz w:val="16"/>
                <w:szCs w:val="16"/>
              </w:rPr>
              <w:t>$m</w:t>
            </w:r>
          </w:p>
        </w:tc>
        <w:tc>
          <w:tcPr>
            <w:tcW w:w="550" w:type="pct"/>
            <w:tcBorders>
              <w:top w:val="nil"/>
              <w:left w:val="nil"/>
              <w:bottom w:val="single" w:sz="4" w:space="0" w:color="293F5B"/>
              <w:right w:val="nil"/>
            </w:tcBorders>
            <w:shd w:val="clear" w:color="000000" w:fill="E6F2FF"/>
            <w:noWrap/>
            <w:vAlign w:val="center"/>
            <w:hideMark/>
          </w:tcPr>
          <w:p w14:paraId="16C985DF" w14:textId="77777777" w:rsidR="00A21BFD" w:rsidRPr="00A21BFD" w:rsidRDefault="00A21BFD" w:rsidP="00A21BFD">
            <w:pPr>
              <w:spacing w:before="0" w:after="0" w:line="240" w:lineRule="auto"/>
              <w:jc w:val="right"/>
              <w:rPr>
                <w:rFonts w:ascii="Arial" w:hAnsi="Arial" w:cs="Arial"/>
                <w:color w:val="000000"/>
                <w:sz w:val="16"/>
                <w:szCs w:val="16"/>
              </w:rPr>
            </w:pPr>
            <w:r w:rsidRPr="00A21BFD">
              <w:rPr>
                <w:rFonts w:ascii="Arial" w:hAnsi="Arial" w:cs="Arial"/>
                <w:color w:val="000000"/>
                <w:sz w:val="16"/>
                <w:szCs w:val="16"/>
              </w:rPr>
              <w:t>$m</w:t>
            </w:r>
          </w:p>
        </w:tc>
        <w:tc>
          <w:tcPr>
            <w:tcW w:w="550" w:type="pct"/>
            <w:tcBorders>
              <w:top w:val="nil"/>
              <w:left w:val="nil"/>
              <w:bottom w:val="single" w:sz="4" w:space="0" w:color="293F5B"/>
              <w:right w:val="nil"/>
            </w:tcBorders>
            <w:shd w:val="clear" w:color="000000" w:fill="FFFFFF"/>
            <w:noWrap/>
            <w:vAlign w:val="center"/>
            <w:hideMark/>
          </w:tcPr>
          <w:p w14:paraId="4C216A64" w14:textId="77777777" w:rsidR="00A21BFD" w:rsidRPr="00A21BFD" w:rsidRDefault="00A21BFD" w:rsidP="00A21BFD">
            <w:pPr>
              <w:spacing w:before="0" w:after="0" w:line="240" w:lineRule="auto"/>
              <w:jc w:val="right"/>
              <w:rPr>
                <w:rFonts w:ascii="Arial" w:hAnsi="Arial" w:cs="Arial"/>
                <w:color w:val="000000"/>
                <w:sz w:val="16"/>
                <w:szCs w:val="16"/>
              </w:rPr>
            </w:pPr>
            <w:r w:rsidRPr="00A21BFD">
              <w:rPr>
                <w:rFonts w:ascii="Arial" w:hAnsi="Arial" w:cs="Arial"/>
                <w:color w:val="000000"/>
                <w:sz w:val="16"/>
                <w:szCs w:val="16"/>
              </w:rPr>
              <w:t>$m</w:t>
            </w:r>
          </w:p>
        </w:tc>
        <w:tc>
          <w:tcPr>
            <w:tcW w:w="550" w:type="pct"/>
            <w:tcBorders>
              <w:top w:val="nil"/>
              <w:left w:val="nil"/>
              <w:bottom w:val="single" w:sz="4" w:space="0" w:color="293F5B"/>
              <w:right w:val="nil"/>
            </w:tcBorders>
            <w:shd w:val="clear" w:color="000000" w:fill="FFFFFF"/>
            <w:noWrap/>
            <w:vAlign w:val="center"/>
            <w:hideMark/>
          </w:tcPr>
          <w:p w14:paraId="38FB68E0" w14:textId="77777777" w:rsidR="00A21BFD" w:rsidRPr="00A21BFD" w:rsidRDefault="00A21BFD" w:rsidP="00A21BFD">
            <w:pPr>
              <w:spacing w:before="0" w:after="0" w:line="240" w:lineRule="auto"/>
              <w:jc w:val="right"/>
              <w:rPr>
                <w:rFonts w:ascii="Arial" w:hAnsi="Arial" w:cs="Arial"/>
                <w:color w:val="000000"/>
                <w:sz w:val="16"/>
                <w:szCs w:val="16"/>
              </w:rPr>
            </w:pPr>
            <w:r w:rsidRPr="00A21BFD">
              <w:rPr>
                <w:rFonts w:ascii="Arial" w:hAnsi="Arial" w:cs="Arial"/>
                <w:color w:val="000000"/>
                <w:sz w:val="16"/>
                <w:szCs w:val="16"/>
              </w:rPr>
              <w:t>$m</w:t>
            </w:r>
          </w:p>
        </w:tc>
        <w:tc>
          <w:tcPr>
            <w:tcW w:w="550" w:type="pct"/>
            <w:tcBorders>
              <w:top w:val="nil"/>
              <w:left w:val="nil"/>
              <w:bottom w:val="single" w:sz="4" w:space="0" w:color="293F5B"/>
              <w:right w:val="nil"/>
            </w:tcBorders>
            <w:shd w:val="clear" w:color="000000" w:fill="FFFFFF"/>
            <w:noWrap/>
            <w:vAlign w:val="center"/>
            <w:hideMark/>
          </w:tcPr>
          <w:p w14:paraId="1FF33E75" w14:textId="77777777" w:rsidR="00A21BFD" w:rsidRPr="00A21BFD" w:rsidRDefault="00A21BFD" w:rsidP="00A21BFD">
            <w:pPr>
              <w:spacing w:before="0" w:after="0" w:line="240" w:lineRule="auto"/>
              <w:jc w:val="right"/>
              <w:rPr>
                <w:rFonts w:ascii="Arial" w:hAnsi="Arial" w:cs="Arial"/>
                <w:color w:val="000000"/>
                <w:sz w:val="16"/>
                <w:szCs w:val="16"/>
              </w:rPr>
            </w:pPr>
            <w:r w:rsidRPr="00A21BFD">
              <w:rPr>
                <w:rFonts w:ascii="Arial" w:hAnsi="Arial" w:cs="Arial"/>
                <w:color w:val="000000"/>
                <w:sz w:val="16"/>
                <w:szCs w:val="16"/>
              </w:rPr>
              <w:t>$m</w:t>
            </w:r>
          </w:p>
        </w:tc>
      </w:tr>
      <w:tr w:rsidR="00A21BFD" w:rsidRPr="00A21BFD" w14:paraId="0CB38DAA" w14:textId="77777777" w:rsidTr="00236E34">
        <w:trPr>
          <w:trHeight w:hRule="exact" w:val="224"/>
        </w:trPr>
        <w:tc>
          <w:tcPr>
            <w:tcW w:w="2183" w:type="pct"/>
            <w:tcBorders>
              <w:top w:val="nil"/>
              <w:left w:val="nil"/>
              <w:bottom w:val="nil"/>
              <w:right w:val="nil"/>
            </w:tcBorders>
            <w:shd w:val="clear" w:color="000000" w:fill="FFFFFF"/>
            <w:noWrap/>
            <w:vAlign w:val="center"/>
            <w:hideMark/>
          </w:tcPr>
          <w:p w14:paraId="5EE269A8" w14:textId="77777777" w:rsidR="00A21BFD" w:rsidRPr="00A21BFD" w:rsidRDefault="00A21BFD" w:rsidP="00A21BFD">
            <w:pPr>
              <w:spacing w:before="0" w:after="0" w:line="240" w:lineRule="auto"/>
              <w:rPr>
                <w:rFonts w:ascii="Arial" w:hAnsi="Arial" w:cs="Arial"/>
                <w:color w:val="000000"/>
                <w:sz w:val="16"/>
                <w:szCs w:val="16"/>
              </w:rPr>
            </w:pPr>
            <w:r w:rsidRPr="00A21BFD">
              <w:rPr>
                <w:rFonts w:ascii="Arial" w:hAnsi="Arial" w:cs="Arial"/>
                <w:color w:val="000000"/>
                <w:sz w:val="16"/>
                <w:szCs w:val="16"/>
              </w:rPr>
              <w:t>Fuel Tax Credits Scheme</w:t>
            </w:r>
          </w:p>
        </w:tc>
        <w:tc>
          <w:tcPr>
            <w:tcW w:w="68" w:type="pct"/>
            <w:tcBorders>
              <w:top w:val="nil"/>
              <w:left w:val="nil"/>
              <w:bottom w:val="nil"/>
              <w:right w:val="nil"/>
            </w:tcBorders>
            <w:shd w:val="clear" w:color="000000" w:fill="FFFFFF"/>
            <w:noWrap/>
            <w:vAlign w:val="center"/>
            <w:hideMark/>
          </w:tcPr>
          <w:p w14:paraId="2EFC3217" w14:textId="77777777" w:rsidR="00A21BFD" w:rsidRPr="00A21BFD" w:rsidRDefault="00A21BFD" w:rsidP="00A21BFD">
            <w:pPr>
              <w:spacing w:before="0" w:after="0" w:line="240" w:lineRule="auto"/>
              <w:rPr>
                <w:rFonts w:ascii="Arial" w:hAnsi="Arial" w:cs="Arial"/>
                <w:color w:val="000000"/>
                <w:sz w:val="16"/>
                <w:szCs w:val="16"/>
              </w:rPr>
            </w:pPr>
            <w:r w:rsidRPr="00A21BFD">
              <w:rPr>
                <w:rFonts w:ascii="Arial" w:hAnsi="Arial" w:cs="Arial"/>
                <w:color w:val="000000"/>
                <w:sz w:val="16"/>
                <w:szCs w:val="16"/>
              </w:rPr>
              <w:t> </w:t>
            </w:r>
          </w:p>
        </w:tc>
        <w:tc>
          <w:tcPr>
            <w:tcW w:w="550" w:type="pct"/>
            <w:tcBorders>
              <w:top w:val="single" w:sz="4" w:space="0" w:color="293F5B"/>
              <w:left w:val="nil"/>
              <w:bottom w:val="nil"/>
              <w:right w:val="nil"/>
            </w:tcBorders>
            <w:shd w:val="clear" w:color="000000" w:fill="FFFFFF"/>
            <w:noWrap/>
            <w:vAlign w:val="center"/>
            <w:hideMark/>
          </w:tcPr>
          <w:p w14:paraId="1C1A70F4" w14:textId="77777777" w:rsidR="00A21BFD" w:rsidRPr="00A21BFD" w:rsidRDefault="00A21BFD" w:rsidP="00A21BFD">
            <w:pPr>
              <w:spacing w:before="0" w:after="0" w:line="240" w:lineRule="auto"/>
              <w:jc w:val="right"/>
              <w:rPr>
                <w:rFonts w:ascii="Arial" w:hAnsi="Arial" w:cs="Arial"/>
                <w:color w:val="000000"/>
                <w:sz w:val="16"/>
                <w:szCs w:val="16"/>
              </w:rPr>
            </w:pPr>
            <w:r w:rsidRPr="00A21BFD">
              <w:rPr>
                <w:rFonts w:ascii="Arial" w:hAnsi="Arial" w:cs="Arial"/>
                <w:color w:val="000000"/>
                <w:sz w:val="16"/>
                <w:szCs w:val="16"/>
              </w:rPr>
              <w:t>9,857</w:t>
            </w:r>
          </w:p>
        </w:tc>
        <w:tc>
          <w:tcPr>
            <w:tcW w:w="550" w:type="pct"/>
            <w:tcBorders>
              <w:top w:val="single" w:sz="4" w:space="0" w:color="293F5B"/>
              <w:left w:val="nil"/>
              <w:bottom w:val="nil"/>
              <w:right w:val="nil"/>
            </w:tcBorders>
            <w:shd w:val="clear" w:color="000000" w:fill="E6F2FF"/>
            <w:noWrap/>
            <w:vAlign w:val="center"/>
            <w:hideMark/>
          </w:tcPr>
          <w:p w14:paraId="3D6BF6E4" w14:textId="77777777" w:rsidR="00A21BFD" w:rsidRPr="00A21BFD" w:rsidRDefault="00A21BFD" w:rsidP="00A21BFD">
            <w:pPr>
              <w:spacing w:before="0" w:after="0" w:line="240" w:lineRule="auto"/>
              <w:jc w:val="right"/>
              <w:rPr>
                <w:rFonts w:ascii="Arial" w:hAnsi="Arial" w:cs="Arial"/>
                <w:color w:val="000000"/>
                <w:sz w:val="16"/>
                <w:szCs w:val="16"/>
              </w:rPr>
            </w:pPr>
            <w:r w:rsidRPr="00A21BFD">
              <w:rPr>
                <w:rFonts w:ascii="Arial" w:hAnsi="Arial" w:cs="Arial"/>
                <w:color w:val="000000"/>
                <w:sz w:val="16"/>
                <w:szCs w:val="16"/>
              </w:rPr>
              <w:t>10,184</w:t>
            </w:r>
          </w:p>
        </w:tc>
        <w:tc>
          <w:tcPr>
            <w:tcW w:w="550" w:type="pct"/>
            <w:tcBorders>
              <w:top w:val="single" w:sz="4" w:space="0" w:color="293F5B"/>
              <w:left w:val="nil"/>
              <w:bottom w:val="nil"/>
              <w:right w:val="nil"/>
            </w:tcBorders>
            <w:shd w:val="clear" w:color="000000" w:fill="FFFFFF"/>
            <w:noWrap/>
            <w:vAlign w:val="center"/>
            <w:hideMark/>
          </w:tcPr>
          <w:p w14:paraId="71EB4FC8" w14:textId="77777777" w:rsidR="00A21BFD" w:rsidRPr="00A21BFD" w:rsidRDefault="00A21BFD" w:rsidP="00A21BFD">
            <w:pPr>
              <w:spacing w:before="0" w:after="0" w:line="240" w:lineRule="auto"/>
              <w:jc w:val="right"/>
              <w:rPr>
                <w:rFonts w:ascii="Arial" w:hAnsi="Arial" w:cs="Arial"/>
                <w:color w:val="000000"/>
                <w:sz w:val="16"/>
                <w:szCs w:val="16"/>
              </w:rPr>
            </w:pPr>
            <w:r w:rsidRPr="00A21BFD">
              <w:rPr>
                <w:rFonts w:ascii="Arial" w:hAnsi="Arial" w:cs="Arial"/>
                <w:color w:val="000000"/>
                <w:sz w:val="16"/>
                <w:szCs w:val="16"/>
              </w:rPr>
              <w:t>10,561</w:t>
            </w:r>
          </w:p>
        </w:tc>
        <w:tc>
          <w:tcPr>
            <w:tcW w:w="550" w:type="pct"/>
            <w:tcBorders>
              <w:top w:val="single" w:sz="4" w:space="0" w:color="293F5B"/>
              <w:left w:val="nil"/>
              <w:bottom w:val="nil"/>
              <w:right w:val="nil"/>
            </w:tcBorders>
            <w:shd w:val="clear" w:color="000000" w:fill="FFFFFF"/>
            <w:noWrap/>
            <w:vAlign w:val="center"/>
            <w:hideMark/>
          </w:tcPr>
          <w:p w14:paraId="6B60AC61" w14:textId="77777777" w:rsidR="00A21BFD" w:rsidRPr="00A21BFD" w:rsidRDefault="00A21BFD" w:rsidP="00A21BFD">
            <w:pPr>
              <w:spacing w:before="0" w:after="0" w:line="240" w:lineRule="auto"/>
              <w:jc w:val="right"/>
              <w:rPr>
                <w:rFonts w:ascii="Arial" w:hAnsi="Arial" w:cs="Arial"/>
                <w:color w:val="000000"/>
                <w:sz w:val="16"/>
                <w:szCs w:val="16"/>
              </w:rPr>
            </w:pPr>
            <w:r w:rsidRPr="00A21BFD">
              <w:rPr>
                <w:rFonts w:ascii="Arial" w:hAnsi="Arial" w:cs="Arial"/>
                <w:color w:val="000000"/>
                <w:sz w:val="16"/>
                <w:szCs w:val="16"/>
              </w:rPr>
              <w:t>11,309</w:t>
            </w:r>
          </w:p>
        </w:tc>
        <w:tc>
          <w:tcPr>
            <w:tcW w:w="550" w:type="pct"/>
            <w:tcBorders>
              <w:top w:val="single" w:sz="4" w:space="0" w:color="293F5B"/>
              <w:left w:val="nil"/>
              <w:bottom w:val="nil"/>
              <w:right w:val="nil"/>
            </w:tcBorders>
            <w:shd w:val="clear" w:color="000000" w:fill="FFFFFF"/>
            <w:noWrap/>
            <w:vAlign w:val="center"/>
            <w:hideMark/>
          </w:tcPr>
          <w:p w14:paraId="76C207D6" w14:textId="77777777" w:rsidR="00A21BFD" w:rsidRPr="00A21BFD" w:rsidRDefault="00A21BFD" w:rsidP="00A21BFD">
            <w:pPr>
              <w:spacing w:before="0" w:after="0" w:line="240" w:lineRule="auto"/>
              <w:jc w:val="right"/>
              <w:rPr>
                <w:rFonts w:ascii="Arial" w:hAnsi="Arial" w:cs="Arial"/>
                <w:color w:val="000000"/>
                <w:sz w:val="16"/>
                <w:szCs w:val="16"/>
              </w:rPr>
            </w:pPr>
            <w:r w:rsidRPr="00A21BFD">
              <w:rPr>
                <w:rFonts w:ascii="Arial" w:hAnsi="Arial" w:cs="Arial"/>
                <w:color w:val="000000"/>
                <w:sz w:val="16"/>
                <w:szCs w:val="16"/>
              </w:rPr>
              <w:t>12,115</w:t>
            </w:r>
          </w:p>
        </w:tc>
      </w:tr>
      <w:tr w:rsidR="00A21BFD" w:rsidRPr="00A21BFD" w14:paraId="369CF69A" w14:textId="77777777" w:rsidTr="00A21BFD">
        <w:trPr>
          <w:trHeight w:hRule="exact" w:val="224"/>
        </w:trPr>
        <w:tc>
          <w:tcPr>
            <w:tcW w:w="2183" w:type="pct"/>
            <w:tcBorders>
              <w:top w:val="nil"/>
              <w:left w:val="nil"/>
              <w:bottom w:val="nil"/>
              <w:right w:val="nil"/>
            </w:tcBorders>
            <w:shd w:val="clear" w:color="000000" w:fill="FFFFFF"/>
            <w:noWrap/>
            <w:vAlign w:val="center"/>
            <w:hideMark/>
          </w:tcPr>
          <w:p w14:paraId="5F4E5C0B" w14:textId="77777777" w:rsidR="00A21BFD" w:rsidRPr="00A21BFD" w:rsidRDefault="00A21BFD" w:rsidP="00A21BFD">
            <w:pPr>
              <w:spacing w:before="0" w:after="0" w:line="240" w:lineRule="auto"/>
              <w:rPr>
                <w:rFonts w:ascii="Arial" w:hAnsi="Arial" w:cs="Arial"/>
                <w:color w:val="000000"/>
                <w:sz w:val="16"/>
                <w:szCs w:val="16"/>
              </w:rPr>
            </w:pPr>
            <w:r w:rsidRPr="00A21BFD">
              <w:rPr>
                <w:rFonts w:ascii="Arial" w:hAnsi="Arial" w:cs="Arial"/>
                <w:color w:val="000000"/>
                <w:sz w:val="16"/>
                <w:szCs w:val="16"/>
              </w:rPr>
              <w:t>Resources and Energy</w:t>
            </w:r>
          </w:p>
        </w:tc>
        <w:tc>
          <w:tcPr>
            <w:tcW w:w="68" w:type="pct"/>
            <w:tcBorders>
              <w:top w:val="nil"/>
              <w:left w:val="nil"/>
              <w:bottom w:val="nil"/>
              <w:right w:val="nil"/>
            </w:tcBorders>
            <w:shd w:val="clear" w:color="000000" w:fill="FFFFFF"/>
            <w:noWrap/>
            <w:vAlign w:val="center"/>
            <w:hideMark/>
          </w:tcPr>
          <w:p w14:paraId="5C2DEF0E" w14:textId="77777777" w:rsidR="00A21BFD" w:rsidRPr="00A21BFD" w:rsidRDefault="00A21BFD" w:rsidP="00A21BFD">
            <w:pPr>
              <w:spacing w:before="0" w:after="0" w:line="240" w:lineRule="auto"/>
              <w:rPr>
                <w:rFonts w:ascii="Arial" w:hAnsi="Arial" w:cs="Arial"/>
                <w:color w:val="000000"/>
                <w:sz w:val="16"/>
                <w:szCs w:val="16"/>
              </w:rPr>
            </w:pPr>
            <w:r w:rsidRPr="00A21BFD">
              <w:rPr>
                <w:rFonts w:ascii="Arial" w:hAnsi="Arial" w:cs="Arial"/>
                <w:color w:val="000000"/>
                <w:sz w:val="16"/>
                <w:szCs w:val="16"/>
              </w:rPr>
              <w:t> </w:t>
            </w:r>
          </w:p>
        </w:tc>
        <w:tc>
          <w:tcPr>
            <w:tcW w:w="550" w:type="pct"/>
            <w:tcBorders>
              <w:top w:val="nil"/>
              <w:left w:val="nil"/>
              <w:bottom w:val="nil"/>
              <w:right w:val="nil"/>
            </w:tcBorders>
            <w:shd w:val="clear" w:color="000000" w:fill="FFFFFF"/>
            <w:noWrap/>
            <w:vAlign w:val="center"/>
            <w:hideMark/>
          </w:tcPr>
          <w:p w14:paraId="6938DCDA" w14:textId="77777777" w:rsidR="00A21BFD" w:rsidRPr="00A21BFD" w:rsidRDefault="00A21BFD" w:rsidP="00A21BFD">
            <w:pPr>
              <w:spacing w:before="0" w:after="0" w:line="240" w:lineRule="auto"/>
              <w:jc w:val="right"/>
              <w:rPr>
                <w:rFonts w:ascii="Arial" w:hAnsi="Arial" w:cs="Arial"/>
                <w:color w:val="000000"/>
                <w:sz w:val="16"/>
                <w:szCs w:val="16"/>
              </w:rPr>
            </w:pPr>
            <w:r w:rsidRPr="00A21BFD">
              <w:rPr>
                <w:rFonts w:ascii="Arial" w:hAnsi="Arial" w:cs="Arial"/>
                <w:color w:val="000000"/>
                <w:sz w:val="16"/>
                <w:szCs w:val="16"/>
              </w:rPr>
              <w:t>2,093</w:t>
            </w:r>
          </w:p>
        </w:tc>
        <w:tc>
          <w:tcPr>
            <w:tcW w:w="550" w:type="pct"/>
            <w:tcBorders>
              <w:top w:val="nil"/>
              <w:left w:val="nil"/>
              <w:bottom w:val="nil"/>
              <w:right w:val="nil"/>
            </w:tcBorders>
            <w:shd w:val="clear" w:color="000000" w:fill="E6F2FF"/>
            <w:noWrap/>
            <w:vAlign w:val="center"/>
            <w:hideMark/>
          </w:tcPr>
          <w:p w14:paraId="457D7F32" w14:textId="77777777" w:rsidR="00A21BFD" w:rsidRPr="00A21BFD" w:rsidRDefault="00A21BFD" w:rsidP="00A21BFD">
            <w:pPr>
              <w:spacing w:before="0" w:after="0" w:line="240" w:lineRule="auto"/>
              <w:jc w:val="right"/>
              <w:rPr>
                <w:rFonts w:ascii="Arial" w:hAnsi="Arial" w:cs="Arial"/>
                <w:color w:val="000000"/>
                <w:sz w:val="16"/>
                <w:szCs w:val="16"/>
              </w:rPr>
            </w:pPr>
            <w:r w:rsidRPr="00A21BFD">
              <w:rPr>
                <w:rFonts w:ascii="Arial" w:hAnsi="Arial" w:cs="Arial"/>
                <w:color w:val="000000"/>
                <w:sz w:val="16"/>
                <w:szCs w:val="16"/>
              </w:rPr>
              <w:t>4,464</w:t>
            </w:r>
          </w:p>
        </w:tc>
        <w:tc>
          <w:tcPr>
            <w:tcW w:w="550" w:type="pct"/>
            <w:tcBorders>
              <w:top w:val="nil"/>
              <w:left w:val="nil"/>
              <w:bottom w:val="nil"/>
              <w:right w:val="nil"/>
            </w:tcBorders>
            <w:shd w:val="clear" w:color="000000" w:fill="FFFFFF"/>
            <w:noWrap/>
            <w:vAlign w:val="center"/>
            <w:hideMark/>
          </w:tcPr>
          <w:p w14:paraId="7A857F7F" w14:textId="77777777" w:rsidR="00A21BFD" w:rsidRPr="00A21BFD" w:rsidRDefault="00A21BFD" w:rsidP="00A21BFD">
            <w:pPr>
              <w:spacing w:before="0" w:after="0" w:line="240" w:lineRule="auto"/>
              <w:jc w:val="right"/>
              <w:rPr>
                <w:rFonts w:ascii="Arial" w:hAnsi="Arial" w:cs="Arial"/>
                <w:color w:val="000000"/>
                <w:sz w:val="16"/>
                <w:szCs w:val="16"/>
              </w:rPr>
            </w:pPr>
            <w:r w:rsidRPr="00A21BFD">
              <w:rPr>
                <w:rFonts w:ascii="Arial" w:hAnsi="Arial" w:cs="Arial"/>
                <w:color w:val="000000"/>
                <w:sz w:val="16"/>
                <w:szCs w:val="16"/>
              </w:rPr>
              <w:t>1,346</w:t>
            </w:r>
          </w:p>
        </w:tc>
        <w:tc>
          <w:tcPr>
            <w:tcW w:w="550" w:type="pct"/>
            <w:tcBorders>
              <w:top w:val="nil"/>
              <w:left w:val="nil"/>
              <w:bottom w:val="nil"/>
              <w:right w:val="nil"/>
            </w:tcBorders>
            <w:shd w:val="clear" w:color="000000" w:fill="FFFFFF"/>
            <w:noWrap/>
            <w:vAlign w:val="center"/>
            <w:hideMark/>
          </w:tcPr>
          <w:p w14:paraId="6E791F46" w14:textId="77777777" w:rsidR="00A21BFD" w:rsidRPr="00A21BFD" w:rsidRDefault="00A21BFD" w:rsidP="00A21BFD">
            <w:pPr>
              <w:spacing w:before="0" w:after="0" w:line="240" w:lineRule="auto"/>
              <w:jc w:val="right"/>
              <w:rPr>
                <w:rFonts w:ascii="Arial" w:hAnsi="Arial" w:cs="Arial"/>
                <w:color w:val="000000"/>
                <w:sz w:val="16"/>
                <w:szCs w:val="16"/>
              </w:rPr>
            </w:pPr>
            <w:r w:rsidRPr="00A21BFD">
              <w:rPr>
                <w:rFonts w:ascii="Arial" w:hAnsi="Arial" w:cs="Arial"/>
                <w:color w:val="000000"/>
                <w:sz w:val="16"/>
                <w:szCs w:val="16"/>
              </w:rPr>
              <w:t>496</w:t>
            </w:r>
          </w:p>
        </w:tc>
        <w:tc>
          <w:tcPr>
            <w:tcW w:w="550" w:type="pct"/>
            <w:tcBorders>
              <w:top w:val="nil"/>
              <w:left w:val="nil"/>
              <w:bottom w:val="nil"/>
              <w:right w:val="nil"/>
            </w:tcBorders>
            <w:shd w:val="clear" w:color="000000" w:fill="FFFFFF"/>
            <w:noWrap/>
            <w:vAlign w:val="center"/>
            <w:hideMark/>
          </w:tcPr>
          <w:p w14:paraId="37B1AF40" w14:textId="77777777" w:rsidR="00A21BFD" w:rsidRPr="00A21BFD" w:rsidRDefault="00A21BFD" w:rsidP="00A21BFD">
            <w:pPr>
              <w:spacing w:before="0" w:after="0" w:line="240" w:lineRule="auto"/>
              <w:jc w:val="right"/>
              <w:rPr>
                <w:rFonts w:ascii="Arial" w:hAnsi="Arial" w:cs="Arial"/>
                <w:color w:val="000000"/>
                <w:sz w:val="16"/>
                <w:szCs w:val="16"/>
              </w:rPr>
            </w:pPr>
            <w:r w:rsidRPr="00A21BFD">
              <w:rPr>
                <w:rFonts w:ascii="Arial" w:hAnsi="Arial" w:cs="Arial"/>
                <w:color w:val="000000"/>
                <w:sz w:val="16"/>
                <w:szCs w:val="16"/>
              </w:rPr>
              <w:t>568</w:t>
            </w:r>
          </w:p>
        </w:tc>
      </w:tr>
      <w:tr w:rsidR="00A21BFD" w:rsidRPr="00A21BFD" w14:paraId="327ADF02" w14:textId="77777777" w:rsidTr="00A21BFD">
        <w:trPr>
          <w:trHeight w:hRule="exact" w:val="226"/>
        </w:trPr>
        <w:tc>
          <w:tcPr>
            <w:tcW w:w="2183" w:type="pct"/>
            <w:tcBorders>
              <w:top w:val="nil"/>
              <w:left w:val="nil"/>
              <w:bottom w:val="nil"/>
              <w:right w:val="nil"/>
            </w:tcBorders>
            <w:shd w:val="clear" w:color="000000" w:fill="FFFFFF"/>
            <w:noWrap/>
            <w:vAlign w:val="center"/>
            <w:hideMark/>
          </w:tcPr>
          <w:p w14:paraId="3EAD4F4E" w14:textId="77777777" w:rsidR="00A21BFD" w:rsidRPr="00A21BFD" w:rsidRDefault="00A21BFD" w:rsidP="00A21BFD">
            <w:pPr>
              <w:spacing w:before="0" w:after="0" w:line="240" w:lineRule="auto"/>
              <w:rPr>
                <w:rFonts w:ascii="Arial" w:hAnsi="Arial" w:cs="Arial"/>
                <w:color w:val="000000"/>
                <w:sz w:val="16"/>
                <w:szCs w:val="16"/>
              </w:rPr>
            </w:pPr>
            <w:r w:rsidRPr="00A21BFD">
              <w:rPr>
                <w:rFonts w:ascii="Arial" w:hAnsi="Arial" w:cs="Arial"/>
                <w:color w:val="000000"/>
                <w:sz w:val="16"/>
                <w:szCs w:val="16"/>
              </w:rPr>
              <w:t>Renewable Energy</w:t>
            </w:r>
          </w:p>
        </w:tc>
        <w:tc>
          <w:tcPr>
            <w:tcW w:w="68" w:type="pct"/>
            <w:tcBorders>
              <w:top w:val="nil"/>
              <w:left w:val="nil"/>
              <w:bottom w:val="nil"/>
              <w:right w:val="nil"/>
            </w:tcBorders>
            <w:shd w:val="clear" w:color="000000" w:fill="FFFFFF"/>
            <w:noWrap/>
            <w:vAlign w:val="center"/>
            <w:hideMark/>
          </w:tcPr>
          <w:p w14:paraId="19C8499E" w14:textId="77777777" w:rsidR="00A21BFD" w:rsidRPr="00A21BFD" w:rsidRDefault="00A21BFD" w:rsidP="00A21BFD">
            <w:pPr>
              <w:spacing w:before="0" w:after="0" w:line="240" w:lineRule="auto"/>
              <w:rPr>
                <w:rFonts w:ascii="Arial" w:hAnsi="Arial" w:cs="Arial"/>
                <w:color w:val="000000"/>
                <w:sz w:val="16"/>
                <w:szCs w:val="16"/>
              </w:rPr>
            </w:pPr>
            <w:r w:rsidRPr="00A21BFD">
              <w:rPr>
                <w:rFonts w:ascii="Arial" w:hAnsi="Arial" w:cs="Arial"/>
                <w:color w:val="000000"/>
                <w:sz w:val="16"/>
                <w:szCs w:val="16"/>
              </w:rPr>
              <w:t> </w:t>
            </w:r>
          </w:p>
        </w:tc>
        <w:tc>
          <w:tcPr>
            <w:tcW w:w="550" w:type="pct"/>
            <w:tcBorders>
              <w:top w:val="nil"/>
              <w:left w:val="nil"/>
              <w:bottom w:val="nil"/>
              <w:right w:val="nil"/>
            </w:tcBorders>
            <w:shd w:val="clear" w:color="000000" w:fill="FFFFFF"/>
            <w:noWrap/>
            <w:vAlign w:val="center"/>
            <w:hideMark/>
          </w:tcPr>
          <w:p w14:paraId="33BCE38D" w14:textId="77777777" w:rsidR="00A21BFD" w:rsidRPr="00A21BFD" w:rsidRDefault="00A21BFD" w:rsidP="00A21BFD">
            <w:pPr>
              <w:spacing w:before="0" w:after="0" w:line="240" w:lineRule="auto"/>
              <w:jc w:val="right"/>
              <w:rPr>
                <w:rFonts w:ascii="Arial" w:hAnsi="Arial" w:cs="Arial"/>
                <w:color w:val="000000"/>
                <w:sz w:val="16"/>
                <w:szCs w:val="16"/>
              </w:rPr>
            </w:pPr>
            <w:r w:rsidRPr="00A21BFD">
              <w:rPr>
                <w:rFonts w:ascii="Arial" w:hAnsi="Arial" w:cs="Arial"/>
                <w:color w:val="000000"/>
                <w:sz w:val="16"/>
                <w:szCs w:val="16"/>
              </w:rPr>
              <w:t>973</w:t>
            </w:r>
          </w:p>
        </w:tc>
        <w:tc>
          <w:tcPr>
            <w:tcW w:w="550" w:type="pct"/>
            <w:tcBorders>
              <w:top w:val="nil"/>
              <w:left w:val="nil"/>
              <w:bottom w:val="nil"/>
              <w:right w:val="nil"/>
            </w:tcBorders>
            <w:shd w:val="clear" w:color="000000" w:fill="E6F2FF"/>
            <w:noWrap/>
            <w:vAlign w:val="center"/>
            <w:hideMark/>
          </w:tcPr>
          <w:p w14:paraId="7072780E" w14:textId="77777777" w:rsidR="00A21BFD" w:rsidRPr="00A21BFD" w:rsidRDefault="00A21BFD" w:rsidP="00A21BFD">
            <w:pPr>
              <w:spacing w:before="0" w:after="0" w:line="240" w:lineRule="auto"/>
              <w:jc w:val="right"/>
              <w:rPr>
                <w:rFonts w:ascii="Arial" w:hAnsi="Arial" w:cs="Arial"/>
                <w:color w:val="000000"/>
                <w:sz w:val="16"/>
                <w:szCs w:val="16"/>
              </w:rPr>
            </w:pPr>
            <w:r w:rsidRPr="00A21BFD">
              <w:rPr>
                <w:rFonts w:ascii="Arial" w:hAnsi="Arial" w:cs="Arial"/>
                <w:color w:val="000000"/>
                <w:sz w:val="16"/>
                <w:szCs w:val="16"/>
              </w:rPr>
              <w:t>5,053</w:t>
            </w:r>
          </w:p>
        </w:tc>
        <w:tc>
          <w:tcPr>
            <w:tcW w:w="550" w:type="pct"/>
            <w:tcBorders>
              <w:top w:val="nil"/>
              <w:left w:val="nil"/>
              <w:bottom w:val="nil"/>
              <w:right w:val="nil"/>
            </w:tcBorders>
            <w:shd w:val="clear" w:color="000000" w:fill="FFFFFF"/>
            <w:noWrap/>
            <w:vAlign w:val="center"/>
            <w:hideMark/>
          </w:tcPr>
          <w:p w14:paraId="72749723" w14:textId="77777777" w:rsidR="00A21BFD" w:rsidRPr="00A21BFD" w:rsidRDefault="00A21BFD" w:rsidP="00A21BFD">
            <w:pPr>
              <w:spacing w:before="0" w:after="0" w:line="240" w:lineRule="auto"/>
              <w:jc w:val="right"/>
              <w:rPr>
                <w:rFonts w:ascii="Arial" w:hAnsi="Arial" w:cs="Arial"/>
                <w:color w:val="000000"/>
                <w:sz w:val="16"/>
                <w:szCs w:val="16"/>
              </w:rPr>
            </w:pPr>
            <w:r w:rsidRPr="00A21BFD">
              <w:rPr>
                <w:rFonts w:ascii="Arial" w:hAnsi="Arial" w:cs="Arial"/>
                <w:color w:val="000000"/>
                <w:sz w:val="16"/>
                <w:szCs w:val="16"/>
              </w:rPr>
              <w:t>1,673</w:t>
            </w:r>
          </w:p>
        </w:tc>
        <w:tc>
          <w:tcPr>
            <w:tcW w:w="550" w:type="pct"/>
            <w:tcBorders>
              <w:top w:val="nil"/>
              <w:left w:val="nil"/>
              <w:bottom w:val="nil"/>
              <w:right w:val="nil"/>
            </w:tcBorders>
            <w:shd w:val="clear" w:color="000000" w:fill="FFFFFF"/>
            <w:noWrap/>
            <w:vAlign w:val="center"/>
            <w:hideMark/>
          </w:tcPr>
          <w:p w14:paraId="7DD702D6" w14:textId="77777777" w:rsidR="00A21BFD" w:rsidRPr="00A21BFD" w:rsidRDefault="00A21BFD" w:rsidP="00A21BFD">
            <w:pPr>
              <w:spacing w:before="0" w:after="0" w:line="240" w:lineRule="auto"/>
              <w:jc w:val="right"/>
              <w:rPr>
                <w:rFonts w:ascii="Arial" w:hAnsi="Arial" w:cs="Arial"/>
                <w:color w:val="000000"/>
                <w:sz w:val="16"/>
                <w:szCs w:val="16"/>
              </w:rPr>
            </w:pPr>
            <w:r w:rsidRPr="00A21BFD">
              <w:rPr>
                <w:rFonts w:ascii="Arial" w:hAnsi="Arial" w:cs="Arial"/>
                <w:color w:val="000000"/>
                <w:sz w:val="16"/>
                <w:szCs w:val="16"/>
              </w:rPr>
              <w:t>1,705</w:t>
            </w:r>
          </w:p>
        </w:tc>
        <w:tc>
          <w:tcPr>
            <w:tcW w:w="550" w:type="pct"/>
            <w:tcBorders>
              <w:top w:val="nil"/>
              <w:left w:val="nil"/>
              <w:bottom w:val="nil"/>
              <w:right w:val="nil"/>
            </w:tcBorders>
            <w:shd w:val="clear" w:color="000000" w:fill="FFFFFF"/>
            <w:noWrap/>
            <w:vAlign w:val="center"/>
            <w:hideMark/>
          </w:tcPr>
          <w:p w14:paraId="3C94C5F3" w14:textId="77777777" w:rsidR="00A21BFD" w:rsidRPr="00A21BFD" w:rsidRDefault="00A21BFD" w:rsidP="00A21BFD">
            <w:pPr>
              <w:spacing w:before="0" w:after="0" w:line="240" w:lineRule="auto"/>
              <w:jc w:val="right"/>
              <w:rPr>
                <w:rFonts w:ascii="Arial" w:hAnsi="Arial" w:cs="Arial"/>
                <w:color w:val="000000"/>
                <w:sz w:val="16"/>
                <w:szCs w:val="16"/>
              </w:rPr>
            </w:pPr>
            <w:r w:rsidRPr="00A21BFD">
              <w:rPr>
                <w:rFonts w:ascii="Arial" w:hAnsi="Arial" w:cs="Arial"/>
                <w:color w:val="000000"/>
                <w:sz w:val="16"/>
                <w:szCs w:val="16"/>
              </w:rPr>
              <w:t>890</w:t>
            </w:r>
          </w:p>
        </w:tc>
      </w:tr>
      <w:tr w:rsidR="00A21BFD" w:rsidRPr="00A21BFD" w14:paraId="1A70999C" w14:textId="77777777" w:rsidTr="00A21BFD">
        <w:trPr>
          <w:trHeight w:hRule="exact" w:val="226"/>
        </w:trPr>
        <w:tc>
          <w:tcPr>
            <w:tcW w:w="2183" w:type="pct"/>
            <w:tcBorders>
              <w:top w:val="nil"/>
              <w:left w:val="nil"/>
              <w:bottom w:val="nil"/>
              <w:right w:val="nil"/>
            </w:tcBorders>
            <w:shd w:val="clear" w:color="000000" w:fill="FFFFFF"/>
            <w:noWrap/>
            <w:vAlign w:val="center"/>
            <w:hideMark/>
          </w:tcPr>
          <w:p w14:paraId="2ECA2080" w14:textId="77777777" w:rsidR="00A21BFD" w:rsidRPr="00A21BFD" w:rsidRDefault="00A21BFD" w:rsidP="00A21BFD">
            <w:pPr>
              <w:spacing w:before="0" w:after="0" w:line="240" w:lineRule="auto"/>
              <w:rPr>
                <w:rFonts w:ascii="Arial" w:hAnsi="Arial" w:cs="Arial"/>
                <w:color w:val="000000"/>
                <w:sz w:val="16"/>
                <w:szCs w:val="16"/>
              </w:rPr>
            </w:pPr>
            <w:r w:rsidRPr="00A21BFD">
              <w:rPr>
                <w:rFonts w:ascii="Arial" w:hAnsi="Arial" w:cs="Arial"/>
                <w:color w:val="000000"/>
                <w:sz w:val="16"/>
                <w:szCs w:val="16"/>
              </w:rPr>
              <w:t>Other</w:t>
            </w:r>
          </w:p>
        </w:tc>
        <w:tc>
          <w:tcPr>
            <w:tcW w:w="68" w:type="pct"/>
            <w:tcBorders>
              <w:top w:val="nil"/>
              <w:left w:val="nil"/>
              <w:bottom w:val="nil"/>
              <w:right w:val="nil"/>
            </w:tcBorders>
            <w:shd w:val="clear" w:color="000000" w:fill="FFFFFF"/>
            <w:noWrap/>
            <w:vAlign w:val="center"/>
            <w:hideMark/>
          </w:tcPr>
          <w:p w14:paraId="1B4DA100" w14:textId="77777777" w:rsidR="00A21BFD" w:rsidRPr="00A21BFD" w:rsidRDefault="00A21BFD" w:rsidP="00A21BFD">
            <w:pPr>
              <w:spacing w:before="0" w:after="0" w:line="240" w:lineRule="auto"/>
              <w:rPr>
                <w:rFonts w:ascii="Arial" w:hAnsi="Arial" w:cs="Arial"/>
                <w:color w:val="000000"/>
                <w:sz w:val="16"/>
                <w:szCs w:val="16"/>
              </w:rPr>
            </w:pPr>
            <w:r w:rsidRPr="00A21BFD">
              <w:rPr>
                <w:rFonts w:ascii="Arial" w:hAnsi="Arial" w:cs="Arial"/>
                <w:color w:val="000000"/>
                <w:sz w:val="16"/>
                <w:szCs w:val="16"/>
              </w:rPr>
              <w:t> </w:t>
            </w:r>
          </w:p>
        </w:tc>
        <w:tc>
          <w:tcPr>
            <w:tcW w:w="550" w:type="pct"/>
            <w:tcBorders>
              <w:top w:val="nil"/>
              <w:left w:val="nil"/>
              <w:bottom w:val="single" w:sz="4" w:space="0" w:color="293F5B"/>
              <w:right w:val="nil"/>
            </w:tcBorders>
            <w:shd w:val="clear" w:color="000000" w:fill="FFFFFF"/>
            <w:noWrap/>
            <w:vAlign w:val="center"/>
            <w:hideMark/>
          </w:tcPr>
          <w:p w14:paraId="0C262FF4" w14:textId="77777777" w:rsidR="00A21BFD" w:rsidRPr="00A21BFD" w:rsidRDefault="00A21BFD" w:rsidP="00A21BFD">
            <w:pPr>
              <w:spacing w:before="0" w:after="0" w:line="240" w:lineRule="auto"/>
              <w:jc w:val="right"/>
              <w:rPr>
                <w:rFonts w:ascii="Arial" w:hAnsi="Arial" w:cs="Arial"/>
                <w:color w:val="000000"/>
                <w:sz w:val="16"/>
                <w:szCs w:val="16"/>
              </w:rPr>
            </w:pPr>
            <w:r w:rsidRPr="00A21BFD">
              <w:rPr>
                <w:rFonts w:ascii="Arial" w:hAnsi="Arial" w:cs="Arial"/>
                <w:color w:val="000000"/>
                <w:sz w:val="16"/>
                <w:szCs w:val="16"/>
              </w:rPr>
              <w:t>350</w:t>
            </w:r>
          </w:p>
        </w:tc>
        <w:tc>
          <w:tcPr>
            <w:tcW w:w="550" w:type="pct"/>
            <w:tcBorders>
              <w:top w:val="nil"/>
              <w:left w:val="nil"/>
              <w:bottom w:val="single" w:sz="4" w:space="0" w:color="293F5B"/>
              <w:right w:val="nil"/>
            </w:tcBorders>
            <w:shd w:val="clear" w:color="000000" w:fill="E6F2FF"/>
            <w:noWrap/>
            <w:vAlign w:val="center"/>
            <w:hideMark/>
          </w:tcPr>
          <w:p w14:paraId="300A6AE6" w14:textId="77777777" w:rsidR="00A21BFD" w:rsidRPr="00A21BFD" w:rsidRDefault="00A21BFD" w:rsidP="00A21BFD">
            <w:pPr>
              <w:spacing w:before="0" w:after="0" w:line="240" w:lineRule="auto"/>
              <w:jc w:val="right"/>
              <w:rPr>
                <w:rFonts w:ascii="Arial" w:hAnsi="Arial" w:cs="Arial"/>
                <w:color w:val="000000"/>
                <w:sz w:val="16"/>
                <w:szCs w:val="16"/>
              </w:rPr>
            </w:pPr>
            <w:r w:rsidRPr="00A21BFD">
              <w:rPr>
                <w:rFonts w:ascii="Arial" w:hAnsi="Arial" w:cs="Arial"/>
                <w:color w:val="000000"/>
                <w:sz w:val="16"/>
                <w:szCs w:val="16"/>
              </w:rPr>
              <w:t>420</w:t>
            </w:r>
          </w:p>
        </w:tc>
        <w:tc>
          <w:tcPr>
            <w:tcW w:w="550" w:type="pct"/>
            <w:tcBorders>
              <w:top w:val="nil"/>
              <w:left w:val="nil"/>
              <w:bottom w:val="single" w:sz="4" w:space="0" w:color="293F5B"/>
              <w:right w:val="nil"/>
            </w:tcBorders>
            <w:shd w:val="clear" w:color="000000" w:fill="FFFFFF"/>
            <w:noWrap/>
            <w:vAlign w:val="center"/>
            <w:hideMark/>
          </w:tcPr>
          <w:p w14:paraId="1AB3C96E" w14:textId="77777777" w:rsidR="00A21BFD" w:rsidRPr="00A21BFD" w:rsidRDefault="00A21BFD" w:rsidP="00A21BFD">
            <w:pPr>
              <w:spacing w:before="0" w:after="0" w:line="240" w:lineRule="auto"/>
              <w:jc w:val="right"/>
              <w:rPr>
                <w:rFonts w:ascii="Arial" w:hAnsi="Arial" w:cs="Arial"/>
                <w:color w:val="000000"/>
                <w:sz w:val="16"/>
                <w:szCs w:val="16"/>
              </w:rPr>
            </w:pPr>
            <w:r w:rsidRPr="00A21BFD">
              <w:rPr>
                <w:rFonts w:ascii="Arial" w:hAnsi="Arial" w:cs="Arial"/>
                <w:color w:val="000000"/>
                <w:sz w:val="16"/>
                <w:szCs w:val="16"/>
              </w:rPr>
              <w:t>328</w:t>
            </w:r>
          </w:p>
        </w:tc>
        <w:tc>
          <w:tcPr>
            <w:tcW w:w="550" w:type="pct"/>
            <w:tcBorders>
              <w:top w:val="nil"/>
              <w:left w:val="nil"/>
              <w:bottom w:val="single" w:sz="4" w:space="0" w:color="293F5B"/>
              <w:right w:val="nil"/>
            </w:tcBorders>
            <w:shd w:val="clear" w:color="000000" w:fill="FFFFFF"/>
            <w:noWrap/>
            <w:vAlign w:val="center"/>
            <w:hideMark/>
          </w:tcPr>
          <w:p w14:paraId="7E434C8F" w14:textId="77777777" w:rsidR="00A21BFD" w:rsidRPr="00A21BFD" w:rsidRDefault="00A21BFD" w:rsidP="00A21BFD">
            <w:pPr>
              <w:spacing w:before="0" w:after="0" w:line="240" w:lineRule="auto"/>
              <w:jc w:val="right"/>
              <w:rPr>
                <w:rFonts w:ascii="Arial" w:hAnsi="Arial" w:cs="Arial"/>
                <w:color w:val="000000"/>
                <w:sz w:val="16"/>
                <w:szCs w:val="16"/>
              </w:rPr>
            </w:pPr>
            <w:r w:rsidRPr="00A21BFD">
              <w:rPr>
                <w:rFonts w:ascii="Arial" w:hAnsi="Arial" w:cs="Arial"/>
                <w:color w:val="000000"/>
                <w:sz w:val="16"/>
                <w:szCs w:val="16"/>
              </w:rPr>
              <w:t>284</w:t>
            </w:r>
          </w:p>
        </w:tc>
        <w:tc>
          <w:tcPr>
            <w:tcW w:w="550" w:type="pct"/>
            <w:tcBorders>
              <w:top w:val="nil"/>
              <w:left w:val="nil"/>
              <w:bottom w:val="single" w:sz="4" w:space="0" w:color="293F5B"/>
              <w:right w:val="nil"/>
            </w:tcBorders>
            <w:shd w:val="clear" w:color="000000" w:fill="FFFFFF"/>
            <w:noWrap/>
            <w:vAlign w:val="center"/>
            <w:hideMark/>
          </w:tcPr>
          <w:p w14:paraId="76DD14B7" w14:textId="77777777" w:rsidR="00A21BFD" w:rsidRPr="00A21BFD" w:rsidRDefault="00A21BFD" w:rsidP="00A21BFD">
            <w:pPr>
              <w:spacing w:before="0" w:after="0" w:line="240" w:lineRule="auto"/>
              <w:jc w:val="right"/>
              <w:rPr>
                <w:rFonts w:ascii="Arial" w:hAnsi="Arial" w:cs="Arial"/>
                <w:color w:val="000000"/>
                <w:sz w:val="16"/>
                <w:szCs w:val="16"/>
              </w:rPr>
            </w:pPr>
            <w:r w:rsidRPr="00A21BFD">
              <w:rPr>
                <w:rFonts w:ascii="Arial" w:hAnsi="Arial" w:cs="Arial"/>
                <w:color w:val="000000"/>
                <w:sz w:val="16"/>
                <w:szCs w:val="16"/>
              </w:rPr>
              <w:t>252</w:t>
            </w:r>
          </w:p>
        </w:tc>
      </w:tr>
      <w:tr w:rsidR="00A21BFD" w:rsidRPr="00A21BFD" w14:paraId="3C32AD61" w14:textId="77777777" w:rsidTr="00236E34">
        <w:trPr>
          <w:trHeight w:hRule="exact" w:val="226"/>
        </w:trPr>
        <w:tc>
          <w:tcPr>
            <w:tcW w:w="2183" w:type="pct"/>
            <w:tcBorders>
              <w:top w:val="nil"/>
              <w:left w:val="nil"/>
              <w:bottom w:val="single" w:sz="4" w:space="0" w:color="293F5B"/>
              <w:right w:val="nil"/>
            </w:tcBorders>
            <w:shd w:val="clear" w:color="000000" w:fill="FFFFFF"/>
            <w:noWrap/>
            <w:vAlign w:val="center"/>
            <w:hideMark/>
          </w:tcPr>
          <w:p w14:paraId="6CC1A327" w14:textId="77777777" w:rsidR="00A21BFD" w:rsidRPr="00A21BFD" w:rsidRDefault="00A21BFD" w:rsidP="00A21BFD">
            <w:pPr>
              <w:spacing w:before="0" w:after="0" w:line="240" w:lineRule="auto"/>
              <w:rPr>
                <w:rFonts w:ascii="Arial" w:hAnsi="Arial" w:cs="Arial"/>
                <w:b/>
                <w:bCs/>
                <w:color w:val="000000"/>
                <w:sz w:val="16"/>
                <w:szCs w:val="16"/>
              </w:rPr>
            </w:pPr>
            <w:r w:rsidRPr="00A21BFD">
              <w:rPr>
                <w:rFonts w:ascii="Arial" w:hAnsi="Arial" w:cs="Arial"/>
                <w:b/>
                <w:bCs/>
                <w:color w:val="000000"/>
                <w:sz w:val="16"/>
                <w:szCs w:val="16"/>
              </w:rPr>
              <w:t>Total</w:t>
            </w:r>
          </w:p>
        </w:tc>
        <w:tc>
          <w:tcPr>
            <w:tcW w:w="68" w:type="pct"/>
            <w:tcBorders>
              <w:top w:val="nil"/>
              <w:left w:val="nil"/>
              <w:bottom w:val="single" w:sz="4" w:space="0" w:color="293F5B"/>
              <w:right w:val="nil"/>
            </w:tcBorders>
            <w:shd w:val="clear" w:color="000000" w:fill="FFFFFF"/>
            <w:noWrap/>
            <w:vAlign w:val="center"/>
            <w:hideMark/>
          </w:tcPr>
          <w:p w14:paraId="5B9CF2D2" w14:textId="77777777" w:rsidR="00A21BFD" w:rsidRPr="00A21BFD" w:rsidRDefault="00A21BFD" w:rsidP="00A21BFD">
            <w:pPr>
              <w:spacing w:before="0" w:after="0" w:line="240" w:lineRule="auto"/>
              <w:rPr>
                <w:rFonts w:ascii="Arial" w:hAnsi="Arial" w:cs="Arial"/>
                <w:b/>
                <w:bCs/>
                <w:color w:val="000000"/>
                <w:sz w:val="16"/>
                <w:szCs w:val="16"/>
              </w:rPr>
            </w:pPr>
            <w:r w:rsidRPr="00A21BFD">
              <w:rPr>
                <w:rFonts w:ascii="Arial" w:hAnsi="Arial" w:cs="Arial"/>
                <w:b/>
                <w:bCs/>
                <w:color w:val="000000"/>
                <w:sz w:val="16"/>
                <w:szCs w:val="16"/>
              </w:rPr>
              <w:t> </w:t>
            </w:r>
          </w:p>
        </w:tc>
        <w:tc>
          <w:tcPr>
            <w:tcW w:w="550" w:type="pct"/>
            <w:tcBorders>
              <w:top w:val="single" w:sz="4" w:space="0" w:color="293F5B"/>
              <w:left w:val="nil"/>
              <w:bottom w:val="single" w:sz="4" w:space="0" w:color="293F5B"/>
              <w:right w:val="nil"/>
            </w:tcBorders>
            <w:shd w:val="clear" w:color="000000" w:fill="FFFFFF"/>
            <w:noWrap/>
            <w:vAlign w:val="center"/>
            <w:hideMark/>
          </w:tcPr>
          <w:p w14:paraId="2F1C529C" w14:textId="77777777" w:rsidR="00A21BFD" w:rsidRPr="00A21BFD" w:rsidRDefault="00A21BFD" w:rsidP="00A21BFD">
            <w:pPr>
              <w:spacing w:before="0" w:after="0" w:line="240" w:lineRule="auto"/>
              <w:jc w:val="right"/>
              <w:rPr>
                <w:rFonts w:ascii="Arial" w:hAnsi="Arial" w:cs="Arial"/>
                <w:b/>
                <w:bCs/>
                <w:color w:val="000000"/>
                <w:sz w:val="16"/>
                <w:szCs w:val="16"/>
              </w:rPr>
            </w:pPr>
            <w:r w:rsidRPr="00A21BFD">
              <w:rPr>
                <w:rFonts w:ascii="Arial" w:hAnsi="Arial" w:cs="Arial"/>
                <w:b/>
                <w:bCs/>
                <w:color w:val="000000"/>
                <w:sz w:val="16"/>
                <w:szCs w:val="16"/>
              </w:rPr>
              <w:t>13,273</w:t>
            </w:r>
          </w:p>
        </w:tc>
        <w:tc>
          <w:tcPr>
            <w:tcW w:w="550" w:type="pct"/>
            <w:tcBorders>
              <w:top w:val="single" w:sz="4" w:space="0" w:color="293F5B"/>
              <w:left w:val="nil"/>
              <w:bottom w:val="single" w:sz="4" w:space="0" w:color="293F5B"/>
              <w:right w:val="nil"/>
            </w:tcBorders>
            <w:shd w:val="clear" w:color="000000" w:fill="E6F2FF"/>
            <w:noWrap/>
            <w:vAlign w:val="center"/>
            <w:hideMark/>
          </w:tcPr>
          <w:p w14:paraId="6C99E8DC" w14:textId="77777777" w:rsidR="00A21BFD" w:rsidRPr="00A21BFD" w:rsidRDefault="00A21BFD" w:rsidP="00A21BFD">
            <w:pPr>
              <w:spacing w:before="0" w:after="0" w:line="240" w:lineRule="auto"/>
              <w:jc w:val="right"/>
              <w:rPr>
                <w:rFonts w:ascii="Arial" w:hAnsi="Arial" w:cs="Arial"/>
                <w:b/>
                <w:bCs/>
                <w:color w:val="000000"/>
                <w:sz w:val="16"/>
                <w:szCs w:val="16"/>
              </w:rPr>
            </w:pPr>
            <w:r w:rsidRPr="00A21BFD">
              <w:rPr>
                <w:rFonts w:ascii="Arial" w:hAnsi="Arial" w:cs="Arial"/>
                <w:b/>
                <w:bCs/>
                <w:color w:val="000000"/>
                <w:sz w:val="16"/>
                <w:szCs w:val="16"/>
              </w:rPr>
              <w:t>20,121</w:t>
            </w:r>
          </w:p>
        </w:tc>
        <w:tc>
          <w:tcPr>
            <w:tcW w:w="550" w:type="pct"/>
            <w:tcBorders>
              <w:top w:val="single" w:sz="4" w:space="0" w:color="293F5B"/>
              <w:left w:val="nil"/>
              <w:bottom w:val="single" w:sz="4" w:space="0" w:color="293F5B"/>
              <w:right w:val="nil"/>
            </w:tcBorders>
            <w:shd w:val="clear" w:color="000000" w:fill="FFFFFF"/>
            <w:noWrap/>
            <w:vAlign w:val="center"/>
            <w:hideMark/>
          </w:tcPr>
          <w:p w14:paraId="678736FB" w14:textId="77777777" w:rsidR="00A21BFD" w:rsidRPr="00A21BFD" w:rsidRDefault="00A21BFD" w:rsidP="00A21BFD">
            <w:pPr>
              <w:spacing w:before="0" w:after="0" w:line="240" w:lineRule="auto"/>
              <w:jc w:val="right"/>
              <w:rPr>
                <w:rFonts w:ascii="Arial" w:hAnsi="Arial" w:cs="Arial"/>
                <w:b/>
                <w:bCs/>
                <w:color w:val="000000"/>
                <w:sz w:val="16"/>
                <w:szCs w:val="16"/>
              </w:rPr>
            </w:pPr>
            <w:r w:rsidRPr="00A21BFD">
              <w:rPr>
                <w:rFonts w:ascii="Arial" w:hAnsi="Arial" w:cs="Arial"/>
                <w:b/>
                <w:bCs/>
                <w:color w:val="000000"/>
                <w:sz w:val="16"/>
                <w:szCs w:val="16"/>
              </w:rPr>
              <w:t>13,908</w:t>
            </w:r>
          </w:p>
        </w:tc>
        <w:tc>
          <w:tcPr>
            <w:tcW w:w="550" w:type="pct"/>
            <w:tcBorders>
              <w:top w:val="single" w:sz="4" w:space="0" w:color="293F5B"/>
              <w:left w:val="nil"/>
              <w:bottom w:val="single" w:sz="4" w:space="0" w:color="293F5B"/>
              <w:right w:val="nil"/>
            </w:tcBorders>
            <w:shd w:val="clear" w:color="000000" w:fill="FFFFFF"/>
            <w:noWrap/>
            <w:vAlign w:val="center"/>
            <w:hideMark/>
          </w:tcPr>
          <w:p w14:paraId="49552D26" w14:textId="77777777" w:rsidR="00A21BFD" w:rsidRPr="00A21BFD" w:rsidRDefault="00A21BFD" w:rsidP="00A21BFD">
            <w:pPr>
              <w:spacing w:before="0" w:after="0" w:line="240" w:lineRule="auto"/>
              <w:jc w:val="right"/>
              <w:rPr>
                <w:rFonts w:ascii="Arial" w:hAnsi="Arial" w:cs="Arial"/>
                <w:b/>
                <w:bCs/>
                <w:color w:val="000000"/>
                <w:sz w:val="16"/>
                <w:szCs w:val="16"/>
              </w:rPr>
            </w:pPr>
            <w:r w:rsidRPr="00A21BFD">
              <w:rPr>
                <w:rFonts w:ascii="Arial" w:hAnsi="Arial" w:cs="Arial"/>
                <w:b/>
                <w:bCs/>
                <w:color w:val="000000"/>
                <w:sz w:val="16"/>
                <w:szCs w:val="16"/>
              </w:rPr>
              <w:t>13,794</w:t>
            </w:r>
          </w:p>
        </w:tc>
        <w:tc>
          <w:tcPr>
            <w:tcW w:w="550" w:type="pct"/>
            <w:tcBorders>
              <w:top w:val="single" w:sz="4" w:space="0" w:color="293F5B"/>
              <w:left w:val="nil"/>
              <w:bottom w:val="single" w:sz="4" w:space="0" w:color="293F5B"/>
              <w:right w:val="nil"/>
            </w:tcBorders>
            <w:shd w:val="clear" w:color="000000" w:fill="FFFFFF"/>
            <w:noWrap/>
            <w:vAlign w:val="center"/>
            <w:hideMark/>
          </w:tcPr>
          <w:p w14:paraId="63B1EF35" w14:textId="77777777" w:rsidR="00A21BFD" w:rsidRPr="00A21BFD" w:rsidRDefault="00A21BFD" w:rsidP="00A21BFD">
            <w:pPr>
              <w:spacing w:before="0" w:after="0" w:line="240" w:lineRule="auto"/>
              <w:jc w:val="right"/>
              <w:rPr>
                <w:rFonts w:ascii="Arial" w:hAnsi="Arial" w:cs="Arial"/>
                <w:b/>
                <w:bCs/>
                <w:color w:val="000000"/>
                <w:sz w:val="16"/>
                <w:szCs w:val="16"/>
              </w:rPr>
            </w:pPr>
            <w:r w:rsidRPr="00A21BFD">
              <w:rPr>
                <w:rFonts w:ascii="Arial" w:hAnsi="Arial" w:cs="Arial"/>
                <w:b/>
                <w:bCs/>
                <w:color w:val="000000"/>
                <w:sz w:val="16"/>
                <w:szCs w:val="16"/>
              </w:rPr>
              <w:t>13,825</w:t>
            </w:r>
          </w:p>
        </w:tc>
      </w:tr>
    </w:tbl>
    <w:p w14:paraId="7B9030D0" w14:textId="79CD65C9" w:rsidR="001C4944" w:rsidRPr="00614A82" w:rsidRDefault="001C4944" w:rsidP="00E87DDC">
      <w:pPr>
        <w:pStyle w:val="ChartandTableFootnoteAlpha"/>
        <w:numPr>
          <w:ilvl w:val="0"/>
          <w:numId w:val="17"/>
        </w:numPr>
        <w:rPr>
          <w:color w:val="auto"/>
        </w:rPr>
      </w:pPr>
      <w:r w:rsidRPr="005F6A7E">
        <w:t>The entry for each component includes eliminations for inter</w:t>
      </w:r>
      <w:r w:rsidR="008D4F6B">
        <w:noBreakHyphen/>
      </w:r>
      <w:r w:rsidRPr="005F6A7E">
        <w:t>agency transactions within that component</w:t>
      </w:r>
      <w:r w:rsidRPr="000177D7">
        <w:rPr>
          <w:color w:val="auto"/>
        </w:rPr>
        <w:t>.</w:t>
      </w:r>
    </w:p>
    <w:p w14:paraId="65AD87D5" w14:textId="77777777" w:rsidR="001C4944" w:rsidRPr="000177D7" w:rsidRDefault="001C4944" w:rsidP="00D91079">
      <w:pPr>
        <w:pStyle w:val="TableLine"/>
      </w:pPr>
    </w:p>
    <w:p w14:paraId="489EDE1A" w14:textId="445E7141" w:rsidR="002C6845" w:rsidRPr="00002DB4" w:rsidRDefault="002C6845" w:rsidP="00A4389A">
      <w:pPr>
        <w:rPr>
          <w:lang w:val="en-US"/>
        </w:rPr>
      </w:pPr>
      <w:r w:rsidRPr="00002DB4">
        <w:t xml:space="preserve">The major program within this function is the </w:t>
      </w:r>
      <w:r w:rsidRPr="00875214">
        <w:rPr>
          <w:rStyle w:val="Strong"/>
        </w:rPr>
        <w:t>Fuel Tax Credits Scheme</w:t>
      </w:r>
      <w:r w:rsidRPr="00002DB4">
        <w:t xml:space="preserve">, </w:t>
      </w:r>
      <w:r>
        <w:t xml:space="preserve">for </w:t>
      </w:r>
      <w:r w:rsidRPr="00002DB4">
        <w:t xml:space="preserve">which </w:t>
      </w:r>
      <w:r>
        <w:t>payments are</w:t>
      </w:r>
      <w:r w:rsidRPr="00002DB4">
        <w:t xml:space="preserve"> expected to </w:t>
      </w:r>
      <w:r w:rsidRPr="00002DB4">
        <w:rPr>
          <w:lang w:val="en-US"/>
        </w:rPr>
        <w:t xml:space="preserve">increase over the period 2024–25 to 2027–28, partially offsetting the overall function movement. </w:t>
      </w:r>
      <w:r>
        <w:rPr>
          <w:lang w:val="en-US"/>
        </w:rPr>
        <w:t>This largely reflects an expected increase in the use of fuels that are eligible for the Fuel Tax Credit Scheme.</w:t>
      </w:r>
    </w:p>
    <w:p w14:paraId="0940086A" w14:textId="3AD8016B" w:rsidR="00E82EFE" w:rsidRPr="00E82EFE" w:rsidRDefault="002C6845" w:rsidP="00C0177B">
      <w:bookmarkStart w:id="133" w:name="_Hlk165990483"/>
      <w:r w:rsidRPr="00875214">
        <w:rPr>
          <w:rStyle w:val="Strong"/>
        </w:rPr>
        <w:lastRenderedPageBreak/>
        <w:t xml:space="preserve">Resources and </w:t>
      </w:r>
      <w:r w:rsidR="00326A2C" w:rsidRPr="00875214">
        <w:rPr>
          <w:rStyle w:val="Strong"/>
        </w:rPr>
        <w:t>E</w:t>
      </w:r>
      <w:r w:rsidRPr="00875214">
        <w:rPr>
          <w:rStyle w:val="Strong"/>
        </w:rPr>
        <w:t>nergy</w:t>
      </w:r>
      <w:r w:rsidRPr="00002DB4">
        <w:t xml:space="preserve"> expenses are expected to</w:t>
      </w:r>
      <w:r w:rsidR="00A4389A">
        <w:t xml:space="preserve"> fluctuate</w:t>
      </w:r>
      <w:r w:rsidRPr="00002DB4">
        <w:t xml:space="preserve"> over the</w:t>
      </w:r>
      <w:r w:rsidR="00A4389A">
        <w:t xml:space="preserve"> period 2024–25 to </w:t>
      </w:r>
      <w:r w:rsidR="00942F4F">
        <w:br/>
      </w:r>
      <w:r w:rsidR="00A4389A">
        <w:t>2027–28</w:t>
      </w:r>
      <w:r>
        <w:t xml:space="preserve">, reflecting </w:t>
      </w:r>
      <w:r w:rsidR="00A4389A">
        <w:t xml:space="preserve">the profile of </w:t>
      </w:r>
      <w:r w:rsidRPr="00002DB4">
        <w:t xml:space="preserve">the </w:t>
      </w:r>
      <w:r w:rsidRPr="0021759A">
        <w:t>2024</w:t>
      </w:r>
      <w:r>
        <w:t>–</w:t>
      </w:r>
      <w:r w:rsidRPr="0021759A">
        <w:t xml:space="preserve">25 Budget </w:t>
      </w:r>
      <w:r>
        <w:t>measure</w:t>
      </w:r>
      <w:r w:rsidRPr="0021759A">
        <w:t xml:space="preserve"> </w:t>
      </w:r>
      <w:r w:rsidRPr="00875214">
        <w:rPr>
          <w:rStyle w:val="Emphasis"/>
        </w:rPr>
        <w:t>Energy Bill Relief Fund</w:t>
      </w:r>
      <w:r w:rsidR="00E70969" w:rsidRPr="00875214">
        <w:rPr>
          <w:rStyle w:val="Emphasis"/>
        </w:rPr>
        <w:t> – </w:t>
      </w:r>
      <w:r w:rsidRPr="00875214">
        <w:rPr>
          <w:rStyle w:val="Emphasis"/>
        </w:rPr>
        <w:t>extension and expansion</w:t>
      </w:r>
      <w:r w:rsidR="00A4389A">
        <w:t>.</w:t>
      </w:r>
      <w:r>
        <w:rPr>
          <w:i/>
          <w:iCs/>
        </w:rPr>
        <w:t xml:space="preserve"> </w:t>
      </w:r>
      <w:r w:rsidR="00A4389A">
        <w:t>This measure is expected to increase expenses from 2023–24 to 2024–25, reflecting the Government</w:t>
      </w:r>
      <w:r w:rsidR="008D4F6B">
        <w:t>’</w:t>
      </w:r>
      <w:r w:rsidR="00A4389A">
        <w:t>s focus on providing immediate cost</w:t>
      </w:r>
      <w:r w:rsidR="008D4F6B">
        <w:noBreakHyphen/>
      </w:r>
      <w:r w:rsidR="00A4389A">
        <w:t>of</w:t>
      </w:r>
      <w:r w:rsidR="008D4F6B">
        <w:noBreakHyphen/>
      </w:r>
      <w:r w:rsidR="00A4389A">
        <w:t>living relief, before terminating 2025–26, resulting in a decrease in expenses from 2025–26 to 2027–28.</w:t>
      </w:r>
    </w:p>
    <w:bookmarkEnd w:id="133"/>
    <w:p w14:paraId="0D4D82CA" w14:textId="0CE919E4" w:rsidR="00C0177B" w:rsidRPr="006D19BE" w:rsidRDefault="00C0177B" w:rsidP="00C0177B">
      <w:r w:rsidRPr="00002DB4">
        <w:t xml:space="preserve">Expenses for the </w:t>
      </w:r>
      <w:r w:rsidR="00326A2C" w:rsidRPr="00875214">
        <w:rPr>
          <w:rStyle w:val="Strong"/>
        </w:rPr>
        <w:t>R</w:t>
      </w:r>
      <w:r w:rsidRPr="00875214">
        <w:rPr>
          <w:rStyle w:val="Strong"/>
        </w:rPr>
        <w:t xml:space="preserve">enewable </w:t>
      </w:r>
      <w:r w:rsidR="00326A2C" w:rsidRPr="00875214">
        <w:rPr>
          <w:rStyle w:val="Strong"/>
        </w:rPr>
        <w:t>E</w:t>
      </w:r>
      <w:r w:rsidRPr="00875214">
        <w:rPr>
          <w:rStyle w:val="Strong"/>
        </w:rPr>
        <w:t>nergy</w:t>
      </w:r>
      <w:r w:rsidRPr="00002DB4">
        <w:t xml:space="preserve"> component are expected to increase for 2024</w:t>
      </w:r>
      <w:r w:rsidRPr="00002DB4">
        <w:rPr>
          <w:rFonts w:cs="Book Antiqua"/>
        </w:rPr>
        <w:t>–</w:t>
      </w:r>
      <w:r w:rsidRPr="00002DB4">
        <w:t>25, before decreasing for the period 2025–26 to 2027–28</w:t>
      </w:r>
      <w:r w:rsidR="00713323">
        <w:t>,</w:t>
      </w:r>
      <w:r w:rsidR="00583554">
        <w:t xml:space="preserve"> </w:t>
      </w:r>
      <w:r w:rsidR="00713323">
        <w:t>reflecting the profile of expenses for the concessional component of the concessional loan deployment by the Clean Energy Finance Corporation. The forecasted loan deployment is primarily expected to be made under the 2022</w:t>
      </w:r>
      <w:r w:rsidR="00E70969">
        <w:t>–</w:t>
      </w:r>
      <w:r w:rsidR="00713323">
        <w:t xml:space="preserve">23 October Budget </w:t>
      </w:r>
      <w:r w:rsidR="00713323" w:rsidRPr="00E70969">
        <w:t>measure</w:t>
      </w:r>
      <w:r w:rsidR="00583554" w:rsidRPr="00E70969">
        <w:t xml:space="preserve"> </w:t>
      </w:r>
      <w:r w:rsidRPr="00875214">
        <w:rPr>
          <w:rStyle w:val="Emphasis"/>
        </w:rPr>
        <w:t>Powering Australia</w:t>
      </w:r>
      <w:r w:rsidR="008D4F6B" w:rsidRPr="00875214">
        <w:rPr>
          <w:rStyle w:val="Emphasis"/>
        </w:rPr>
        <w:t xml:space="preserve"> – </w:t>
      </w:r>
      <w:r w:rsidRPr="00875214">
        <w:rPr>
          <w:rStyle w:val="Emphasis"/>
        </w:rPr>
        <w:t>Rewiring the Nation</w:t>
      </w:r>
      <w:r>
        <w:t>.</w:t>
      </w:r>
      <w:r w:rsidR="00716D99">
        <w:t xml:space="preserve"> In the 2024</w:t>
      </w:r>
      <w:r w:rsidR="00716D99">
        <w:rPr>
          <w:rFonts w:ascii="Times New Roman" w:hAnsi="Times New Roman"/>
        </w:rPr>
        <w:t>‍</w:t>
      </w:r>
      <w:r w:rsidR="00716D99">
        <w:rPr>
          <w:rFonts w:cs="Book Antiqua"/>
        </w:rPr>
        <w:t>–</w:t>
      </w:r>
      <w:r w:rsidR="00716D99">
        <w:rPr>
          <w:rFonts w:ascii="Times New Roman" w:hAnsi="Times New Roman"/>
        </w:rPr>
        <w:t>‍</w:t>
      </w:r>
      <w:r w:rsidR="00716D99">
        <w:t>25</w:t>
      </w:r>
      <w:r w:rsidR="00716D99">
        <w:rPr>
          <w:rFonts w:cs="Book Antiqua"/>
        </w:rPr>
        <w:t> </w:t>
      </w:r>
      <w:r w:rsidR="00716D99" w:rsidRPr="00716D99">
        <w:t xml:space="preserve">Budget, the Government is continuing to invest in renewable energy and clean energy technologies, including through an additional round of </w:t>
      </w:r>
      <w:r w:rsidR="00716D99" w:rsidRPr="00EB5CDB">
        <w:rPr>
          <w:i/>
        </w:rPr>
        <w:t xml:space="preserve">Hydrogen Headstart, </w:t>
      </w:r>
      <w:r w:rsidR="00716D99" w:rsidRPr="00EB5CDB">
        <w:t xml:space="preserve">the commencement of the </w:t>
      </w:r>
      <w:r w:rsidR="00716D99" w:rsidRPr="00EB5CDB">
        <w:rPr>
          <w:i/>
        </w:rPr>
        <w:t xml:space="preserve">Hydrogen Production Tax Incentive </w:t>
      </w:r>
      <w:r w:rsidR="00716D99" w:rsidRPr="00716D99">
        <w:t>from 2027</w:t>
      </w:r>
      <w:r w:rsidR="006805CE">
        <w:t>–</w:t>
      </w:r>
      <w:r w:rsidR="00716D99" w:rsidRPr="00716D99">
        <w:t xml:space="preserve">28 and the </w:t>
      </w:r>
      <w:r w:rsidR="00716D99" w:rsidRPr="00EB5CDB">
        <w:rPr>
          <w:i/>
        </w:rPr>
        <w:t>Solar Sunshot</w:t>
      </w:r>
      <w:r w:rsidR="00716D99" w:rsidRPr="00716D99">
        <w:rPr>
          <w:i/>
          <w:iCs/>
        </w:rPr>
        <w:t xml:space="preserve"> </w:t>
      </w:r>
      <w:r w:rsidR="00716D99" w:rsidRPr="00716D99">
        <w:t>program.</w:t>
      </w:r>
    </w:p>
    <w:p w14:paraId="016F5701" w14:textId="77777777" w:rsidR="00ED485A" w:rsidRPr="000177D7" w:rsidRDefault="00ED485A" w:rsidP="00ED485A">
      <w:pPr>
        <w:pStyle w:val="Heading3"/>
      </w:pPr>
      <w:bookmarkStart w:id="134" w:name="_Toc166369427"/>
      <w:r w:rsidRPr="000177D7">
        <w:t>Agriculture, forestry and fishing</w:t>
      </w:r>
      <w:bookmarkEnd w:id="126"/>
      <w:bookmarkEnd w:id="127"/>
      <w:bookmarkEnd w:id="128"/>
      <w:bookmarkEnd w:id="129"/>
      <w:bookmarkEnd w:id="134"/>
    </w:p>
    <w:p w14:paraId="06F1CD77" w14:textId="0EBE85C8" w:rsidR="008B51FE" w:rsidRDefault="00E32E1B" w:rsidP="00DB7A6A">
      <w:bookmarkStart w:id="135" w:name="_Toc4577279"/>
      <w:bookmarkStart w:id="136" w:name="_Toc4689191"/>
      <w:bookmarkStart w:id="137" w:name="_Toc512582777"/>
      <w:bookmarkStart w:id="138" w:name="_Toc4577280"/>
      <w:bookmarkStart w:id="139" w:name="_Toc4689192"/>
      <w:r w:rsidRPr="000177D7">
        <w:t>The agriculture, forestry and fishing function include expenses to support assistance to primary producers</w:t>
      </w:r>
      <w:r>
        <w:t>,</w:t>
      </w:r>
      <w:r w:rsidRPr="000177D7">
        <w:t xml:space="preserve"> forestry, fishing, land and water resources management</w:t>
      </w:r>
      <w:r>
        <w:t>,</w:t>
      </w:r>
      <w:r w:rsidRPr="000177D7" w:rsidDel="007947B8">
        <w:t xml:space="preserve"> </w:t>
      </w:r>
      <w:r w:rsidR="0016027E">
        <w:t>biosecurity</w:t>
      </w:r>
      <w:r w:rsidR="004D1728">
        <w:t xml:space="preserve"> services</w:t>
      </w:r>
      <w:r>
        <w:t>,</w:t>
      </w:r>
      <w:r w:rsidRPr="000177D7">
        <w:t xml:space="preserve"> and contributions to research and development.</w:t>
      </w:r>
      <w:bookmarkStart w:id="140" w:name="_Toc99203689"/>
      <w:bookmarkStart w:id="141" w:name="_Toc117358182"/>
    </w:p>
    <w:p w14:paraId="153B5173" w14:textId="15B91E55" w:rsidR="005E5367" w:rsidRDefault="00E32E1B" w:rsidP="005E5367">
      <w:pPr>
        <w:pStyle w:val="TableHeading"/>
        <w:rPr>
          <w:rFonts w:asciiTheme="minorHAnsi" w:eastAsiaTheme="minorHAnsi" w:hAnsiTheme="minorHAnsi" w:cstheme="minorBidi"/>
          <w:sz w:val="22"/>
          <w:szCs w:val="22"/>
          <w:lang w:eastAsia="en-US"/>
        </w:rPr>
      </w:pPr>
      <w:r>
        <w:t>Table </w:t>
      </w:r>
      <w:r w:rsidRPr="000177D7">
        <w:t>6.13: Summary of expenses</w:t>
      </w:r>
      <w:r>
        <w:t xml:space="preserve"> – </w:t>
      </w:r>
      <w:r w:rsidRPr="000177D7">
        <w:t xml:space="preserve">agriculture, forestry and </w:t>
      </w:r>
      <w:r w:rsidRPr="00B965A6">
        <w:t>fishing</w:t>
      </w:r>
      <w:bookmarkStart w:id="142" w:name="_1586074659"/>
      <w:bookmarkStart w:id="143" w:name="_1727774349"/>
      <w:bookmarkEnd w:id="142"/>
      <w:bookmarkEnd w:id="143"/>
    </w:p>
    <w:tbl>
      <w:tblPr>
        <w:tblW w:w="5000" w:type="pct"/>
        <w:tblCellMar>
          <w:left w:w="0" w:type="dxa"/>
          <w:right w:w="28" w:type="dxa"/>
        </w:tblCellMar>
        <w:tblLook w:val="04A0" w:firstRow="1" w:lastRow="0" w:firstColumn="1" w:lastColumn="0" w:noHBand="0" w:noVBand="1"/>
      </w:tblPr>
      <w:tblGrid>
        <w:gridCol w:w="3683"/>
        <w:gridCol w:w="806"/>
        <w:gridCol w:w="805"/>
        <w:gridCol w:w="805"/>
        <w:gridCol w:w="805"/>
        <w:gridCol w:w="806"/>
      </w:tblGrid>
      <w:tr w:rsidR="005E5367" w:rsidRPr="005E5367" w14:paraId="28CFF67E" w14:textId="77777777" w:rsidTr="00BF3FAC">
        <w:trPr>
          <w:trHeight w:hRule="exact" w:val="225"/>
        </w:trPr>
        <w:tc>
          <w:tcPr>
            <w:tcW w:w="2388" w:type="pct"/>
            <w:tcBorders>
              <w:top w:val="single" w:sz="4" w:space="0" w:color="293F5B"/>
              <w:left w:val="nil"/>
              <w:bottom w:val="nil"/>
              <w:right w:val="nil"/>
            </w:tcBorders>
            <w:shd w:val="clear" w:color="000000" w:fill="FFFFFF"/>
            <w:noWrap/>
            <w:vAlign w:val="center"/>
            <w:hideMark/>
          </w:tcPr>
          <w:p w14:paraId="1685A7C3" w14:textId="728C8E48" w:rsidR="005E5367" w:rsidRPr="005E5367" w:rsidRDefault="005E5367" w:rsidP="005E5367">
            <w:pPr>
              <w:spacing w:before="0" w:after="0" w:line="240" w:lineRule="auto"/>
              <w:rPr>
                <w:rFonts w:ascii="Arial" w:hAnsi="Arial" w:cs="Arial"/>
                <w:b/>
                <w:bCs/>
                <w:color w:val="000000"/>
                <w:sz w:val="16"/>
                <w:szCs w:val="16"/>
              </w:rPr>
            </w:pPr>
            <w:r w:rsidRPr="005E5367">
              <w:rPr>
                <w:rFonts w:ascii="Arial" w:hAnsi="Arial" w:cs="Arial"/>
                <w:b/>
                <w:bCs/>
                <w:color w:val="000000"/>
                <w:sz w:val="16"/>
                <w:szCs w:val="16"/>
              </w:rPr>
              <w:t>Sub-function</w:t>
            </w:r>
          </w:p>
        </w:tc>
        <w:tc>
          <w:tcPr>
            <w:tcW w:w="2612" w:type="pct"/>
            <w:gridSpan w:val="5"/>
            <w:tcBorders>
              <w:top w:val="single" w:sz="4" w:space="0" w:color="293F5B"/>
              <w:left w:val="nil"/>
              <w:bottom w:val="single" w:sz="4" w:space="0" w:color="293F5B"/>
              <w:right w:val="nil"/>
            </w:tcBorders>
            <w:shd w:val="clear" w:color="000000" w:fill="FFFFFF"/>
            <w:noWrap/>
            <w:vAlign w:val="center"/>
            <w:hideMark/>
          </w:tcPr>
          <w:p w14:paraId="2081A627" w14:textId="77777777" w:rsidR="005E5367" w:rsidRPr="005E5367" w:rsidRDefault="005E5367" w:rsidP="005E5367">
            <w:pPr>
              <w:spacing w:before="0" w:after="0" w:line="240" w:lineRule="auto"/>
              <w:jc w:val="center"/>
              <w:rPr>
                <w:rFonts w:ascii="Arial" w:hAnsi="Arial" w:cs="Arial"/>
                <w:color w:val="000000"/>
                <w:sz w:val="16"/>
                <w:szCs w:val="16"/>
              </w:rPr>
            </w:pPr>
            <w:r w:rsidRPr="005E5367">
              <w:rPr>
                <w:rFonts w:ascii="Arial" w:hAnsi="Arial" w:cs="Arial"/>
                <w:color w:val="000000"/>
                <w:sz w:val="16"/>
                <w:szCs w:val="16"/>
              </w:rPr>
              <w:t>Estimates</w:t>
            </w:r>
          </w:p>
        </w:tc>
      </w:tr>
      <w:tr w:rsidR="005E5367" w:rsidRPr="005E5367" w14:paraId="793A027C" w14:textId="77777777" w:rsidTr="00BF3FAC">
        <w:trPr>
          <w:trHeight w:hRule="exact" w:val="225"/>
        </w:trPr>
        <w:tc>
          <w:tcPr>
            <w:tcW w:w="2388" w:type="pct"/>
            <w:tcBorders>
              <w:top w:val="nil"/>
              <w:left w:val="nil"/>
              <w:bottom w:val="nil"/>
              <w:right w:val="nil"/>
            </w:tcBorders>
            <w:shd w:val="clear" w:color="000000" w:fill="FFFFFF"/>
            <w:noWrap/>
            <w:vAlign w:val="bottom"/>
            <w:hideMark/>
          </w:tcPr>
          <w:p w14:paraId="4D300ED3" w14:textId="77777777" w:rsidR="005E5367" w:rsidRPr="005E5367" w:rsidRDefault="005E5367" w:rsidP="005E5367">
            <w:pPr>
              <w:spacing w:before="0" w:after="0" w:line="240" w:lineRule="auto"/>
              <w:rPr>
                <w:rFonts w:ascii="Arial" w:hAnsi="Arial" w:cs="Arial"/>
                <w:color w:val="000000"/>
                <w:sz w:val="16"/>
                <w:szCs w:val="16"/>
              </w:rPr>
            </w:pPr>
            <w:r w:rsidRPr="005E5367">
              <w:rPr>
                <w:rFonts w:ascii="Arial" w:hAnsi="Arial" w:cs="Arial"/>
                <w:color w:val="000000"/>
                <w:sz w:val="16"/>
                <w:szCs w:val="16"/>
              </w:rPr>
              <w:t> </w:t>
            </w:r>
          </w:p>
        </w:tc>
        <w:tc>
          <w:tcPr>
            <w:tcW w:w="523" w:type="pct"/>
            <w:tcBorders>
              <w:top w:val="single" w:sz="4" w:space="0" w:color="293F5B"/>
              <w:left w:val="nil"/>
              <w:bottom w:val="nil"/>
              <w:right w:val="nil"/>
            </w:tcBorders>
            <w:shd w:val="clear" w:color="000000" w:fill="FFFFFF"/>
            <w:noWrap/>
            <w:vAlign w:val="center"/>
            <w:hideMark/>
          </w:tcPr>
          <w:p w14:paraId="47B58054" w14:textId="77777777" w:rsidR="005E5367" w:rsidRPr="005E5367" w:rsidRDefault="005E5367" w:rsidP="005E5367">
            <w:pPr>
              <w:spacing w:before="0" w:after="0" w:line="240" w:lineRule="auto"/>
              <w:jc w:val="right"/>
              <w:rPr>
                <w:rFonts w:ascii="Arial" w:hAnsi="Arial" w:cs="Arial"/>
                <w:sz w:val="16"/>
                <w:szCs w:val="16"/>
              </w:rPr>
            </w:pPr>
            <w:r w:rsidRPr="005E5367">
              <w:rPr>
                <w:rFonts w:ascii="Arial" w:hAnsi="Arial" w:cs="Arial"/>
                <w:sz w:val="16"/>
                <w:szCs w:val="16"/>
              </w:rPr>
              <w:t>2023-24</w:t>
            </w:r>
          </w:p>
        </w:tc>
        <w:tc>
          <w:tcPr>
            <w:tcW w:w="522" w:type="pct"/>
            <w:tcBorders>
              <w:top w:val="single" w:sz="4" w:space="0" w:color="293F5B"/>
              <w:left w:val="nil"/>
              <w:bottom w:val="nil"/>
              <w:right w:val="nil"/>
            </w:tcBorders>
            <w:shd w:val="clear" w:color="000000" w:fill="E6F2FF"/>
            <w:noWrap/>
            <w:vAlign w:val="center"/>
            <w:hideMark/>
          </w:tcPr>
          <w:p w14:paraId="190901E4" w14:textId="77777777" w:rsidR="005E5367" w:rsidRPr="005E5367" w:rsidRDefault="005E5367" w:rsidP="005E5367">
            <w:pPr>
              <w:spacing w:before="0" w:after="0" w:line="240" w:lineRule="auto"/>
              <w:jc w:val="right"/>
              <w:rPr>
                <w:rFonts w:ascii="Arial" w:hAnsi="Arial" w:cs="Arial"/>
                <w:sz w:val="16"/>
                <w:szCs w:val="16"/>
              </w:rPr>
            </w:pPr>
            <w:r w:rsidRPr="005E5367">
              <w:rPr>
                <w:rFonts w:ascii="Arial" w:hAnsi="Arial" w:cs="Arial"/>
                <w:sz w:val="16"/>
                <w:szCs w:val="16"/>
              </w:rPr>
              <w:t>2024-25</w:t>
            </w:r>
          </w:p>
        </w:tc>
        <w:tc>
          <w:tcPr>
            <w:tcW w:w="522" w:type="pct"/>
            <w:tcBorders>
              <w:top w:val="single" w:sz="4" w:space="0" w:color="293F5B"/>
              <w:left w:val="nil"/>
              <w:bottom w:val="nil"/>
              <w:right w:val="nil"/>
            </w:tcBorders>
            <w:shd w:val="clear" w:color="000000" w:fill="FFFFFF"/>
            <w:noWrap/>
            <w:vAlign w:val="center"/>
            <w:hideMark/>
          </w:tcPr>
          <w:p w14:paraId="099A4679" w14:textId="77777777" w:rsidR="005E5367" w:rsidRPr="005E5367" w:rsidRDefault="005E5367" w:rsidP="005E5367">
            <w:pPr>
              <w:spacing w:before="0" w:after="0" w:line="240" w:lineRule="auto"/>
              <w:jc w:val="right"/>
              <w:rPr>
                <w:rFonts w:ascii="Arial" w:hAnsi="Arial" w:cs="Arial"/>
                <w:sz w:val="16"/>
                <w:szCs w:val="16"/>
              </w:rPr>
            </w:pPr>
            <w:r w:rsidRPr="005E5367">
              <w:rPr>
                <w:rFonts w:ascii="Arial" w:hAnsi="Arial" w:cs="Arial"/>
                <w:sz w:val="16"/>
                <w:szCs w:val="16"/>
              </w:rPr>
              <w:t>2025-26</w:t>
            </w:r>
          </w:p>
        </w:tc>
        <w:tc>
          <w:tcPr>
            <w:tcW w:w="522" w:type="pct"/>
            <w:tcBorders>
              <w:top w:val="single" w:sz="4" w:space="0" w:color="293F5B"/>
              <w:left w:val="nil"/>
              <w:bottom w:val="nil"/>
              <w:right w:val="nil"/>
            </w:tcBorders>
            <w:shd w:val="clear" w:color="000000" w:fill="FFFFFF"/>
            <w:noWrap/>
            <w:vAlign w:val="center"/>
            <w:hideMark/>
          </w:tcPr>
          <w:p w14:paraId="7E8E3DBC" w14:textId="77777777" w:rsidR="005E5367" w:rsidRPr="005E5367" w:rsidRDefault="005E5367" w:rsidP="005E5367">
            <w:pPr>
              <w:spacing w:before="0" w:after="0" w:line="240" w:lineRule="auto"/>
              <w:jc w:val="right"/>
              <w:rPr>
                <w:rFonts w:ascii="Arial" w:hAnsi="Arial" w:cs="Arial"/>
                <w:sz w:val="16"/>
                <w:szCs w:val="16"/>
              </w:rPr>
            </w:pPr>
            <w:r w:rsidRPr="005E5367">
              <w:rPr>
                <w:rFonts w:ascii="Arial" w:hAnsi="Arial" w:cs="Arial"/>
                <w:sz w:val="16"/>
                <w:szCs w:val="16"/>
              </w:rPr>
              <w:t>2026-27</w:t>
            </w:r>
          </w:p>
        </w:tc>
        <w:tc>
          <w:tcPr>
            <w:tcW w:w="522" w:type="pct"/>
            <w:tcBorders>
              <w:top w:val="single" w:sz="4" w:space="0" w:color="293F5B"/>
              <w:left w:val="nil"/>
              <w:bottom w:val="nil"/>
              <w:right w:val="nil"/>
            </w:tcBorders>
            <w:shd w:val="clear" w:color="000000" w:fill="FFFFFF"/>
            <w:noWrap/>
            <w:vAlign w:val="center"/>
            <w:hideMark/>
          </w:tcPr>
          <w:p w14:paraId="31E354D3" w14:textId="77777777" w:rsidR="005E5367" w:rsidRPr="005E5367" w:rsidRDefault="005E5367" w:rsidP="005E5367">
            <w:pPr>
              <w:spacing w:before="0" w:after="0" w:line="240" w:lineRule="auto"/>
              <w:jc w:val="right"/>
              <w:rPr>
                <w:rFonts w:ascii="Arial" w:hAnsi="Arial" w:cs="Arial"/>
                <w:color w:val="000000"/>
                <w:sz w:val="16"/>
                <w:szCs w:val="16"/>
              </w:rPr>
            </w:pPr>
            <w:r w:rsidRPr="005E5367">
              <w:rPr>
                <w:rFonts w:ascii="Arial" w:hAnsi="Arial" w:cs="Arial"/>
                <w:color w:val="000000"/>
                <w:sz w:val="16"/>
                <w:szCs w:val="16"/>
              </w:rPr>
              <w:t>2027-28</w:t>
            </w:r>
          </w:p>
        </w:tc>
      </w:tr>
      <w:tr w:rsidR="005E5367" w:rsidRPr="005E5367" w14:paraId="234F557B" w14:textId="77777777" w:rsidTr="00BF3FAC">
        <w:trPr>
          <w:trHeight w:hRule="exact" w:val="225"/>
        </w:trPr>
        <w:tc>
          <w:tcPr>
            <w:tcW w:w="2388" w:type="pct"/>
            <w:tcBorders>
              <w:top w:val="nil"/>
              <w:left w:val="nil"/>
              <w:bottom w:val="nil"/>
              <w:right w:val="nil"/>
            </w:tcBorders>
            <w:shd w:val="clear" w:color="000000" w:fill="FFFFFF"/>
            <w:noWrap/>
            <w:vAlign w:val="center"/>
            <w:hideMark/>
          </w:tcPr>
          <w:p w14:paraId="417E3519" w14:textId="77777777" w:rsidR="005E5367" w:rsidRPr="005E5367" w:rsidRDefault="005E5367" w:rsidP="005E5367">
            <w:pPr>
              <w:spacing w:before="0" w:after="0" w:line="240" w:lineRule="auto"/>
              <w:rPr>
                <w:rFonts w:ascii="Arial" w:hAnsi="Arial" w:cs="Arial"/>
                <w:color w:val="000000"/>
                <w:sz w:val="16"/>
                <w:szCs w:val="16"/>
              </w:rPr>
            </w:pPr>
            <w:r w:rsidRPr="005E5367">
              <w:rPr>
                <w:rFonts w:ascii="Arial" w:hAnsi="Arial" w:cs="Arial"/>
                <w:color w:val="000000"/>
                <w:sz w:val="16"/>
                <w:szCs w:val="16"/>
              </w:rPr>
              <w:t> </w:t>
            </w:r>
          </w:p>
        </w:tc>
        <w:tc>
          <w:tcPr>
            <w:tcW w:w="523" w:type="pct"/>
            <w:tcBorders>
              <w:top w:val="nil"/>
              <w:left w:val="nil"/>
              <w:bottom w:val="single" w:sz="4" w:space="0" w:color="293F5B"/>
              <w:right w:val="nil"/>
            </w:tcBorders>
            <w:shd w:val="clear" w:color="000000" w:fill="FFFFFF"/>
            <w:noWrap/>
            <w:vAlign w:val="center"/>
            <w:hideMark/>
          </w:tcPr>
          <w:p w14:paraId="21C7E935" w14:textId="77777777" w:rsidR="005E5367" w:rsidRPr="005E5367" w:rsidRDefault="005E5367" w:rsidP="005E5367">
            <w:pPr>
              <w:spacing w:before="0" w:after="0" w:line="240" w:lineRule="auto"/>
              <w:jc w:val="right"/>
              <w:rPr>
                <w:rFonts w:ascii="Arial" w:hAnsi="Arial" w:cs="Arial"/>
                <w:color w:val="000000"/>
                <w:sz w:val="16"/>
                <w:szCs w:val="16"/>
              </w:rPr>
            </w:pPr>
            <w:r w:rsidRPr="005E5367">
              <w:rPr>
                <w:rFonts w:ascii="Arial" w:hAnsi="Arial" w:cs="Arial"/>
                <w:color w:val="000000"/>
                <w:sz w:val="16"/>
                <w:szCs w:val="16"/>
              </w:rPr>
              <w:t>$m</w:t>
            </w:r>
          </w:p>
        </w:tc>
        <w:tc>
          <w:tcPr>
            <w:tcW w:w="522" w:type="pct"/>
            <w:tcBorders>
              <w:top w:val="nil"/>
              <w:left w:val="nil"/>
              <w:bottom w:val="single" w:sz="4" w:space="0" w:color="293F5B"/>
              <w:right w:val="nil"/>
            </w:tcBorders>
            <w:shd w:val="clear" w:color="000000" w:fill="E6F2FF"/>
            <w:noWrap/>
            <w:vAlign w:val="center"/>
            <w:hideMark/>
          </w:tcPr>
          <w:p w14:paraId="0D4A6A07" w14:textId="77777777" w:rsidR="005E5367" w:rsidRPr="005E5367" w:rsidRDefault="005E5367" w:rsidP="005E5367">
            <w:pPr>
              <w:spacing w:before="0" w:after="0" w:line="240" w:lineRule="auto"/>
              <w:jc w:val="right"/>
              <w:rPr>
                <w:rFonts w:ascii="Arial" w:hAnsi="Arial" w:cs="Arial"/>
                <w:color w:val="000000"/>
                <w:sz w:val="16"/>
                <w:szCs w:val="16"/>
              </w:rPr>
            </w:pPr>
            <w:r w:rsidRPr="005E5367">
              <w:rPr>
                <w:rFonts w:ascii="Arial" w:hAnsi="Arial" w:cs="Arial"/>
                <w:color w:val="000000"/>
                <w:sz w:val="16"/>
                <w:szCs w:val="16"/>
              </w:rPr>
              <w:t>$m</w:t>
            </w:r>
          </w:p>
        </w:tc>
        <w:tc>
          <w:tcPr>
            <w:tcW w:w="522" w:type="pct"/>
            <w:tcBorders>
              <w:top w:val="nil"/>
              <w:left w:val="nil"/>
              <w:bottom w:val="single" w:sz="4" w:space="0" w:color="293F5B"/>
              <w:right w:val="nil"/>
            </w:tcBorders>
            <w:shd w:val="clear" w:color="000000" w:fill="FFFFFF"/>
            <w:noWrap/>
            <w:vAlign w:val="center"/>
            <w:hideMark/>
          </w:tcPr>
          <w:p w14:paraId="7AD244DD" w14:textId="77777777" w:rsidR="005E5367" w:rsidRPr="005E5367" w:rsidRDefault="005E5367" w:rsidP="005E5367">
            <w:pPr>
              <w:spacing w:before="0" w:after="0" w:line="240" w:lineRule="auto"/>
              <w:jc w:val="right"/>
              <w:rPr>
                <w:rFonts w:ascii="Arial" w:hAnsi="Arial" w:cs="Arial"/>
                <w:color w:val="000000"/>
                <w:sz w:val="16"/>
                <w:szCs w:val="16"/>
              </w:rPr>
            </w:pPr>
            <w:r w:rsidRPr="005E5367">
              <w:rPr>
                <w:rFonts w:ascii="Arial" w:hAnsi="Arial" w:cs="Arial"/>
                <w:color w:val="000000"/>
                <w:sz w:val="16"/>
                <w:szCs w:val="16"/>
              </w:rPr>
              <w:t>$m</w:t>
            </w:r>
          </w:p>
        </w:tc>
        <w:tc>
          <w:tcPr>
            <w:tcW w:w="522" w:type="pct"/>
            <w:tcBorders>
              <w:top w:val="nil"/>
              <w:left w:val="nil"/>
              <w:bottom w:val="single" w:sz="4" w:space="0" w:color="293F5B"/>
              <w:right w:val="nil"/>
            </w:tcBorders>
            <w:shd w:val="clear" w:color="000000" w:fill="FFFFFF"/>
            <w:noWrap/>
            <w:vAlign w:val="center"/>
            <w:hideMark/>
          </w:tcPr>
          <w:p w14:paraId="6FA8C692" w14:textId="77777777" w:rsidR="005E5367" w:rsidRPr="005E5367" w:rsidRDefault="005E5367" w:rsidP="005E5367">
            <w:pPr>
              <w:spacing w:before="0" w:after="0" w:line="240" w:lineRule="auto"/>
              <w:jc w:val="right"/>
              <w:rPr>
                <w:rFonts w:ascii="Arial" w:hAnsi="Arial" w:cs="Arial"/>
                <w:color w:val="000000"/>
                <w:sz w:val="16"/>
                <w:szCs w:val="16"/>
              </w:rPr>
            </w:pPr>
            <w:r w:rsidRPr="005E5367">
              <w:rPr>
                <w:rFonts w:ascii="Arial" w:hAnsi="Arial" w:cs="Arial"/>
                <w:color w:val="000000"/>
                <w:sz w:val="16"/>
                <w:szCs w:val="16"/>
              </w:rPr>
              <w:t>$m</w:t>
            </w:r>
          </w:p>
        </w:tc>
        <w:tc>
          <w:tcPr>
            <w:tcW w:w="522" w:type="pct"/>
            <w:tcBorders>
              <w:top w:val="nil"/>
              <w:left w:val="nil"/>
              <w:bottom w:val="single" w:sz="4" w:space="0" w:color="293F5B"/>
              <w:right w:val="nil"/>
            </w:tcBorders>
            <w:shd w:val="clear" w:color="000000" w:fill="FFFFFF"/>
            <w:noWrap/>
            <w:vAlign w:val="center"/>
            <w:hideMark/>
          </w:tcPr>
          <w:p w14:paraId="38D6CBA5" w14:textId="77777777" w:rsidR="005E5367" w:rsidRPr="005E5367" w:rsidRDefault="005E5367" w:rsidP="005E5367">
            <w:pPr>
              <w:spacing w:before="0" w:after="0" w:line="240" w:lineRule="auto"/>
              <w:jc w:val="right"/>
              <w:rPr>
                <w:rFonts w:ascii="Arial" w:hAnsi="Arial" w:cs="Arial"/>
                <w:color w:val="000000"/>
                <w:sz w:val="16"/>
                <w:szCs w:val="16"/>
              </w:rPr>
            </w:pPr>
            <w:r w:rsidRPr="005E5367">
              <w:rPr>
                <w:rFonts w:ascii="Arial" w:hAnsi="Arial" w:cs="Arial"/>
                <w:color w:val="000000"/>
                <w:sz w:val="16"/>
                <w:szCs w:val="16"/>
              </w:rPr>
              <w:t>$m</w:t>
            </w:r>
          </w:p>
        </w:tc>
      </w:tr>
      <w:tr w:rsidR="005E5367" w:rsidRPr="005E5367" w14:paraId="3432010B" w14:textId="77777777" w:rsidTr="00236E34">
        <w:trPr>
          <w:trHeight w:hRule="exact" w:val="225"/>
        </w:trPr>
        <w:tc>
          <w:tcPr>
            <w:tcW w:w="2388" w:type="pct"/>
            <w:tcBorders>
              <w:top w:val="nil"/>
              <w:left w:val="nil"/>
              <w:bottom w:val="nil"/>
              <w:right w:val="nil"/>
            </w:tcBorders>
            <w:shd w:val="clear" w:color="000000" w:fill="FFFFFF"/>
            <w:noWrap/>
            <w:vAlign w:val="center"/>
            <w:hideMark/>
          </w:tcPr>
          <w:p w14:paraId="358F0FAC" w14:textId="77777777" w:rsidR="005E5367" w:rsidRPr="005E5367" w:rsidRDefault="005E5367" w:rsidP="005E5367">
            <w:pPr>
              <w:spacing w:before="0" w:after="0" w:line="240" w:lineRule="auto"/>
              <w:rPr>
                <w:rFonts w:ascii="Arial" w:hAnsi="Arial" w:cs="Arial"/>
                <w:color w:val="000000"/>
                <w:sz w:val="16"/>
                <w:szCs w:val="16"/>
              </w:rPr>
            </w:pPr>
            <w:r w:rsidRPr="005E5367">
              <w:rPr>
                <w:rFonts w:ascii="Arial" w:hAnsi="Arial" w:cs="Arial"/>
                <w:color w:val="000000"/>
                <w:sz w:val="16"/>
                <w:szCs w:val="16"/>
              </w:rPr>
              <w:t>Wool industry</w:t>
            </w:r>
          </w:p>
        </w:tc>
        <w:tc>
          <w:tcPr>
            <w:tcW w:w="523" w:type="pct"/>
            <w:tcBorders>
              <w:top w:val="single" w:sz="4" w:space="0" w:color="293F5B"/>
              <w:left w:val="nil"/>
              <w:bottom w:val="nil"/>
              <w:right w:val="nil"/>
            </w:tcBorders>
            <w:shd w:val="clear" w:color="000000" w:fill="FFFFFF"/>
            <w:noWrap/>
            <w:vAlign w:val="center"/>
            <w:hideMark/>
          </w:tcPr>
          <w:p w14:paraId="4C5917F8" w14:textId="77777777" w:rsidR="005E5367" w:rsidRPr="005E5367" w:rsidRDefault="005E5367" w:rsidP="005E5367">
            <w:pPr>
              <w:spacing w:before="0" w:after="0" w:line="240" w:lineRule="auto"/>
              <w:jc w:val="right"/>
              <w:rPr>
                <w:rFonts w:ascii="Arial" w:hAnsi="Arial" w:cs="Arial"/>
                <w:color w:val="000000"/>
                <w:sz w:val="16"/>
                <w:szCs w:val="16"/>
              </w:rPr>
            </w:pPr>
            <w:r w:rsidRPr="005E5367">
              <w:rPr>
                <w:rFonts w:ascii="Arial" w:hAnsi="Arial" w:cs="Arial"/>
                <w:color w:val="000000"/>
                <w:sz w:val="16"/>
                <w:szCs w:val="16"/>
              </w:rPr>
              <w:t>68</w:t>
            </w:r>
          </w:p>
        </w:tc>
        <w:tc>
          <w:tcPr>
            <w:tcW w:w="522" w:type="pct"/>
            <w:tcBorders>
              <w:top w:val="single" w:sz="4" w:space="0" w:color="293F5B"/>
              <w:left w:val="nil"/>
              <w:bottom w:val="nil"/>
              <w:right w:val="nil"/>
            </w:tcBorders>
            <w:shd w:val="clear" w:color="000000" w:fill="E6F2FF"/>
            <w:noWrap/>
            <w:vAlign w:val="center"/>
            <w:hideMark/>
          </w:tcPr>
          <w:p w14:paraId="10F960CF" w14:textId="77777777" w:rsidR="005E5367" w:rsidRPr="005E5367" w:rsidRDefault="005E5367" w:rsidP="005E5367">
            <w:pPr>
              <w:spacing w:before="0" w:after="0" w:line="240" w:lineRule="auto"/>
              <w:jc w:val="right"/>
              <w:rPr>
                <w:rFonts w:ascii="Arial" w:hAnsi="Arial" w:cs="Arial"/>
                <w:color w:val="000000"/>
                <w:sz w:val="16"/>
                <w:szCs w:val="16"/>
              </w:rPr>
            </w:pPr>
            <w:r w:rsidRPr="005E5367">
              <w:rPr>
                <w:rFonts w:ascii="Arial" w:hAnsi="Arial" w:cs="Arial"/>
                <w:color w:val="000000"/>
                <w:sz w:val="16"/>
                <w:szCs w:val="16"/>
              </w:rPr>
              <w:t>84</w:t>
            </w:r>
          </w:p>
        </w:tc>
        <w:tc>
          <w:tcPr>
            <w:tcW w:w="522" w:type="pct"/>
            <w:tcBorders>
              <w:top w:val="single" w:sz="4" w:space="0" w:color="293F5B"/>
              <w:left w:val="nil"/>
              <w:bottom w:val="nil"/>
              <w:right w:val="nil"/>
            </w:tcBorders>
            <w:shd w:val="clear" w:color="000000" w:fill="FFFFFF"/>
            <w:noWrap/>
            <w:vAlign w:val="center"/>
            <w:hideMark/>
          </w:tcPr>
          <w:p w14:paraId="4A03A543" w14:textId="77777777" w:rsidR="005E5367" w:rsidRPr="005E5367" w:rsidRDefault="005E5367" w:rsidP="005E5367">
            <w:pPr>
              <w:spacing w:before="0" w:after="0" w:line="240" w:lineRule="auto"/>
              <w:jc w:val="right"/>
              <w:rPr>
                <w:rFonts w:ascii="Arial" w:hAnsi="Arial" w:cs="Arial"/>
                <w:color w:val="000000"/>
                <w:sz w:val="16"/>
                <w:szCs w:val="16"/>
              </w:rPr>
            </w:pPr>
            <w:r w:rsidRPr="005E5367">
              <w:rPr>
                <w:rFonts w:ascii="Arial" w:hAnsi="Arial" w:cs="Arial"/>
                <w:color w:val="000000"/>
                <w:sz w:val="16"/>
                <w:szCs w:val="16"/>
              </w:rPr>
              <w:t>95</w:t>
            </w:r>
          </w:p>
        </w:tc>
        <w:tc>
          <w:tcPr>
            <w:tcW w:w="522" w:type="pct"/>
            <w:tcBorders>
              <w:top w:val="single" w:sz="4" w:space="0" w:color="293F5B"/>
              <w:left w:val="nil"/>
              <w:bottom w:val="nil"/>
              <w:right w:val="nil"/>
            </w:tcBorders>
            <w:shd w:val="clear" w:color="000000" w:fill="FFFFFF"/>
            <w:noWrap/>
            <w:vAlign w:val="center"/>
            <w:hideMark/>
          </w:tcPr>
          <w:p w14:paraId="08E7E0CC" w14:textId="77777777" w:rsidR="005E5367" w:rsidRPr="005E5367" w:rsidRDefault="005E5367" w:rsidP="005E5367">
            <w:pPr>
              <w:spacing w:before="0" w:after="0" w:line="240" w:lineRule="auto"/>
              <w:jc w:val="right"/>
              <w:rPr>
                <w:rFonts w:ascii="Arial" w:hAnsi="Arial" w:cs="Arial"/>
                <w:color w:val="000000"/>
                <w:sz w:val="16"/>
                <w:szCs w:val="16"/>
              </w:rPr>
            </w:pPr>
            <w:r w:rsidRPr="005E5367">
              <w:rPr>
                <w:rFonts w:ascii="Arial" w:hAnsi="Arial" w:cs="Arial"/>
                <w:color w:val="000000"/>
                <w:sz w:val="16"/>
                <w:szCs w:val="16"/>
              </w:rPr>
              <w:t>95</w:t>
            </w:r>
          </w:p>
        </w:tc>
        <w:tc>
          <w:tcPr>
            <w:tcW w:w="522" w:type="pct"/>
            <w:tcBorders>
              <w:top w:val="single" w:sz="4" w:space="0" w:color="293F5B"/>
              <w:left w:val="nil"/>
              <w:bottom w:val="nil"/>
              <w:right w:val="nil"/>
            </w:tcBorders>
            <w:shd w:val="clear" w:color="000000" w:fill="FFFFFF"/>
            <w:noWrap/>
            <w:vAlign w:val="center"/>
            <w:hideMark/>
          </w:tcPr>
          <w:p w14:paraId="42A7A356" w14:textId="77777777" w:rsidR="005E5367" w:rsidRPr="005E5367" w:rsidRDefault="005E5367" w:rsidP="005E5367">
            <w:pPr>
              <w:spacing w:before="0" w:after="0" w:line="240" w:lineRule="auto"/>
              <w:jc w:val="right"/>
              <w:rPr>
                <w:rFonts w:ascii="Arial" w:hAnsi="Arial" w:cs="Arial"/>
                <w:color w:val="000000"/>
                <w:sz w:val="16"/>
                <w:szCs w:val="16"/>
              </w:rPr>
            </w:pPr>
            <w:r w:rsidRPr="005E5367">
              <w:rPr>
                <w:rFonts w:ascii="Arial" w:hAnsi="Arial" w:cs="Arial"/>
                <w:color w:val="000000"/>
                <w:sz w:val="16"/>
                <w:szCs w:val="16"/>
              </w:rPr>
              <w:t>95</w:t>
            </w:r>
          </w:p>
        </w:tc>
      </w:tr>
      <w:tr w:rsidR="005E5367" w:rsidRPr="005E5367" w14:paraId="3AB53890" w14:textId="77777777" w:rsidTr="00BF3FAC">
        <w:trPr>
          <w:trHeight w:hRule="exact" w:val="225"/>
        </w:trPr>
        <w:tc>
          <w:tcPr>
            <w:tcW w:w="2388" w:type="pct"/>
            <w:tcBorders>
              <w:top w:val="nil"/>
              <w:left w:val="nil"/>
              <w:bottom w:val="nil"/>
              <w:right w:val="nil"/>
            </w:tcBorders>
            <w:shd w:val="clear" w:color="000000" w:fill="FFFFFF"/>
            <w:noWrap/>
            <w:vAlign w:val="bottom"/>
            <w:hideMark/>
          </w:tcPr>
          <w:p w14:paraId="7D5EE4ED" w14:textId="77777777" w:rsidR="005E5367" w:rsidRPr="005E5367" w:rsidRDefault="005E5367" w:rsidP="005E5367">
            <w:pPr>
              <w:spacing w:before="0" w:after="0" w:line="240" w:lineRule="auto"/>
              <w:rPr>
                <w:rFonts w:ascii="Arial" w:hAnsi="Arial" w:cs="Arial"/>
                <w:color w:val="000000"/>
                <w:sz w:val="16"/>
                <w:szCs w:val="16"/>
              </w:rPr>
            </w:pPr>
            <w:r w:rsidRPr="005E5367">
              <w:rPr>
                <w:rFonts w:ascii="Arial" w:hAnsi="Arial" w:cs="Arial"/>
                <w:color w:val="000000"/>
                <w:sz w:val="16"/>
                <w:szCs w:val="16"/>
              </w:rPr>
              <w:t>Grains industry</w:t>
            </w:r>
          </w:p>
        </w:tc>
        <w:tc>
          <w:tcPr>
            <w:tcW w:w="523" w:type="pct"/>
            <w:tcBorders>
              <w:top w:val="nil"/>
              <w:left w:val="nil"/>
              <w:bottom w:val="nil"/>
              <w:right w:val="nil"/>
            </w:tcBorders>
            <w:shd w:val="clear" w:color="000000" w:fill="FFFFFF"/>
            <w:noWrap/>
            <w:vAlign w:val="center"/>
            <w:hideMark/>
          </w:tcPr>
          <w:p w14:paraId="3C814173" w14:textId="77777777" w:rsidR="005E5367" w:rsidRPr="005E5367" w:rsidRDefault="005E5367" w:rsidP="005E5367">
            <w:pPr>
              <w:spacing w:before="0" w:after="0" w:line="240" w:lineRule="auto"/>
              <w:jc w:val="right"/>
              <w:rPr>
                <w:rFonts w:ascii="Arial" w:hAnsi="Arial" w:cs="Arial"/>
                <w:color w:val="000000"/>
                <w:sz w:val="16"/>
                <w:szCs w:val="16"/>
              </w:rPr>
            </w:pPr>
            <w:r w:rsidRPr="005E5367">
              <w:rPr>
                <w:rFonts w:ascii="Arial" w:hAnsi="Arial" w:cs="Arial"/>
                <w:color w:val="000000"/>
                <w:sz w:val="16"/>
                <w:szCs w:val="16"/>
              </w:rPr>
              <w:t>272</w:t>
            </w:r>
          </w:p>
        </w:tc>
        <w:tc>
          <w:tcPr>
            <w:tcW w:w="522" w:type="pct"/>
            <w:tcBorders>
              <w:top w:val="nil"/>
              <w:left w:val="nil"/>
              <w:bottom w:val="nil"/>
              <w:right w:val="nil"/>
            </w:tcBorders>
            <w:shd w:val="clear" w:color="000000" w:fill="E6F2FF"/>
            <w:noWrap/>
            <w:vAlign w:val="center"/>
            <w:hideMark/>
          </w:tcPr>
          <w:p w14:paraId="45B89B3D" w14:textId="77777777" w:rsidR="005E5367" w:rsidRPr="005E5367" w:rsidRDefault="005E5367" w:rsidP="005E5367">
            <w:pPr>
              <w:spacing w:before="0" w:after="0" w:line="240" w:lineRule="auto"/>
              <w:jc w:val="right"/>
              <w:rPr>
                <w:rFonts w:ascii="Arial" w:hAnsi="Arial" w:cs="Arial"/>
                <w:color w:val="000000"/>
                <w:sz w:val="16"/>
                <w:szCs w:val="16"/>
              </w:rPr>
            </w:pPr>
            <w:r w:rsidRPr="005E5367">
              <w:rPr>
                <w:rFonts w:ascii="Arial" w:hAnsi="Arial" w:cs="Arial"/>
                <w:color w:val="000000"/>
                <w:sz w:val="16"/>
                <w:szCs w:val="16"/>
              </w:rPr>
              <w:t>290</w:t>
            </w:r>
          </w:p>
        </w:tc>
        <w:tc>
          <w:tcPr>
            <w:tcW w:w="522" w:type="pct"/>
            <w:tcBorders>
              <w:top w:val="nil"/>
              <w:left w:val="nil"/>
              <w:bottom w:val="nil"/>
              <w:right w:val="nil"/>
            </w:tcBorders>
            <w:shd w:val="clear" w:color="000000" w:fill="FFFFFF"/>
            <w:noWrap/>
            <w:vAlign w:val="center"/>
            <w:hideMark/>
          </w:tcPr>
          <w:p w14:paraId="5628516B" w14:textId="77777777" w:rsidR="005E5367" w:rsidRPr="005E5367" w:rsidRDefault="005E5367" w:rsidP="005E5367">
            <w:pPr>
              <w:spacing w:before="0" w:after="0" w:line="240" w:lineRule="auto"/>
              <w:jc w:val="right"/>
              <w:rPr>
                <w:rFonts w:ascii="Arial" w:hAnsi="Arial" w:cs="Arial"/>
                <w:color w:val="000000"/>
                <w:sz w:val="16"/>
                <w:szCs w:val="16"/>
              </w:rPr>
            </w:pPr>
            <w:r w:rsidRPr="005E5367">
              <w:rPr>
                <w:rFonts w:ascii="Arial" w:hAnsi="Arial" w:cs="Arial"/>
                <w:color w:val="000000"/>
                <w:sz w:val="16"/>
                <w:szCs w:val="16"/>
              </w:rPr>
              <w:t>292</w:t>
            </w:r>
          </w:p>
        </w:tc>
        <w:tc>
          <w:tcPr>
            <w:tcW w:w="522" w:type="pct"/>
            <w:tcBorders>
              <w:top w:val="nil"/>
              <w:left w:val="nil"/>
              <w:bottom w:val="nil"/>
              <w:right w:val="nil"/>
            </w:tcBorders>
            <w:shd w:val="clear" w:color="000000" w:fill="FFFFFF"/>
            <w:noWrap/>
            <w:vAlign w:val="center"/>
            <w:hideMark/>
          </w:tcPr>
          <w:p w14:paraId="63C8630A" w14:textId="77777777" w:rsidR="005E5367" w:rsidRPr="005E5367" w:rsidRDefault="005E5367" w:rsidP="005E5367">
            <w:pPr>
              <w:spacing w:before="0" w:after="0" w:line="240" w:lineRule="auto"/>
              <w:jc w:val="right"/>
              <w:rPr>
                <w:rFonts w:ascii="Arial" w:hAnsi="Arial" w:cs="Arial"/>
                <w:color w:val="000000"/>
                <w:sz w:val="16"/>
                <w:szCs w:val="16"/>
              </w:rPr>
            </w:pPr>
            <w:r w:rsidRPr="005E5367">
              <w:rPr>
                <w:rFonts w:ascii="Arial" w:hAnsi="Arial" w:cs="Arial"/>
                <w:color w:val="000000"/>
                <w:sz w:val="16"/>
                <w:szCs w:val="16"/>
              </w:rPr>
              <w:t>295</w:t>
            </w:r>
          </w:p>
        </w:tc>
        <w:tc>
          <w:tcPr>
            <w:tcW w:w="522" w:type="pct"/>
            <w:tcBorders>
              <w:top w:val="nil"/>
              <w:left w:val="nil"/>
              <w:bottom w:val="nil"/>
              <w:right w:val="nil"/>
            </w:tcBorders>
            <w:shd w:val="clear" w:color="000000" w:fill="FFFFFF"/>
            <w:noWrap/>
            <w:vAlign w:val="center"/>
            <w:hideMark/>
          </w:tcPr>
          <w:p w14:paraId="198C696D" w14:textId="77777777" w:rsidR="005E5367" w:rsidRPr="005E5367" w:rsidRDefault="005E5367" w:rsidP="005E5367">
            <w:pPr>
              <w:spacing w:before="0" w:after="0" w:line="240" w:lineRule="auto"/>
              <w:jc w:val="right"/>
              <w:rPr>
                <w:rFonts w:ascii="Arial" w:hAnsi="Arial" w:cs="Arial"/>
                <w:color w:val="000000"/>
                <w:sz w:val="16"/>
                <w:szCs w:val="16"/>
              </w:rPr>
            </w:pPr>
            <w:r w:rsidRPr="005E5367">
              <w:rPr>
                <w:rFonts w:ascii="Arial" w:hAnsi="Arial" w:cs="Arial"/>
                <w:color w:val="000000"/>
                <w:sz w:val="16"/>
                <w:szCs w:val="16"/>
              </w:rPr>
              <w:t>297</w:t>
            </w:r>
          </w:p>
        </w:tc>
      </w:tr>
      <w:tr w:rsidR="005E5367" w:rsidRPr="005E5367" w14:paraId="35176333" w14:textId="77777777" w:rsidTr="00BF3FAC">
        <w:trPr>
          <w:trHeight w:hRule="exact" w:val="225"/>
        </w:trPr>
        <w:tc>
          <w:tcPr>
            <w:tcW w:w="2388" w:type="pct"/>
            <w:tcBorders>
              <w:top w:val="nil"/>
              <w:left w:val="nil"/>
              <w:bottom w:val="nil"/>
              <w:right w:val="nil"/>
            </w:tcBorders>
            <w:shd w:val="clear" w:color="000000" w:fill="FFFFFF"/>
            <w:noWrap/>
            <w:vAlign w:val="center"/>
            <w:hideMark/>
          </w:tcPr>
          <w:p w14:paraId="5547CE78" w14:textId="77777777" w:rsidR="005E5367" w:rsidRPr="005E5367" w:rsidRDefault="005E5367" w:rsidP="005E5367">
            <w:pPr>
              <w:spacing w:before="0" w:after="0" w:line="240" w:lineRule="auto"/>
              <w:rPr>
                <w:rFonts w:ascii="Arial" w:hAnsi="Arial" w:cs="Arial"/>
                <w:color w:val="000000"/>
                <w:sz w:val="16"/>
                <w:szCs w:val="16"/>
              </w:rPr>
            </w:pPr>
            <w:r w:rsidRPr="005E5367">
              <w:rPr>
                <w:rFonts w:ascii="Arial" w:hAnsi="Arial" w:cs="Arial"/>
                <w:color w:val="000000"/>
                <w:sz w:val="16"/>
                <w:szCs w:val="16"/>
              </w:rPr>
              <w:t>Dairy industry</w:t>
            </w:r>
          </w:p>
        </w:tc>
        <w:tc>
          <w:tcPr>
            <w:tcW w:w="523" w:type="pct"/>
            <w:tcBorders>
              <w:top w:val="nil"/>
              <w:left w:val="nil"/>
              <w:bottom w:val="nil"/>
              <w:right w:val="nil"/>
            </w:tcBorders>
            <w:shd w:val="clear" w:color="000000" w:fill="FFFFFF"/>
            <w:noWrap/>
            <w:vAlign w:val="center"/>
            <w:hideMark/>
          </w:tcPr>
          <w:p w14:paraId="3EC8A97C" w14:textId="77777777" w:rsidR="005E5367" w:rsidRPr="005E5367" w:rsidRDefault="005E5367" w:rsidP="005E5367">
            <w:pPr>
              <w:spacing w:before="0" w:after="0" w:line="240" w:lineRule="auto"/>
              <w:jc w:val="right"/>
              <w:rPr>
                <w:rFonts w:ascii="Arial" w:hAnsi="Arial" w:cs="Arial"/>
                <w:color w:val="000000"/>
                <w:sz w:val="16"/>
                <w:szCs w:val="16"/>
              </w:rPr>
            </w:pPr>
            <w:r w:rsidRPr="005E5367">
              <w:rPr>
                <w:rFonts w:ascii="Arial" w:hAnsi="Arial" w:cs="Arial"/>
                <w:color w:val="000000"/>
                <w:sz w:val="16"/>
                <w:szCs w:val="16"/>
              </w:rPr>
              <w:t>58</w:t>
            </w:r>
          </w:p>
        </w:tc>
        <w:tc>
          <w:tcPr>
            <w:tcW w:w="522" w:type="pct"/>
            <w:tcBorders>
              <w:top w:val="nil"/>
              <w:left w:val="nil"/>
              <w:bottom w:val="nil"/>
              <w:right w:val="nil"/>
            </w:tcBorders>
            <w:shd w:val="clear" w:color="000000" w:fill="E6F2FF"/>
            <w:noWrap/>
            <w:vAlign w:val="center"/>
            <w:hideMark/>
          </w:tcPr>
          <w:p w14:paraId="331AD65C" w14:textId="77777777" w:rsidR="005E5367" w:rsidRPr="005E5367" w:rsidRDefault="005E5367" w:rsidP="005E5367">
            <w:pPr>
              <w:spacing w:before="0" w:after="0" w:line="240" w:lineRule="auto"/>
              <w:jc w:val="right"/>
              <w:rPr>
                <w:rFonts w:ascii="Arial" w:hAnsi="Arial" w:cs="Arial"/>
                <w:color w:val="000000"/>
                <w:sz w:val="16"/>
                <w:szCs w:val="16"/>
              </w:rPr>
            </w:pPr>
            <w:r w:rsidRPr="005E5367">
              <w:rPr>
                <w:rFonts w:ascii="Arial" w:hAnsi="Arial" w:cs="Arial"/>
                <w:color w:val="000000"/>
                <w:sz w:val="16"/>
                <w:szCs w:val="16"/>
              </w:rPr>
              <w:t>57</w:t>
            </w:r>
          </w:p>
        </w:tc>
        <w:tc>
          <w:tcPr>
            <w:tcW w:w="522" w:type="pct"/>
            <w:tcBorders>
              <w:top w:val="nil"/>
              <w:left w:val="nil"/>
              <w:bottom w:val="nil"/>
              <w:right w:val="nil"/>
            </w:tcBorders>
            <w:shd w:val="clear" w:color="000000" w:fill="FFFFFF"/>
            <w:noWrap/>
            <w:vAlign w:val="center"/>
            <w:hideMark/>
          </w:tcPr>
          <w:p w14:paraId="279E58DF" w14:textId="77777777" w:rsidR="005E5367" w:rsidRPr="005E5367" w:rsidRDefault="005E5367" w:rsidP="005E5367">
            <w:pPr>
              <w:spacing w:before="0" w:after="0" w:line="240" w:lineRule="auto"/>
              <w:jc w:val="right"/>
              <w:rPr>
                <w:rFonts w:ascii="Arial" w:hAnsi="Arial" w:cs="Arial"/>
                <w:color w:val="000000"/>
                <w:sz w:val="16"/>
                <w:szCs w:val="16"/>
              </w:rPr>
            </w:pPr>
            <w:r w:rsidRPr="005E5367">
              <w:rPr>
                <w:rFonts w:ascii="Arial" w:hAnsi="Arial" w:cs="Arial"/>
                <w:color w:val="000000"/>
                <w:sz w:val="16"/>
                <w:szCs w:val="16"/>
              </w:rPr>
              <w:t>55</w:t>
            </w:r>
          </w:p>
        </w:tc>
        <w:tc>
          <w:tcPr>
            <w:tcW w:w="522" w:type="pct"/>
            <w:tcBorders>
              <w:top w:val="nil"/>
              <w:left w:val="nil"/>
              <w:bottom w:val="nil"/>
              <w:right w:val="nil"/>
            </w:tcBorders>
            <w:shd w:val="clear" w:color="000000" w:fill="FFFFFF"/>
            <w:noWrap/>
            <w:vAlign w:val="center"/>
            <w:hideMark/>
          </w:tcPr>
          <w:p w14:paraId="00C42780" w14:textId="77777777" w:rsidR="005E5367" w:rsidRPr="005E5367" w:rsidRDefault="005E5367" w:rsidP="005E5367">
            <w:pPr>
              <w:spacing w:before="0" w:after="0" w:line="240" w:lineRule="auto"/>
              <w:jc w:val="right"/>
              <w:rPr>
                <w:rFonts w:ascii="Arial" w:hAnsi="Arial" w:cs="Arial"/>
                <w:color w:val="000000"/>
                <w:sz w:val="16"/>
                <w:szCs w:val="16"/>
              </w:rPr>
            </w:pPr>
            <w:r w:rsidRPr="005E5367">
              <w:rPr>
                <w:rFonts w:ascii="Arial" w:hAnsi="Arial" w:cs="Arial"/>
                <w:color w:val="000000"/>
                <w:sz w:val="16"/>
                <w:szCs w:val="16"/>
              </w:rPr>
              <w:t>55</w:t>
            </w:r>
          </w:p>
        </w:tc>
        <w:tc>
          <w:tcPr>
            <w:tcW w:w="522" w:type="pct"/>
            <w:tcBorders>
              <w:top w:val="nil"/>
              <w:left w:val="nil"/>
              <w:bottom w:val="nil"/>
              <w:right w:val="nil"/>
            </w:tcBorders>
            <w:shd w:val="clear" w:color="000000" w:fill="FFFFFF"/>
            <w:noWrap/>
            <w:vAlign w:val="center"/>
            <w:hideMark/>
          </w:tcPr>
          <w:p w14:paraId="002C0DBB" w14:textId="77777777" w:rsidR="005E5367" w:rsidRPr="005E5367" w:rsidRDefault="005E5367" w:rsidP="005E5367">
            <w:pPr>
              <w:spacing w:before="0" w:after="0" w:line="240" w:lineRule="auto"/>
              <w:jc w:val="right"/>
              <w:rPr>
                <w:rFonts w:ascii="Arial" w:hAnsi="Arial" w:cs="Arial"/>
                <w:color w:val="000000"/>
                <w:sz w:val="16"/>
                <w:szCs w:val="16"/>
              </w:rPr>
            </w:pPr>
            <w:r w:rsidRPr="005E5367">
              <w:rPr>
                <w:rFonts w:ascii="Arial" w:hAnsi="Arial" w:cs="Arial"/>
                <w:color w:val="000000"/>
                <w:sz w:val="16"/>
                <w:szCs w:val="16"/>
              </w:rPr>
              <w:t>55</w:t>
            </w:r>
          </w:p>
        </w:tc>
      </w:tr>
      <w:tr w:rsidR="005E5367" w:rsidRPr="005E5367" w14:paraId="4EECE2F6" w14:textId="77777777" w:rsidTr="00BF3FAC">
        <w:trPr>
          <w:trHeight w:hRule="exact" w:val="225"/>
        </w:trPr>
        <w:tc>
          <w:tcPr>
            <w:tcW w:w="2388" w:type="pct"/>
            <w:tcBorders>
              <w:top w:val="nil"/>
              <w:left w:val="nil"/>
              <w:bottom w:val="nil"/>
              <w:right w:val="nil"/>
            </w:tcBorders>
            <w:shd w:val="clear" w:color="000000" w:fill="FFFFFF"/>
            <w:noWrap/>
            <w:vAlign w:val="center"/>
            <w:hideMark/>
          </w:tcPr>
          <w:p w14:paraId="5D457D91" w14:textId="77777777" w:rsidR="005E5367" w:rsidRPr="005E5367" w:rsidRDefault="005E5367" w:rsidP="005E5367">
            <w:pPr>
              <w:spacing w:before="0" w:after="0" w:line="240" w:lineRule="auto"/>
              <w:rPr>
                <w:rFonts w:ascii="Arial" w:hAnsi="Arial" w:cs="Arial"/>
                <w:color w:val="000000"/>
                <w:sz w:val="16"/>
                <w:szCs w:val="16"/>
              </w:rPr>
            </w:pPr>
            <w:r w:rsidRPr="005E5367">
              <w:rPr>
                <w:rFonts w:ascii="Arial" w:hAnsi="Arial" w:cs="Arial"/>
                <w:color w:val="000000"/>
                <w:sz w:val="16"/>
                <w:szCs w:val="16"/>
              </w:rPr>
              <w:t>Cattle, sheep and pig industry</w:t>
            </w:r>
          </w:p>
        </w:tc>
        <w:tc>
          <w:tcPr>
            <w:tcW w:w="523" w:type="pct"/>
            <w:tcBorders>
              <w:top w:val="nil"/>
              <w:left w:val="nil"/>
              <w:bottom w:val="nil"/>
              <w:right w:val="nil"/>
            </w:tcBorders>
            <w:shd w:val="clear" w:color="000000" w:fill="FFFFFF"/>
            <w:noWrap/>
            <w:vAlign w:val="center"/>
            <w:hideMark/>
          </w:tcPr>
          <w:p w14:paraId="4DEF168A" w14:textId="77777777" w:rsidR="005E5367" w:rsidRPr="005E5367" w:rsidRDefault="005E5367" w:rsidP="005E5367">
            <w:pPr>
              <w:spacing w:before="0" w:after="0" w:line="240" w:lineRule="auto"/>
              <w:jc w:val="right"/>
              <w:rPr>
                <w:rFonts w:ascii="Arial" w:hAnsi="Arial" w:cs="Arial"/>
                <w:color w:val="000000"/>
                <w:sz w:val="16"/>
                <w:szCs w:val="16"/>
              </w:rPr>
            </w:pPr>
            <w:r w:rsidRPr="005E5367">
              <w:rPr>
                <w:rFonts w:ascii="Arial" w:hAnsi="Arial" w:cs="Arial"/>
                <w:color w:val="000000"/>
                <w:sz w:val="16"/>
                <w:szCs w:val="16"/>
              </w:rPr>
              <w:t>258</w:t>
            </w:r>
          </w:p>
        </w:tc>
        <w:tc>
          <w:tcPr>
            <w:tcW w:w="522" w:type="pct"/>
            <w:tcBorders>
              <w:top w:val="nil"/>
              <w:left w:val="nil"/>
              <w:bottom w:val="nil"/>
              <w:right w:val="nil"/>
            </w:tcBorders>
            <w:shd w:val="clear" w:color="000000" w:fill="E6F2FF"/>
            <w:noWrap/>
            <w:vAlign w:val="center"/>
            <w:hideMark/>
          </w:tcPr>
          <w:p w14:paraId="6840976E" w14:textId="77777777" w:rsidR="005E5367" w:rsidRPr="005E5367" w:rsidRDefault="005E5367" w:rsidP="005E5367">
            <w:pPr>
              <w:spacing w:before="0" w:after="0" w:line="240" w:lineRule="auto"/>
              <w:jc w:val="right"/>
              <w:rPr>
                <w:rFonts w:ascii="Arial" w:hAnsi="Arial" w:cs="Arial"/>
                <w:color w:val="000000"/>
                <w:sz w:val="16"/>
                <w:szCs w:val="16"/>
              </w:rPr>
            </w:pPr>
            <w:r w:rsidRPr="005E5367">
              <w:rPr>
                <w:rFonts w:ascii="Arial" w:hAnsi="Arial" w:cs="Arial"/>
                <w:color w:val="000000"/>
                <w:sz w:val="16"/>
                <w:szCs w:val="16"/>
              </w:rPr>
              <w:t>262</w:t>
            </w:r>
          </w:p>
        </w:tc>
        <w:tc>
          <w:tcPr>
            <w:tcW w:w="522" w:type="pct"/>
            <w:tcBorders>
              <w:top w:val="nil"/>
              <w:left w:val="nil"/>
              <w:bottom w:val="nil"/>
              <w:right w:val="nil"/>
            </w:tcBorders>
            <w:shd w:val="clear" w:color="000000" w:fill="FFFFFF"/>
            <w:noWrap/>
            <w:vAlign w:val="center"/>
            <w:hideMark/>
          </w:tcPr>
          <w:p w14:paraId="10FE3500" w14:textId="77777777" w:rsidR="005E5367" w:rsidRPr="005E5367" w:rsidRDefault="005E5367" w:rsidP="005E5367">
            <w:pPr>
              <w:spacing w:before="0" w:after="0" w:line="240" w:lineRule="auto"/>
              <w:jc w:val="right"/>
              <w:rPr>
                <w:rFonts w:ascii="Arial" w:hAnsi="Arial" w:cs="Arial"/>
                <w:color w:val="000000"/>
                <w:sz w:val="16"/>
                <w:szCs w:val="16"/>
              </w:rPr>
            </w:pPr>
            <w:r w:rsidRPr="005E5367">
              <w:rPr>
                <w:rFonts w:ascii="Arial" w:hAnsi="Arial" w:cs="Arial"/>
                <w:color w:val="000000"/>
                <w:sz w:val="16"/>
                <w:szCs w:val="16"/>
              </w:rPr>
              <w:t>268</w:t>
            </w:r>
          </w:p>
        </w:tc>
        <w:tc>
          <w:tcPr>
            <w:tcW w:w="522" w:type="pct"/>
            <w:tcBorders>
              <w:top w:val="nil"/>
              <w:left w:val="nil"/>
              <w:bottom w:val="nil"/>
              <w:right w:val="nil"/>
            </w:tcBorders>
            <w:shd w:val="clear" w:color="000000" w:fill="FFFFFF"/>
            <w:noWrap/>
            <w:vAlign w:val="center"/>
            <w:hideMark/>
          </w:tcPr>
          <w:p w14:paraId="0343F2E8" w14:textId="77777777" w:rsidR="005E5367" w:rsidRPr="005E5367" w:rsidRDefault="005E5367" w:rsidP="005E5367">
            <w:pPr>
              <w:spacing w:before="0" w:after="0" w:line="240" w:lineRule="auto"/>
              <w:jc w:val="right"/>
              <w:rPr>
                <w:rFonts w:ascii="Arial" w:hAnsi="Arial" w:cs="Arial"/>
                <w:color w:val="000000"/>
                <w:sz w:val="16"/>
                <w:szCs w:val="16"/>
              </w:rPr>
            </w:pPr>
            <w:r w:rsidRPr="005E5367">
              <w:rPr>
                <w:rFonts w:ascii="Arial" w:hAnsi="Arial" w:cs="Arial"/>
                <w:color w:val="000000"/>
                <w:sz w:val="16"/>
                <w:szCs w:val="16"/>
              </w:rPr>
              <w:t>277</w:t>
            </w:r>
          </w:p>
        </w:tc>
        <w:tc>
          <w:tcPr>
            <w:tcW w:w="522" w:type="pct"/>
            <w:tcBorders>
              <w:top w:val="nil"/>
              <w:left w:val="nil"/>
              <w:bottom w:val="nil"/>
              <w:right w:val="nil"/>
            </w:tcBorders>
            <w:shd w:val="clear" w:color="000000" w:fill="FFFFFF"/>
            <w:noWrap/>
            <w:vAlign w:val="center"/>
            <w:hideMark/>
          </w:tcPr>
          <w:p w14:paraId="60CA60B5" w14:textId="77777777" w:rsidR="005E5367" w:rsidRPr="005E5367" w:rsidRDefault="005E5367" w:rsidP="005E5367">
            <w:pPr>
              <w:spacing w:before="0" w:after="0" w:line="240" w:lineRule="auto"/>
              <w:jc w:val="right"/>
              <w:rPr>
                <w:rFonts w:ascii="Arial" w:hAnsi="Arial" w:cs="Arial"/>
                <w:color w:val="000000"/>
                <w:sz w:val="16"/>
                <w:szCs w:val="16"/>
              </w:rPr>
            </w:pPr>
            <w:r w:rsidRPr="005E5367">
              <w:rPr>
                <w:rFonts w:ascii="Arial" w:hAnsi="Arial" w:cs="Arial"/>
                <w:color w:val="000000"/>
                <w:sz w:val="16"/>
                <w:szCs w:val="16"/>
              </w:rPr>
              <w:t>279</w:t>
            </w:r>
          </w:p>
        </w:tc>
      </w:tr>
      <w:tr w:rsidR="005E5367" w:rsidRPr="005E5367" w14:paraId="55AEA50D" w14:textId="77777777" w:rsidTr="00BF3FAC">
        <w:trPr>
          <w:trHeight w:hRule="exact" w:val="225"/>
        </w:trPr>
        <w:tc>
          <w:tcPr>
            <w:tcW w:w="2388" w:type="pct"/>
            <w:tcBorders>
              <w:top w:val="nil"/>
              <w:left w:val="nil"/>
              <w:bottom w:val="nil"/>
              <w:right w:val="nil"/>
            </w:tcBorders>
            <w:shd w:val="clear" w:color="000000" w:fill="FFFFFF"/>
            <w:noWrap/>
            <w:vAlign w:val="center"/>
            <w:hideMark/>
          </w:tcPr>
          <w:p w14:paraId="70CBD4BA" w14:textId="77777777" w:rsidR="005E5367" w:rsidRPr="005E5367" w:rsidRDefault="005E5367" w:rsidP="005E5367">
            <w:pPr>
              <w:spacing w:before="0" w:after="0" w:line="240" w:lineRule="auto"/>
              <w:rPr>
                <w:rFonts w:ascii="Arial" w:hAnsi="Arial" w:cs="Arial"/>
                <w:color w:val="000000"/>
                <w:sz w:val="16"/>
                <w:szCs w:val="16"/>
              </w:rPr>
            </w:pPr>
            <w:r w:rsidRPr="005E5367">
              <w:rPr>
                <w:rFonts w:ascii="Arial" w:hAnsi="Arial" w:cs="Arial"/>
                <w:color w:val="000000"/>
                <w:sz w:val="16"/>
                <w:szCs w:val="16"/>
              </w:rPr>
              <w:t>Fishing, horticulture and other agriculture</w:t>
            </w:r>
          </w:p>
        </w:tc>
        <w:tc>
          <w:tcPr>
            <w:tcW w:w="523" w:type="pct"/>
            <w:tcBorders>
              <w:top w:val="nil"/>
              <w:left w:val="nil"/>
              <w:bottom w:val="nil"/>
              <w:right w:val="nil"/>
            </w:tcBorders>
            <w:shd w:val="clear" w:color="000000" w:fill="FFFFFF"/>
            <w:noWrap/>
            <w:vAlign w:val="center"/>
            <w:hideMark/>
          </w:tcPr>
          <w:p w14:paraId="56ACC9D9" w14:textId="77777777" w:rsidR="005E5367" w:rsidRPr="005E5367" w:rsidRDefault="005E5367" w:rsidP="005E5367">
            <w:pPr>
              <w:spacing w:before="0" w:after="0" w:line="240" w:lineRule="auto"/>
              <w:jc w:val="right"/>
              <w:rPr>
                <w:rFonts w:ascii="Arial" w:hAnsi="Arial" w:cs="Arial"/>
                <w:color w:val="000000"/>
                <w:sz w:val="16"/>
                <w:szCs w:val="16"/>
              </w:rPr>
            </w:pPr>
            <w:r w:rsidRPr="005E5367">
              <w:rPr>
                <w:rFonts w:ascii="Arial" w:hAnsi="Arial" w:cs="Arial"/>
                <w:color w:val="000000"/>
                <w:sz w:val="16"/>
                <w:szCs w:val="16"/>
              </w:rPr>
              <w:t>508</w:t>
            </w:r>
          </w:p>
        </w:tc>
        <w:tc>
          <w:tcPr>
            <w:tcW w:w="522" w:type="pct"/>
            <w:tcBorders>
              <w:top w:val="nil"/>
              <w:left w:val="nil"/>
              <w:bottom w:val="nil"/>
              <w:right w:val="nil"/>
            </w:tcBorders>
            <w:shd w:val="clear" w:color="000000" w:fill="E6F2FF"/>
            <w:noWrap/>
            <w:vAlign w:val="center"/>
            <w:hideMark/>
          </w:tcPr>
          <w:p w14:paraId="3DC8616C" w14:textId="77777777" w:rsidR="005E5367" w:rsidRPr="005E5367" w:rsidRDefault="005E5367" w:rsidP="005E5367">
            <w:pPr>
              <w:spacing w:before="0" w:after="0" w:line="240" w:lineRule="auto"/>
              <w:jc w:val="right"/>
              <w:rPr>
                <w:rFonts w:ascii="Arial" w:hAnsi="Arial" w:cs="Arial"/>
                <w:color w:val="000000"/>
                <w:sz w:val="16"/>
                <w:szCs w:val="16"/>
              </w:rPr>
            </w:pPr>
            <w:r w:rsidRPr="005E5367">
              <w:rPr>
                <w:rFonts w:ascii="Arial" w:hAnsi="Arial" w:cs="Arial"/>
                <w:color w:val="000000"/>
                <w:sz w:val="16"/>
                <w:szCs w:val="16"/>
              </w:rPr>
              <w:t>503</w:t>
            </w:r>
          </w:p>
        </w:tc>
        <w:tc>
          <w:tcPr>
            <w:tcW w:w="522" w:type="pct"/>
            <w:tcBorders>
              <w:top w:val="nil"/>
              <w:left w:val="nil"/>
              <w:bottom w:val="nil"/>
              <w:right w:val="nil"/>
            </w:tcBorders>
            <w:shd w:val="clear" w:color="000000" w:fill="FFFFFF"/>
            <w:noWrap/>
            <w:vAlign w:val="center"/>
            <w:hideMark/>
          </w:tcPr>
          <w:p w14:paraId="4B4E5309" w14:textId="77777777" w:rsidR="005E5367" w:rsidRPr="005E5367" w:rsidRDefault="005E5367" w:rsidP="005E5367">
            <w:pPr>
              <w:spacing w:before="0" w:after="0" w:line="240" w:lineRule="auto"/>
              <w:jc w:val="right"/>
              <w:rPr>
                <w:rFonts w:ascii="Arial" w:hAnsi="Arial" w:cs="Arial"/>
                <w:color w:val="000000"/>
                <w:sz w:val="16"/>
                <w:szCs w:val="16"/>
              </w:rPr>
            </w:pPr>
            <w:r w:rsidRPr="005E5367">
              <w:rPr>
                <w:rFonts w:ascii="Arial" w:hAnsi="Arial" w:cs="Arial"/>
                <w:color w:val="000000"/>
                <w:sz w:val="16"/>
                <w:szCs w:val="16"/>
              </w:rPr>
              <w:t>443</w:t>
            </w:r>
          </w:p>
        </w:tc>
        <w:tc>
          <w:tcPr>
            <w:tcW w:w="522" w:type="pct"/>
            <w:tcBorders>
              <w:top w:val="nil"/>
              <w:left w:val="nil"/>
              <w:bottom w:val="nil"/>
              <w:right w:val="nil"/>
            </w:tcBorders>
            <w:shd w:val="clear" w:color="000000" w:fill="FFFFFF"/>
            <w:noWrap/>
            <w:vAlign w:val="center"/>
            <w:hideMark/>
          </w:tcPr>
          <w:p w14:paraId="16D46234" w14:textId="77777777" w:rsidR="005E5367" w:rsidRPr="005E5367" w:rsidRDefault="005E5367" w:rsidP="005E5367">
            <w:pPr>
              <w:spacing w:before="0" w:after="0" w:line="240" w:lineRule="auto"/>
              <w:jc w:val="right"/>
              <w:rPr>
                <w:rFonts w:ascii="Arial" w:hAnsi="Arial" w:cs="Arial"/>
                <w:color w:val="000000"/>
                <w:sz w:val="16"/>
                <w:szCs w:val="16"/>
              </w:rPr>
            </w:pPr>
            <w:r w:rsidRPr="005E5367">
              <w:rPr>
                <w:rFonts w:ascii="Arial" w:hAnsi="Arial" w:cs="Arial"/>
                <w:color w:val="000000"/>
                <w:sz w:val="16"/>
                <w:szCs w:val="16"/>
              </w:rPr>
              <w:t>429</w:t>
            </w:r>
          </w:p>
        </w:tc>
        <w:tc>
          <w:tcPr>
            <w:tcW w:w="522" w:type="pct"/>
            <w:tcBorders>
              <w:top w:val="nil"/>
              <w:left w:val="nil"/>
              <w:bottom w:val="nil"/>
              <w:right w:val="nil"/>
            </w:tcBorders>
            <w:shd w:val="clear" w:color="000000" w:fill="FFFFFF"/>
            <w:noWrap/>
            <w:vAlign w:val="center"/>
            <w:hideMark/>
          </w:tcPr>
          <w:p w14:paraId="6CC827E0" w14:textId="77777777" w:rsidR="005E5367" w:rsidRPr="005E5367" w:rsidRDefault="005E5367" w:rsidP="005E5367">
            <w:pPr>
              <w:spacing w:before="0" w:after="0" w:line="240" w:lineRule="auto"/>
              <w:jc w:val="right"/>
              <w:rPr>
                <w:rFonts w:ascii="Arial" w:hAnsi="Arial" w:cs="Arial"/>
                <w:color w:val="000000"/>
                <w:sz w:val="16"/>
                <w:szCs w:val="16"/>
              </w:rPr>
            </w:pPr>
            <w:r w:rsidRPr="005E5367">
              <w:rPr>
                <w:rFonts w:ascii="Arial" w:hAnsi="Arial" w:cs="Arial"/>
                <w:color w:val="000000"/>
                <w:sz w:val="16"/>
                <w:szCs w:val="16"/>
              </w:rPr>
              <w:t>388</w:t>
            </w:r>
          </w:p>
        </w:tc>
      </w:tr>
      <w:tr w:rsidR="005E5367" w:rsidRPr="005E5367" w14:paraId="389E5683" w14:textId="77777777" w:rsidTr="00BF3FAC">
        <w:trPr>
          <w:trHeight w:hRule="exact" w:val="225"/>
        </w:trPr>
        <w:tc>
          <w:tcPr>
            <w:tcW w:w="2388" w:type="pct"/>
            <w:tcBorders>
              <w:top w:val="nil"/>
              <w:left w:val="nil"/>
              <w:bottom w:val="nil"/>
              <w:right w:val="nil"/>
            </w:tcBorders>
            <w:shd w:val="clear" w:color="000000" w:fill="FFFFFF"/>
            <w:noWrap/>
            <w:vAlign w:val="center"/>
            <w:hideMark/>
          </w:tcPr>
          <w:p w14:paraId="27FEB41F" w14:textId="77777777" w:rsidR="005E5367" w:rsidRPr="005E5367" w:rsidRDefault="005E5367" w:rsidP="005E5367">
            <w:pPr>
              <w:spacing w:before="0" w:after="0" w:line="240" w:lineRule="auto"/>
              <w:rPr>
                <w:rFonts w:ascii="Arial" w:hAnsi="Arial" w:cs="Arial"/>
                <w:color w:val="000000"/>
                <w:sz w:val="16"/>
                <w:szCs w:val="16"/>
              </w:rPr>
            </w:pPr>
            <w:r w:rsidRPr="005E5367">
              <w:rPr>
                <w:rFonts w:ascii="Arial" w:hAnsi="Arial" w:cs="Arial"/>
                <w:color w:val="000000"/>
                <w:sz w:val="16"/>
                <w:szCs w:val="16"/>
              </w:rPr>
              <w:t>General assistance not allocated to</w:t>
            </w:r>
          </w:p>
        </w:tc>
        <w:tc>
          <w:tcPr>
            <w:tcW w:w="523" w:type="pct"/>
            <w:tcBorders>
              <w:top w:val="nil"/>
              <w:left w:val="nil"/>
              <w:bottom w:val="nil"/>
              <w:right w:val="nil"/>
            </w:tcBorders>
            <w:shd w:val="clear" w:color="000000" w:fill="FFFFFF"/>
            <w:noWrap/>
            <w:vAlign w:val="center"/>
            <w:hideMark/>
          </w:tcPr>
          <w:p w14:paraId="7150DF47" w14:textId="77777777" w:rsidR="005E5367" w:rsidRPr="005E5367" w:rsidRDefault="005E5367" w:rsidP="005E5367">
            <w:pPr>
              <w:spacing w:before="0" w:after="0" w:line="240" w:lineRule="auto"/>
              <w:rPr>
                <w:rFonts w:ascii="Arial" w:hAnsi="Arial" w:cs="Arial"/>
                <w:color w:val="000000"/>
                <w:sz w:val="16"/>
                <w:szCs w:val="16"/>
              </w:rPr>
            </w:pPr>
            <w:r w:rsidRPr="005E5367">
              <w:rPr>
                <w:rFonts w:ascii="Arial" w:hAnsi="Arial" w:cs="Arial"/>
                <w:color w:val="000000"/>
                <w:sz w:val="16"/>
                <w:szCs w:val="16"/>
              </w:rPr>
              <w:t> </w:t>
            </w:r>
          </w:p>
        </w:tc>
        <w:tc>
          <w:tcPr>
            <w:tcW w:w="522" w:type="pct"/>
            <w:tcBorders>
              <w:top w:val="nil"/>
              <w:left w:val="nil"/>
              <w:bottom w:val="nil"/>
              <w:right w:val="nil"/>
            </w:tcBorders>
            <w:shd w:val="clear" w:color="000000" w:fill="E6F2FF"/>
            <w:noWrap/>
            <w:vAlign w:val="center"/>
            <w:hideMark/>
          </w:tcPr>
          <w:p w14:paraId="469294B6" w14:textId="77777777" w:rsidR="005E5367" w:rsidRPr="005E5367" w:rsidRDefault="005E5367" w:rsidP="005E5367">
            <w:pPr>
              <w:spacing w:before="0" w:after="0" w:line="240" w:lineRule="auto"/>
              <w:rPr>
                <w:rFonts w:ascii="Arial" w:hAnsi="Arial" w:cs="Arial"/>
                <w:color w:val="000000"/>
                <w:sz w:val="16"/>
                <w:szCs w:val="16"/>
              </w:rPr>
            </w:pPr>
            <w:r w:rsidRPr="005E5367">
              <w:rPr>
                <w:rFonts w:ascii="Arial" w:hAnsi="Arial" w:cs="Arial"/>
                <w:color w:val="000000"/>
                <w:sz w:val="16"/>
                <w:szCs w:val="16"/>
              </w:rPr>
              <w:t> </w:t>
            </w:r>
          </w:p>
        </w:tc>
        <w:tc>
          <w:tcPr>
            <w:tcW w:w="522" w:type="pct"/>
            <w:tcBorders>
              <w:top w:val="nil"/>
              <w:left w:val="nil"/>
              <w:bottom w:val="nil"/>
              <w:right w:val="nil"/>
            </w:tcBorders>
            <w:shd w:val="clear" w:color="000000" w:fill="FFFFFF"/>
            <w:noWrap/>
            <w:vAlign w:val="center"/>
            <w:hideMark/>
          </w:tcPr>
          <w:p w14:paraId="005FF5F1" w14:textId="77777777" w:rsidR="005E5367" w:rsidRPr="005E5367" w:rsidRDefault="005E5367" w:rsidP="005E5367">
            <w:pPr>
              <w:spacing w:before="0" w:after="0" w:line="240" w:lineRule="auto"/>
              <w:rPr>
                <w:rFonts w:ascii="Arial" w:hAnsi="Arial" w:cs="Arial"/>
                <w:color w:val="000000"/>
                <w:sz w:val="16"/>
                <w:szCs w:val="16"/>
              </w:rPr>
            </w:pPr>
            <w:r w:rsidRPr="005E5367">
              <w:rPr>
                <w:rFonts w:ascii="Arial" w:hAnsi="Arial" w:cs="Arial"/>
                <w:color w:val="000000"/>
                <w:sz w:val="16"/>
                <w:szCs w:val="16"/>
              </w:rPr>
              <w:t> </w:t>
            </w:r>
          </w:p>
        </w:tc>
        <w:tc>
          <w:tcPr>
            <w:tcW w:w="522" w:type="pct"/>
            <w:tcBorders>
              <w:top w:val="nil"/>
              <w:left w:val="nil"/>
              <w:bottom w:val="nil"/>
              <w:right w:val="nil"/>
            </w:tcBorders>
            <w:shd w:val="clear" w:color="000000" w:fill="FFFFFF"/>
            <w:noWrap/>
            <w:vAlign w:val="center"/>
            <w:hideMark/>
          </w:tcPr>
          <w:p w14:paraId="7C6AE0A2" w14:textId="77777777" w:rsidR="005E5367" w:rsidRPr="005E5367" w:rsidRDefault="005E5367" w:rsidP="005E5367">
            <w:pPr>
              <w:spacing w:before="0" w:after="0" w:line="240" w:lineRule="auto"/>
              <w:rPr>
                <w:rFonts w:ascii="Arial" w:hAnsi="Arial" w:cs="Arial"/>
                <w:color w:val="000000"/>
                <w:sz w:val="16"/>
                <w:szCs w:val="16"/>
              </w:rPr>
            </w:pPr>
            <w:r w:rsidRPr="005E5367">
              <w:rPr>
                <w:rFonts w:ascii="Arial" w:hAnsi="Arial" w:cs="Arial"/>
                <w:color w:val="000000"/>
                <w:sz w:val="16"/>
                <w:szCs w:val="16"/>
              </w:rPr>
              <w:t> </w:t>
            </w:r>
          </w:p>
        </w:tc>
        <w:tc>
          <w:tcPr>
            <w:tcW w:w="522" w:type="pct"/>
            <w:tcBorders>
              <w:top w:val="nil"/>
              <w:left w:val="nil"/>
              <w:bottom w:val="nil"/>
              <w:right w:val="nil"/>
            </w:tcBorders>
            <w:shd w:val="clear" w:color="000000" w:fill="FFFFFF"/>
            <w:noWrap/>
            <w:vAlign w:val="center"/>
            <w:hideMark/>
          </w:tcPr>
          <w:p w14:paraId="2B38AF00" w14:textId="77777777" w:rsidR="005E5367" w:rsidRPr="005E5367" w:rsidRDefault="005E5367" w:rsidP="005E5367">
            <w:pPr>
              <w:spacing w:before="0" w:after="0" w:line="240" w:lineRule="auto"/>
              <w:rPr>
                <w:rFonts w:ascii="Arial" w:hAnsi="Arial" w:cs="Arial"/>
                <w:color w:val="000000"/>
                <w:sz w:val="16"/>
                <w:szCs w:val="16"/>
              </w:rPr>
            </w:pPr>
            <w:r w:rsidRPr="005E5367">
              <w:rPr>
                <w:rFonts w:ascii="Arial" w:hAnsi="Arial" w:cs="Arial"/>
                <w:color w:val="000000"/>
                <w:sz w:val="16"/>
                <w:szCs w:val="16"/>
              </w:rPr>
              <w:t> </w:t>
            </w:r>
          </w:p>
        </w:tc>
      </w:tr>
      <w:tr w:rsidR="005E5367" w:rsidRPr="005E5367" w14:paraId="5CC628F5" w14:textId="77777777" w:rsidTr="00BF3FAC">
        <w:trPr>
          <w:trHeight w:hRule="exact" w:val="225"/>
        </w:trPr>
        <w:tc>
          <w:tcPr>
            <w:tcW w:w="2388" w:type="pct"/>
            <w:tcBorders>
              <w:top w:val="nil"/>
              <w:left w:val="nil"/>
              <w:bottom w:val="nil"/>
              <w:right w:val="nil"/>
            </w:tcBorders>
            <w:shd w:val="clear" w:color="000000" w:fill="FFFFFF"/>
            <w:noWrap/>
            <w:vAlign w:val="center"/>
            <w:hideMark/>
          </w:tcPr>
          <w:p w14:paraId="2D69AC51" w14:textId="77777777" w:rsidR="005E5367" w:rsidRPr="005E5367" w:rsidRDefault="005E5367" w:rsidP="00BF3FAC">
            <w:pPr>
              <w:spacing w:before="0" w:after="0" w:line="240" w:lineRule="auto"/>
              <w:ind w:left="170"/>
              <w:rPr>
                <w:rFonts w:ascii="Arial" w:hAnsi="Arial" w:cs="Arial"/>
                <w:color w:val="000000"/>
                <w:sz w:val="16"/>
                <w:szCs w:val="16"/>
              </w:rPr>
            </w:pPr>
            <w:r w:rsidRPr="005E5367">
              <w:rPr>
                <w:rFonts w:ascii="Arial" w:hAnsi="Arial" w:cs="Arial"/>
                <w:color w:val="000000"/>
                <w:sz w:val="16"/>
                <w:szCs w:val="16"/>
              </w:rPr>
              <w:t>specific industries</w:t>
            </w:r>
          </w:p>
        </w:tc>
        <w:tc>
          <w:tcPr>
            <w:tcW w:w="523" w:type="pct"/>
            <w:tcBorders>
              <w:top w:val="nil"/>
              <w:left w:val="nil"/>
              <w:bottom w:val="nil"/>
              <w:right w:val="nil"/>
            </w:tcBorders>
            <w:shd w:val="clear" w:color="000000" w:fill="FFFFFF"/>
            <w:noWrap/>
            <w:vAlign w:val="center"/>
            <w:hideMark/>
          </w:tcPr>
          <w:p w14:paraId="4A047944" w14:textId="77777777" w:rsidR="005E5367" w:rsidRPr="005E5367" w:rsidRDefault="005E5367" w:rsidP="005E5367">
            <w:pPr>
              <w:spacing w:before="0" w:after="0" w:line="240" w:lineRule="auto"/>
              <w:jc w:val="right"/>
              <w:rPr>
                <w:rFonts w:ascii="Arial" w:hAnsi="Arial" w:cs="Arial"/>
                <w:color w:val="000000"/>
                <w:sz w:val="16"/>
                <w:szCs w:val="16"/>
              </w:rPr>
            </w:pPr>
            <w:r w:rsidRPr="005E5367">
              <w:rPr>
                <w:rFonts w:ascii="Arial" w:hAnsi="Arial" w:cs="Arial"/>
                <w:color w:val="000000"/>
                <w:sz w:val="16"/>
                <w:szCs w:val="16"/>
              </w:rPr>
              <w:t>45</w:t>
            </w:r>
          </w:p>
        </w:tc>
        <w:tc>
          <w:tcPr>
            <w:tcW w:w="522" w:type="pct"/>
            <w:tcBorders>
              <w:top w:val="nil"/>
              <w:left w:val="nil"/>
              <w:bottom w:val="nil"/>
              <w:right w:val="nil"/>
            </w:tcBorders>
            <w:shd w:val="clear" w:color="000000" w:fill="E6F2FF"/>
            <w:noWrap/>
            <w:vAlign w:val="center"/>
            <w:hideMark/>
          </w:tcPr>
          <w:p w14:paraId="28ACF760" w14:textId="77777777" w:rsidR="005E5367" w:rsidRPr="005E5367" w:rsidRDefault="005E5367" w:rsidP="005E5367">
            <w:pPr>
              <w:spacing w:before="0" w:after="0" w:line="240" w:lineRule="auto"/>
              <w:jc w:val="right"/>
              <w:rPr>
                <w:rFonts w:ascii="Arial" w:hAnsi="Arial" w:cs="Arial"/>
                <w:color w:val="000000"/>
                <w:sz w:val="16"/>
                <w:szCs w:val="16"/>
              </w:rPr>
            </w:pPr>
            <w:r w:rsidRPr="005E5367">
              <w:rPr>
                <w:rFonts w:ascii="Arial" w:hAnsi="Arial" w:cs="Arial"/>
                <w:color w:val="000000"/>
                <w:sz w:val="16"/>
                <w:szCs w:val="16"/>
              </w:rPr>
              <w:t>47</w:t>
            </w:r>
          </w:p>
        </w:tc>
        <w:tc>
          <w:tcPr>
            <w:tcW w:w="522" w:type="pct"/>
            <w:tcBorders>
              <w:top w:val="nil"/>
              <w:left w:val="nil"/>
              <w:bottom w:val="nil"/>
              <w:right w:val="nil"/>
            </w:tcBorders>
            <w:shd w:val="clear" w:color="000000" w:fill="FFFFFF"/>
            <w:noWrap/>
            <w:vAlign w:val="center"/>
            <w:hideMark/>
          </w:tcPr>
          <w:p w14:paraId="0E9AF745" w14:textId="77777777" w:rsidR="005E5367" w:rsidRPr="005E5367" w:rsidRDefault="005E5367" w:rsidP="005E5367">
            <w:pPr>
              <w:spacing w:before="0" w:after="0" w:line="240" w:lineRule="auto"/>
              <w:jc w:val="right"/>
              <w:rPr>
                <w:rFonts w:ascii="Arial" w:hAnsi="Arial" w:cs="Arial"/>
                <w:color w:val="000000"/>
                <w:sz w:val="16"/>
                <w:szCs w:val="16"/>
              </w:rPr>
            </w:pPr>
            <w:r w:rsidRPr="005E5367">
              <w:rPr>
                <w:rFonts w:ascii="Arial" w:hAnsi="Arial" w:cs="Arial"/>
                <w:color w:val="000000"/>
                <w:sz w:val="16"/>
                <w:szCs w:val="16"/>
              </w:rPr>
              <w:t>45</w:t>
            </w:r>
          </w:p>
        </w:tc>
        <w:tc>
          <w:tcPr>
            <w:tcW w:w="522" w:type="pct"/>
            <w:tcBorders>
              <w:top w:val="nil"/>
              <w:left w:val="nil"/>
              <w:bottom w:val="nil"/>
              <w:right w:val="nil"/>
            </w:tcBorders>
            <w:shd w:val="clear" w:color="000000" w:fill="FFFFFF"/>
            <w:noWrap/>
            <w:vAlign w:val="center"/>
            <w:hideMark/>
          </w:tcPr>
          <w:p w14:paraId="6A0CB9ED" w14:textId="77777777" w:rsidR="005E5367" w:rsidRPr="005E5367" w:rsidRDefault="005E5367" w:rsidP="005E5367">
            <w:pPr>
              <w:spacing w:before="0" w:after="0" w:line="240" w:lineRule="auto"/>
              <w:jc w:val="right"/>
              <w:rPr>
                <w:rFonts w:ascii="Arial" w:hAnsi="Arial" w:cs="Arial"/>
                <w:color w:val="000000"/>
                <w:sz w:val="16"/>
                <w:szCs w:val="16"/>
              </w:rPr>
            </w:pPr>
            <w:r w:rsidRPr="005E5367">
              <w:rPr>
                <w:rFonts w:ascii="Arial" w:hAnsi="Arial" w:cs="Arial"/>
                <w:color w:val="000000"/>
                <w:sz w:val="16"/>
                <w:szCs w:val="16"/>
              </w:rPr>
              <w:t>45</w:t>
            </w:r>
          </w:p>
        </w:tc>
        <w:tc>
          <w:tcPr>
            <w:tcW w:w="522" w:type="pct"/>
            <w:tcBorders>
              <w:top w:val="nil"/>
              <w:left w:val="nil"/>
              <w:bottom w:val="nil"/>
              <w:right w:val="nil"/>
            </w:tcBorders>
            <w:shd w:val="clear" w:color="000000" w:fill="FFFFFF"/>
            <w:noWrap/>
            <w:vAlign w:val="center"/>
            <w:hideMark/>
          </w:tcPr>
          <w:p w14:paraId="0545AB38" w14:textId="77777777" w:rsidR="005E5367" w:rsidRPr="005E5367" w:rsidRDefault="005E5367" w:rsidP="005E5367">
            <w:pPr>
              <w:spacing w:before="0" w:after="0" w:line="240" w:lineRule="auto"/>
              <w:jc w:val="right"/>
              <w:rPr>
                <w:rFonts w:ascii="Arial" w:hAnsi="Arial" w:cs="Arial"/>
                <w:color w:val="000000"/>
                <w:sz w:val="16"/>
                <w:szCs w:val="16"/>
              </w:rPr>
            </w:pPr>
            <w:r w:rsidRPr="005E5367">
              <w:rPr>
                <w:rFonts w:ascii="Arial" w:hAnsi="Arial" w:cs="Arial"/>
                <w:color w:val="000000"/>
                <w:sz w:val="16"/>
                <w:szCs w:val="16"/>
              </w:rPr>
              <w:t>45</w:t>
            </w:r>
          </w:p>
        </w:tc>
      </w:tr>
      <w:tr w:rsidR="005E5367" w:rsidRPr="005E5367" w14:paraId="6DC983DB" w14:textId="77777777" w:rsidTr="00BF3FAC">
        <w:trPr>
          <w:trHeight w:hRule="exact" w:val="225"/>
        </w:trPr>
        <w:tc>
          <w:tcPr>
            <w:tcW w:w="2388" w:type="pct"/>
            <w:tcBorders>
              <w:top w:val="nil"/>
              <w:left w:val="nil"/>
              <w:bottom w:val="nil"/>
              <w:right w:val="nil"/>
            </w:tcBorders>
            <w:shd w:val="clear" w:color="000000" w:fill="FFFFFF"/>
            <w:noWrap/>
            <w:vAlign w:val="center"/>
            <w:hideMark/>
          </w:tcPr>
          <w:p w14:paraId="391E1FE3" w14:textId="77777777" w:rsidR="005E5367" w:rsidRPr="005E5367" w:rsidRDefault="005E5367" w:rsidP="005E5367">
            <w:pPr>
              <w:spacing w:before="0" w:after="0" w:line="240" w:lineRule="auto"/>
              <w:rPr>
                <w:rFonts w:ascii="Arial" w:hAnsi="Arial" w:cs="Arial"/>
                <w:color w:val="000000"/>
                <w:sz w:val="16"/>
                <w:szCs w:val="16"/>
              </w:rPr>
            </w:pPr>
            <w:r w:rsidRPr="005E5367">
              <w:rPr>
                <w:rFonts w:ascii="Arial" w:hAnsi="Arial" w:cs="Arial"/>
                <w:color w:val="000000"/>
                <w:sz w:val="16"/>
                <w:szCs w:val="16"/>
              </w:rPr>
              <w:t>Rural assistance</w:t>
            </w:r>
          </w:p>
        </w:tc>
        <w:tc>
          <w:tcPr>
            <w:tcW w:w="523" w:type="pct"/>
            <w:tcBorders>
              <w:top w:val="nil"/>
              <w:left w:val="nil"/>
              <w:bottom w:val="nil"/>
              <w:right w:val="nil"/>
            </w:tcBorders>
            <w:shd w:val="clear" w:color="000000" w:fill="FFFFFF"/>
            <w:noWrap/>
            <w:vAlign w:val="center"/>
            <w:hideMark/>
          </w:tcPr>
          <w:p w14:paraId="53BA1BFC" w14:textId="77777777" w:rsidR="005E5367" w:rsidRPr="005E5367" w:rsidRDefault="005E5367" w:rsidP="005E5367">
            <w:pPr>
              <w:spacing w:before="0" w:after="0" w:line="240" w:lineRule="auto"/>
              <w:jc w:val="right"/>
              <w:rPr>
                <w:rFonts w:ascii="Arial" w:hAnsi="Arial" w:cs="Arial"/>
                <w:color w:val="000000"/>
                <w:sz w:val="16"/>
                <w:szCs w:val="16"/>
              </w:rPr>
            </w:pPr>
            <w:r w:rsidRPr="005E5367">
              <w:rPr>
                <w:rFonts w:ascii="Arial" w:hAnsi="Arial" w:cs="Arial"/>
                <w:color w:val="000000"/>
                <w:sz w:val="16"/>
                <w:szCs w:val="16"/>
              </w:rPr>
              <w:t>406</w:t>
            </w:r>
          </w:p>
        </w:tc>
        <w:tc>
          <w:tcPr>
            <w:tcW w:w="522" w:type="pct"/>
            <w:tcBorders>
              <w:top w:val="nil"/>
              <w:left w:val="nil"/>
              <w:bottom w:val="nil"/>
              <w:right w:val="nil"/>
            </w:tcBorders>
            <w:shd w:val="clear" w:color="000000" w:fill="E6F2FF"/>
            <w:noWrap/>
            <w:vAlign w:val="center"/>
            <w:hideMark/>
          </w:tcPr>
          <w:p w14:paraId="25D06831" w14:textId="77777777" w:rsidR="005E5367" w:rsidRPr="005E5367" w:rsidRDefault="005E5367" w:rsidP="005E5367">
            <w:pPr>
              <w:spacing w:before="0" w:after="0" w:line="240" w:lineRule="auto"/>
              <w:jc w:val="right"/>
              <w:rPr>
                <w:rFonts w:ascii="Arial" w:hAnsi="Arial" w:cs="Arial"/>
                <w:color w:val="000000"/>
                <w:sz w:val="16"/>
                <w:szCs w:val="16"/>
              </w:rPr>
            </w:pPr>
            <w:r w:rsidRPr="005E5367">
              <w:rPr>
                <w:rFonts w:ascii="Arial" w:hAnsi="Arial" w:cs="Arial"/>
                <w:color w:val="000000"/>
                <w:sz w:val="16"/>
                <w:szCs w:val="16"/>
              </w:rPr>
              <w:t>316</w:t>
            </w:r>
          </w:p>
        </w:tc>
        <w:tc>
          <w:tcPr>
            <w:tcW w:w="522" w:type="pct"/>
            <w:tcBorders>
              <w:top w:val="nil"/>
              <w:left w:val="nil"/>
              <w:bottom w:val="nil"/>
              <w:right w:val="nil"/>
            </w:tcBorders>
            <w:shd w:val="clear" w:color="000000" w:fill="FFFFFF"/>
            <w:noWrap/>
            <w:vAlign w:val="center"/>
            <w:hideMark/>
          </w:tcPr>
          <w:p w14:paraId="4739EAE1" w14:textId="77777777" w:rsidR="005E5367" w:rsidRPr="005E5367" w:rsidRDefault="005E5367" w:rsidP="005E5367">
            <w:pPr>
              <w:spacing w:before="0" w:after="0" w:line="240" w:lineRule="auto"/>
              <w:jc w:val="right"/>
              <w:rPr>
                <w:rFonts w:ascii="Arial" w:hAnsi="Arial" w:cs="Arial"/>
                <w:color w:val="000000"/>
                <w:sz w:val="16"/>
                <w:szCs w:val="16"/>
              </w:rPr>
            </w:pPr>
            <w:r w:rsidRPr="005E5367">
              <w:rPr>
                <w:rFonts w:ascii="Arial" w:hAnsi="Arial" w:cs="Arial"/>
                <w:color w:val="000000"/>
                <w:sz w:val="16"/>
                <w:szCs w:val="16"/>
              </w:rPr>
              <w:t>398</w:t>
            </w:r>
          </w:p>
        </w:tc>
        <w:tc>
          <w:tcPr>
            <w:tcW w:w="522" w:type="pct"/>
            <w:tcBorders>
              <w:top w:val="nil"/>
              <w:left w:val="nil"/>
              <w:bottom w:val="nil"/>
              <w:right w:val="nil"/>
            </w:tcBorders>
            <w:shd w:val="clear" w:color="000000" w:fill="FFFFFF"/>
            <w:noWrap/>
            <w:vAlign w:val="center"/>
            <w:hideMark/>
          </w:tcPr>
          <w:p w14:paraId="13F493BB" w14:textId="77777777" w:rsidR="005E5367" w:rsidRPr="005E5367" w:rsidRDefault="005E5367" w:rsidP="005E5367">
            <w:pPr>
              <w:spacing w:before="0" w:after="0" w:line="240" w:lineRule="auto"/>
              <w:jc w:val="right"/>
              <w:rPr>
                <w:rFonts w:ascii="Arial" w:hAnsi="Arial" w:cs="Arial"/>
                <w:color w:val="000000"/>
                <w:sz w:val="16"/>
                <w:szCs w:val="16"/>
              </w:rPr>
            </w:pPr>
            <w:r w:rsidRPr="005E5367">
              <w:rPr>
                <w:rFonts w:ascii="Arial" w:hAnsi="Arial" w:cs="Arial"/>
                <w:color w:val="000000"/>
                <w:sz w:val="16"/>
                <w:szCs w:val="16"/>
              </w:rPr>
              <w:t>379</w:t>
            </w:r>
          </w:p>
        </w:tc>
        <w:tc>
          <w:tcPr>
            <w:tcW w:w="522" w:type="pct"/>
            <w:tcBorders>
              <w:top w:val="nil"/>
              <w:left w:val="nil"/>
              <w:bottom w:val="nil"/>
              <w:right w:val="nil"/>
            </w:tcBorders>
            <w:shd w:val="clear" w:color="000000" w:fill="FFFFFF"/>
            <w:noWrap/>
            <w:vAlign w:val="center"/>
            <w:hideMark/>
          </w:tcPr>
          <w:p w14:paraId="28D4262E" w14:textId="77777777" w:rsidR="005E5367" w:rsidRPr="005E5367" w:rsidRDefault="005E5367" w:rsidP="005E5367">
            <w:pPr>
              <w:spacing w:before="0" w:after="0" w:line="240" w:lineRule="auto"/>
              <w:jc w:val="right"/>
              <w:rPr>
                <w:rFonts w:ascii="Arial" w:hAnsi="Arial" w:cs="Arial"/>
                <w:color w:val="000000"/>
                <w:sz w:val="16"/>
                <w:szCs w:val="16"/>
              </w:rPr>
            </w:pPr>
            <w:r w:rsidRPr="005E5367">
              <w:rPr>
                <w:rFonts w:ascii="Arial" w:hAnsi="Arial" w:cs="Arial"/>
                <w:color w:val="000000"/>
                <w:sz w:val="16"/>
                <w:szCs w:val="16"/>
              </w:rPr>
              <w:t>380</w:t>
            </w:r>
          </w:p>
        </w:tc>
      </w:tr>
      <w:tr w:rsidR="005E5367" w:rsidRPr="005E5367" w14:paraId="7DA3031B" w14:textId="77777777" w:rsidTr="00BF3FAC">
        <w:trPr>
          <w:trHeight w:hRule="exact" w:val="225"/>
        </w:trPr>
        <w:tc>
          <w:tcPr>
            <w:tcW w:w="2388" w:type="pct"/>
            <w:tcBorders>
              <w:top w:val="nil"/>
              <w:left w:val="nil"/>
              <w:bottom w:val="nil"/>
              <w:right w:val="nil"/>
            </w:tcBorders>
            <w:shd w:val="clear" w:color="000000" w:fill="FFFFFF"/>
            <w:noWrap/>
            <w:vAlign w:val="center"/>
            <w:hideMark/>
          </w:tcPr>
          <w:p w14:paraId="66D45DE5" w14:textId="77777777" w:rsidR="005E5367" w:rsidRPr="005E5367" w:rsidRDefault="005E5367" w:rsidP="005E5367">
            <w:pPr>
              <w:spacing w:before="0" w:after="0" w:line="240" w:lineRule="auto"/>
              <w:rPr>
                <w:rFonts w:ascii="Arial" w:hAnsi="Arial" w:cs="Arial"/>
                <w:color w:val="000000"/>
                <w:sz w:val="16"/>
                <w:szCs w:val="16"/>
              </w:rPr>
            </w:pPr>
            <w:r w:rsidRPr="005E5367">
              <w:rPr>
                <w:rFonts w:ascii="Arial" w:hAnsi="Arial" w:cs="Arial"/>
                <w:color w:val="000000"/>
                <w:sz w:val="16"/>
                <w:szCs w:val="16"/>
              </w:rPr>
              <w:t>Natural resources development</w:t>
            </w:r>
          </w:p>
        </w:tc>
        <w:tc>
          <w:tcPr>
            <w:tcW w:w="523" w:type="pct"/>
            <w:tcBorders>
              <w:top w:val="nil"/>
              <w:left w:val="nil"/>
              <w:bottom w:val="nil"/>
              <w:right w:val="nil"/>
            </w:tcBorders>
            <w:shd w:val="clear" w:color="000000" w:fill="FFFFFF"/>
            <w:noWrap/>
            <w:vAlign w:val="center"/>
            <w:hideMark/>
          </w:tcPr>
          <w:p w14:paraId="7C230569" w14:textId="77777777" w:rsidR="005E5367" w:rsidRPr="005E5367" w:rsidRDefault="005E5367" w:rsidP="005E5367">
            <w:pPr>
              <w:spacing w:before="0" w:after="0" w:line="240" w:lineRule="auto"/>
              <w:jc w:val="right"/>
              <w:rPr>
                <w:rFonts w:ascii="Arial" w:hAnsi="Arial" w:cs="Arial"/>
                <w:color w:val="000000"/>
                <w:sz w:val="16"/>
                <w:szCs w:val="16"/>
              </w:rPr>
            </w:pPr>
            <w:r w:rsidRPr="005E5367">
              <w:rPr>
                <w:rFonts w:ascii="Arial" w:hAnsi="Arial" w:cs="Arial"/>
                <w:color w:val="000000"/>
                <w:sz w:val="16"/>
                <w:szCs w:val="16"/>
              </w:rPr>
              <w:t>1,089</w:t>
            </w:r>
          </w:p>
        </w:tc>
        <w:tc>
          <w:tcPr>
            <w:tcW w:w="522" w:type="pct"/>
            <w:tcBorders>
              <w:top w:val="nil"/>
              <w:left w:val="nil"/>
              <w:bottom w:val="nil"/>
              <w:right w:val="nil"/>
            </w:tcBorders>
            <w:shd w:val="clear" w:color="000000" w:fill="E6F2FF"/>
            <w:noWrap/>
            <w:vAlign w:val="center"/>
            <w:hideMark/>
          </w:tcPr>
          <w:p w14:paraId="66938A93" w14:textId="77777777" w:rsidR="005E5367" w:rsidRPr="005E5367" w:rsidRDefault="005E5367" w:rsidP="005E5367">
            <w:pPr>
              <w:spacing w:before="0" w:after="0" w:line="240" w:lineRule="auto"/>
              <w:jc w:val="right"/>
              <w:rPr>
                <w:rFonts w:ascii="Arial" w:hAnsi="Arial" w:cs="Arial"/>
                <w:color w:val="000000"/>
                <w:sz w:val="16"/>
                <w:szCs w:val="16"/>
              </w:rPr>
            </w:pPr>
            <w:r w:rsidRPr="005E5367">
              <w:rPr>
                <w:rFonts w:ascii="Arial" w:hAnsi="Arial" w:cs="Arial"/>
                <w:color w:val="000000"/>
                <w:sz w:val="16"/>
                <w:szCs w:val="16"/>
              </w:rPr>
              <w:t>1,346</w:t>
            </w:r>
          </w:p>
        </w:tc>
        <w:tc>
          <w:tcPr>
            <w:tcW w:w="522" w:type="pct"/>
            <w:tcBorders>
              <w:top w:val="nil"/>
              <w:left w:val="nil"/>
              <w:bottom w:val="nil"/>
              <w:right w:val="nil"/>
            </w:tcBorders>
            <w:shd w:val="clear" w:color="000000" w:fill="FFFFFF"/>
            <w:noWrap/>
            <w:vAlign w:val="center"/>
            <w:hideMark/>
          </w:tcPr>
          <w:p w14:paraId="453805F0" w14:textId="77777777" w:rsidR="005E5367" w:rsidRPr="005E5367" w:rsidRDefault="005E5367" w:rsidP="005E5367">
            <w:pPr>
              <w:spacing w:before="0" w:after="0" w:line="240" w:lineRule="auto"/>
              <w:jc w:val="right"/>
              <w:rPr>
                <w:rFonts w:ascii="Arial" w:hAnsi="Arial" w:cs="Arial"/>
                <w:color w:val="000000"/>
                <w:sz w:val="16"/>
                <w:szCs w:val="16"/>
              </w:rPr>
            </w:pPr>
            <w:r w:rsidRPr="005E5367">
              <w:rPr>
                <w:rFonts w:ascii="Arial" w:hAnsi="Arial" w:cs="Arial"/>
                <w:color w:val="000000"/>
                <w:sz w:val="16"/>
                <w:szCs w:val="16"/>
              </w:rPr>
              <w:t>1,177</w:t>
            </w:r>
          </w:p>
        </w:tc>
        <w:tc>
          <w:tcPr>
            <w:tcW w:w="522" w:type="pct"/>
            <w:tcBorders>
              <w:top w:val="nil"/>
              <w:left w:val="nil"/>
              <w:bottom w:val="nil"/>
              <w:right w:val="nil"/>
            </w:tcBorders>
            <w:shd w:val="clear" w:color="000000" w:fill="FFFFFF"/>
            <w:noWrap/>
            <w:vAlign w:val="center"/>
            <w:hideMark/>
          </w:tcPr>
          <w:p w14:paraId="1148AE8B" w14:textId="77777777" w:rsidR="005E5367" w:rsidRPr="005E5367" w:rsidRDefault="005E5367" w:rsidP="005E5367">
            <w:pPr>
              <w:spacing w:before="0" w:after="0" w:line="240" w:lineRule="auto"/>
              <w:jc w:val="right"/>
              <w:rPr>
                <w:rFonts w:ascii="Arial" w:hAnsi="Arial" w:cs="Arial"/>
                <w:color w:val="000000"/>
                <w:sz w:val="16"/>
                <w:szCs w:val="16"/>
              </w:rPr>
            </w:pPr>
            <w:r w:rsidRPr="005E5367">
              <w:rPr>
                <w:rFonts w:ascii="Arial" w:hAnsi="Arial" w:cs="Arial"/>
                <w:color w:val="000000"/>
                <w:sz w:val="16"/>
                <w:szCs w:val="16"/>
              </w:rPr>
              <w:t>1,106</w:t>
            </w:r>
          </w:p>
        </w:tc>
        <w:tc>
          <w:tcPr>
            <w:tcW w:w="522" w:type="pct"/>
            <w:tcBorders>
              <w:top w:val="nil"/>
              <w:left w:val="nil"/>
              <w:bottom w:val="nil"/>
              <w:right w:val="nil"/>
            </w:tcBorders>
            <w:shd w:val="clear" w:color="000000" w:fill="FFFFFF"/>
            <w:noWrap/>
            <w:vAlign w:val="center"/>
            <w:hideMark/>
          </w:tcPr>
          <w:p w14:paraId="2C5CC29E" w14:textId="77777777" w:rsidR="005E5367" w:rsidRPr="005E5367" w:rsidRDefault="005E5367" w:rsidP="005E5367">
            <w:pPr>
              <w:spacing w:before="0" w:after="0" w:line="240" w:lineRule="auto"/>
              <w:jc w:val="right"/>
              <w:rPr>
                <w:rFonts w:ascii="Arial" w:hAnsi="Arial" w:cs="Arial"/>
                <w:color w:val="000000"/>
                <w:sz w:val="16"/>
                <w:szCs w:val="16"/>
              </w:rPr>
            </w:pPr>
            <w:r w:rsidRPr="005E5367">
              <w:rPr>
                <w:rFonts w:ascii="Arial" w:hAnsi="Arial" w:cs="Arial"/>
                <w:color w:val="000000"/>
                <w:sz w:val="16"/>
                <w:szCs w:val="16"/>
              </w:rPr>
              <w:t>485</w:t>
            </w:r>
          </w:p>
        </w:tc>
      </w:tr>
      <w:tr w:rsidR="005E5367" w:rsidRPr="005E5367" w14:paraId="7CC017C2" w14:textId="77777777" w:rsidTr="00236E34">
        <w:trPr>
          <w:trHeight w:hRule="exact" w:val="225"/>
        </w:trPr>
        <w:tc>
          <w:tcPr>
            <w:tcW w:w="2388" w:type="pct"/>
            <w:tcBorders>
              <w:top w:val="nil"/>
              <w:left w:val="nil"/>
              <w:bottom w:val="nil"/>
              <w:right w:val="nil"/>
            </w:tcBorders>
            <w:shd w:val="clear" w:color="000000" w:fill="FFFFFF"/>
            <w:noWrap/>
            <w:vAlign w:val="center"/>
            <w:hideMark/>
          </w:tcPr>
          <w:p w14:paraId="71BB2F99" w14:textId="77777777" w:rsidR="005E5367" w:rsidRPr="005E5367" w:rsidRDefault="005E5367" w:rsidP="005E5367">
            <w:pPr>
              <w:spacing w:before="0" w:after="0" w:line="240" w:lineRule="auto"/>
              <w:rPr>
                <w:rFonts w:ascii="Arial" w:hAnsi="Arial" w:cs="Arial"/>
                <w:color w:val="000000"/>
                <w:sz w:val="16"/>
                <w:szCs w:val="16"/>
              </w:rPr>
            </w:pPr>
            <w:r w:rsidRPr="005E5367">
              <w:rPr>
                <w:rFonts w:ascii="Arial" w:hAnsi="Arial" w:cs="Arial"/>
                <w:color w:val="000000"/>
                <w:sz w:val="16"/>
                <w:szCs w:val="16"/>
              </w:rPr>
              <w:t>General administration</w:t>
            </w:r>
          </w:p>
        </w:tc>
        <w:tc>
          <w:tcPr>
            <w:tcW w:w="523" w:type="pct"/>
            <w:tcBorders>
              <w:top w:val="nil"/>
              <w:left w:val="nil"/>
              <w:bottom w:val="single" w:sz="4" w:space="0" w:color="293F5B"/>
              <w:right w:val="nil"/>
            </w:tcBorders>
            <w:shd w:val="clear" w:color="000000" w:fill="FFFFFF"/>
            <w:noWrap/>
            <w:vAlign w:val="center"/>
            <w:hideMark/>
          </w:tcPr>
          <w:p w14:paraId="351DE61C" w14:textId="77777777" w:rsidR="005E5367" w:rsidRPr="005E5367" w:rsidRDefault="005E5367" w:rsidP="005E5367">
            <w:pPr>
              <w:spacing w:before="0" w:after="0" w:line="240" w:lineRule="auto"/>
              <w:jc w:val="right"/>
              <w:rPr>
                <w:rFonts w:ascii="Arial" w:hAnsi="Arial" w:cs="Arial"/>
                <w:color w:val="000000"/>
                <w:sz w:val="16"/>
                <w:szCs w:val="16"/>
              </w:rPr>
            </w:pPr>
            <w:r w:rsidRPr="005E5367">
              <w:rPr>
                <w:rFonts w:ascii="Arial" w:hAnsi="Arial" w:cs="Arial"/>
                <w:color w:val="000000"/>
                <w:sz w:val="16"/>
                <w:szCs w:val="16"/>
              </w:rPr>
              <w:t>1,364</w:t>
            </w:r>
          </w:p>
        </w:tc>
        <w:tc>
          <w:tcPr>
            <w:tcW w:w="522" w:type="pct"/>
            <w:tcBorders>
              <w:top w:val="nil"/>
              <w:left w:val="nil"/>
              <w:bottom w:val="single" w:sz="4" w:space="0" w:color="293F5B"/>
              <w:right w:val="nil"/>
            </w:tcBorders>
            <w:shd w:val="clear" w:color="000000" w:fill="E6F2FF"/>
            <w:noWrap/>
            <w:vAlign w:val="center"/>
            <w:hideMark/>
          </w:tcPr>
          <w:p w14:paraId="57119ECE" w14:textId="77777777" w:rsidR="005E5367" w:rsidRPr="005E5367" w:rsidRDefault="005E5367" w:rsidP="005E5367">
            <w:pPr>
              <w:spacing w:before="0" w:after="0" w:line="240" w:lineRule="auto"/>
              <w:jc w:val="right"/>
              <w:rPr>
                <w:rFonts w:ascii="Arial" w:hAnsi="Arial" w:cs="Arial"/>
                <w:color w:val="000000"/>
                <w:sz w:val="16"/>
                <w:szCs w:val="16"/>
              </w:rPr>
            </w:pPr>
            <w:r w:rsidRPr="005E5367">
              <w:rPr>
                <w:rFonts w:ascii="Arial" w:hAnsi="Arial" w:cs="Arial"/>
                <w:color w:val="000000"/>
                <w:sz w:val="16"/>
                <w:szCs w:val="16"/>
              </w:rPr>
              <w:t>1,411</w:t>
            </w:r>
          </w:p>
        </w:tc>
        <w:tc>
          <w:tcPr>
            <w:tcW w:w="522" w:type="pct"/>
            <w:tcBorders>
              <w:top w:val="nil"/>
              <w:left w:val="nil"/>
              <w:bottom w:val="single" w:sz="4" w:space="0" w:color="293F5B"/>
              <w:right w:val="nil"/>
            </w:tcBorders>
            <w:shd w:val="clear" w:color="000000" w:fill="FFFFFF"/>
            <w:noWrap/>
            <w:vAlign w:val="center"/>
            <w:hideMark/>
          </w:tcPr>
          <w:p w14:paraId="5A062E7C" w14:textId="77777777" w:rsidR="005E5367" w:rsidRPr="005E5367" w:rsidRDefault="005E5367" w:rsidP="005E5367">
            <w:pPr>
              <w:spacing w:before="0" w:after="0" w:line="240" w:lineRule="auto"/>
              <w:jc w:val="right"/>
              <w:rPr>
                <w:rFonts w:ascii="Arial" w:hAnsi="Arial" w:cs="Arial"/>
                <w:color w:val="000000"/>
                <w:sz w:val="16"/>
                <w:szCs w:val="16"/>
              </w:rPr>
            </w:pPr>
            <w:r w:rsidRPr="005E5367">
              <w:rPr>
                <w:rFonts w:ascii="Arial" w:hAnsi="Arial" w:cs="Arial"/>
                <w:color w:val="000000"/>
                <w:sz w:val="16"/>
                <w:szCs w:val="16"/>
              </w:rPr>
              <w:t>1,306</w:t>
            </w:r>
          </w:p>
        </w:tc>
        <w:tc>
          <w:tcPr>
            <w:tcW w:w="522" w:type="pct"/>
            <w:tcBorders>
              <w:top w:val="nil"/>
              <w:left w:val="nil"/>
              <w:bottom w:val="single" w:sz="4" w:space="0" w:color="293F5B"/>
              <w:right w:val="nil"/>
            </w:tcBorders>
            <w:shd w:val="clear" w:color="000000" w:fill="FFFFFF"/>
            <w:noWrap/>
            <w:vAlign w:val="center"/>
            <w:hideMark/>
          </w:tcPr>
          <w:p w14:paraId="3A32293B" w14:textId="77777777" w:rsidR="005E5367" w:rsidRPr="005E5367" w:rsidRDefault="005E5367" w:rsidP="005E5367">
            <w:pPr>
              <w:spacing w:before="0" w:after="0" w:line="240" w:lineRule="auto"/>
              <w:jc w:val="right"/>
              <w:rPr>
                <w:rFonts w:ascii="Arial" w:hAnsi="Arial" w:cs="Arial"/>
                <w:color w:val="000000"/>
                <w:sz w:val="16"/>
                <w:szCs w:val="16"/>
              </w:rPr>
            </w:pPr>
            <w:r w:rsidRPr="005E5367">
              <w:rPr>
                <w:rFonts w:ascii="Arial" w:hAnsi="Arial" w:cs="Arial"/>
                <w:color w:val="000000"/>
                <w:sz w:val="16"/>
                <w:szCs w:val="16"/>
              </w:rPr>
              <w:t>1,269</w:t>
            </w:r>
          </w:p>
        </w:tc>
        <w:tc>
          <w:tcPr>
            <w:tcW w:w="522" w:type="pct"/>
            <w:tcBorders>
              <w:top w:val="nil"/>
              <w:left w:val="nil"/>
              <w:bottom w:val="single" w:sz="4" w:space="0" w:color="293F5B"/>
              <w:right w:val="nil"/>
            </w:tcBorders>
            <w:shd w:val="clear" w:color="000000" w:fill="FFFFFF"/>
            <w:noWrap/>
            <w:vAlign w:val="center"/>
            <w:hideMark/>
          </w:tcPr>
          <w:p w14:paraId="3164A2A3" w14:textId="77777777" w:rsidR="005E5367" w:rsidRPr="005E5367" w:rsidRDefault="005E5367" w:rsidP="005E5367">
            <w:pPr>
              <w:spacing w:before="0" w:after="0" w:line="240" w:lineRule="auto"/>
              <w:jc w:val="right"/>
              <w:rPr>
                <w:rFonts w:ascii="Arial" w:hAnsi="Arial" w:cs="Arial"/>
                <w:color w:val="000000"/>
                <w:sz w:val="16"/>
                <w:szCs w:val="16"/>
              </w:rPr>
            </w:pPr>
            <w:r w:rsidRPr="005E5367">
              <w:rPr>
                <w:rFonts w:ascii="Arial" w:hAnsi="Arial" w:cs="Arial"/>
                <w:color w:val="000000"/>
                <w:sz w:val="16"/>
                <w:szCs w:val="16"/>
              </w:rPr>
              <w:t>1,271</w:t>
            </w:r>
          </w:p>
        </w:tc>
      </w:tr>
      <w:tr w:rsidR="005E5367" w:rsidRPr="005E5367" w14:paraId="60BBD045" w14:textId="77777777" w:rsidTr="00BF3FAC">
        <w:trPr>
          <w:trHeight w:hRule="exact" w:val="225"/>
        </w:trPr>
        <w:tc>
          <w:tcPr>
            <w:tcW w:w="2388" w:type="pct"/>
            <w:tcBorders>
              <w:top w:val="nil"/>
              <w:left w:val="nil"/>
              <w:bottom w:val="single" w:sz="4" w:space="0" w:color="293F5B"/>
              <w:right w:val="nil"/>
            </w:tcBorders>
            <w:shd w:val="clear" w:color="000000" w:fill="FFFFFF"/>
            <w:noWrap/>
            <w:vAlign w:val="center"/>
            <w:hideMark/>
          </w:tcPr>
          <w:p w14:paraId="705C77CB" w14:textId="77777777" w:rsidR="005E5367" w:rsidRPr="005E5367" w:rsidRDefault="005E5367" w:rsidP="005E5367">
            <w:pPr>
              <w:spacing w:before="0" w:after="0" w:line="240" w:lineRule="auto"/>
              <w:rPr>
                <w:rFonts w:ascii="Arial" w:hAnsi="Arial" w:cs="Arial"/>
                <w:b/>
                <w:bCs/>
                <w:color w:val="000000"/>
                <w:sz w:val="16"/>
                <w:szCs w:val="16"/>
              </w:rPr>
            </w:pPr>
            <w:r w:rsidRPr="005E5367">
              <w:rPr>
                <w:rFonts w:ascii="Arial" w:hAnsi="Arial" w:cs="Arial"/>
                <w:b/>
                <w:bCs/>
                <w:color w:val="000000"/>
                <w:sz w:val="16"/>
                <w:szCs w:val="16"/>
              </w:rPr>
              <w:t>Total agriculture, forestry and fishing</w:t>
            </w:r>
          </w:p>
        </w:tc>
        <w:tc>
          <w:tcPr>
            <w:tcW w:w="523" w:type="pct"/>
            <w:tcBorders>
              <w:top w:val="single" w:sz="4" w:space="0" w:color="293F5B"/>
              <w:left w:val="nil"/>
              <w:bottom w:val="single" w:sz="4" w:space="0" w:color="293F5B"/>
              <w:right w:val="nil"/>
            </w:tcBorders>
            <w:shd w:val="clear" w:color="000000" w:fill="FFFFFF"/>
            <w:noWrap/>
            <w:vAlign w:val="center"/>
            <w:hideMark/>
          </w:tcPr>
          <w:p w14:paraId="266C8C93" w14:textId="77777777" w:rsidR="005E5367" w:rsidRPr="005E5367" w:rsidRDefault="005E5367" w:rsidP="005E5367">
            <w:pPr>
              <w:spacing w:before="0" w:after="0" w:line="240" w:lineRule="auto"/>
              <w:jc w:val="right"/>
              <w:rPr>
                <w:rFonts w:ascii="Arial" w:hAnsi="Arial" w:cs="Arial"/>
                <w:b/>
                <w:bCs/>
                <w:color w:val="000000"/>
                <w:sz w:val="16"/>
                <w:szCs w:val="16"/>
              </w:rPr>
            </w:pPr>
            <w:r w:rsidRPr="005E5367">
              <w:rPr>
                <w:rFonts w:ascii="Arial" w:hAnsi="Arial" w:cs="Arial"/>
                <w:b/>
                <w:bCs/>
                <w:color w:val="000000"/>
                <w:sz w:val="16"/>
                <w:szCs w:val="16"/>
              </w:rPr>
              <w:t>4,068</w:t>
            </w:r>
          </w:p>
        </w:tc>
        <w:tc>
          <w:tcPr>
            <w:tcW w:w="522" w:type="pct"/>
            <w:tcBorders>
              <w:top w:val="single" w:sz="4" w:space="0" w:color="293F5B"/>
              <w:left w:val="nil"/>
              <w:bottom w:val="single" w:sz="4" w:space="0" w:color="293F5B"/>
              <w:right w:val="nil"/>
            </w:tcBorders>
            <w:shd w:val="clear" w:color="000000" w:fill="E6F2FF"/>
            <w:noWrap/>
            <w:vAlign w:val="center"/>
            <w:hideMark/>
          </w:tcPr>
          <w:p w14:paraId="2D59B78C" w14:textId="77777777" w:rsidR="005E5367" w:rsidRPr="005E5367" w:rsidRDefault="005E5367" w:rsidP="005E5367">
            <w:pPr>
              <w:spacing w:before="0" w:after="0" w:line="240" w:lineRule="auto"/>
              <w:jc w:val="right"/>
              <w:rPr>
                <w:rFonts w:ascii="Arial" w:hAnsi="Arial" w:cs="Arial"/>
                <w:b/>
                <w:bCs/>
                <w:color w:val="000000"/>
                <w:sz w:val="16"/>
                <w:szCs w:val="16"/>
              </w:rPr>
            </w:pPr>
            <w:r w:rsidRPr="005E5367">
              <w:rPr>
                <w:rFonts w:ascii="Arial" w:hAnsi="Arial" w:cs="Arial"/>
                <w:b/>
                <w:bCs/>
                <w:color w:val="000000"/>
                <w:sz w:val="16"/>
                <w:szCs w:val="16"/>
              </w:rPr>
              <w:t>4,317</w:t>
            </w:r>
          </w:p>
        </w:tc>
        <w:tc>
          <w:tcPr>
            <w:tcW w:w="522" w:type="pct"/>
            <w:tcBorders>
              <w:top w:val="single" w:sz="4" w:space="0" w:color="293F5B"/>
              <w:left w:val="nil"/>
              <w:bottom w:val="single" w:sz="4" w:space="0" w:color="293F5B"/>
              <w:right w:val="nil"/>
            </w:tcBorders>
            <w:shd w:val="clear" w:color="000000" w:fill="FFFFFF"/>
            <w:noWrap/>
            <w:vAlign w:val="center"/>
            <w:hideMark/>
          </w:tcPr>
          <w:p w14:paraId="65E34F06" w14:textId="77777777" w:rsidR="005E5367" w:rsidRPr="005E5367" w:rsidRDefault="005E5367" w:rsidP="005E5367">
            <w:pPr>
              <w:spacing w:before="0" w:after="0" w:line="240" w:lineRule="auto"/>
              <w:jc w:val="right"/>
              <w:rPr>
                <w:rFonts w:ascii="Arial" w:hAnsi="Arial" w:cs="Arial"/>
                <w:b/>
                <w:bCs/>
                <w:color w:val="000000"/>
                <w:sz w:val="16"/>
                <w:szCs w:val="16"/>
              </w:rPr>
            </w:pPr>
            <w:r w:rsidRPr="005E5367">
              <w:rPr>
                <w:rFonts w:ascii="Arial" w:hAnsi="Arial" w:cs="Arial"/>
                <w:b/>
                <w:bCs/>
                <w:color w:val="000000"/>
                <w:sz w:val="16"/>
                <w:szCs w:val="16"/>
              </w:rPr>
              <w:t>4,079</w:t>
            </w:r>
          </w:p>
        </w:tc>
        <w:tc>
          <w:tcPr>
            <w:tcW w:w="522" w:type="pct"/>
            <w:tcBorders>
              <w:top w:val="single" w:sz="4" w:space="0" w:color="293F5B"/>
              <w:left w:val="nil"/>
              <w:bottom w:val="single" w:sz="4" w:space="0" w:color="293F5B"/>
              <w:right w:val="nil"/>
            </w:tcBorders>
            <w:shd w:val="clear" w:color="000000" w:fill="FFFFFF"/>
            <w:noWrap/>
            <w:vAlign w:val="center"/>
            <w:hideMark/>
          </w:tcPr>
          <w:p w14:paraId="5C5B78DD" w14:textId="77777777" w:rsidR="005E5367" w:rsidRPr="005E5367" w:rsidRDefault="005E5367" w:rsidP="005E5367">
            <w:pPr>
              <w:spacing w:before="0" w:after="0" w:line="240" w:lineRule="auto"/>
              <w:jc w:val="right"/>
              <w:rPr>
                <w:rFonts w:ascii="Arial" w:hAnsi="Arial" w:cs="Arial"/>
                <w:b/>
                <w:bCs/>
                <w:color w:val="000000"/>
                <w:sz w:val="16"/>
                <w:szCs w:val="16"/>
              </w:rPr>
            </w:pPr>
            <w:r w:rsidRPr="005E5367">
              <w:rPr>
                <w:rFonts w:ascii="Arial" w:hAnsi="Arial" w:cs="Arial"/>
                <w:b/>
                <w:bCs/>
                <w:color w:val="000000"/>
                <w:sz w:val="16"/>
                <w:szCs w:val="16"/>
              </w:rPr>
              <w:t>3,949</w:t>
            </w:r>
          </w:p>
        </w:tc>
        <w:tc>
          <w:tcPr>
            <w:tcW w:w="522" w:type="pct"/>
            <w:tcBorders>
              <w:top w:val="single" w:sz="4" w:space="0" w:color="293F5B"/>
              <w:left w:val="nil"/>
              <w:bottom w:val="single" w:sz="4" w:space="0" w:color="293F5B"/>
              <w:right w:val="nil"/>
            </w:tcBorders>
            <w:shd w:val="clear" w:color="000000" w:fill="FFFFFF"/>
            <w:noWrap/>
            <w:vAlign w:val="center"/>
            <w:hideMark/>
          </w:tcPr>
          <w:p w14:paraId="3C388E67" w14:textId="77777777" w:rsidR="005E5367" w:rsidRPr="005E5367" w:rsidRDefault="005E5367" w:rsidP="005E5367">
            <w:pPr>
              <w:spacing w:before="0" w:after="0" w:line="240" w:lineRule="auto"/>
              <w:jc w:val="right"/>
              <w:rPr>
                <w:rFonts w:ascii="Arial" w:hAnsi="Arial" w:cs="Arial"/>
                <w:b/>
                <w:bCs/>
                <w:color w:val="000000"/>
                <w:sz w:val="16"/>
                <w:szCs w:val="16"/>
              </w:rPr>
            </w:pPr>
            <w:r w:rsidRPr="005E5367">
              <w:rPr>
                <w:rFonts w:ascii="Arial" w:hAnsi="Arial" w:cs="Arial"/>
                <w:b/>
                <w:bCs/>
                <w:color w:val="000000"/>
                <w:sz w:val="16"/>
                <w:szCs w:val="16"/>
              </w:rPr>
              <w:t>3,294</w:t>
            </w:r>
          </w:p>
        </w:tc>
      </w:tr>
    </w:tbl>
    <w:bookmarkEnd w:id="135"/>
    <w:bookmarkEnd w:id="136"/>
    <w:bookmarkEnd w:id="140"/>
    <w:bookmarkEnd w:id="141"/>
    <w:p w14:paraId="6CB4AAB6" w14:textId="1B75EAB0" w:rsidR="00AA51E3" w:rsidRPr="004433F7" w:rsidRDefault="00AA51E3" w:rsidP="008563E3">
      <w:r w:rsidRPr="004433F7">
        <w:t xml:space="preserve">Total expenses </w:t>
      </w:r>
      <w:r w:rsidR="00326A2C">
        <w:t xml:space="preserve">for </w:t>
      </w:r>
      <w:r w:rsidRPr="004433F7">
        <w:t xml:space="preserve">agriculture, forestry and fishing are estimated to decrease by </w:t>
      </w:r>
      <w:r w:rsidR="00FE4769">
        <w:t>23.7</w:t>
      </w:r>
      <w:r w:rsidRPr="004433F7">
        <w:t> per </w:t>
      </w:r>
      <w:r w:rsidRPr="004E0DC3">
        <w:t>cent over</w:t>
      </w:r>
      <w:r w:rsidRPr="004433F7">
        <w:t xml:space="preserve"> the period 2024–25 to 2027–28. </w:t>
      </w:r>
      <w:r>
        <w:t>The</w:t>
      </w:r>
      <w:r w:rsidR="004E0DC3">
        <w:t xml:space="preserve"> expected</w:t>
      </w:r>
      <w:r>
        <w:t xml:space="preserve"> decrease largely reflects the scheduled completion of activities under the </w:t>
      </w:r>
      <w:r w:rsidRPr="008563E3">
        <w:rPr>
          <w:rStyle w:val="Emphasis"/>
        </w:rPr>
        <w:t>Murray</w:t>
      </w:r>
      <w:r w:rsidR="008D4F6B" w:rsidRPr="008563E3">
        <w:rPr>
          <w:rStyle w:val="Emphasis"/>
        </w:rPr>
        <w:noBreakHyphen/>
      </w:r>
      <w:r w:rsidRPr="008563E3">
        <w:rPr>
          <w:rStyle w:val="Emphasis"/>
        </w:rPr>
        <w:t>Darling Basin Plan 2012 (Basin Plan)</w:t>
      </w:r>
      <w:r w:rsidRPr="00C2519B">
        <w:t xml:space="preserve">, within </w:t>
      </w:r>
      <w:r w:rsidRPr="008563E3">
        <w:rPr>
          <w:rStyle w:val="Strong"/>
        </w:rPr>
        <w:t>natural resources development</w:t>
      </w:r>
      <w:r w:rsidRPr="009056E8">
        <w:t>.</w:t>
      </w:r>
    </w:p>
    <w:p w14:paraId="4CBB96BA" w14:textId="75CA126F" w:rsidR="00AD782E" w:rsidRPr="000177D7" w:rsidRDefault="00AD782E" w:rsidP="00AD782E">
      <w:pPr>
        <w:rPr>
          <w:lang w:val="en-US"/>
        </w:rPr>
      </w:pPr>
      <w:r w:rsidRPr="006B4F9E">
        <w:t xml:space="preserve">The overall decrease </w:t>
      </w:r>
      <w:r>
        <w:t xml:space="preserve">in the agriculture, forestry and fishing function </w:t>
      </w:r>
      <w:r w:rsidRPr="006B4F9E">
        <w:t xml:space="preserve">is partially offset by an increase in </w:t>
      </w:r>
      <w:r>
        <w:t>expenses</w:t>
      </w:r>
      <w:r w:rsidR="00E70969">
        <w:t xml:space="preserve"> for</w:t>
      </w:r>
      <w:r w:rsidRPr="006B4F9E">
        <w:t xml:space="preserve"> </w:t>
      </w:r>
      <w:r w:rsidRPr="008563E3">
        <w:rPr>
          <w:rStyle w:val="Strong"/>
        </w:rPr>
        <w:t>rural assistance</w:t>
      </w:r>
      <w:r>
        <w:t>.</w:t>
      </w:r>
      <w:r w:rsidRPr="006B4F9E" w:rsidDel="006B4F9E">
        <w:t xml:space="preserve"> </w:t>
      </w:r>
      <w:r w:rsidRPr="006B4F9E">
        <w:t xml:space="preserve">This is largely </w:t>
      </w:r>
      <w:r>
        <w:t xml:space="preserve">due </w:t>
      </w:r>
      <w:r w:rsidRPr="006B4F9E">
        <w:t>to an expected increase in Farm Household Allowance payments from 2024</w:t>
      </w:r>
      <w:r>
        <w:t>–</w:t>
      </w:r>
      <w:r w:rsidRPr="006B4F9E">
        <w:t>25</w:t>
      </w:r>
      <w:r>
        <w:t>, due to</w:t>
      </w:r>
      <w:r w:rsidRPr="006B4F9E">
        <w:t xml:space="preserve"> the start of the new </w:t>
      </w:r>
      <w:r w:rsidR="00B35E5A">
        <w:t xml:space="preserve">ten </w:t>
      </w:r>
      <w:r w:rsidRPr="006B4F9E">
        <w:t>year claim period for eligible recipients on 1</w:t>
      </w:r>
      <w:r w:rsidR="008563E3">
        <w:t> </w:t>
      </w:r>
      <w:r w:rsidRPr="006B4F9E">
        <w:t>July</w:t>
      </w:r>
      <w:r w:rsidR="008563E3">
        <w:t> </w:t>
      </w:r>
      <w:r w:rsidRPr="006B4F9E">
        <w:t>2024.</w:t>
      </w:r>
    </w:p>
    <w:p w14:paraId="56AAB5AF" w14:textId="1B250296" w:rsidR="00A073D9" w:rsidRDefault="00E70969" w:rsidP="00DB7A6A">
      <w:pPr>
        <w:keepLines/>
        <w:rPr>
          <w:lang w:val="en-US"/>
        </w:rPr>
      </w:pPr>
      <w:bookmarkStart w:id="144" w:name="_Hlk165973721"/>
      <w:r w:rsidRPr="00E5015C">
        <w:rPr>
          <w:rStyle w:val="Strong"/>
        </w:rPr>
        <w:lastRenderedPageBreak/>
        <w:t>N</w:t>
      </w:r>
      <w:r w:rsidR="00A073D9" w:rsidRPr="00E5015C">
        <w:rPr>
          <w:rStyle w:val="Strong"/>
        </w:rPr>
        <w:t>atural resources development</w:t>
      </w:r>
      <w:r w:rsidR="00A073D9" w:rsidRPr="11D23768">
        <w:rPr>
          <w:lang w:val="en-US"/>
        </w:rPr>
        <w:t xml:space="preserve"> </w:t>
      </w:r>
      <w:r>
        <w:rPr>
          <w:lang w:val="en-US"/>
        </w:rPr>
        <w:t xml:space="preserve">expenses </w:t>
      </w:r>
      <w:r w:rsidR="00A073D9" w:rsidRPr="11D23768">
        <w:rPr>
          <w:lang w:val="en-US"/>
        </w:rPr>
        <w:t xml:space="preserve">are estimated to decrease over the period </w:t>
      </w:r>
      <w:r w:rsidR="00942F4F">
        <w:rPr>
          <w:lang w:val="en-US"/>
        </w:rPr>
        <w:br/>
      </w:r>
      <w:r w:rsidR="00A073D9" w:rsidRPr="11D23768">
        <w:rPr>
          <w:lang w:val="en-US"/>
        </w:rPr>
        <w:t>2024</w:t>
      </w:r>
      <w:r w:rsidR="00141218">
        <w:rPr>
          <w:szCs w:val="19"/>
        </w:rPr>
        <w:t>–</w:t>
      </w:r>
      <w:r w:rsidR="00A073D9" w:rsidRPr="11D23768">
        <w:rPr>
          <w:lang w:val="en-US"/>
        </w:rPr>
        <w:t>25 to 2027</w:t>
      </w:r>
      <w:r w:rsidR="00A073D9" w:rsidRPr="004433F7">
        <w:rPr>
          <w:szCs w:val="19"/>
        </w:rPr>
        <w:t>–</w:t>
      </w:r>
      <w:r w:rsidR="00A073D9" w:rsidRPr="11D23768">
        <w:rPr>
          <w:lang w:val="en-US"/>
        </w:rPr>
        <w:t xml:space="preserve">28. The </w:t>
      </w:r>
      <w:r w:rsidR="00A073D9">
        <w:rPr>
          <w:lang w:val="en-US"/>
        </w:rPr>
        <w:t>decrease</w:t>
      </w:r>
      <w:r w:rsidR="00A073D9" w:rsidRPr="11D23768">
        <w:rPr>
          <w:lang w:val="en-US"/>
        </w:rPr>
        <w:t xml:space="preserve"> in expenses largely reflect</w:t>
      </w:r>
      <w:r w:rsidR="00A073D9">
        <w:rPr>
          <w:lang w:val="en-US"/>
        </w:rPr>
        <w:t>s</w:t>
      </w:r>
      <w:r w:rsidR="00A073D9" w:rsidRPr="11D23768">
        <w:rPr>
          <w:lang w:val="en-US"/>
        </w:rPr>
        <w:t xml:space="preserve"> the scheduled completion of water reform activities </w:t>
      </w:r>
      <w:r w:rsidR="00A073D9">
        <w:rPr>
          <w:lang w:val="en-US"/>
        </w:rPr>
        <w:t>to deliver the</w:t>
      </w:r>
      <w:r w:rsidR="00A073D9" w:rsidRPr="11D23768">
        <w:rPr>
          <w:lang w:val="en-US"/>
        </w:rPr>
        <w:t xml:space="preserve"> </w:t>
      </w:r>
      <w:r w:rsidR="00A073D9" w:rsidRPr="00E5015C">
        <w:rPr>
          <w:rStyle w:val="Emphasis"/>
        </w:rPr>
        <w:t>Basin Plan</w:t>
      </w:r>
      <w:r w:rsidR="00A073D9">
        <w:rPr>
          <w:lang w:val="en-US"/>
        </w:rPr>
        <w:t xml:space="preserve"> by the December 2027 deadline set out in the </w:t>
      </w:r>
      <w:r w:rsidR="00A073D9" w:rsidRPr="00E5015C">
        <w:rPr>
          <w:rStyle w:val="Emphasis"/>
        </w:rPr>
        <w:t>Water Amendment (Restoring Our Rivers) Act 2023</w:t>
      </w:r>
      <w:r w:rsidR="00A4389A">
        <w:rPr>
          <w:lang w:val="en-US"/>
        </w:rPr>
        <w:t xml:space="preserve">. </w:t>
      </w:r>
      <w:r w:rsidR="00A073D9" w:rsidRPr="11D23768">
        <w:rPr>
          <w:lang w:val="en-US"/>
        </w:rPr>
        <w:t>In the 2024</w:t>
      </w:r>
      <w:r w:rsidR="00A073D9">
        <w:rPr>
          <w:szCs w:val="19"/>
        </w:rPr>
        <w:t>–</w:t>
      </w:r>
      <w:r w:rsidR="00A073D9" w:rsidRPr="11D23768">
        <w:rPr>
          <w:lang w:val="en-US"/>
        </w:rPr>
        <w:t>25</w:t>
      </w:r>
      <w:r w:rsidR="00A073D9">
        <w:rPr>
          <w:lang w:val="en-US"/>
        </w:rPr>
        <w:t> </w:t>
      </w:r>
      <w:r w:rsidR="00A073D9" w:rsidRPr="11D23768">
        <w:rPr>
          <w:lang w:val="en-US"/>
        </w:rPr>
        <w:t>Budget</w:t>
      </w:r>
      <w:r w:rsidR="00A073D9">
        <w:rPr>
          <w:lang w:val="en-US"/>
        </w:rPr>
        <w:t>,</w:t>
      </w:r>
      <w:r w:rsidR="00A073D9" w:rsidRPr="11D23768">
        <w:rPr>
          <w:lang w:val="en-US"/>
        </w:rPr>
        <w:t xml:space="preserve"> the Government is investing $256.5 million over four years through the </w:t>
      </w:r>
      <w:r w:rsidR="00A073D9">
        <w:rPr>
          <w:lang w:val="en-US"/>
        </w:rPr>
        <w:t xml:space="preserve">2024–25 Budget </w:t>
      </w:r>
      <w:r w:rsidR="00A073D9" w:rsidRPr="00E70969">
        <w:rPr>
          <w:lang w:val="en-US"/>
        </w:rPr>
        <w:t xml:space="preserve">measure </w:t>
      </w:r>
      <w:r w:rsidR="00A073D9" w:rsidRPr="00E5015C">
        <w:rPr>
          <w:rStyle w:val="Emphasis"/>
        </w:rPr>
        <w:t>Sustaining Water Functions</w:t>
      </w:r>
      <w:r w:rsidR="00A073D9" w:rsidRPr="00E70969">
        <w:rPr>
          <w:lang w:val="en-US"/>
        </w:rPr>
        <w:t xml:space="preserve"> to support</w:t>
      </w:r>
      <w:r w:rsidR="00A073D9" w:rsidRPr="11D23768">
        <w:rPr>
          <w:lang w:val="en-US"/>
        </w:rPr>
        <w:t xml:space="preserve"> </w:t>
      </w:r>
      <w:r w:rsidR="00A073D9">
        <w:rPr>
          <w:lang w:val="en-US"/>
        </w:rPr>
        <w:t xml:space="preserve">delivery of </w:t>
      </w:r>
      <w:r w:rsidR="00A073D9" w:rsidRPr="11D23768">
        <w:rPr>
          <w:lang w:val="en-US"/>
        </w:rPr>
        <w:t>the Government</w:t>
      </w:r>
      <w:r w:rsidR="008D4F6B">
        <w:rPr>
          <w:lang w:val="en-US"/>
        </w:rPr>
        <w:t>’</w:t>
      </w:r>
      <w:r w:rsidR="00A073D9" w:rsidRPr="11D23768">
        <w:rPr>
          <w:lang w:val="en-US"/>
        </w:rPr>
        <w:t>s water</w:t>
      </w:r>
      <w:r w:rsidR="00A073D9">
        <w:rPr>
          <w:lang w:val="en-US"/>
        </w:rPr>
        <w:t xml:space="preserve"> commitments</w:t>
      </w:r>
      <w:r w:rsidR="00A073D9" w:rsidRPr="11D23768">
        <w:rPr>
          <w:lang w:val="en-US"/>
        </w:rPr>
        <w:t>.</w:t>
      </w:r>
    </w:p>
    <w:p w14:paraId="39CDA18A" w14:textId="77777777" w:rsidR="00AF3A1C" w:rsidRPr="000177D7" w:rsidRDefault="00AF3A1C" w:rsidP="00AF3A1C">
      <w:pPr>
        <w:pStyle w:val="Heading3"/>
      </w:pPr>
      <w:bookmarkStart w:id="145" w:name="_Toc166369428"/>
      <w:bookmarkEnd w:id="144"/>
      <w:r w:rsidRPr="000177D7">
        <w:t>Mining, manufacturing and construction</w:t>
      </w:r>
      <w:bookmarkEnd w:id="145"/>
      <w:r w:rsidRPr="000177D7">
        <w:t xml:space="preserve"> </w:t>
      </w:r>
    </w:p>
    <w:p w14:paraId="35E5BF34" w14:textId="124F20B9" w:rsidR="008B51FE" w:rsidRDefault="00E32E1B" w:rsidP="00D210D8">
      <w:bookmarkStart w:id="146" w:name="_Toc99203690"/>
      <w:bookmarkStart w:id="147" w:name="_Toc117358183"/>
      <w:r w:rsidRPr="000177D7">
        <w:t>The mining, manufacturing and construction function includes expenses for programs designed to promote the efficiency and competitiveness of Australian industries. The major components include the Research and Development Tax Incentive and industry assistance programs</w:t>
      </w:r>
      <w:r>
        <w:t>.</w:t>
      </w:r>
    </w:p>
    <w:p w14:paraId="317A2ACB" w14:textId="3F4A2B8F" w:rsidR="000767B6" w:rsidRDefault="00E32E1B" w:rsidP="000767B6">
      <w:pPr>
        <w:pStyle w:val="TableHeading"/>
        <w:rPr>
          <w:rFonts w:asciiTheme="minorHAnsi" w:eastAsiaTheme="minorHAnsi" w:hAnsiTheme="minorHAnsi" w:cstheme="minorBidi"/>
          <w:sz w:val="22"/>
          <w:szCs w:val="22"/>
          <w:lang w:eastAsia="en-US"/>
        </w:rPr>
      </w:pPr>
      <w:r>
        <w:t>Table </w:t>
      </w:r>
      <w:r w:rsidRPr="000177D7">
        <w:t>6.14: Summary of expenses</w:t>
      </w:r>
      <w:r>
        <w:t xml:space="preserve"> – </w:t>
      </w:r>
      <w:r w:rsidRPr="000177D7">
        <w:t>mining, manufacturing and construction</w:t>
      </w:r>
      <w:bookmarkStart w:id="148" w:name="_1727774357"/>
      <w:bookmarkEnd w:id="148"/>
    </w:p>
    <w:tbl>
      <w:tblPr>
        <w:tblW w:w="5000" w:type="pct"/>
        <w:tblCellMar>
          <w:left w:w="0" w:type="dxa"/>
          <w:right w:w="28" w:type="dxa"/>
        </w:tblCellMar>
        <w:tblLook w:val="04A0" w:firstRow="1" w:lastRow="0" w:firstColumn="1" w:lastColumn="0" w:noHBand="0" w:noVBand="1"/>
      </w:tblPr>
      <w:tblGrid>
        <w:gridCol w:w="3683"/>
        <w:gridCol w:w="806"/>
        <w:gridCol w:w="805"/>
        <w:gridCol w:w="805"/>
        <w:gridCol w:w="805"/>
        <w:gridCol w:w="806"/>
      </w:tblGrid>
      <w:tr w:rsidR="000767B6" w:rsidRPr="000767B6" w14:paraId="33EE89A9" w14:textId="77777777" w:rsidTr="006D4D01">
        <w:trPr>
          <w:trHeight w:hRule="exact" w:val="225"/>
        </w:trPr>
        <w:tc>
          <w:tcPr>
            <w:tcW w:w="2388" w:type="pct"/>
            <w:tcBorders>
              <w:top w:val="single" w:sz="4" w:space="0" w:color="293F5B"/>
              <w:left w:val="nil"/>
              <w:bottom w:val="nil"/>
              <w:right w:val="nil"/>
            </w:tcBorders>
            <w:shd w:val="clear" w:color="000000" w:fill="FFFFFF"/>
            <w:noWrap/>
            <w:vAlign w:val="center"/>
            <w:hideMark/>
          </w:tcPr>
          <w:p w14:paraId="701278FD" w14:textId="2BA9F073" w:rsidR="000767B6" w:rsidRPr="000767B6" w:rsidRDefault="000767B6" w:rsidP="000767B6">
            <w:pPr>
              <w:spacing w:before="0" w:after="0" w:line="240" w:lineRule="auto"/>
              <w:rPr>
                <w:rFonts w:ascii="Arial" w:hAnsi="Arial" w:cs="Arial"/>
                <w:b/>
                <w:bCs/>
                <w:color w:val="000000"/>
                <w:sz w:val="16"/>
                <w:szCs w:val="16"/>
              </w:rPr>
            </w:pPr>
            <w:r w:rsidRPr="000767B6">
              <w:rPr>
                <w:rFonts w:ascii="Arial" w:hAnsi="Arial" w:cs="Arial"/>
                <w:b/>
                <w:bCs/>
                <w:color w:val="000000"/>
                <w:sz w:val="16"/>
                <w:szCs w:val="16"/>
              </w:rPr>
              <w:t>Sub-function</w:t>
            </w:r>
          </w:p>
        </w:tc>
        <w:tc>
          <w:tcPr>
            <w:tcW w:w="2612" w:type="pct"/>
            <w:gridSpan w:val="5"/>
            <w:tcBorders>
              <w:top w:val="single" w:sz="4" w:space="0" w:color="293F5B"/>
              <w:left w:val="nil"/>
              <w:bottom w:val="single" w:sz="4" w:space="0" w:color="293F5B"/>
              <w:right w:val="nil"/>
            </w:tcBorders>
            <w:shd w:val="clear" w:color="000000" w:fill="FFFFFF"/>
            <w:noWrap/>
            <w:vAlign w:val="center"/>
            <w:hideMark/>
          </w:tcPr>
          <w:p w14:paraId="0FB87F0B" w14:textId="77777777" w:rsidR="000767B6" w:rsidRPr="000767B6" w:rsidRDefault="000767B6" w:rsidP="000767B6">
            <w:pPr>
              <w:spacing w:before="0" w:after="0" w:line="240" w:lineRule="auto"/>
              <w:jc w:val="center"/>
              <w:rPr>
                <w:rFonts w:ascii="Arial" w:hAnsi="Arial" w:cs="Arial"/>
                <w:color w:val="000000"/>
                <w:sz w:val="16"/>
                <w:szCs w:val="16"/>
              </w:rPr>
            </w:pPr>
            <w:r w:rsidRPr="000767B6">
              <w:rPr>
                <w:rFonts w:ascii="Arial" w:hAnsi="Arial" w:cs="Arial"/>
                <w:color w:val="000000"/>
                <w:sz w:val="16"/>
                <w:szCs w:val="16"/>
              </w:rPr>
              <w:t>Estimates</w:t>
            </w:r>
          </w:p>
        </w:tc>
      </w:tr>
      <w:tr w:rsidR="000767B6" w:rsidRPr="000767B6" w14:paraId="6D309CCC" w14:textId="77777777" w:rsidTr="006D4D01">
        <w:trPr>
          <w:trHeight w:hRule="exact" w:val="225"/>
        </w:trPr>
        <w:tc>
          <w:tcPr>
            <w:tcW w:w="2388" w:type="pct"/>
            <w:tcBorders>
              <w:top w:val="nil"/>
              <w:left w:val="nil"/>
              <w:bottom w:val="nil"/>
              <w:right w:val="nil"/>
            </w:tcBorders>
            <w:shd w:val="clear" w:color="000000" w:fill="FFFFFF"/>
            <w:noWrap/>
            <w:vAlign w:val="bottom"/>
            <w:hideMark/>
          </w:tcPr>
          <w:p w14:paraId="6123E8DE" w14:textId="77777777" w:rsidR="000767B6" w:rsidRPr="000767B6" w:rsidRDefault="000767B6" w:rsidP="000767B6">
            <w:pPr>
              <w:spacing w:before="0" w:after="0" w:line="240" w:lineRule="auto"/>
              <w:rPr>
                <w:rFonts w:ascii="Arial" w:hAnsi="Arial" w:cs="Arial"/>
                <w:color w:val="000000"/>
                <w:sz w:val="16"/>
                <w:szCs w:val="16"/>
              </w:rPr>
            </w:pPr>
            <w:r w:rsidRPr="000767B6">
              <w:rPr>
                <w:rFonts w:ascii="Arial" w:hAnsi="Arial" w:cs="Arial"/>
                <w:color w:val="000000"/>
                <w:sz w:val="16"/>
                <w:szCs w:val="16"/>
              </w:rPr>
              <w:t> </w:t>
            </w:r>
          </w:p>
        </w:tc>
        <w:tc>
          <w:tcPr>
            <w:tcW w:w="523" w:type="pct"/>
            <w:tcBorders>
              <w:top w:val="single" w:sz="4" w:space="0" w:color="293F5B"/>
              <w:left w:val="nil"/>
              <w:bottom w:val="nil"/>
              <w:right w:val="nil"/>
            </w:tcBorders>
            <w:shd w:val="clear" w:color="000000" w:fill="FFFFFF"/>
            <w:noWrap/>
            <w:vAlign w:val="center"/>
            <w:hideMark/>
          </w:tcPr>
          <w:p w14:paraId="39A969A3" w14:textId="77777777" w:rsidR="000767B6" w:rsidRPr="000767B6" w:rsidRDefault="000767B6" w:rsidP="000767B6">
            <w:pPr>
              <w:spacing w:before="0" w:after="0" w:line="240" w:lineRule="auto"/>
              <w:jc w:val="right"/>
              <w:rPr>
                <w:rFonts w:ascii="Arial" w:hAnsi="Arial" w:cs="Arial"/>
                <w:sz w:val="16"/>
                <w:szCs w:val="16"/>
              </w:rPr>
            </w:pPr>
            <w:r w:rsidRPr="000767B6">
              <w:rPr>
                <w:rFonts w:ascii="Arial" w:hAnsi="Arial" w:cs="Arial"/>
                <w:sz w:val="16"/>
                <w:szCs w:val="16"/>
              </w:rPr>
              <w:t>2023-24</w:t>
            </w:r>
          </w:p>
        </w:tc>
        <w:tc>
          <w:tcPr>
            <w:tcW w:w="522" w:type="pct"/>
            <w:tcBorders>
              <w:top w:val="single" w:sz="4" w:space="0" w:color="293F5B"/>
              <w:left w:val="nil"/>
              <w:bottom w:val="nil"/>
              <w:right w:val="nil"/>
            </w:tcBorders>
            <w:shd w:val="clear" w:color="000000" w:fill="E6F2FF"/>
            <w:noWrap/>
            <w:vAlign w:val="center"/>
            <w:hideMark/>
          </w:tcPr>
          <w:p w14:paraId="334655A7" w14:textId="77777777" w:rsidR="000767B6" w:rsidRPr="000767B6" w:rsidRDefault="000767B6" w:rsidP="000767B6">
            <w:pPr>
              <w:spacing w:before="0" w:after="0" w:line="240" w:lineRule="auto"/>
              <w:jc w:val="right"/>
              <w:rPr>
                <w:rFonts w:ascii="Arial" w:hAnsi="Arial" w:cs="Arial"/>
                <w:sz w:val="16"/>
                <w:szCs w:val="16"/>
              </w:rPr>
            </w:pPr>
            <w:r w:rsidRPr="000767B6">
              <w:rPr>
                <w:rFonts w:ascii="Arial" w:hAnsi="Arial" w:cs="Arial"/>
                <w:sz w:val="16"/>
                <w:szCs w:val="16"/>
              </w:rPr>
              <w:t>2024-25</w:t>
            </w:r>
          </w:p>
        </w:tc>
        <w:tc>
          <w:tcPr>
            <w:tcW w:w="522" w:type="pct"/>
            <w:tcBorders>
              <w:top w:val="single" w:sz="4" w:space="0" w:color="293F5B"/>
              <w:left w:val="nil"/>
              <w:bottom w:val="nil"/>
              <w:right w:val="nil"/>
            </w:tcBorders>
            <w:shd w:val="clear" w:color="000000" w:fill="FFFFFF"/>
            <w:noWrap/>
            <w:vAlign w:val="center"/>
            <w:hideMark/>
          </w:tcPr>
          <w:p w14:paraId="2C50AD6E" w14:textId="77777777" w:rsidR="000767B6" w:rsidRPr="000767B6" w:rsidRDefault="000767B6" w:rsidP="000767B6">
            <w:pPr>
              <w:spacing w:before="0" w:after="0" w:line="240" w:lineRule="auto"/>
              <w:jc w:val="right"/>
              <w:rPr>
                <w:rFonts w:ascii="Arial" w:hAnsi="Arial" w:cs="Arial"/>
                <w:sz w:val="16"/>
                <w:szCs w:val="16"/>
              </w:rPr>
            </w:pPr>
            <w:r w:rsidRPr="000767B6">
              <w:rPr>
                <w:rFonts w:ascii="Arial" w:hAnsi="Arial" w:cs="Arial"/>
                <w:sz w:val="16"/>
                <w:szCs w:val="16"/>
              </w:rPr>
              <w:t>2025-26</w:t>
            </w:r>
          </w:p>
        </w:tc>
        <w:tc>
          <w:tcPr>
            <w:tcW w:w="522" w:type="pct"/>
            <w:tcBorders>
              <w:top w:val="single" w:sz="4" w:space="0" w:color="293F5B"/>
              <w:left w:val="nil"/>
              <w:bottom w:val="nil"/>
              <w:right w:val="nil"/>
            </w:tcBorders>
            <w:shd w:val="clear" w:color="000000" w:fill="FFFFFF"/>
            <w:noWrap/>
            <w:vAlign w:val="center"/>
            <w:hideMark/>
          </w:tcPr>
          <w:p w14:paraId="2E1A0C8F" w14:textId="77777777" w:rsidR="000767B6" w:rsidRPr="000767B6" w:rsidRDefault="000767B6" w:rsidP="000767B6">
            <w:pPr>
              <w:spacing w:before="0" w:after="0" w:line="240" w:lineRule="auto"/>
              <w:jc w:val="right"/>
              <w:rPr>
                <w:rFonts w:ascii="Arial" w:hAnsi="Arial" w:cs="Arial"/>
                <w:sz w:val="16"/>
                <w:szCs w:val="16"/>
              </w:rPr>
            </w:pPr>
            <w:r w:rsidRPr="000767B6">
              <w:rPr>
                <w:rFonts w:ascii="Arial" w:hAnsi="Arial" w:cs="Arial"/>
                <w:sz w:val="16"/>
                <w:szCs w:val="16"/>
              </w:rPr>
              <w:t>2026-27</w:t>
            </w:r>
          </w:p>
        </w:tc>
        <w:tc>
          <w:tcPr>
            <w:tcW w:w="522" w:type="pct"/>
            <w:tcBorders>
              <w:top w:val="single" w:sz="4" w:space="0" w:color="293F5B"/>
              <w:left w:val="nil"/>
              <w:bottom w:val="nil"/>
              <w:right w:val="nil"/>
            </w:tcBorders>
            <w:shd w:val="clear" w:color="000000" w:fill="FFFFFF"/>
            <w:noWrap/>
            <w:vAlign w:val="center"/>
            <w:hideMark/>
          </w:tcPr>
          <w:p w14:paraId="38609B3F" w14:textId="77777777" w:rsidR="000767B6" w:rsidRPr="000767B6" w:rsidRDefault="000767B6" w:rsidP="000767B6">
            <w:pPr>
              <w:spacing w:before="0" w:after="0" w:line="240" w:lineRule="auto"/>
              <w:jc w:val="right"/>
              <w:rPr>
                <w:rFonts w:ascii="Arial" w:hAnsi="Arial" w:cs="Arial"/>
                <w:color w:val="000000"/>
                <w:sz w:val="16"/>
                <w:szCs w:val="16"/>
              </w:rPr>
            </w:pPr>
            <w:r w:rsidRPr="000767B6">
              <w:rPr>
                <w:rFonts w:ascii="Arial" w:hAnsi="Arial" w:cs="Arial"/>
                <w:color w:val="000000"/>
                <w:sz w:val="16"/>
                <w:szCs w:val="16"/>
              </w:rPr>
              <w:t>2027-28</w:t>
            </w:r>
          </w:p>
        </w:tc>
      </w:tr>
      <w:tr w:rsidR="000767B6" w:rsidRPr="000767B6" w14:paraId="4D334BFD" w14:textId="77777777" w:rsidTr="00236E34">
        <w:trPr>
          <w:trHeight w:hRule="exact" w:val="225"/>
        </w:trPr>
        <w:tc>
          <w:tcPr>
            <w:tcW w:w="2388" w:type="pct"/>
            <w:tcBorders>
              <w:top w:val="nil"/>
              <w:left w:val="nil"/>
              <w:bottom w:val="nil"/>
              <w:right w:val="nil"/>
            </w:tcBorders>
            <w:shd w:val="clear" w:color="000000" w:fill="FFFFFF"/>
            <w:noWrap/>
            <w:vAlign w:val="center"/>
            <w:hideMark/>
          </w:tcPr>
          <w:p w14:paraId="7CFC20F0" w14:textId="77777777" w:rsidR="000767B6" w:rsidRPr="000767B6" w:rsidRDefault="000767B6" w:rsidP="000767B6">
            <w:pPr>
              <w:spacing w:before="0" w:after="0" w:line="240" w:lineRule="auto"/>
              <w:rPr>
                <w:rFonts w:ascii="Arial" w:hAnsi="Arial" w:cs="Arial"/>
                <w:color w:val="000000"/>
                <w:sz w:val="16"/>
                <w:szCs w:val="16"/>
              </w:rPr>
            </w:pPr>
            <w:r w:rsidRPr="000767B6">
              <w:rPr>
                <w:rFonts w:ascii="Arial" w:hAnsi="Arial" w:cs="Arial"/>
                <w:color w:val="000000"/>
                <w:sz w:val="16"/>
                <w:szCs w:val="16"/>
              </w:rPr>
              <w:t> </w:t>
            </w:r>
          </w:p>
        </w:tc>
        <w:tc>
          <w:tcPr>
            <w:tcW w:w="523" w:type="pct"/>
            <w:tcBorders>
              <w:top w:val="nil"/>
              <w:left w:val="nil"/>
              <w:bottom w:val="single" w:sz="4" w:space="0" w:color="293F5B"/>
              <w:right w:val="nil"/>
            </w:tcBorders>
            <w:shd w:val="clear" w:color="000000" w:fill="FFFFFF"/>
            <w:noWrap/>
            <w:vAlign w:val="center"/>
            <w:hideMark/>
          </w:tcPr>
          <w:p w14:paraId="6F888781" w14:textId="77777777" w:rsidR="000767B6" w:rsidRPr="000767B6" w:rsidRDefault="000767B6" w:rsidP="000767B6">
            <w:pPr>
              <w:spacing w:before="0" w:after="0" w:line="240" w:lineRule="auto"/>
              <w:jc w:val="right"/>
              <w:rPr>
                <w:rFonts w:ascii="Arial" w:hAnsi="Arial" w:cs="Arial"/>
                <w:color w:val="000000"/>
                <w:sz w:val="16"/>
                <w:szCs w:val="16"/>
              </w:rPr>
            </w:pPr>
            <w:r w:rsidRPr="000767B6">
              <w:rPr>
                <w:rFonts w:ascii="Arial" w:hAnsi="Arial" w:cs="Arial"/>
                <w:color w:val="000000"/>
                <w:sz w:val="16"/>
                <w:szCs w:val="16"/>
              </w:rPr>
              <w:t>$m</w:t>
            </w:r>
          </w:p>
        </w:tc>
        <w:tc>
          <w:tcPr>
            <w:tcW w:w="522" w:type="pct"/>
            <w:tcBorders>
              <w:top w:val="nil"/>
              <w:left w:val="nil"/>
              <w:bottom w:val="single" w:sz="4" w:space="0" w:color="293F5B"/>
              <w:right w:val="nil"/>
            </w:tcBorders>
            <w:shd w:val="clear" w:color="000000" w:fill="E6F2FF"/>
            <w:noWrap/>
            <w:vAlign w:val="center"/>
            <w:hideMark/>
          </w:tcPr>
          <w:p w14:paraId="63C3447D" w14:textId="77777777" w:rsidR="000767B6" w:rsidRPr="000767B6" w:rsidRDefault="000767B6" w:rsidP="000767B6">
            <w:pPr>
              <w:spacing w:before="0" w:after="0" w:line="240" w:lineRule="auto"/>
              <w:jc w:val="right"/>
              <w:rPr>
                <w:rFonts w:ascii="Arial" w:hAnsi="Arial" w:cs="Arial"/>
                <w:color w:val="000000"/>
                <w:sz w:val="16"/>
                <w:szCs w:val="16"/>
              </w:rPr>
            </w:pPr>
            <w:r w:rsidRPr="000767B6">
              <w:rPr>
                <w:rFonts w:ascii="Arial" w:hAnsi="Arial" w:cs="Arial"/>
                <w:color w:val="000000"/>
                <w:sz w:val="16"/>
                <w:szCs w:val="16"/>
              </w:rPr>
              <w:t>$m</w:t>
            </w:r>
          </w:p>
        </w:tc>
        <w:tc>
          <w:tcPr>
            <w:tcW w:w="522" w:type="pct"/>
            <w:tcBorders>
              <w:top w:val="nil"/>
              <w:left w:val="nil"/>
              <w:bottom w:val="single" w:sz="4" w:space="0" w:color="293F5B"/>
              <w:right w:val="nil"/>
            </w:tcBorders>
            <w:shd w:val="clear" w:color="000000" w:fill="FFFFFF"/>
            <w:noWrap/>
            <w:vAlign w:val="center"/>
            <w:hideMark/>
          </w:tcPr>
          <w:p w14:paraId="55276D83" w14:textId="77777777" w:rsidR="000767B6" w:rsidRPr="000767B6" w:rsidRDefault="000767B6" w:rsidP="000767B6">
            <w:pPr>
              <w:spacing w:before="0" w:after="0" w:line="240" w:lineRule="auto"/>
              <w:jc w:val="right"/>
              <w:rPr>
                <w:rFonts w:ascii="Arial" w:hAnsi="Arial" w:cs="Arial"/>
                <w:color w:val="000000"/>
                <w:sz w:val="16"/>
                <w:szCs w:val="16"/>
              </w:rPr>
            </w:pPr>
            <w:r w:rsidRPr="000767B6">
              <w:rPr>
                <w:rFonts w:ascii="Arial" w:hAnsi="Arial" w:cs="Arial"/>
                <w:color w:val="000000"/>
                <w:sz w:val="16"/>
                <w:szCs w:val="16"/>
              </w:rPr>
              <w:t>$m</w:t>
            </w:r>
          </w:p>
        </w:tc>
        <w:tc>
          <w:tcPr>
            <w:tcW w:w="522" w:type="pct"/>
            <w:tcBorders>
              <w:top w:val="nil"/>
              <w:left w:val="nil"/>
              <w:bottom w:val="single" w:sz="4" w:space="0" w:color="293F5B"/>
              <w:right w:val="nil"/>
            </w:tcBorders>
            <w:shd w:val="clear" w:color="000000" w:fill="FFFFFF"/>
            <w:noWrap/>
            <w:vAlign w:val="center"/>
            <w:hideMark/>
          </w:tcPr>
          <w:p w14:paraId="64A12F54" w14:textId="77777777" w:rsidR="000767B6" w:rsidRPr="000767B6" w:rsidRDefault="000767B6" w:rsidP="000767B6">
            <w:pPr>
              <w:spacing w:before="0" w:after="0" w:line="240" w:lineRule="auto"/>
              <w:jc w:val="right"/>
              <w:rPr>
                <w:rFonts w:ascii="Arial" w:hAnsi="Arial" w:cs="Arial"/>
                <w:color w:val="000000"/>
                <w:sz w:val="16"/>
                <w:szCs w:val="16"/>
              </w:rPr>
            </w:pPr>
            <w:r w:rsidRPr="000767B6">
              <w:rPr>
                <w:rFonts w:ascii="Arial" w:hAnsi="Arial" w:cs="Arial"/>
                <w:color w:val="000000"/>
                <w:sz w:val="16"/>
                <w:szCs w:val="16"/>
              </w:rPr>
              <w:t>$m</w:t>
            </w:r>
          </w:p>
        </w:tc>
        <w:tc>
          <w:tcPr>
            <w:tcW w:w="522" w:type="pct"/>
            <w:tcBorders>
              <w:top w:val="nil"/>
              <w:left w:val="nil"/>
              <w:bottom w:val="single" w:sz="4" w:space="0" w:color="293F5B"/>
              <w:right w:val="nil"/>
            </w:tcBorders>
            <w:shd w:val="clear" w:color="000000" w:fill="FFFFFF"/>
            <w:noWrap/>
            <w:vAlign w:val="center"/>
            <w:hideMark/>
          </w:tcPr>
          <w:p w14:paraId="16A18335" w14:textId="77777777" w:rsidR="000767B6" w:rsidRPr="000767B6" w:rsidRDefault="000767B6" w:rsidP="000767B6">
            <w:pPr>
              <w:spacing w:before="0" w:after="0" w:line="240" w:lineRule="auto"/>
              <w:jc w:val="right"/>
              <w:rPr>
                <w:rFonts w:ascii="Arial" w:hAnsi="Arial" w:cs="Arial"/>
                <w:color w:val="000000"/>
                <w:sz w:val="16"/>
                <w:szCs w:val="16"/>
              </w:rPr>
            </w:pPr>
            <w:r w:rsidRPr="000767B6">
              <w:rPr>
                <w:rFonts w:ascii="Arial" w:hAnsi="Arial" w:cs="Arial"/>
                <w:color w:val="000000"/>
                <w:sz w:val="16"/>
                <w:szCs w:val="16"/>
              </w:rPr>
              <w:t>$m</w:t>
            </w:r>
          </w:p>
        </w:tc>
      </w:tr>
      <w:tr w:rsidR="000767B6" w:rsidRPr="000767B6" w14:paraId="72A8AD42" w14:textId="77777777" w:rsidTr="006D4D01">
        <w:trPr>
          <w:trHeight w:hRule="exact" w:val="225"/>
        </w:trPr>
        <w:tc>
          <w:tcPr>
            <w:tcW w:w="2388" w:type="pct"/>
            <w:tcBorders>
              <w:top w:val="nil"/>
              <w:left w:val="nil"/>
              <w:bottom w:val="nil"/>
              <w:right w:val="nil"/>
            </w:tcBorders>
            <w:shd w:val="clear" w:color="000000" w:fill="FFFFFF"/>
            <w:noWrap/>
            <w:vAlign w:val="center"/>
            <w:hideMark/>
          </w:tcPr>
          <w:p w14:paraId="43F70A8B" w14:textId="77777777" w:rsidR="000767B6" w:rsidRPr="000767B6" w:rsidRDefault="000767B6" w:rsidP="000767B6">
            <w:pPr>
              <w:spacing w:before="0" w:after="0" w:line="240" w:lineRule="auto"/>
              <w:rPr>
                <w:rFonts w:ascii="Arial" w:hAnsi="Arial" w:cs="Arial"/>
                <w:color w:val="000000"/>
                <w:sz w:val="16"/>
                <w:szCs w:val="16"/>
              </w:rPr>
            </w:pPr>
            <w:r w:rsidRPr="000767B6">
              <w:rPr>
                <w:rFonts w:ascii="Arial" w:hAnsi="Arial" w:cs="Arial"/>
                <w:color w:val="000000"/>
                <w:sz w:val="16"/>
                <w:szCs w:val="16"/>
              </w:rPr>
              <w:t>Mining, manufacturing and construction(a)</w:t>
            </w:r>
          </w:p>
        </w:tc>
        <w:tc>
          <w:tcPr>
            <w:tcW w:w="523" w:type="pct"/>
            <w:tcBorders>
              <w:top w:val="single" w:sz="4" w:space="0" w:color="293F5B"/>
              <w:left w:val="nil"/>
              <w:bottom w:val="single" w:sz="4" w:space="0" w:color="293F5B"/>
              <w:right w:val="nil"/>
            </w:tcBorders>
            <w:shd w:val="clear" w:color="000000" w:fill="FFFFFF"/>
            <w:noWrap/>
            <w:vAlign w:val="center"/>
            <w:hideMark/>
          </w:tcPr>
          <w:p w14:paraId="775C43F8" w14:textId="77777777" w:rsidR="000767B6" w:rsidRPr="000767B6" w:rsidRDefault="000767B6" w:rsidP="000767B6">
            <w:pPr>
              <w:spacing w:before="0" w:after="0" w:line="240" w:lineRule="auto"/>
              <w:jc w:val="right"/>
              <w:rPr>
                <w:rFonts w:ascii="Arial" w:hAnsi="Arial" w:cs="Arial"/>
                <w:color w:val="000000"/>
                <w:sz w:val="16"/>
                <w:szCs w:val="16"/>
              </w:rPr>
            </w:pPr>
            <w:r w:rsidRPr="000767B6">
              <w:rPr>
                <w:rFonts w:ascii="Arial" w:hAnsi="Arial" w:cs="Arial"/>
                <w:color w:val="000000"/>
                <w:sz w:val="16"/>
                <w:szCs w:val="16"/>
              </w:rPr>
              <w:t>5,968</w:t>
            </w:r>
          </w:p>
        </w:tc>
        <w:tc>
          <w:tcPr>
            <w:tcW w:w="522" w:type="pct"/>
            <w:tcBorders>
              <w:top w:val="single" w:sz="4" w:space="0" w:color="293F5B"/>
              <w:left w:val="nil"/>
              <w:bottom w:val="single" w:sz="4" w:space="0" w:color="293F5B"/>
              <w:right w:val="nil"/>
            </w:tcBorders>
            <w:shd w:val="clear" w:color="000000" w:fill="E6F2FF"/>
            <w:noWrap/>
            <w:vAlign w:val="center"/>
            <w:hideMark/>
          </w:tcPr>
          <w:p w14:paraId="29A87A41" w14:textId="77777777" w:rsidR="000767B6" w:rsidRPr="000767B6" w:rsidRDefault="000767B6" w:rsidP="000767B6">
            <w:pPr>
              <w:spacing w:before="0" w:after="0" w:line="240" w:lineRule="auto"/>
              <w:jc w:val="right"/>
              <w:rPr>
                <w:rFonts w:ascii="Arial" w:hAnsi="Arial" w:cs="Arial"/>
                <w:color w:val="000000"/>
                <w:sz w:val="16"/>
                <w:szCs w:val="16"/>
              </w:rPr>
            </w:pPr>
            <w:r w:rsidRPr="000767B6">
              <w:rPr>
                <w:rFonts w:ascii="Arial" w:hAnsi="Arial" w:cs="Arial"/>
                <w:color w:val="000000"/>
                <w:sz w:val="16"/>
                <w:szCs w:val="16"/>
              </w:rPr>
              <w:t>5,511</w:t>
            </w:r>
          </w:p>
        </w:tc>
        <w:tc>
          <w:tcPr>
            <w:tcW w:w="522" w:type="pct"/>
            <w:tcBorders>
              <w:top w:val="single" w:sz="4" w:space="0" w:color="293F5B"/>
              <w:left w:val="nil"/>
              <w:bottom w:val="single" w:sz="4" w:space="0" w:color="293F5B"/>
              <w:right w:val="nil"/>
            </w:tcBorders>
            <w:shd w:val="clear" w:color="000000" w:fill="FFFFFF"/>
            <w:noWrap/>
            <w:vAlign w:val="center"/>
            <w:hideMark/>
          </w:tcPr>
          <w:p w14:paraId="3F66DE83" w14:textId="77777777" w:rsidR="000767B6" w:rsidRPr="000767B6" w:rsidRDefault="000767B6" w:rsidP="000767B6">
            <w:pPr>
              <w:spacing w:before="0" w:after="0" w:line="240" w:lineRule="auto"/>
              <w:jc w:val="right"/>
              <w:rPr>
                <w:rFonts w:ascii="Arial" w:hAnsi="Arial" w:cs="Arial"/>
                <w:color w:val="000000"/>
                <w:sz w:val="16"/>
                <w:szCs w:val="16"/>
              </w:rPr>
            </w:pPr>
            <w:r w:rsidRPr="000767B6">
              <w:rPr>
                <w:rFonts w:ascii="Arial" w:hAnsi="Arial" w:cs="Arial"/>
                <w:color w:val="000000"/>
                <w:sz w:val="16"/>
                <w:szCs w:val="16"/>
              </w:rPr>
              <w:t>5,563</w:t>
            </w:r>
          </w:p>
        </w:tc>
        <w:tc>
          <w:tcPr>
            <w:tcW w:w="522" w:type="pct"/>
            <w:tcBorders>
              <w:top w:val="single" w:sz="4" w:space="0" w:color="293F5B"/>
              <w:left w:val="nil"/>
              <w:bottom w:val="single" w:sz="4" w:space="0" w:color="293F5B"/>
              <w:right w:val="nil"/>
            </w:tcBorders>
            <w:shd w:val="clear" w:color="000000" w:fill="FFFFFF"/>
            <w:noWrap/>
            <w:vAlign w:val="center"/>
            <w:hideMark/>
          </w:tcPr>
          <w:p w14:paraId="68732BB1" w14:textId="77777777" w:rsidR="000767B6" w:rsidRPr="000767B6" w:rsidRDefault="000767B6" w:rsidP="000767B6">
            <w:pPr>
              <w:spacing w:before="0" w:after="0" w:line="240" w:lineRule="auto"/>
              <w:jc w:val="right"/>
              <w:rPr>
                <w:rFonts w:ascii="Arial" w:hAnsi="Arial" w:cs="Arial"/>
                <w:color w:val="000000"/>
                <w:sz w:val="16"/>
                <w:szCs w:val="16"/>
              </w:rPr>
            </w:pPr>
            <w:r w:rsidRPr="000767B6">
              <w:rPr>
                <w:rFonts w:ascii="Arial" w:hAnsi="Arial" w:cs="Arial"/>
                <w:color w:val="000000"/>
                <w:sz w:val="16"/>
                <w:szCs w:val="16"/>
              </w:rPr>
              <w:t>5,776</w:t>
            </w:r>
          </w:p>
        </w:tc>
        <w:tc>
          <w:tcPr>
            <w:tcW w:w="522" w:type="pct"/>
            <w:tcBorders>
              <w:top w:val="single" w:sz="4" w:space="0" w:color="293F5B"/>
              <w:left w:val="nil"/>
              <w:bottom w:val="single" w:sz="4" w:space="0" w:color="293F5B"/>
              <w:right w:val="nil"/>
            </w:tcBorders>
            <w:shd w:val="clear" w:color="000000" w:fill="FFFFFF"/>
            <w:noWrap/>
            <w:vAlign w:val="center"/>
            <w:hideMark/>
          </w:tcPr>
          <w:p w14:paraId="256018EB" w14:textId="77777777" w:rsidR="000767B6" w:rsidRPr="000767B6" w:rsidRDefault="000767B6" w:rsidP="000767B6">
            <w:pPr>
              <w:spacing w:before="0" w:after="0" w:line="240" w:lineRule="auto"/>
              <w:jc w:val="right"/>
              <w:rPr>
                <w:rFonts w:ascii="Arial" w:hAnsi="Arial" w:cs="Arial"/>
                <w:color w:val="000000"/>
                <w:sz w:val="16"/>
                <w:szCs w:val="16"/>
              </w:rPr>
            </w:pPr>
            <w:r w:rsidRPr="000767B6">
              <w:rPr>
                <w:rFonts w:ascii="Arial" w:hAnsi="Arial" w:cs="Arial"/>
                <w:color w:val="000000"/>
                <w:sz w:val="16"/>
                <w:szCs w:val="16"/>
              </w:rPr>
              <w:t>6,172</w:t>
            </w:r>
          </w:p>
        </w:tc>
      </w:tr>
      <w:tr w:rsidR="000767B6" w:rsidRPr="000767B6" w14:paraId="06E21FBA" w14:textId="77777777" w:rsidTr="00236E34">
        <w:trPr>
          <w:trHeight w:hRule="exact" w:val="225"/>
        </w:trPr>
        <w:tc>
          <w:tcPr>
            <w:tcW w:w="2388" w:type="pct"/>
            <w:tcBorders>
              <w:top w:val="nil"/>
              <w:left w:val="nil"/>
              <w:bottom w:val="nil"/>
              <w:right w:val="nil"/>
            </w:tcBorders>
            <w:shd w:val="clear" w:color="000000" w:fill="FFFFFF"/>
            <w:noWrap/>
            <w:vAlign w:val="center"/>
            <w:hideMark/>
          </w:tcPr>
          <w:p w14:paraId="4C0BBE87" w14:textId="77777777" w:rsidR="000767B6" w:rsidRPr="000767B6" w:rsidRDefault="000767B6" w:rsidP="000767B6">
            <w:pPr>
              <w:spacing w:before="0" w:after="0" w:line="240" w:lineRule="auto"/>
              <w:rPr>
                <w:rFonts w:ascii="Arial" w:hAnsi="Arial" w:cs="Arial"/>
                <w:b/>
                <w:bCs/>
                <w:color w:val="000000"/>
                <w:sz w:val="16"/>
                <w:szCs w:val="16"/>
              </w:rPr>
            </w:pPr>
            <w:r w:rsidRPr="000767B6">
              <w:rPr>
                <w:rFonts w:ascii="Arial" w:hAnsi="Arial" w:cs="Arial"/>
                <w:b/>
                <w:bCs/>
                <w:color w:val="000000"/>
                <w:sz w:val="16"/>
                <w:szCs w:val="16"/>
              </w:rPr>
              <w:t xml:space="preserve">Total mining, manufacturing </w:t>
            </w:r>
          </w:p>
        </w:tc>
        <w:tc>
          <w:tcPr>
            <w:tcW w:w="523" w:type="pct"/>
            <w:tcBorders>
              <w:top w:val="single" w:sz="4" w:space="0" w:color="293F5B"/>
              <w:left w:val="nil"/>
              <w:bottom w:val="nil"/>
              <w:right w:val="nil"/>
            </w:tcBorders>
            <w:shd w:val="clear" w:color="000000" w:fill="FFFFFF"/>
            <w:noWrap/>
            <w:vAlign w:val="center"/>
            <w:hideMark/>
          </w:tcPr>
          <w:p w14:paraId="79991D20" w14:textId="77777777" w:rsidR="000767B6" w:rsidRPr="000767B6" w:rsidRDefault="000767B6" w:rsidP="000767B6">
            <w:pPr>
              <w:spacing w:before="0" w:after="0" w:line="240" w:lineRule="auto"/>
              <w:rPr>
                <w:rFonts w:ascii="Arial" w:hAnsi="Arial" w:cs="Arial"/>
                <w:color w:val="000000"/>
                <w:sz w:val="16"/>
                <w:szCs w:val="16"/>
              </w:rPr>
            </w:pPr>
            <w:r w:rsidRPr="000767B6">
              <w:rPr>
                <w:rFonts w:ascii="Arial" w:hAnsi="Arial" w:cs="Arial"/>
                <w:color w:val="000000"/>
                <w:sz w:val="16"/>
                <w:szCs w:val="16"/>
              </w:rPr>
              <w:t> </w:t>
            </w:r>
          </w:p>
        </w:tc>
        <w:tc>
          <w:tcPr>
            <w:tcW w:w="522" w:type="pct"/>
            <w:tcBorders>
              <w:top w:val="single" w:sz="4" w:space="0" w:color="293F5B"/>
              <w:left w:val="nil"/>
              <w:bottom w:val="nil"/>
              <w:right w:val="nil"/>
            </w:tcBorders>
            <w:shd w:val="clear" w:color="000000" w:fill="E6F2FF"/>
            <w:noWrap/>
            <w:vAlign w:val="center"/>
            <w:hideMark/>
          </w:tcPr>
          <w:p w14:paraId="01FF5DE6" w14:textId="77777777" w:rsidR="000767B6" w:rsidRPr="000767B6" w:rsidRDefault="000767B6" w:rsidP="000767B6">
            <w:pPr>
              <w:spacing w:before="0" w:after="0" w:line="240" w:lineRule="auto"/>
              <w:rPr>
                <w:rFonts w:ascii="Arial" w:hAnsi="Arial" w:cs="Arial"/>
                <w:color w:val="000000"/>
                <w:sz w:val="16"/>
                <w:szCs w:val="16"/>
              </w:rPr>
            </w:pPr>
            <w:r w:rsidRPr="000767B6">
              <w:rPr>
                <w:rFonts w:ascii="Arial" w:hAnsi="Arial" w:cs="Arial"/>
                <w:color w:val="000000"/>
                <w:sz w:val="16"/>
                <w:szCs w:val="16"/>
              </w:rPr>
              <w:t> </w:t>
            </w:r>
          </w:p>
        </w:tc>
        <w:tc>
          <w:tcPr>
            <w:tcW w:w="522" w:type="pct"/>
            <w:tcBorders>
              <w:top w:val="single" w:sz="4" w:space="0" w:color="293F5B"/>
              <w:left w:val="nil"/>
              <w:bottom w:val="nil"/>
              <w:right w:val="nil"/>
            </w:tcBorders>
            <w:shd w:val="clear" w:color="000000" w:fill="FFFFFF"/>
            <w:noWrap/>
            <w:vAlign w:val="center"/>
            <w:hideMark/>
          </w:tcPr>
          <w:p w14:paraId="3CC1EB0A" w14:textId="77777777" w:rsidR="000767B6" w:rsidRPr="000767B6" w:rsidRDefault="000767B6" w:rsidP="000767B6">
            <w:pPr>
              <w:spacing w:before="0" w:after="0" w:line="240" w:lineRule="auto"/>
              <w:rPr>
                <w:rFonts w:ascii="Arial" w:hAnsi="Arial" w:cs="Arial"/>
                <w:color w:val="000000"/>
                <w:sz w:val="16"/>
                <w:szCs w:val="16"/>
              </w:rPr>
            </w:pPr>
            <w:r w:rsidRPr="000767B6">
              <w:rPr>
                <w:rFonts w:ascii="Arial" w:hAnsi="Arial" w:cs="Arial"/>
                <w:color w:val="000000"/>
                <w:sz w:val="16"/>
                <w:szCs w:val="16"/>
              </w:rPr>
              <w:t> </w:t>
            </w:r>
          </w:p>
        </w:tc>
        <w:tc>
          <w:tcPr>
            <w:tcW w:w="522" w:type="pct"/>
            <w:tcBorders>
              <w:top w:val="single" w:sz="4" w:space="0" w:color="293F5B"/>
              <w:left w:val="nil"/>
              <w:bottom w:val="nil"/>
              <w:right w:val="nil"/>
            </w:tcBorders>
            <w:shd w:val="clear" w:color="000000" w:fill="FFFFFF"/>
            <w:noWrap/>
            <w:vAlign w:val="center"/>
            <w:hideMark/>
          </w:tcPr>
          <w:p w14:paraId="7662B819" w14:textId="77777777" w:rsidR="000767B6" w:rsidRPr="000767B6" w:rsidRDefault="000767B6" w:rsidP="000767B6">
            <w:pPr>
              <w:spacing w:before="0" w:after="0" w:line="240" w:lineRule="auto"/>
              <w:rPr>
                <w:rFonts w:ascii="Arial" w:hAnsi="Arial" w:cs="Arial"/>
                <w:color w:val="000000"/>
                <w:sz w:val="16"/>
                <w:szCs w:val="16"/>
              </w:rPr>
            </w:pPr>
            <w:r w:rsidRPr="000767B6">
              <w:rPr>
                <w:rFonts w:ascii="Arial" w:hAnsi="Arial" w:cs="Arial"/>
                <w:color w:val="000000"/>
                <w:sz w:val="16"/>
                <w:szCs w:val="16"/>
              </w:rPr>
              <w:t> </w:t>
            </w:r>
          </w:p>
        </w:tc>
        <w:tc>
          <w:tcPr>
            <w:tcW w:w="522" w:type="pct"/>
            <w:tcBorders>
              <w:top w:val="single" w:sz="4" w:space="0" w:color="293F5B"/>
              <w:left w:val="nil"/>
              <w:bottom w:val="nil"/>
              <w:right w:val="nil"/>
            </w:tcBorders>
            <w:shd w:val="clear" w:color="000000" w:fill="FFFFFF"/>
            <w:noWrap/>
            <w:vAlign w:val="center"/>
            <w:hideMark/>
          </w:tcPr>
          <w:p w14:paraId="443D8347" w14:textId="77777777" w:rsidR="000767B6" w:rsidRPr="000767B6" w:rsidRDefault="000767B6" w:rsidP="000767B6">
            <w:pPr>
              <w:spacing w:before="0" w:after="0" w:line="240" w:lineRule="auto"/>
              <w:rPr>
                <w:rFonts w:ascii="Arial" w:hAnsi="Arial" w:cs="Arial"/>
                <w:color w:val="000000"/>
                <w:sz w:val="16"/>
                <w:szCs w:val="16"/>
              </w:rPr>
            </w:pPr>
            <w:r w:rsidRPr="000767B6">
              <w:rPr>
                <w:rFonts w:ascii="Arial" w:hAnsi="Arial" w:cs="Arial"/>
                <w:color w:val="000000"/>
                <w:sz w:val="16"/>
                <w:szCs w:val="16"/>
              </w:rPr>
              <w:t> </w:t>
            </w:r>
          </w:p>
        </w:tc>
      </w:tr>
      <w:tr w:rsidR="000767B6" w:rsidRPr="000767B6" w14:paraId="56E9D550" w14:textId="77777777" w:rsidTr="006D4D01">
        <w:trPr>
          <w:trHeight w:hRule="exact" w:val="225"/>
        </w:trPr>
        <w:tc>
          <w:tcPr>
            <w:tcW w:w="2388" w:type="pct"/>
            <w:tcBorders>
              <w:top w:val="nil"/>
              <w:left w:val="nil"/>
              <w:bottom w:val="single" w:sz="4" w:space="0" w:color="293F5B"/>
              <w:right w:val="nil"/>
            </w:tcBorders>
            <w:shd w:val="clear" w:color="000000" w:fill="FFFFFF"/>
            <w:noWrap/>
            <w:vAlign w:val="center"/>
            <w:hideMark/>
          </w:tcPr>
          <w:p w14:paraId="2BE7C962" w14:textId="77777777" w:rsidR="000767B6" w:rsidRPr="000767B6" w:rsidRDefault="000767B6" w:rsidP="006D4D01">
            <w:pPr>
              <w:spacing w:before="0" w:after="0" w:line="240" w:lineRule="auto"/>
              <w:ind w:left="170"/>
              <w:rPr>
                <w:rFonts w:ascii="Arial" w:hAnsi="Arial" w:cs="Arial"/>
                <w:b/>
                <w:bCs/>
                <w:color w:val="000000"/>
                <w:sz w:val="16"/>
                <w:szCs w:val="16"/>
              </w:rPr>
            </w:pPr>
            <w:r w:rsidRPr="000767B6">
              <w:rPr>
                <w:rFonts w:ascii="Arial" w:hAnsi="Arial" w:cs="Arial"/>
                <w:b/>
                <w:bCs/>
                <w:color w:val="000000"/>
                <w:sz w:val="16"/>
                <w:szCs w:val="16"/>
              </w:rPr>
              <w:t>and construction</w:t>
            </w:r>
          </w:p>
        </w:tc>
        <w:tc>
          <w:tcPr>
            <w:tcW w:w="523" w:type="pct"/>
            <w:tcBorders>
              <w:top w:val="nil"/>
              <w:left w:val="nil"/>
              <w:bottom w:val="single" w:sz="4" w:space="0" w:color="293F5B"/>
              <w:right w:val="nil"/>
            </w:tcBorders>
            <w:shd w:val="clear" w:color="000000" w:fill="FFFFFF"/>
            <w:noWrap/>
            <w:vAlign w:val="center"/>
            <w:hideMark/>
          </w:tcPr>
          <w:p w14:paraId="762591E2" w14:textId="77777777" w:rsidR="000767B6" w:rsidRPr="000767B6" w:rsidRDefault="000767B6" w:rsidP="000767B6">
            <w:pPr>
              <w:spacing w:before="0" w:after="0" w:line="240" w:lineRule="auto"/>
              <w:jc w:val="right"/>
              <w:rPr>
                <w:rFonts w:ascii="Arial" w:hAnsi="Arial" w:cs="Arial"/>
                <w:b/>
                <w:bCs/>
                <w:color w:val="000000"/>
                <w:sz w:val="16"/>
                <w:szCs w:val="16"/>
              </w:rPr>
            </w:pPr>
            <w:r w:rsidRPr="000767B6">
              <w:rPr>
                <w:rFonts w:ascii="Arial" w:hAnsi="Arial" w:cs="Arial"/>
                <w:b/>
                <w:bCs/>
                <w:color w:val="000000"/>
                <w:sz w:val="16"/>
                <w:szCs w:val="16"/>
              </w:rPr>
              <w:t>5,968</w:t>
            </w:r>
          </w:p>
        </w:tc>
        <w:tc>
          <w:tcPr>
            <w:tcW w:w="522" w:type="pct"/>
            <w:tcBorders>
              <w:top w:val="nil"/>
              <w:left w:val="nil"/>
              <w:bottom w:val="single" w:sz="4" w:space="0" w:color="293F5B"/>
              <w:right w:val="nil"/>
            </w:tcBorders>
            <w:shd w:val="clear" w:color="000000" w:fill="E6F2FF"/>
            <w:noWrap/>
            <w:vAlign w:val="center"/>
            <w:hideMark/>
          </w:tcPr>
          <w:p w14:paraId="1A5A90C7" w14:textId="77777777" w:rsidR="000767B6" w:rsidRPr="000767B6" w:rsidRDefault="000767B6" w:rsidP="000767B6">
            <w:pPr>
              <w:spacing w:before="0" w:after="0" w:line="240" w:lineRule="auto"/>
              <w:jc w:val="right"/>
              <w:rPr>
                <w:rFonts w:ascii="Arial" w:hAnsi="Arial" w:cs="Arial"/>
                <w:b/>
                <w:bCs/>
                <w:color w:val="000000"/>
                <w:sz w:val="16"/>
                <w:szCs w:val="16"/>
              </w:rPr>
            </w:pPr>
            <w:r w:rsidRPr="000767B6">
              <w:rPr>
                <w:rFonts w:ascii="Arial" w:hAnsi="Arial" w:cs="Arial"/>
                <w:b/>
                <w:bCs/>
                <w:color w:val="000000"/>
                <w:sz w:val="16"/>
                <w:szCs w:val="16"/>
              </w:rPr>
              <w:t>5,511</w:t>
            </w:r>
          </w:p>
        </w:tc>
        <w:tc>
          <w:tcPr>
            <w:tcW w:w="522" w:type="pct"/>
            <w:tcBorders>
              <w:top w:val="nil"/>
              <w:left w:val="nil"/>
              <w:bottom w:val="single" w:sz="4" w:space="0" w:color="293F5B"/>
              <w:right w:val="nil"/>
            </w:tcBorders>
            <w:shd w:val="clear" w:color="000000" w:fill="FFFFFF"/>
            <w:noWrap/>
            <w:vAlign w:val="center"/>
            <w:hideMark/>
          </w:tcPr>
          <w:p w14:paraId="1F70D792" w14:textId="77777777" w:rsidR="000767B6" w:rsidRPr="000767B6" w:rsidRDefault="000767B6" w:rsidP="000767B6">
            <w:pPr>
              <w:spacing w:before="0" w:after="0" w:line="240" w:lineRule="auto"/>
              <w:jc w:val="right"/>
              <w:rPr>
                <w:rFonts w:ascii="Arial" w:hAnsi="Arial" w:cs="Arial"/>
                <w:b/>
                <w:bCs/>
                <w:color w:val="000000"/>
                <w:sz w:val="16"/>
                <w:szCs w:val="16"/>
              </w:rPr>
            </w:pPr>
            <w:r w:rsidRPr="000767B6">
              <w:rPr>
                <w:rFonts w:ascii="Arial" w:hAnsi="Arial" w:cs="Arial"/>
                <w:b/>
                <w:bCs/>
                <w:color w:val="000000"/>
                <w:sz w:val="16"/>
                <w:szCs w:val="16"/>
              </w:rPr>
              <w:t>5,563</w:t>
            </w:r>
          </w:p>
        </w:tc>
        <w:tc>
          <w:tcPr>
            <w:tcW w:w="522" w:type="pct"/>
            <w:tcBorders>
              <w:top w:val="nil"/>
              <w:left w:val="nil"/>
              <w:bottom w:val="single" w:sz="4" w:space="0" w:color="293F5B"/>
              <w:right w:val="nil"/>
            </w:tcBorders>
            <w:shd w:val="clear" w:color="000000" w:fill="FFFFFF"/>
            <w:noWrap/>
            <w:vAlign w:val="center"/>
            <w:hideMark/>
          </w:tcPr>
          <w:p w14:paraId="470AB522" w14:textId="77777777" w:rsidR="000767B6" w:rsidRPr="000767B6" w:rsidRDefault="000767B6" w:rsidP="000767B6">
            <w:pPr>
              <w:spacing w:before="0" w:after="0" w:line="240" w:lineRule="auto"/>
              <w:jc w:val="right"/>
              <w:rPr>
                <w:rFonts w:ascii="Arial" w:hAnsi="Arial" w:cs="Arial"/>
                <w:b/>
                <w:bCs/>
                <w:color w:val="000000"/>
                <w:sz w:val="16"/>
                <w:szCs w:val="16"/>
              </w:rPr>
            </w:pPr>
            <w:r w:rsidRPr="000767B6">
              <w:rPr>
                <w:rFonts w:ascii="Arial" w:hAnsi="Arial" w:cs="Arial"/>
                <w:b/>
                <w:bCs/>
                <w:color w:val="000000"/>
                <w:sz w:val="16"/>
                <w:szCs w:val="16"/>
              </w:rPr>
              <w:t>5,776</w:t>
            </w:r>
          </w:p>
        </w:tc>
        <w:tc>
          <w:tcPr>
            <w:tcW w:w="522" w:type="pct"/>
            <w:tcBorders>
              <w:top w:val="nil"/>
              <w:left w:val="nil"/>
              <w:bottom w:val="single" w:sz="4" w:space="0" w:color="293F5B"/>
              <w:right w:val="nil"/>
            </w:tcBorders>
            <w:shd w:val="clear" w:color="000000" w:fill="FFFFFF"/>
            <w:noWrap/>
            <w:vAlign w:val="center"/>
            <w:hideMark/>
          </w:tcPr>
          <w:p w14:paraId="00D3C2EE" w14:textId="77777777" w:rsidR="000767B6" w:rsidRPr="000767B6" w:rsidRDefault="000767B6" w:rsidP="000767B6">
            <w:pPr>
              <w:spacing w:before="0" w:after="0" w:line="240" w:lineRule="auto"/>
              <w:jc w:val="right"/>
              <w:rPr>
                <w:rFonts w:ascii="Arial" w:hAnsi="Arial" w:cs="Arial"/>
                <w:b/>
                <w:bCs/>
                <w:color w:val="000000"/>
                <w:sz w:val="16"/>
                <w:szCs w:val="16"/>
              </w:rPr>
            </w:pPr>
            <w:r w:rsidRPr="000767B6">
              <w:rPr>
                <w:rFonts w:ascii="Arial" w:hAnsi="Arial" w:cs="Arial"/>
                <w:b/>
                <w:bCs/>
                <w:color w:val="000000"/>
                <w:sz w:val="16"/>
                <w:szCs w:val="16"/>
              </w:rPr>
              <w:t>6,172</w:t>
            </w:r>
          </w:p>
        </w:tc>
      </w:tr>
    </w:tbl>
    <w:p w14:paraId="121993D2" w14:textId="36539364" w:rsidR="00E32E1B" w:rsidRDefault="00E32E1B" w:rsidP="00E87DDC">
      <w:pPr>
        <w:pStyle w:val="ChartandTableFootnoteAlpha"/>
        <w:numPr>
          <w:ilvl w:val="0"/>
          <w:numId w:val="29"/>
        </w:numPr>
      </w:pPr>
      <w:r>
        <w:t>A further breakdown of the mining, manufacturing and construction sub</w:t>
      </w:r>
      <w:r w:rsidR="008D4F6B">
        <w:noBreakHyphen/>
      </w:r>
      <w:r>
        <w:t>function is provided in Table 6.14.1.</w:t>
      </w:r>
    </w:p>
    <w:p w14:paraId="7A4891DD" w14:textId="77777777" w:rsidR="00E32E1B" w:rsidRPr="000177D7" w:rsidRDefault="00E32E1B" w:rsidP="00D91079">
      <w:pPr>
        <w:pStyle w:val="TableLine"/>
      </w:pPr>
    </w:p>
    <w:p w14:paraId="5B32AEF8" w14:textId="17430D49" w:rsidR="00FC534C" w:rsidRDefault="00FC534C" w:rsidP="00FC534C">
      <w:pPr>
        <w:rPr>
          <w:szCs w:val="19"/>
          <w:lang w:val="en-US"/>
        </w:rPr>
      </w:pPr>
      <w:r w:rsidRPr="5EF17E48">
        <w:rPr>
          <w:szCs w:val="19"/>
        </w:rPr>
        <w:t xml:space="preserve">Total expenses </w:t>
      </w:r>
      <w:r w:rsidR="00326A2C">
        <w:rPr>
          <w:szCs w:val="19"/>
        </w:rPr>
        <w:t xml:space="preserve">for </w:t>
      </w:r>
      <w:r w:rsidRPr="00326A2C">
        <w:rPr>
          <w:szCs w:val="19"/>
        </w:rPr>
        <w:t>mining, manufacturing and construction</w:t>
      </w:r>
      <w:r w:rsidRPr="5EF17E48">
        <w:rPr>
          <w:szCs w:val="19"/>
        </w:rPr>
        <w:t xml:space="preserve"> are expected to increase</w:t>
      </w:r>
      <w:r w:rsidRPr="5EF17E48">
        <w:rPr>
          <w:szCs w:val="19"/>
          <w:lang w:val="en-US"/>
        </w:rPr>
        <w:t xml:space="preserve"> </w:t>
      </w:r>
      <w:r w:rsidRPr="00FF3DD4">
        <w:rPr>
          <w:szCs w:val="19"/>
          <w:lang w:val="en-US"/>
        </w:rPr>
        <w:t xml:space="preserve">by </w:t>
      </w:r>
      <w:r w:rsidR="008E4D45">
        <w:rPr>
          <w:szCs w:val="19"/>
          <w:lang w:val="en-US"/>
        </w:rPr>
        <w:t>12.0</w:t>
      </w:r>
      <w:r w:rsidR="00141218">
        <w:rPr>
          <w:szCs w:val="19"/>
          <w:lang w:val="en-US"/>
        </w:rPr>
        <w:t> </w:t>
      </w:r>
      <w:r w:rsidRPr="00FF3DD4">
        <w:rPr>
          <w:szCs w:val="19"/>
          <w:lang w:val="en-US"/>
        </w:rPr>
        <w:t>per c</w:t>
      </w:r>
      <w:r w:rsidRPr="5EF17E48">
        <w:rPr>
          <w:szCs w:val="19"/>
          <w:lang w:val="en-US"/>
        </w:rPr>
        <w:t>ent over the period 2024–25 to 2027–28, reflecting</w:t>
      </w:r>
      <w:r w:rsidR="00C119A8">
        <w:rPr>
          <w:szCs w:val="19"/>
          <w:lang w:val="en-US"/>
        </w:rPr>
        <w:t xml:space="preserve"> the</w:t>
      </w:r>
      <w:r w:rsidRPr="5EF17E48">
        <w:rPr>
          <w:szCs w:val="19"/>
          <w:lang w:val="en-US"/>
        </w:rPr>
        <w:t xml:space="preserve"> </w:t>
      </w:r>
      <w:r>
        <w:rPr>
          <w:szCs w:val="19"/>
          <w:lang w:val="en-US"/>
        </w:rPr>
        <w:t>Government</w:t>
      </w:r>
      <w:r w:rsidR="008D4F6B">
        <w:rPr>
          <w:szCs w:val="19"/>
          <w:lang w:val="en-US"/>
        </w:rPr>
        <w:t>’</w:t>
      </w:r>
      <w:r>
        <w:rPr>
          <w:szCs w:val="19"/>
          <w:lang w:val="en-US"/>
        </w:rPr>
        <w:t xml:space="preserve">s increased </w:t>
      </w:r>
      <w:r w:rsidRPr="5EF17E48">
        <w:rPr>
          <w:szCs w:val="19"/>
          <w:lang w:val="en-US"/>
        </w:rPr>
        <w:t xml:space="preserve">support </w:t>
      </w:r>
      <w:r>
        <w:rPr>
          <w:szCs w:val="19"/>
          <w:lang w:val="en-US"/>
        </w:rPr>
        <w:t xml:space="preserve">for </w:t>
      </w:r>
      <w:r w:rsidRPr="5EF17E48">
        <w:rPr>
          <w:szCs w:val="19"/>
          <w:lang w:val="en-US"/>
        </w:rPr>
        <w:t>the Australian mining, manufacturing, and construction industries</w:t>
      </w:r>
      <w:r>
        <w:rPr>
          <w:szCs w:val="19"/>
          <w:lang w:val="en-US"/>
        </w:rPr>
        <w:t>.</w:t>
      </w:r>
    </w:p>
    <w:p w14:paraId="3F6B4D9C" w14:textId="128E374A" w:rsidR="00041C95" w:rsidRDefault="00041C95" w:rsidP="00041C95">
      <w:r>
        <w:t xml:space="preserve">Table 6.14.1 sets out the major components of the </w:t>
      </w:r>
      <w:r w:rsidRPr="00E5015C">
        <w:rPr>
          <w:rStyle w:val="Strong"/>
        </w:rPr>
        <w:t>mining, manufacturing and construction</w:t>
      </w:r>
      <w:r>
        <w:t xml:space="preserve"> sub</w:t>
      </w:r>
      <w:r w:rsidR="008D4F6B">
        <w:noBreakHyphen/>
      </w:r>
      <w:r>
        <w:t>function.</w:t>
      </w:r>
    </w:p>
    <w:p w14:paraId="3A19E5EC" w14:textId="2626B752" w:rsidR="00C96284" w:rsidRDefault="00041C95" w:rsidP="00C96284">
      <w:pPr>
        <w:pStyle w:val="TableHeading"/>
        <w:rPr>
          <w:rFonts w:asciiTheme="minorHAnsi" w:eastAsiaTheme="minorHAnsi" w:hAnsiTheme="minorHAnsi" w:cstheme="minorBidi"/>
          <w:sz w:val="22"/>
          <w:szCs w:val="22"/>
          <w:lang w:eastAsia="en-US"/>
        </w:rPr>
      </w:pPr>
      <w:r>
        <w:t>Table </w:t>
      </w:r>
      <w:r w:rsidRPr="000177D7">
        <w:t xml:space="preserve">6.14.1: Trends in the major components of </w:t>
      </w:r>
      <w:r>
        <w:t xml:space="preserve">the </w:t>
      </w:r>
      <w:r w:rsidRPr="000177D7">
        <w:t>mining, manufacturing and construction sub</w:t>
      </w:r>
      <w:r w:rsidR="008D4F6B">
        <w:noBreakHyphen/>
      </w:r>
      <w:r w:rsidRPr="000177D7">
        <w:t xml:space="preserve">function </w:t>
      </w:r>
      <w:r w:rsidRPr="00B965A6">
        <w:t>expense</w:t>
      </w:r>
      <w:bookmarkStart w:id="149" w:name="_1776940572"/>
      <w:bookmarkStart w:id="150" w:name="_1776939935"/>
      <w:bookmarkEnd w:id="149"/>
      <w:bookmarkEnd w:id="150"/>
    </w:p>
    <w:tbl>
      <w:tblPr>
        <w:tblW w:w="5000" w:type="pct"/>
        <w:tblCellMar>
          <w:left w:w="0" w:type="dxa"/>
          <w:right w:w="28" w:type="dxa"/>
        </w:tblCellMar>
        <w:tblLook w:val="04A0" w:firstRow="1" w:lastRow="0" w:firstColumn="1" w:lastColumn="0" w:noHBand="0" w:noVBand="1"/>
      </w:tblPr>
      <w:tblGrid>
        <w:gridCol w:w="3366"/>
        <w:gridCol w:w="105"/>
        <w:gridCol w:w="848"/>
        <w:gridCol w:w="848"/>
        <w:gridCol w:w="848"/>
        <w:gridCol w:w="848"/>
        <w:gridCol w:w="847"/>
      </w:tblGrid>
      <w:tr w:rsidR="00C96284" w:rsidRPr="00C96284" w14:paraId="167E2965" w14:textId="77777777" w:rsidTr="00C96284">
        <w:trPr>
          <w:trHeight w:hRule="exact" w:val="20"/>
        </w:trPr>
        <w:tc>
          <w:tcPr>
            <w:tcW w:w="2183" w:type="pct"/>
            <w:tcBorders>
              <w:top w:val="nil"/>
              <w:left w:val="nil"/>
              <w:bottom w:val="single" w:sz="4" w:space="0" w:color="293F5B"/>
              <w:right w:val="nil"/>
            </w:tcBorders>
            <w:shd w:val="clear" w:color="000000" w:fill="FFFFFF"/>
            <w:noWrap/>
            <w:vAlign w:val="center"/>
            <w:hideMark/>
          </w:tcPr>
          <w:p w14:paraId="1CC6514D" w14:textId="05D79272" w:rsidR="00C96284" w:rsidRPr="00C96284" w:rsidRDefault="00C96284" w:rsidP="00C96284">
            <w:pPr>
              <w:spacing w:before="0" w:after="0" w:line="240" w:lineRule="auto"/>
              <w:rPr>
                <w:rFonts w:ascii="Arial" w:hAnsi="Arial" w:cs="Arial"/>
                <w:b/>
                <w:bCs/>
                <w:color w:val="000000"/>
                <w:sz w:val="16"/>
                <w:szCs w:val="16"/>
              </w:rPr>
            </w:pPr>
            <w:r w:rsidRPr="00C96284">
              <w:rPr>
                <w:rFonts w:ascii="Arial" w:hAnsi="Arial" w:cs="Arial"/>
                <w:b/>
                <w:bCs/>
                <w:color w:val="000000"/>
                <w:sz w:val="16"/>
                <w:szCs w:val="16"/>
              </w:rPr>
              <w:t> </w:t>
            </w:r>
          </w:p>
        </w:tc>
        <w:tc>
          <w:tcPr>
            <w:tcW w:w="68" w:type="pct"/>
            <w:tcBorders>
              <w:top w:val="nil"/>
              <w:left w:val="nil"/>
              <w:bottom w:val="single" w:sz="4" w:space="0" w:color="293F5B"/>
              <w:right w:val="nil"/>
            </w:tcBorders>
            <w:shd w:val="clear" w:color="000000" w:fill="FFFFFF"/>
            <w:noWrap/>
            <w:vAlign w:val="center"/>
            <w:hideMark/>
          </w:tcPr>
          <w:p w14:paraId="7F29B0BD" w14:textId="77777777" w:rsidR="00C96284" w:rsidRPr="00C96284" w:rsidRDefault="00C96284" w:rsidP="00C96284">
            <w:pPr>
              <w:spacing w:before="0" w:after="0" w:line="240" w:lineRule="auto"/>
              <w:rPr>
                <w:rFonts w:ascii="Arial" w:hAnsi="Arial" w:cs="Arial"/>
                <w:b/>
                <w:bCs/>
                <w:color w:val="000000"/>
                <w:sz w:val="16"/>
                <w:szCs w:val="16"/>
              </w:rPr>
            </w:pPr>
            <w:r w:rsidRPr="00C96284">
              <w:rPr>
                <w:rFonts w:ascii="Arial" w:hAnsi="Arial" w:cs="Arial"/>
                <w:b/>
                <w:bCs/>
                <w:color w:val="000000"/>
                <w:sz w:val="16"/>
                <w:szCs w:val="16"/>
              </w:rPr>
              <w:t> </w:t>
            </w:r>
          </w:p>
        </w:tc>
        <w:tc>
          <w:tcPr>
            <w:tcW w:w="550" w:type="pct"/>
            <w:tcBorders>
              <w:top w:val="nil"/>
              <w:left w:val="nil"/>
              <w:bottom w:val="single" w:sz="4" w:space="0" w:color="293F5B"/>
              <w:right w:val="nil"/>
            </w:tcBorders>
            <w:shd w:val="clear" w:color="000000" w:fill="FFFFFF"/>
            <w:noWrap/>
            <w:vAlign w:val="center"/>
            <w:hideMark/>
          </w:tcPr>
          <w:p w14:paraId="7D6E4495" w14:textId="77777777" w:rsidR="00C96284" w:rsidRPr="00C96284" w:rsidRDefault="00C96284" w:rsidP="00C96284">
            <w:pPr>
              <w:spacing w:before="0" w:after="0" w:line="240" w:lineRule="auto"/>
              <w:rPr>
                <w:rFonts w:ascii="Arial" w:hAnsi="Arial" w:cs="Arial"/>
                <w:color w:val="000000"/>
                <w:sz w:val="16"/>
                <w:szCs w:val="16"/>
              </w:rPr>
            </w:pPr>
            <w:r w:rsidRPr="00C96284">
              <w:rPr>
                <w:rFonts w:ascii="Arial" w:hAnsi="Arial" w:cs="Arial"/>
                <w:color w:val="000000"/>
                <w:sz w:val="16"/>
                <w:szCs w:val="16"/>
              </w:rPr>
              <w:t> </w:t>
            </w:r>
          </w:p>
        </w:tc>
        <w:tc>
          <w:tcPr>
            <w:tcW w:w="550" w:type="pct"/>
            <w:tcBorders>
              <w:top w:val="nil"/>
              <w:left w:val="nil"/>
              <w:bottom w:val="single" w:sz="4" w:space="0" w:color="293F5B"/>
              <w:right w:val="nil"/>
            </w:tcBorders>
            <w:shd w:val="clear" w:color="000000" w:fill="FFFFFF"/>
            <w:noWrap/>
            <w:vAlign w:val="center"/>
            <w:hideMark/>
          </w:tcPr>
          <w:p w14:paraId="0A4A0723" w14:textId="77777777" w:rsidR="00C96284" w:rsidRPr="00C96284" w:rsidRDefault="00C96284" w:rsidP="00C96284">
            <w:pPr>
              <w:spacing w:before="0" w:after="0" w:line="240" w:lineRule="auto"/>
              <w:rPr>
                <w:rFonts w:ascii="Arial" w:hAnsi="Arial" w:cs="Arial"/>
                <w:color w:val="000000"/>
                <w:sz w:val="16"/>
                <w:szCs w:val="16"/>
              </w:rPr>
            </w:pPr>
            <w:r w:rsidRPr="00C96284">
              <w:rPr>
                <w:rFonts w:ascii="Arial" w:hAnsi="Arial" w:cs="Arial"/>
                <w:color w:val="000000"/>
                <w:sz w:val="16"/>
                <w:szCs w:val="16"/>
              </w:rPr>
              <w:t> </w:t>
            </w:r>
          </w:p>
        </w:tc>
        <w:tc>
          <w:tcPr>
            <w:tcW w:w="550" w:type="pct"/>
            <w:tcBorders>
              <w:top w:val="nil"/>
              <w:left w:val="nil"/>
              <w:bottom w:val="single" w:sz="4" w:space="0" w:color="293F5B"/>
              <w:right w:val="nil"/>
            </w:tcBorders>
            <w:shd w:val="clear" w:color="000000" w:fill="FFFFFF"/>
            <w:noWrap/>
            <w:vAlign w:val="center"/>
            <w:hideMark/>
          </w:tcPr>
          <w:p w14:paraId="550078B2" w14:textId="77777777" w:rsidR="00C96284" w:rsidRPr="00C96284" w:rsidRDefault="00C96284" w:rsidP="00C96284">
            <w:pPr>
              <w:spacing w:before="0" w:after="0" w:line="240" w:lineRule="auto"/>
              <w:rPr>
                <w:rFonts w:ascii="Arial" w:hAnsi="Arial" w:cs="Arial"/>
                <w:color w:val="000000"/>
                <w:sz w:val="16"/>
                <w:szCs w:val="16"/>
              </w:rPr>
            </w:pPr>
            <w:r w:rsidRPr="00C96284">
              <w:rPr>
                <w:rFonts w:ascii="Arial" w:hAnsi="Arial" w:cs="Arial"/>
                <w:color w:val="000000"/>
                <w:sz w:val="16"/>
                <w:szCs w:val="16"/>
              </w:rPr>
              <w:t> </w:t>
            </w:r>
          </w:p>
        </w:tc>
        <w:tc>
          <w:tcPr>
            <w:tcW w:w="550" w:type="pct"/>
            <w:tcBorders>
              <w:top w:val="nil"/>
              <w:left w:val="nil"/>
              <w:bottom w:val="single" w:sz="4" w:space="0" w:color="293F5B"/>
              <w:right w:val="nil"/>
            </w:tcBorders>
            <w:shd w:val="clear" w:color="000000" w:fill="FFFFFF"/>
            <w:noWrap/>
            <w:vAlign w:val="center"/>
            <w:hideMark/>
          </w:tcPr>
          <w:p w14:paraId="0E231A3C" w14:textId="77777777" w:rsidR="00C96284" w:rsidRPr="00C96284" w:rsidRDefault="00C96284" w:rsidP="00C96284">
            <w:pPr>
              <w:spacing w:before="0" w:after="0" w:line="240" w:lineRule="auto"/>
              <w:rPr>
                <w:rFonts w:ascii="Arial" w:hAnsi="Arial" w:cs="Arial"/>
                <w:color w:val="000000"/>
                <w:sz w:val="16"/>
                <w:szCs w:val="16"/>
              </w:rPr>
            </w:pPr>
            <w:r w:rsidRPr="00C96284">
              <w:rPr>
                <w:rFonts w:ascii="Arial" w:hAnsi="Arial" w:cs="Arial"/>
                <w:color w:val="000000"/>
                <w:sz w:val="16"/>
                <w:szCs w:val="16"/>
              </w:rPr>
              <w:t> </w:t>
            </w:r>
          </w:p>
        </w:tc>
        <w:tc>
          <w:tcPr>
            <w:tcW w:w="550" w:type="pct"/>
            <w:tcBorders>
              <w:top w:val="nil"/>
              <w:left w:val="nil"/>
              <w:bottom w:val="single" w:sz="4" w:space="0" w:color="293F5B"/>
              <w:right w:val="nil"/>
            </w:tcBorders>
            <w:shd w:val="clear" w:color="000000" w:fill="FFFFFF"/>
            <w:noWrap/>
            <w:vAlign w:val="center"/>
            <w:hideMark/>
          </w:tcPr>
          <w:p w14:paraId="73B233E7" w14:textId="77777777" w:rsidR="00C96284" w:rsidRPr="00C96284" w:rsidRDefault="00C96284" w:rsidP="00C96284">
            <w:pPr>
              <w:spacing w:before="0" w:after="0" w:line="240" w:lineRule="auto"/>
              <w:rPr>
                <w:rFonts w:ascii="Arial" w:hAnsi="Arial" w:cs="Arial"/>
                <w:color w:val="000000"/>
                <w:sz w:val="16"/>
                <w:szCs w:val="16"/>
              </w:rPr>
            </w:pPr>
            <w:r w:rsidRPr="00C96284">
              <w:rPr>
                <w:rFonts w:ascii="Arial" w:hAnsi="Arial" w:cs="Arial"/>
                <w:color w:val="000000"/>
                <w:sz w:val="16"/>
                <w:szCs w:val="16"/>
              </w:rPr>
              <w:t> </w:t>
            </w:r>
          </w:p>
        </w:tc>
      </w:tr>
      <w:tr w:rsidR="00C96284" w:rsidRPr="00C96284" w14:paraId="537015A7" w14:textId="77777777" w:rsidTr="00236E34">
        <w:trPr>
          <w:trHeight w:hRule="exact" w:val="226"/>
        </w:trPr>
        <w:tc>
          <w:tcPr>
            <w:tcW w:w="2183" w:type="pct"/>
            <w:tcBorders>
              <w:top w:val="nil"/>
              <w:left w:val="nil"/>
              <w:bottom w:val="nil"/>
              <w:right w:val="nil"/>
            </w:tcBorders>
            <w:shd w:val="clear" w:color="000000" w:fill="FFFFFF"/>
            <w:noWrap/>
            <w:vAlign w:val="center"/>
            <w:hideMark/>
          </w:tcPr>
          <w:p w14:paraId="0106C091" w14:textId="77777777" w:rsidR="00C96284" w:rsidRPr="00C96284" w:rsidRDefault="00C96284" w:rsidP="00C96284">
            <w:pPr>
              <w:spacing w:before="0" w:after="0" w:line="240" w:lineRule="auto"/>
              <w:rPr>
                <w:rFonts w:ascii="Arial" w:hAnsi="Arial" w:cs="Arial"/>
                <w:b/>
                <w:bCs/>
                <w:color w:val="000000"/>
                <w:sz w:val="16"/>
                <w:szCs w:val="16"/>
              </w:rPr>
            </w:pPr>
            <w:r w:rsidRPr="00C96284">
              <w:rPr>
                <w:rFonts w:ascii="Arial" w:hAnsi="Arial" w:cs="Arial"/>
                <w:b/>
                <w:bCs/>
                <w:color w:val="000000"/>
                <w:sz w:val="16"/>
                <w:szCs w:val="16"/>
              </w:rPr>
              <w:t>Component(a)</w:t>
            </w:r>
          </w:p>
        </w:tc>
        <w:tc>
          <w:tcPr>
            <w:tcW w:w="68" w:type="pct"/>
            <w:tcBorders>
              <w:top w:val="nil"/>
              <w:left w:val="nil"/>
              <w:bottom w:val="nil"/>
              <w:right w:val="nil"/>
            </w:tcBorders>
            <w:shd w:val="clear" w:color="000000" w:fill="FFFFFF"/>
            <w:noWrap/>
            <w:vAlign w:val="center"/>
            <w:hideMark/>
          </w:tcPr>
          <w:p w14:paraId="7B1628FA" w14:textId="77777777" w:rsidR="00C96284" w:rsidRPr="00C96284" w:rsidRDefault="00C96284" w:rsidP="00C96284">
            <w:pPr>
              <w:spacing w:before="0" w:after="0" w:line="240" w:lineRule="auto"/>
              <w:rPr>
                <w:rFonts w:ascii="Arial" w:hAnsi="Arial" w:cs="Arial"/>
                <w:color w:val="000000"/>
                <w:sz w:val="16"/>
                <w:szCs w:val="16"/>
              </w:rPr>
            </w:pPr>
            <w:r w:rsidRPr="00C96284">
              <w:rPr>
                <w:rFonts w:ascii="Arial" w:hAnsi="Arial" w:cs="Arial"/>
                <w:color w:val="000000"/>
                <w:sz w:val="16"/>
                <w:szCs w:val="16"/>
              </w:rPr>
              <w:t> </w:t>
            </w:r>
          </w:p>
        </w:tc>
        <w:tc>
          <w:tcPr>
            <w:tcW w:w="2748" w:type="pct"/>
            <w:gridSpan w:val="5"/>
            <w:tcBorders>
              <w:top w:val="single" w:sz="4" w:space="0" w:color="293F5B"/>
              <w:left w:val="nil"/>
              <w:bottom w:val="single" w:sz="4" w:space="0" w:color="293F5B"/>
              <w:right w:val="nil"/>
            </w:tcBorders>
            <w:shd w:val="clear" w:color="000000" w:fill="FFFFFF"/>
            <w:noWrap/>
            <w:vAlign w:val="center"/>
            <w:hideMark/>
          </w:tcPr>
          <w:p w14:paraId="1C2F08C4" w14:textId="77777777" w:rsidR="00C96284" w:rsidRPr="00C96284" w:rsidRDefault="00C96284" w:rsidP="00C96284">
            <w:pPr>
              <w:spacing w:before="0" w:after="0" w:line="240" w:lineRule="auto"/>
              <w:jc w:val="center"/>
              <w:rPr>
                <w:rFonts w:ascii="Arial" w:hAnsi="Arial" w:cs="Arial"/>
                <w:color w:val="000000"/>
                <w:sz w:val="16"/>
                <w:szCs w:val="16"/>
              </w:rPr>
            </w:pPr>
            <w:r w:rsidRPr="00C96284">
              <w:rPr>
                <w:rFonts w:ascii="Arial" w:hAnsi="Arial" w:cs="Arial"/>
                <w:color w:val="000000"/>
                <w:sz w:val="16"/>
                <w:szCs w:val="16"/>
              </w:rPr>
              <w:t>Estimates</w:t>
            </w:r>
          </w:p>
        </w:tc>
      </w:tr>
      <w:tr w:rsidR="00C96284" w:rsidRPr="00C96284" w14:paraId="5E1B6312" w14:textId="77777777" w:rsidTr="00C96284">
        <w:trPr>
          <w:trHeight w:hRule="exact" w:val="226"/>
        </w:trPr>
        <w:tc>
          <w:tcPr>
            <w:tcW w:w="2183" w:type="pct"/>
            <w:tcBorders>
              <w:top w:val="nil"/>
              <w:left w:val="nil"/>
              <w:bottom w:val="nil"/>
              <w:right w:val="nil"/>
            </w:tcBorders>
            <w:shd w:val="clear" w:color="000000" w:fill="FFFFFF"/>
            <w:noWrap/>
            <w:vAlign w:val="bottom"/>
            <w:hideMark/>
          </w:tcPr>
          <w:p w14:paraId="0DFB8854" w14:textId="77777777" w:rsidR="00C96284" w:rsidRPr="00C96284" w:rsidRDefault="00C96284" w:rsidP="00C96284">
            <w:pPr>
              <w:spacing w:before="0" w:after="0" w:line="240" w:lineRule="auto"/>
              <w:rPr>
                <w:rFonts w:ascii="Arial" w:hAnsi="Arial" w:cs="Arial"/>
                <w:color w:val="000000"/>
                <w:sz w:val="16"/>
                <w:szCs w:val="16"/>
              </w:rPr>
            </w:pPr>
            <w:r w:rsidRPr="00C96284">
              <w:rPr>
                <w:rFonts w:ascii="Arial" w:hAnsi="Arial" w:cs="Arial"/>
                <w:color w:val="000000"/>
                <w:sz w:val="16"/>
                <w:szCs w:val="16"/>
              </w:rPr>
              <w:t> </w:t>
            </w:r>
          </w:p>
        </w:tc>
        <w:tc>
          <w:tcPr>
            <w:tcW w:w="68" w:type="pct"/>
            <w:tcBorders>
              <w:top w:val="nil"/>
              <w:left w:val="nil"/>
              <w:bottom w:val="nil"/>
              <w:right w:val="nil"/>
            </w:tcBorders>
            <w:shd w:val="clear" w:color="000000" w:fill="FFFFFF"/>
            <w:noWrap/>
            <w:vAlign w:val="center"/>
            <w:hideMark/>
          </w:tcPr>
          <w:p w14:paraId="05A9BE22" w14:textId="77777777" w:rsidR="00C96284" w:rsidRPr="00C96284" w:rsidRDefault="00C96284" w:rsidP="00C96284">
            <w:pPr>
              <w:spacing w:before="0" w:after="0" w:line="240" w:lineRule="auto"/>
              <w:jc w:val="right"/>
              <w:rPr>
                <w:rFonts w:ascii="Arial" w:hAnsi="Arial" w:cs="Arial"/>
                <w:sz w:val="16"/>
                <w:szCs w:val="16"/>
              </w:rPr>
            </w:pPr>
            <w:r w:rsidRPr="00C96284">
              <w:rPr>
                <w:rFonts w:ascii="Arial" w:hAnsi="Arial" w:cs="Arial"/>
                <w:sz w:val="16"/>
                <w:szCs w:val="16"/>
              </w:rPr>
              <w:t> </w:t>
            </w:r>
          </w:p>
        </w:tc>
        <w:tc>
          <w:tcPr>
            <w:tcW w:w="550" w:type="pct"/>
            <w:tcBorders>
              <w:top w:val="single" w:sz="4" w:space="0" w:color="293F5B"/>
              <w:left w:val="nil"/>
              <w:bottom w:val="nil"/>
              <w:right w:val="nil"/>
            </w:tcBorders>
            <w:shd w:val="clear" w:color="000000" w:fill="FFFFFF"/>
            <w:noWrap/>
            <w:vAlign w:val="center"/>
            <w:hideMark/>
          </w:tcPr>
          <w:p w14:paraId="5BEFD9FE" w14:textId="29DD0B02" w:rsidR="00C96284" w:rsidRPr="00C96284" w:rsidRDefault="00C96284" w:rsidP="00C96284">
            <w:pPr>
              <w:spacing w:before="0" w:after="0" w:line="240" w:lineRule="auto"/>
              <w:jc w:val="right"/>
              <w:rPr>
                <w:rFonts w:ascii="Arial" w:hAnsi="Arial" w:cs="Arial"/>
                <w:sz w:val="16"/>
                <w:szCs w:val="16"/>
              </w:rPr>
            </w:pPr>
            <w:r w:rsidRPr="00C96284">
              <w:rPr>
                <w:rFonts w:ascii="Arial" w:hAnsi="Arial" w:cs="Arial"/>
                <w:sz w:val="16"/>
                <w:szCs w:val="16"/>
              </w:rPr>
              <w:t>2023</w:t>
            </w:r>
            <w:r w:rsidR="008D4F6B">
              <w:rPr>
                <w:rFonts w:ascii="Arial" w:hAnsi="Arial" w:cs="Arial"/>
                <w:sz w:val="16"/>
                <w:szCs w:val="16"/>
              </w:rPr>
              <w:noBreakHyphen/>
            </w:r>
            <w:r w:rsidRPr="00C96284">
              <w:rPr>
                <w:rFonts w:ascii="Arial" w:hAnsi="Arial" w:cs="Arial"/>
                <w:sz w:val="16"/>
                <w:szCs w:val="16"/>
              </w:rPr>
              <w:t>24</w:t>
            </w:r>
          </w:p>
        </w:tc>
        <w:tc>
          <w:tcPr>
            <w:tcW w:w="550" w:type="pct"/>
            <w:tcBorders>
              <w:top w:val="single" w:sz="4" w:space="0" w:color="293F5B"/>
              <w:left w:val="nil"/>
              <w:bottom w:val="nil"/>
              <w:right w:val="nil"/>
            </w:tcBorders>
            <w:shd w:val="clear" w:color="000000" w:fill="E6F2FF"/>
            <w:noWrap/>
            <w:vAlign w:val="center"/>
            <w:hideMark/>
          </w:tcPr>
          <w:p w14:paraId="1B8AD598" w14:textId="23D024AA" w:rsidR="00C96284" w:rsidRPr="00C96284" w:rsidRDefault="00C96284" w:rsidP="00C96284">
            <w:pPr>
              <w:spacing w:before="0" w:after="0" w:line="240" w:lineRule="auto"/>
              <w:jc w:val="right"/>
              <w:rPr>
                <w:rFonts w:ascii="Arial" w:hAnsi="Arial" w:cs="Arial"/>
                <w:sz w:val="16"/>
                <w:szCs w:val="16"/>
              </w:rPr>
            </w:pPr>
            <w:r w:rsidRPr="00C96284">
              <w:rPr>
                <w:rFonts w:ascii="Arial" w:hAnsi="Arial" w:cs="Arial"/>
                <w:sz w:val="16"/>
                <w:szCs w:val="16"/>
              </w:rPr>
              <w:t>2024</w:t>
            </w:r>
            <w:r w:rsidR="008D4F6B">
              <w:rPr>
                <w:rFonts w:ascii="Arial" w:hAnsi="Arial" w:cs="Arial"/>
                <w:sz w:val="16"/>
                <w:szCs w:val="16"/>
              </w:rPr>
              <w:noBreakHyphen/>
            </w:r>
            <w:r w:rsidRPr="00C96284">
              <w:rPr>
                <w:rFonts w:ascii="Arial" w:hAnsi="Arial" w:cs="Arial"/>
                <w:sz w:val="16"/>
                <w:szCs w:val="16"/>
              </w:rPr>
              <w:t>25</w:t>
            </w:r>
          </w:p>
        </w:tc>
        <w:tc>
          <w:tcPr>
            <w:tcW w:w="550" w:type="pct"/>
            <w:tcBorders>
              <w:top w:val="single" w:sz="4" w:space="0" w:color="293F5B"/>
              <w:left w:val="nil"/>
              <w:bottom w:val="nil"/>
              <w:right w:val="nil"/>
            </w:tcBorders>
            <w:shd w:val="clear" w:color="000000" w:fill="FFFFFF"/>
            <w:noWrap/>
            <w:vAlign w:val="center"/>
            <w:hideMark/>
          </w:tcPr>
          <w:p w14:paraId="3830E669" w14:textId="4B5701CA" w:rsidR="00C96284" w:rsidRPr="00C96284" w:rsidRDefault="00C96284" w:rsidP="00C96284">
            <w:pPr>
              <w:spacing w:before="0" w:after="0" w:line="240" w:lineRule="auto"/>
              <w:jc w:val="right"/>
              <w:rPr>
                <w:rFonts w:ascii="Arial" w:hAnsi="Arial" w:cs="Arial"/>
                <w:sz w:val="16"/>
                <w:szCs w:val="16"/>
              </w:rPr>
            </w:pPr>
            <w:r w:rsidRPr="00C96284">
              <w:rPr>
                <w:rFonts w:ascii="Arial" w:hAnsi="Arial" w:cs="Arial"/>
                <w:sz w:val="16"/>
                <w:szCs w:val="16"/>
              </w:rPr>
              <w:t>2025</w:t>
            </w:r>
            <w:r w:rsidR="008D4F6B">
              <w:rPr>
                <w:rFonts w:ascii="Arial" w:hAnsi="Arial" w:cs="Arial"/>
                <w:sz w:val="16"/>
                <w:szCs w:val="16"/>
              </w:rPr>
              <w:noBreakHyphen/>
            </w:r>
            <w:r w:rsidRPr="00C96284">
              <w:rPr>
                <w:rFonts w:ascii="Arial" w:hAnsi="Arial" w:cs="Arial"/>
                <w:sz w:val="16"/>
                <w:szCs w:val="16"/>
              </w:rPr>
              <w:t>26</w:t>
            </w:r>
          </w:p>
        </w:tc>
        <w:tc>
          <w:tcPr>
            <w:tcW w:w="550" w:type="pct"/>
            <w:tcBorders>
              <w:top w:val="single" w:sz="4" w:space="0" w:color="293F5B"/>
              <w:left w:val="nil"/>
              <w:bottom w:val="nil"/>
              <w:right w:val="nil"/>
            </w:tcBorders>
            <w:shd w:val="clear" w:color="000000" w:fill="FFFFFF"/>
            <w:noWrap/>
            <w:vAlign w:val="center"/>
            <w:hideMark/>
          </w:tcPr>
          <w:p w14:paraId="47041AD8" w14:textId="057FDBB1" w:rsidR="00C96284" w:rsidRPr="00C96284" w:rsidRDefault="00C96284" w:rsidP="00C96284">
            <w:pPr>
              <w:spacing w:before="0" w:after="0" w:line="240" w:lineRule="auto"/>
              <w:jc w:val="right"/>
              <w:rPr>
                <w:rFonts w:ascii="Arial" w:hAnsi="Arial" w:cs="Arial"/>
                <w:sz w:val="16"/>
                <w:szCs w:val="16"/>
              </w:rPr>
            </w:pPr>
            <w:r w:rsidRPr="00C96284">
              <w:rPr>
                <w:rFonts w:ascii="Arial" w:hAnsi="Arial" w:cs="Arial"/>
                <w:sz w:val="16"/>
                <w:szCs w:val="16"/>
              </w:rPr>
              <w:t>2026</w:t>
            </w:r>
            <w:r w:rsidR="008D4F6B">
              <w:rPr>
                <w:rFonts w:ascii="Arial" w:hAnsi="Arial" w:cs="Arial"/>
                <w:sz w:val="16"/>
                <w:szCs w:val="16"/>
              </w:rPr>
              <w:noBreakHyphen/>
            </w:r>
            <w:r w:rsidRPr="00C96284">
              <w:rPr>
                <w:rFonts w:ascii="Arial" w:hAnsi="Arial" w:cs="Arial"/>
                <w:sz w:val="16"/>
                <w:szCs w:val="16"/>
              </w:rPr>
              <w:t>27</w:t>
            </w:r>
          </w:p>
        </w:tc>
        <w:tc>
          <w:tcPr>
            <w:tcW w:w="550" w:type="pct"/>
            <w:tcBorders>
              <w:top w:val="single" w:sz="4" w:space="0" w:color="293F5B"/>
              <w:left w:val="nil"/>
              <w:bottom w:val="nil"/>
              <w:right w:val="nil"/>
            </w:tcBorders>
            <w:shd w:val="clear" w:color="000000" w:fill="FFFFFF"/>
            <w:noWrap/>
            <w:vAlign w:val="center"/>
            <w:hideMark/>
          </w:tcPr>
          <w:p w14:paraId="03869C00" w14:textId="668AA51C" w:rsidR="00C96284" w:rsidRPr="00C96284" w:rsidRDefault="00C96284" w:rsidP="00C96284">
            <w:pPr>
              <w:spacing w:before="0" w:after="0" w:line="240" w:lineRule="auto"/>
              <w:jc w:val="right"/>
              <w:rPr>
                <w:rFonts w:ascii="Arial" w:hAnsi="Arial" w:cs="Arial"/>
                <w:color w:val="000000"/>
                <w:sz w:val="16"/>
                <w:szCs w:val="16"/>
              </w:rPr>
            </w:pPr>
            <w:r w:rsidRPr="00C96284">
              <w:rPr>
                <w:rFonts w:ascii="Arial" w:hAnsi="Arial" w:cs="Arial"/>
                <w:color w:val="000000"/>
                <w:sz w:val="16"/>
                <w:szCs w:val="16"/>
              </w:rPr>
              <w:t>2027</w:t>
            </w:r>
            <w:r w:rsidR="008D4F6B">
              <w:rPr>
                <w:rFonts w:ascii="Arial" w:hAnsi="Arial" w:cs="Arial"/>
                <w:color w:val="000000"/>
                <w:sz w:val="16"/>
                <w:szCs w:val="16"/>
              </w:rPr>
              <w:noBreakHyphen/>
            </w:r>
            <w:r w:rsidRPr="00C96284">
              <w:rPr>
                <w:rFonts w:ascii="Arial" w:hAnsi="Arial" w:cs="Arial"/>
                <w:color w:val="000000"/>
                <w:sz w:val="16"/>
                <w:szCs w:val="16"/>
              </w:rPr>
              <w:t>28</w:t>
            </w:r>
          </w:p>
        </w:tc>
      </w:tr>
      <w:tr w:rsidR="00C96284" w:rsidRPr="00C96284" w14:paraId="3EA5D673" w14:textId="77777777" w:rsidTr="00C96284">
        <w:trPr>
          <w:trHeight w:hRule="exact" w:val="226"/>
        </w:trPr>
        <w:tc>
          <w:tcPr>
            <w:tcW w:w="2183" w:type="pct"/>
            <w:tcBorders>
              <w:top w:val="nil"/>
              <w:left w:val="nil"/>
              <w:bottom w:val="nil"/>
              <w:right w:val="nil"/>
            </w:tcBorders>
            <w:shd w:val="clear" w:color="000000" w:fill="FFFFFF"/>
            <w:noWrap/>
            <w:vAlign w:val="center"/>
            <w:hideMark/>
          </w:tcPr>
          <w:p w14:paraId="5BB496C8" w14:textId="77777777" w:rsidR="00C96284" w:rsidRPr="00C96284" w:rsidRDefault="00C96284" w:rsidP="00C96284">
            <w:pPr>
              <w:spacing w:before="0" w:after="0" w:line="240" w:lineRule="auto"/>
              <w:rPr>
                <w:rFonts w:ascii="Arial" w:hAnsi="Arial" w:cs="Arial"/>
                <w:color w:val="000000"/>
                <w:sz w:val="16"/>
                <w:szCs w:val="16"/>
              </w:rPr>
            </w:pPr>
            <w:r w:rsidRPr="00C96284">
              <w:rPr>
                <w:rFonts w:ascii="Arial" w:hAnsi="Arial" w:cs="Arial"/>
                <w:color w:val="000000"/>
                <w:sz w:val="16"/>
                <w:szCs w:val="16"/>
              </w:rPr>
              <w:t> </w:t>
            </w:r>
          </w:p>
        </w:tc>
        <w:tc>
          <w:tcPr>
            <w:tcW w:w="68" w:type="pct"/>
            <w:tcBorders>
              <w:top w:val="nil"/>
              <w:left w:val="nil"/>
              <w:bottom w:val="nil"/>
              <w:right w:val="nil"/>
            </w:tcBorders>
            <w:shd w:val="clear" w:color="000000" w:fill="FFFFFF"/>
            <w:noWrap/>
            <w:vAlign w:val="center"/>
            <w:hideMark/>
          </w:tcPr>
          <w:p w14:paraId="3A09706A" w14:textId="77777777" w:rsidR="00C96284" w:rsidRPr="00C96284" w:rsidRDefault="00C96284" w:rsidP="00C96284">
            <w:pPr>
              <w:spacing w:before="0" w:after="0" w:line="240" w:lineRule="auto"/>
              <w:jc w:val="right"/>
              <w:rPr>
                <w:rFonts w:ascii="Arial" w:hAnsi="Arial" w:cs="Arial"/>
                <w:color w:val="000000"/>
                <w:sz w:val="16"/>
                <w:szCs w:val="16"/>
              </w:rPr>
            </w:pPr>
            <w:r w:rsidRPr="00C96284">
              <w:rPr>
                <w:rFonts w:ascii="Arial" w:hAnsi="Arial" w:cs="Arial"/>
                <w:color w:val="000000"/>
                <w:sz w:val="16"/>
                <w:szCs w:val="16"/>
              </w:rPr>
              <w:t> </w:t>
            </w:r>
          </w:p>
        </w:tc>
        <w:tc>
          <w:tcPr>
            <w:tcW w:w="550" w:type="pct"/>
            <w:tcBorders>
              <w:top w:val="nil"/>
              <w:left w:val="nil"/>
              <w:bottom w:val="single" w:sz="4" w:space="0" w:color="293F5B"/>
              <w:right w:val="nil"/>
            </w:tcBorders>
            <w:shd w:val="clear" w:color="000000" w:fill="FFFFFF"/>
            <w:noWrap/>
            <w:vAlign w:val="center"/>
            <w:hideMark/>
          </w:tcPr>
          <w:p w14:paraId="172A72B8" w14:textId="77777777" w:rsidR="00C96284" w:rsidRPr="00C96284" w:rsidRDefault="00C96284" w:rsidP="00C96284">
            <w:pPr>
              <w:spacing w:before="0" w:after="0" w:line="240" w:lineRule="auto"/>
              <w:jc w:val="right"/>
              <w:rPr>
                <w:rFonts w:ascii="Arial" w:hAnsi="Arial" w:cs="Arial"/>
                <w:color w:val="000000"/>
                <w:sz w:val="16"/>
                <w:szCs w:val="16"/>
              </w:rPr>
            </w:pPr>
            <w:r w:rsidRPr="00C96284">
              <w:rPr>
                <w:rFonts w:ascii="Arial" w:hAnsi="Arial" w:cs="Arial"/>
                <w:color w:val="000000"/>
                <w:sz w:val="16"/>
                <w:szCs w:val="16"/>
              </w:rPr>
              <w:t>$m</w:t>
            </w:r>
          </w:p>
        </w:tc>
        <w:tc>
          <w:tcPr>
            <w:tcW w:w="550" w:type="pct"/>
            <w:tcBorders>
              <w:top w:val="nil"/>
              <w:left w:val="nil"/>
              <w:bottom w:val="single" w:sz="4" w:space="0" w:color="293F5B"/>
              <w:right w:val="nil"/>
            </w:tcBorders>
            <w:shd w:val="clear" w:color="000000" w:fill="E6F2FF"/>
            <w:noWrap/>
            <w:vAlign w:val="center"/>
            <w:hideMark/>
          </w:tcPr>
          <w:p w14:paraId="527FB903" w14:textId="77777777" w:rsidR="00C96284" w:rsidRPr="00C96284" w:rsidRDefault="00C96284" w:rsidP="00C96284">
            <w:pPr>
              <w:spacing w:before="0" w:after="0" w:line="240" w:lineRule="auto"/>
              <w:jc w:val="right"/>
              <w:rPr>
                <w:rFonts w:ascii="Arial" w:hAnsi="Arial" w:cs="Arial"/>
                <w:color w:val="000000"/>
                <w:sz w:val="16"/>
                <w:szCs w:val="16"/>
              </w:rPr>
            </w:pPr>
            <w:r w:rsidRPr="00C96284">
              <w:rPr>
                <w:rFonts w:ascii="Arial" w:hAnsi="Arial" w:cs="Arial"/>
                <w:color w:val="000000"/>
                <w:sz w:val="16"/>
                <w:szCs w:val="16"/>
              </w:rPr>
              <w:t>$m</w:t>
            </w:r>
          </w:p>
        </w:tc>
        <w:tc>
          <w:tcPr>
            <w:tcW w:w="550" w:type="pct"/>
            <w:tcBorders>
              <w:top w:val="nil"/>
              <w:left w:val="nil"/>
              <w:bottom w:val="single" w:sz="4" w:space="0" w:color="293F5B"/>
              <w:right w:val="nil"/>
            </w:tcBorders>
            <w:shd w:val="clear" w:color="000000" w:fill="FFFFFF"/>
            <w:noWrap/>
            <w:vAlign w:val="center"/>
            <w:hideMark/>
          </w:tcPr>
          <w:p w14:paraId="08E97C76" w14:textId="77777777" w:rsidR="00C96284" w:rsidRPr="00C96284" w:rsidRDefault="00C96284" w:rsidP="00C96284">
            <w:pPr>
              <w:spacing w:before="0" w:after="0" w:line="240" w:lineRule="auto"/>
              <w:jc w:val="right"/>
              <w:rPr>
                <w:rFonts w:ascii="Arial" w:hAnsi="Arial" w:cs="Arial"/>
                <w:color w:val="000000"/>
                <w:sz w:val="16"/>
                <w:szCs w:val="16"/>
              </w:rPr>
            </w:pPr>
            <w:r w:rsidRPr="00C96284">
              <w:rPr>
                <w:rFonts w:ascii="Arial" w:hAnsi="Arial" w:cs="Arial"/>
                <w:color w:val="000000"/>
                <w:sz w:val="16"/>
                <w:szCs w:val="16"/>
              </w:rPr>
              <w:t>$m</w:t>
            </w:r>
          </w:p>
        </w:tc>
        <w:tc>
          <w:tcPr>
            <w:tcW w:w="550" w:type="pct"/>
            <w:tcBorders>
              <w:top w:val="nil"/>
              <w:left w:val="nil"/>
              <w:bottom w:val="single" w:sz="4" w:space="0" w:color="293F5B"/>
              <w:right w:val="nil"/>
            </w:tcBorders>
            <w:shd w:val="clear" w:color="000000" w:fill="FFFFFF"/>
            <w:noWrap/>
            <w:vAlign w:val="center"/>
            <w:hideMark/>
          </w:tcPr>
          <w:p w14:paraId="00588294" w14:textId="77777777" w:rsidR="00C96284" w:rsidRPr="00C96284" w:rsidRDefault="00C96284" w:rsidP="00C96284">
            <w:pPr>
              <w:spacing w:before="0" w:after="0" w:line="240" w:lineRule="auto"/>
              <w:jc w:val="right"/>
              <w:rPr>
                <w:rFonts w:ascii="Arial" w:hAnsi="Arial" w:cs="Arial"/>
                <w:color w:val="000000"/>
                <w:sz w:val="16"/>
                <w:szCs w:val="16"/>
              </w:rPr>
            </w:pPr>
            <w:r w:rsidRPr="00C96284">
              <w:rPr>
                <w:rFonts w:ascii="Arial" w:hAnsi="Arial" w:cs="Arial"/>
                <w:color w:val="000000"/>
                <w:sz w:val="16"/>
                <w:szCs w:val="16"/>
              </w:rPr>
              <w:t>$m</w:t>
            </w:r>
          </w:p>
        </w:tc>
        <w:tc>
          <w:tcPr>
            <w:tcW w:w="550" w:type="pct"/>
            <w:tcBorders>
              <w:top w:val="nil"/>
              <w:left w:val="nil"/>
              <w:bottom w:val="single" w:sz="4" w:space="0" w:color="293F5B"/>
              <w:right w:val="nil"/>
            </w:tcBorders>
            <w:shd w:val="clear" w:color="000000" w:fill="FFFFFF"/>
            <w:noWrap/>
            <w:vAlign w:val="center"/>
            <w:hideMark/>
          </w:tcPr>
          <w:p w14:paraId="5E9614B9" w14:textId="77777777" w:rsidR="00C96284" w:rsidRPr="00C96284" w:rsidRDefault="00C96284" w:rsidP="00C96284">
            <w:pPr>
              <w:spacing w:before="0" w:after="0" w:line="240" w:lineRule="auto"/>
              <w:jc w:val="right"/>
              <w:rPr>
                <w:rFonts w:ascii="Arial" w:hAnsi="Arial" w:cs="Arial"/>
                <w:color w:val="000000"/>
                <w:sz w:val="16"/>
                <w:szCs w:val="16"/>
              </w:rPr>
            </w:pPr>
            <w:r w:rsidRPr="00C96284">
              <w:rPr>
                <w:rFonts w:ascii="Arial" w:hAnsi="Arial" w:cs="Arial"/>
                <w:color w:val="000000"/>
                <w:sz w:val="16"/>
                <w:szCs w:val="16"/>
              </w:rPr>
              <w:t>$m</w:t>
            </w:r>
          </w:p>
        </w:tc>
      </w:tr>
      <w:tr w:rsidR="00C96284" w:rsidRPr="00C96284" w14:paraId="4A35F432" w14:textId="77777777" w:rsidTr="00C96284">
        <w:trPr>
          <w:trHeight w:hRule="exact" w:val="224"/>
        </w:trPr>
        <w:tc>
          <w:tcPr>
            <w:tcW w:w="2183" w:type="pct"/>
            <w:tcBorders>
              <w:top w:val="nil"/>
              <w:left w:val="nil"/>
              <w:bottom w:val="nil"/>
              <w:right w:val="nil"/>
            </w:tcBorders>
            <w:shd w:val="clear" w:color="000000" w:fill="FFFFFF"/>
            <w:noWrap/>
            <w:vAlign w:val="center"/>
            <w:hideMark/>
          </w:tcPr>
          <w:p w14:paraId="7B20C873" w14:textId="77777777" w:rsidR="00C96284" w:rsidRPr="00C96284" w:rsidRDefault="00C96284" w:rsidP="00C96284">
            <w:pPr>
              <w:spacing w:before="0" w:after="0" w:line="240" w:lineRule="auto"/>
              <w:rPr>
                <w:rFonts w:ascii="Arial" w:hAnsi="Arial" w:cs="Arial"/>
                <w:color w:val="000000"/>
                <w:sz w:val="16"/>
                <w:szCs w:val="16"/>
              </w:rPr>
            </w:pPr>
            <w:r w:rsidRPr="00C96284">
              <w:rPr>
                <w:rFonts w:ascii="Arial" w:hAnsi="Arial" w:cs="Arial"/>
                <w:color w:val="000000"/>
                <w:sz w:val="16"/>
                <w:szCs w:val="16"/>
              </w:rPr>
              <w:t>Research and Development Tax</w:t>
            </w:r>
          </w:p>
        </w:tc>
        <w:tc>
          <w:tcPr>
            <w:tcW w:w="68" w:type="pct"/>
            <w:tcBorders>
              <w:top w:val="nil"/>
              <w:left w:val="nil"/>
              <w:bottom w:val="nil"/>
              <w:right w:val="nil"/>
            </w:tcBorders>
            <w:shd w:val="clear" w:color="000000" w:fill="FFFFFF"/>
            <w:noWrap/>
            <w:vAlign w:val="center"/>
            <w:hideMark/>
          </w:tcPr>
          <w:p w14:paraId="33B6D957" w14:textId="77777777" w:rsidR="00C96284" w:rsidRPr="00C96284" w:rsidRDefault="00C96284" w:rsidP="00C96284">
            <w:pPr>
              <w:spacing w:before="0" w:after="0" w:line="240" w:lineRule="auto"/>
              <w:rPr>
                <w:rFonts w:ascii="Arial" w:hAnsi="Arial" w:cs="Arial"/>
                <w:color w:val="000000"/>
                <w:sz w:val="16"/>
                <w:szCs w:val="16"/>
              </w:rPr>
            </w:pPr>
            <w:r w:rsidRPr="00C96284">
              <w:rPr>
                <w:rFonts w:ascii="Arial" w:hAnsi="Arial" w:cs="Arial"/>
                <w:color w:val="000000"/>
                <w:sz w:val="16"/>
                <w:szCs w:val="16"/>
              </w:rPr>
              <w:t> </w:t>
            </w:r>
          </w:p>
        </w:tc>
        <w:tc>
          <w:tcPr>
            <w:tcW w:w="550" w:type="pct"/>
            <w:tcBorders>
              <w:top w:val="nil"/>
              <w:left w:val="nil"/>
              <w:bottom w:val="nil"/>
              <w:right w:val="nil"/>
            </w:tcBorders>
            <w:shd w:val="clear" w:color="000000" w:fill="FFFFFF"/>
            <w:noWrap/>
            <w:vAlign w:val="center"/>
            <w:hideMark/>
          </w:tcPr>
          <w:p w14:paraId="08BCB84C" w14:textId="77777777" w:rsidR="00C96284" w:rsidRPr="00C96284" w:rsidRDefault="00C96284" w:rsidP="00C96284">
            <w:pPr>
              <w:spacing w:before="0" w:after="0" w:line="240" w:lineRule="auto"/>
              <w:rPr>
                <w:rFonts w:ascii="Arial" w:hAnsi="Arial" w:cs="Arial"/>
                <w:color w:val="000000"/>
                <w:sz w:val="16"/>
                <w:szCs w:val="16"/>
              </w:rPr>
            </w:pPr>
            <w:r w:rsidRPr="00C96284">
              <w:rPr>
                <w:rFonts w:ascii="Arial" w:hAnsi="Arial" w:cs="Arial"/>
                <w:color w:val="000000"/>
                <w:sz w:val="16"/>
                <w:szCs w:val="16"/>
              </w:rPr>
              <w:t> </w:t>
            </w:r>
          </w:p>
        </w:tc>
        <w:tc>
          <w:tcPr>
            <w:tcW w:w="550" w:type="pct"/>
            <w:tcBorders>
              <w:top w:val="nil"/>
              <w:left w:val="nil"/>
              <w:bottom w:val="nil"/>
              <w:right w:val="nil"/>
            </w:tcBorders>
            <w:shd w:val="clear" w:color="000000" w:fill="E6F2FF"/>
            <w:noWrap/>
            <w:vAlign w:val="center"/>
            <w:hideMark/>
          </w:tcPr>
          <w:p w14:paraId="4AF6FF58" w14:textId="77777777" w:rsidR="00C96284" w:rsidRPr="00C96284" w:rsidRDefault="00C96284" w:rsidP="00C96284">
            <w:pPr>
              <w:spacing w:before="0" w:after="0" w:line="240" w:lineRule="auto"/>
              <w:rPr>
                <w:rFonts w:ascii="Arial" w:hAnsi="Arial" w:cs="Arial"/>
                <w:color w:val="000000"/>
                <w:sz w:val="16"/>
                <w:szCs w:val="16"/>
              </w:rPr>
            </w:pPr>
            <w:r w:rsidRPr="00C96284">
              <w:rPr>
                <w:rFonts w:ascii="Arial" w:hAnsi="Arial" w:cs="Arial"/>
                <w:color w:val="000000"/>
                <w:sz w:val="16"/>
                <w:szCs w:val="16"/>
              </w:rPr>
              <w:t> </w:t>
            </w:r>
          </w:p>
        </w:tc>
        <w:tc>
          <w:tcPr>
            <w:tcW w:w="550" w:type="pct"/>
            <w:tcBorders>
              <w:top w:val="nil"/>
              <w:left w:val="nil"/>
              <w:bottom w:val="nil"/>
              <w:right w:val="nil"/>
            </w:tcBorders>
            <w:shd w:val="clear" w:color="000000" w:fill="FFFFFF"/>
            <w:noWrap/>
            <w:vAlign w:val="center"/>
            <w:hideMark/>
          </w:tcPr>
          <w:p w14:paraId="00AEB49B" w14:textId="77777777" w:rsidR="00C96284" w:rsidRPr="00C96284" w:rsidRDefault="00C96284" w:rsidP="00C96284">
            <w:pPr>
              <w:spacing w:before="0" w:after="0" w:line="240" w:lineRule="auto"/>
              <w:rPr>
                <w:rFonts w:ascii="Arial" w:hAnsi="Arial" w:cs="Arial"/>
                <w:color w:val="000000"/>
                <w:sz w:val="16"/>
                <w:szCs w:val="16"/>
              </w:rPr>
            </w:pPr>
            <w:r w:rsidRPr="00C96284">
              <w:rPr>
                <w:rFonts w:ascii="Arial" w:hAnsi="Arial" w:cs="Arial"/>
                <w:color w:val="000000"/>
                <w:sz w:val="16"/>
                <w:szCs w:val="16"/>
              </w:rPr>
              <w:t> </w:t>
            </w:r>
          </w:p>
        </w:tc>
        <w:tc>
          <w:tcPr>
            <w:tcW w:w="550" w:type="pct"/>
            <w:tcBorders>
              <w:top w:val="nil"/>
              <w:left w:val="nil"/>
              <w:bottom w:val="nil"/>
              <w:right w:val="nil"/>
            </w:tcBorders>
            <w:shd w:val="clear" w:color="000000" w:fill="FFFFFF"/>
            <w:noWrap/>
            <w:vAlign w:val="center"/>
            <w:hideMark/>
          </w:tcPr>
          <w:p w14:paraId="4953456C" w14:textId="77777777" w:rsidR="00C96284" w:rsidRPr="00C96284" w:rsidRDefault="00C96284" w:rsidP="00C96284">
            <w:pPr>
              <w:spacing w:before="0" w:after="0" w:line="240" w:lineRule="auto"/>
              <w:rPr>
                <w:rFonts w:ascii="Arial" w:hAnsi="Arial" w:cs="Arial"/>
                <w:color w:val="000000"/>
                <w:sz w:val="16"/>
                <w:szCs w:val="16"/>
              </w:rPr>
            </w:pPr>
            <w:r w:rsidRPr="00C96284">
              <w:rPr>
                <w:rFonts w:ascii="Arial" w:hAnsi="Arial" w:cs="Arial"/>
                <w:color w:val="000000"/>
                <w:sz w:val="16"/>
                <w:szCs w:val="16"/>
              </w:rPr>
              <w:t> </w:t>
            </w:r>
          </w:p>
        </w:tc>
        <w:tc>
          <w:tcPr>
            <w:tcW w:w="550" w:type="pct"/>
            <w:tcBorders>
              <w:top w:val="nil"/>
              <w:left w:val="nil"/>
              <w:bottom w:val="nil"/>
              <w:right w:val="nil"/>
            </w:tcBorders>
            <w:shd w:val="clear" w:color="000000" w:fill="FFFFFF"/>
            <w:noWrap/>
            <w:vAlign w:val="center"/>
            <w:hideMark/>
          </w:tcPr>
          <w:p w14:paraId="1A9B1309" w14:textId="77777777" w:rsidR="00C96284" w:rsidRPr="00C96284" w:rsidRDefault="00C96284" w:rsidP="00C96284">
            <w:pPr>
              <w:spacing w:before="0" w:after="0" w:line="240" w:lineRule="auto"/>
              <w:rPr>
                <w:rFonts w:ascii="Arial" w:hAnsi="Arial" w:cs="Arial"/>
                <w:color w:val="000000"/>
                <w:sz w:val="16"/>
                <w:szCs w:val="16"/>
              </w:rPr>
            </w:pPr>
            <w:r w:rsidRPr="00C96284">
              <w:rPr>
                <w:rFonts w:ascii="Arial" w:hAnsi="Arial" w:cs="Arial"/>
                <w:color w:val="000000"/>
                <w:sz w:val="16"/>
                <w:szCs w:val="16"/>
              </w:rPr>
              <w:t> </w:t>
            </w:r>
          </w:p>
        </w:tc>
      </w:tr>
      <w:tr w:rsidR="00C96284" w:rsidRPr="00C96284" w14:paraId="10369A7C" w14:textId="77777777" w:rsidTr="00C96284">
        <w:trPr>
          <w:trHeight w:hRule="exact" w:val="224"/>
        </w:trPr>
        <w:tc>
          <w:tcPr>
            <w:tcW w:w="2183" w:type="pct"/>
            <w:tcBorders>
              <w:top w:val="nil"/>
              <w:left w:val="nil"/>
              <w:bottom w:val="nil"/>
              <w:right w:val="nil"/>
            </w:tcBorders>
            <w:shd w:val="clear" w:color="000000" w:fill="FFFFFF"/>
            <w:noWrap/>
            <w:vAlign w:val="center"/>
            <w:hideMark/>
          </w:tcPr>
          <w:p w14:paraId="12E5F749" w14:textId="77777777" w:rsidR="00C96284" w:rsidRPr="00C96284" w:rsidRDefault="00C96284" w:rsidP="00C96284">
            <w:pPr>
              <w:spacing w:before="0" w:after="0" w:line="240" w:lineRule="auto"/>
              <w:ind w:left="170"/>
              <w:rPr>
                <w:rFonts w:ascii="Arial" w:hAnsi="Arial" w:cs="Arial"/>
                <w:color w:val="000000"/>
                <w:sz w:val="16"/>
                <w:szCs w:val="16"/>
              </w:rPr>
            </w:pPr>
            <w:r w:rsidRPr="00C96284">
              <w:rPr>
                <w:rFonts w:ascii="Arial" w:hAnsi="Arial" w:cs="Arial"/>
                <w:color w:val="000000"/>
                <w:sz w:val="16"/>
                <w:szCs w:val="16"/>
              </w:rPr>
              <w:t>Incentive</w:t>
            </w:r>
          </w:p>
        </w:tc>
        <w:tc>
          <w:tcPr>
            <w:tcW w:w="68" w:type="pct"/>
            <w:tcBorders>
              <w:top w:val="nil"/>
              <w:left w:val="nil"/>
              <w:bottom w:val="nil"/>
              <w:right w:val="nil"/>
            </w:tcBorders>
            <w:shd w:val="clear" w:color="000000" w:fill="FFFFFF"/>
            <w:noWrap/>
            <w:vAlign w:val="center"/>
            <w:hideMark/>
          </w:tcPr>
          <w:p w14:paraId="1B4C6C2F" w14:textId="77777777" w:rsidR="00C96284" w:rsidRPr="00C96284" w:rsidRDefault="00C96284" w:rsidP="00C96284">
            <w:pPr>
              <w:spacing w:before="0" w:after="0" w:line="240" w:lineRule="auto"/>
              <w:rPr>
                <w:rFonts w:ascii="Arial" w:hAnsi="Arial" w:cs="Arial"/>
                <w:color w:val="000000"/>
                <w:sz w:val="16"/>
                <w:szCs w:val="16"/>
              </w:rPr>
            </w:pPr>
            <w:r w:rsidRPr="00C96284">
              <w:rPr>
                <w:rFonts w:ascii="Arial" w:hAnsi="Arial" w:cs="Arial"/>
                <w:color w:val="000000"/>
                <w:sz w:val="16"/>
                <w:szCs w:val="16"/>
              </w:rPr>
              <w:t> </w:t>
            </w:r>
          </w:p>
        </w:tc>
        <w:tc>
          <w:tcPr>
            <w:tcW w:w="550" w:type="pct"/>
            <w:tcBorders>
              <w:top w:val="nil"/>
              <w:left w:val="nil"/>
              <w:bottom w:val="nil"/>
              <w:right w:val="nil"/>
            </w:tcBorders>
            <w:shd w:val="clear" w:color="000000" w:fill="FFFFFF"/>
            <w:noWrap/>
            <w:vAlign w:val="center"/>
            <w:hideMark/>
          </w:tcPr>
          <w:p w14:paraId="5DDF178C" w14:textId="77777777" w:rsidR="00C96284" w:rsidRPr="00C96284" w:rsidRDefault="00C96284" w:rsidP="00C96284">
            <w:pPr>
              <w:spacing w:before="0" w:after="0" w:line="240" w:lineRule="auto"/>
              <w:jc w:val="right"/>
              <w:rPr>
                <w:rFonts w:ascii="Arial" w:hAnsi="Arial" w:cs="Arial"/>
                <w:color w:val="000000"/>
                <w:sz w:val="16"/>
                <w:szCs w:val="16"/>
              </w:rPr>
            </w:pPr>
            <w:r w:rsidRPr="00C96284">
              <w:rPr>
                <w:rFonts w:ascii="Arial" w:hAnsi="Arial" w:cs="Arial"/>
                <w:color w:val="000000"/>
                <w:sz w:val="16"/>
                <w:szCs w:val="16"/>
              </w:rPr>
              <w:t>4,783</w:t>
            </w:r>
          </w:p>
        </w:tc>
        <w:tc>
          <w:tcPr>
            <w:tcW w:w="550" w:type="pct"/>
            <w:tcBorders>
              <w:top w:val="nil"/>
              <w:left w:val="nil"/>
              <w:bottom w:val="nil"/>
              <w:right w:val="nil"/>
            </w:tcBorders>
            <w:shd w:val="clear" w:color="000000" w:fill="E6F2FF"/>
            <w:noWrap/>
            <w:vAlign w:val="center"/>
            <w:hideMark/>
          </w:tcPr>
          <w:p w14:paraId="529732D8" w14:textId="77777777" w:rsidR="00C96284" w:rsidRPr="00C96284" w:rsidRDefault="00C96284" w:rsidP="00C96284">
            <w:pPr>
              <w:spacing w:before="0" w:after="0" w:line="240" w:lineRule="auto"/>
              <w:jc w:val="right"/>
              <w:rPr>
                <w:rFonts w:ascii="Arial" w:hAnsi="Arial" w:cs="Arial"/>
                <w:color w:val="000000"/>
                <w:sz w:val="16"/>
                <w:szCs w:val="16"/>
              </w:rPr>
            </w:pPr>
            <w:r w:rsidRPr="00C96284">
              <w:rPr>
                <w:rFonts w:ascii="Arial" w:hAnsi="Arial" w:cs="Arial"/>
                <w:color w:val="000000"/>
                <w:sz w:val="16"/>
                <w:szCs w:val="16"/>
              </w:rPr>
              <w:t>4,475</w:t>
            </w:r>
          </w:p>
        </w:tc>
        <w:tc>
          <w:tcPr>
            <w:tcW w:w="550" w:type="pct"/>
            <w:tcBorders>
              <w:top w:val="nil"/>
              <w:left w:val="nil"/>
              <w:bottom w:val="nil"/>
              <w:right w:val="nil"/>
            </w:tcBorders>
            <w:shd w:val="clear" w:color="000000" w:fill="FFFFFF"/>
            <w:noWrap/>
            <w:vAlign w:val="center"/>
            <w:hideMark/>
          </w:tcPr>
          <w:p w14:paraId="0D867245" w14:textId="77777777" w:rsidR="00C96284" w:rsidRPr="00C96284" w:rsidRDefault="00C96284" w:rsidP="00C96284">
            <w:pPr>
              <w:spacing w:before="0" w:after="0" w:line="240" w:lineRule="auto"/>
              <w:jc w:val="right"/>
              <w:rPr>
                <w:rFonts w:ascii="Arial" w:hAnsi="Arial" w:cs="Arial"/>
                <w:color w:val="000000"/>
                <w:sz w:val="16"/>
                <w:szCs w:val="16"/>
              </w:rPr>
            </w:pPr>
            <w:r w:rsidRPr="00C96284">
              <w:rPr>
                <w:rFonts w:ascii="Arial" w:hAnsi="Arial" w:cs="Arial"/>
                <w:color w:val="000000"/>
                <w:sz w:val="16"/>
                <w:szCs w:val="16"/>
              </w:rPr>
              <w:t>4,610</w:t>
            </w:r>
          </w:p>
        </w:tc>
        <w:tc>
          <w:tcPr>
            <w:tcW w:w="550" w:type="pct"/>
            <w:tcBorders>
              <w:top w:val="nil"/>
              <w:left w:val="nil"/>
              <w:bottom w:val="nil"/>
              <w:right w:val="nil"/>
            </w:tcBorders>
            <w:shd w:val="clear" w:color="000000" w:fill="FFFFFF"/>
            <w:noWrap/>
            <w:vAlign w:val="center"/>
            <w:hideMark/>
          </w:tcPr>
          <w:p w14:paraId="79DA86D2" w14:textId="77777777" w:rsidR="00C96284" w:rsidRPr="00C96284" w:rsidRDefault="00C96284" w:rsidP="00C96284">
            <w:pPr>
              <w:spacing w:before="0" w:after="0" w:line="240" w:lineRule="auto"/>
              <w:jc w:val="right"/>
              <w:rPr>
                <w:rFonts w:ascii="Arial" w:hAnsi="Arial" w:cs="Arial"/>
                <w:color w:val="000000"/>
                <w:sz w:val="16"/>
                <w:szCs w:val="16"/>
              </w:rPr>
            </w:pPr>
            <w:r w:rsidRPr="00C96284">
              <w:rPr>
                <w:rFonts w:ascii="Arial" w:hAnsi="Arial" w:cs="Arial"/>
                <w:color w:val="000000"/>
                <w:sz w:val="16"/>
                <w:szCs w:val="16"/>
              </w:rPr>
              <w:t>4,751</w:t>
            </w:r>
          </w:p>
        </w:tc>
        <w:tc>
          <w:tcPr>
            <w:tcW w:w="550" w:type="pct"/>
            <w:tcBorders>
              <w:top w:val="nil"/>
              <w:left w:val="nil"/>
              <w:bottom w:val="nil"/>
              <w:right w:val="nil"/>
            </w:tcBorders>
            <w:shd w:val="clear" w:color="000000" w:fill="FFFFFF"/>
            <w:noWrap/>
            <w:vAlign w:val="center"/>
            <w:hideMark/>
          </w:tcPr>
          <w:p w14:paraId="4F732A9D" w14:textId="77777777" w:rsidR="00C96284" w:rsidRPr="00C96284" w:rsidRDefault="00C96284" w:rsidP="00C96284">
            <w:pPr>
              <w:spacing w:before="0" w:after="0" w:line="240" w:lineRule="auto"/>
              <w:jc w:val="right"/>
              <w:rPr>
                <w:rFonts w:ascii="Arial" w:hAnsi="Arial" w:cs="Arial"/>
                <w:color w:val="000000"/>
                <w:sz w:val="16"/>
                <w:szCs w:val="16"/>
              </w:rPr>
            </w:pPr>
            <w:r w:rsidRPr="00C96284">
              <w:rPr>
                <w:rFonts w:ascii="Arial" w:hAnsi="Arial" w:cs="Arial"/>
                <w:color w:val="000000"/>
                <w:sz w:val="16"/>
                <w:szCs w:val="16"/>
              </w:rPr>
              <w:t>4,895</w:t>
            </w:r>
          </w:p>
        </w:tc>
      </w:tr>
      <w:tr w:rsidR="00C96284" w:rsidRPr="00C96284" w14:paraId="510FA9F1" w14:textId="77777777" w:rsidTr="00C96284">
        <w:trPr>
          <w:trHeight w:hRule="exact" w:val="224"/>
        </w:trPr>
        <w:tc>
          <w:tcPr>
            <w:tcW w:w="2183" w:type="pct"/>
            <w:tcBorders>
              <w:top w:val="nil"/>
              <w:left w:val="nil"/>
              <w:bottom w:val="nil"/>
              <w:right w:val="nil"/>
            </w:tcBorders>
            <w:shd w:val="clear" w:color="000000" w:fill="FFFFFF"/>
            <w:noWrap/>
            <w:vAlign w:val="center"/>
            <w:hideMark/>
          </w:tcPr>
          <w:p w14:paraId="19D14B89" w14:textId="77777777" w:rsidR="00C96284" w:rsidRPr="00C96284" w:rsidRDefault="00C96284" w:rsidP="00C96284">
            <w:pPr>
              <w:spacing w:before="0" w:after="0" w:line="240" w:lineRule="auto"/>
              <w:rPr>
                <w:rFonts w:ascii="Arial" w:hAnsi="Arial" w:cs="Arial"/>
                <w:color w:val="000000"/>
                <w:sz w:val="16"/>
                <w:szCs w:val="16"/>
              </w:rPr>
            </w:pPr>
            <w:r w:rsidRPr="00C96284">
              <w:rPr>
                <w:rFonts w:ascii="Arial" w:hAnsi="Arial" w:cs="Arial"/>
                <w:color w:val="000000"/>
                <w:sz w:val="16"/>
                <w:szCs w:val="16"/>
              </w:rPr>
              <w:t>Growing Business Investment</w:t>
            </w:r>
          </w:p>
        </w:tc>
        <w:tc>
          <w:tcPr>
            <w:tcW w:w="68" w:type="pct"/>
            <w:tcBorders>
              <w:top w:val="nil"/>
              <w:left w:val="nil"/>
              <w:bottom w:val="nil"/>
              <w:right w:val="nil"/>
            </w:tcBorders>
            <w:shd w:val="clear" w:color="000000" w:fill="FFFFFF"/>
            <w:noWrap/>
            <w:vAlign w:val="center"/>
            <w:hideMark/>
          </w:tcPr>
          <w:p w14:paraId="0D4B7AFF" w14:textId="77777777" w:rsidR="00C96284" w:rsidRPr="00C96284" w:rsidRDefault="00C96284" w:rsidP="00C96284">
            <w:pPr>
              <w:spacing w:before="0" w:after="0" w:line="240" w:lineRule="auto"/>
              <w:rPr>
                <w:rFonts w:ascii="Arial" w:hAnsi="Arial" w:cs="Arial"/>
                <w:color w:val="000000"/>
                <w:sz w:val="16"/>
                <w:szCs w:val="16"/>
              </w:rPr>
            </w:pPr>
            <w:r w:rsidRPr="00C96284">
              <w:rPr>
                <w:rFonts w:ascii="Arial" w:hAnsi="Arial" w:cs="Arial"/>
                <w:color w:val="000000"/>
                <w:sz w:val="16"/>
                <w:szCs w:val="16"/>
              </w:rPr>
              <w:t> </w:t>
            </w:r>
          </w:p>
        </w:tc>
        <w:tc>
          <w:tcPr>
            <w:tcW w:w="550" w:type="pct"/>
            <w:tcBorders>
              <w:top w:val="nil"/>
              <w:left w:val="nil"/>
              <w:bottom w:val="nil"/>
              <w:right w:val="nil"/>
            </w:tcBorders>
            <w:shd w:val="clear" w:color="000000" w:fill="FFFFFF"/>
            <w:noWrap/>
            <w:vAlign w:val="center"/>
            <w:hideMark/>
          </w:tcPr>
          <w:p w14:paraId="23BA5344" w14:textId="77777777" w:rsidR="00C96284" w:rsidRPr="00C96284" w:rsidRDefault="00C96284" w:rsidP="00C96284">
            <w:pPr>
              <w:spacing w:before="0" w:after="0" w:line="240" w:lineRule="auto"/>
              <w:jc w:val="right"/>
              <w:rPr>
                <w:rFonts w:ascii="Arial" w:hAnsi="Arial" w:cs="Arial"/>
                <w:color w:val="000000"/>
                <w:sz w:val="16"/>
                <w:szCs w:val="16"/>
              </w:rPr>
            </w:pPr>
            <w:r w:rsidRPr="00C96284">
              <w:rPr>
                <w:rFonts w:ascii="Arial" w:hAnsi="Arial" w:cs="Arial"/>
                <w:color w:val="000000"/>
                <w:sz w:val="16"/>
                <w:szCs w:val="16"/>
              </w:rPr>
              <w:t>684</w:t>
            </w:r>
          </w:p>
        </w:tc>
        <w:tc>
          <w:tcPr>
            <w:tcW w:w="550" w:type="pct"/>
            <w:tcBorders>
              <w:top w:val="nil"/>
              <w:left w:val="nil"/>
              <w:bottom w:val="nil"/>
              <w:right w:val="nil"/>
            </w:tcBorders>
            <w:shd w:val="clear" w:color="000000" w:fill="E6F2FF"/>
            <w:noWrap/>
            <w:vAlign w:val="center"/>
            <w:hideMark/>
          </w:tcPr>
          <w:p w14:paraId="3E192E3F" w14:textId="77777777" w:rsidR="00C96284" w:rsidRPr="00C96284" w:rsidRDefault="00C96284" w:rsidP="00C96284">
            <w:pPr>
              <w:spacing w:before="0" w:after="0" w:line="240" w:lineRule="auto"/>
              <w:jc w:val="right"/>
              <w:rPr>
                <w:rFonts w:ascii="Arial" w:hAnsi="Arial" w:cs="Arial"/>
                <w:color w:val="000000"/>
                <w:sz w:val="16"/>
                <w:szCs w:val="16"/>
              </w:rPr>
            </w:pPr>
            <w:r w:rsidRPr="00C96284">
              <w:rPr>
                <w:rFonts w:ascii="Arial" w:hAnsi="Arial" w:cs="Arial"/>
                <w:color w:val="000000"/>
                <w:sz w:val="16"/>
                <w:szCs w:val="16"/>
              </w:rPr>
              <w:t>451</w:t>
            </w:r>
          </w:p>
        </w:tc>
        <w:tc>
          <w:tcPr>
            <w:tcW w:w="550" w:type="pct"/>
            <w:tcBorders>
              <w:top w:val="nil"/>
              <w:left w:val="nil"/>
              <w:bottom w:val="nil"/>
              <w:right w:val="nil"/>
            </w:tcBorders>
            <w:shd w:val="clear" w:color="000000" w:fill="FFFFFF"/>
            <w:noWrap/>
            <w:vAlign w:val="center"/>
            <w:hideMark/>
          </w:tcPr>
          <w:p w14:paraId="670FF8DB" w14:textId="77777777" w:rsidR="00C96284" w:rsidRPr="00C96284" w:rsidRDefault="00C96284" w:rsidP="00C96284">
            <w:pPr>
              <w:spacing w:before="0" w:after="0" w:line="240" w:lineRule="auto"/>
              <w:jc w:val="right"/>
              <w:rPr>
                <w:rFonts w:ascii="Arial" w:hAnsi="Arial" w:cs="Arial"/>
                <w:color w:val="000000"/>
                <w:sz w:val="16"/>
                <w:szCs w:val="16"/>
              </w:rPr>
            </w:pPr>
            <w:r w:rsidRPr="00C96284">
              <w:rPr>
                <w:rFonts w:ascii="Arial" w:hAnsi="Arial" w:cs="Arial"/>
                <w:color w:val="000000"/>
                <w:sz w:val="16"/>
                <w:szCs w:val="16"/>
              </w:rPr>
              <w:t>241</w:t>
            </w:r>
          </w:p>
        </w:tc>
        <w:tc>
          <w:tcPr>
            <w:tcW w:w="550" w:type="pct"/>
            <w:tcBorders>
              <w:top w:val="nil"/>
              <w:left w:val="nil"/>
              <w:bottom w:val="nil"/>
              <w:right w:val="nil"/>
            </w:tcBorders>
            <w:shd w:val="clear" w:color="000000" w:fill="FFFFFF"/>
            <w:noWrap/>
            <w:vAlign w:val="center"/>
            <w:hideMark/>
          </w:tcPr>
          <w:p w14:paraId="6ACADED2" w14:textId="77777777" w:rsidR="00C96284" w:rsidRPr="00C96284" w:rsidRDefault="00C96284" w:rsidP="00C96284">
            <w:pPr>
              <w:spacing w:before="0" w:after="0" w:line="240" w:lineRule="auto"/>
              <w:jc w:val="right"/>
              <w:rPr>
                <w:rFonts w:ascii="Arial" w:hAnsi="Arial" w:cs="Arial"/>
                <w:color w:val="000000"/>
                <w:sz w:val="16"/>
                <w:szCs w:val="16"/>
              </w:rPr>
            </w:pPr>
            <w:r w:rsidRPr="00C96284">
              <w:rPr>
                <w:rFonts w:ascii="Arial" w:hAnsi="Arial" w:cs="Arial"/>
                <w:color w:val="000000"/>
                <w:sz w:val="16"/>
                <w:szCs w:val="16"/>
              </w:rPr>
              <w:t>178</w:t>
            </w:r>
          </w:p>
        </w:tc>
        <w:tc>
          <w:tcPr>
            <w:tcW w:w="550" w:type="pct"/>
            <w:tcBorders>
              <w:top w:val="nil"/>
              <w:left w:val="nil"/>
              <w:bottom w:val="nil"/>
              <w:right w:val="nil"/>
            </w:tcBorders>
            <w:shd w:val="clear" w:color="000000" w:fill="FFFFFF"/>
            <w:noWrap/>
            <w:vAlign w:val="center"/>
            <w:hideMark/>
          </w:tcPr>
          <w:p w14:paraId="03D30266" w14:textId="77777777" w:rsidR="00C96284" w:rsidRPr="00C96284" w:rsidRDefault="00C96284" w:rsidP="00C96284">
            <w:pPr>
              <w:spacing w:before="0" w:after="0" w:line="240" w:lineRule="auto"/>
              <w:jc w:val="right"/>
              <w:rPr>
                <w:rFonts w:ascii="Arial" w:hAnsi="Arial" w:cs="Arial"/>
                <w:color w:val="000000"/>
                <w:sz w:val="16"/>
                <w:szCs w:val="16"/>
              </w:rPr>
            </w:pPr>
            <w:r w:rsidRPr="00C96284">
              <w:rPr>
                <w:rFonts w:ascii="Arial" w:hAnsi="Arial" w:cs="Arial"/>
                <w:color w:val="000000"/>
                <w:sz w:val="16"/>
                <w:szCs w:val="16"/>
              </w:rPr>
              <w:t>105</w:t>
            </w:r>
          </w:p>
        </w:tc>
      </w:tr>
      <w:tr w:rsidR="00C96284" w:rsidRPr="00C96284" w14:paraId="1B4081EC" w14:textId="77777777" w:rsidTr="00C96284">
        <w:trPr>
          <w:trHeight w:hRule="exact" w:val="226"/>
        </w:trPr>
        <w:tc>
          <w:tcPr>
            <w:tcW w:w="2183" w:type="pct"/>
            <w:tcBorders>
              <w:top w:val="nil"/>
              <w:left w:val="nil"/>
              <w:bottom w:val="nil"/>
              <w:right w:val="nil"/>
            </w:tcBorders>
            <w:shd w:val="clear" w:color="000000" w:fill="FFFFFF"/>
            <w:noWrap/>
            <w:vAlign w:val="center"/>
            <w:hideMark/>
          </w:tcPr>
          <w:p w14:paraId="60F766CE" w14:textId="77777777" w:rsidR="00C96284" w:rsidRPr="00C96284" w:rsidRDefault="00C96284" w:rsidP="00C96284">
            <w:pPr>
              <w:spacing w:before="0" w:after="0" w:line="240" w:lineRule="auto"/>
              <w:rPr>
                <w:rFonts w:ascii="Arial" w:hAnsi="Arial" w:cs="Arial"/>
                <w:color w:val="000000"/>
                <w:sz w:val="16"/>
                <w:szCs w:val="16"/>
              </w:rPr>
            </w:pPr>
            <w:r w:rsidRPr="00C96284">
              <w:rPr>
                <w:rFonts w:ascii="Arial" w:hAnsi="Arial" w:cs="Arial"/>
                <w:color w:val="000000"/>
                <w:sz w:val="16"/>
                <w:szCs w:val="16"/>
              </w:rPr>
              <w:t>Northern Australia Infrastructure Facility</w:t>
            </w:r>
          </w:p>
        </w:tc>
        <w:tc>
          <w:tcPr>
            <w:tcW w:w="68" w:type="pct"/>
            <w:tcBorders>
              <w:top w:val="nil"/>
              <w:left w:val="nil"/>
              <w:bottom w:val="nil"/>
              <w:right w:val="nil"/>
            </w:tcBorders>
            <w:shd w:val="clear" w:color="000000" w:fill="FFFFFF"/>
            <w:noWrap/>
            <w:vAlign w:val="center"/>
            <w:hideMark/>
          </w:tcPr>
          <w:p w14:paraId="0E2FC807" w14:textId="77777777" w:rsidR="00C96284" w:rsidRPr="00C96284" w:rsidRDefault="00C96284" w:rsidP="00C96284">
            <w:pPr>
              <w:spacing w:before="0" w:after="0" w:line="240" w:lineRule="auto"/>
              <w:rPr>
                <w:rFonts w:ascii="Arial" w:hAnsi="Arial" w:cs="Arial"/>
                <w:color w:val="000000"/>
                <w:sz w:val="16"/>
                <w:szCs w:val="16"/>
              </w:rPr>
            </w:pPr>
            <w:r w:rsidRPr="00C96284">
              <w:rPr>
                <w:rFonts w:ascii="Arial" w:hAnsi="Arial" w:cs="Arial"/>
                <w:color w:val="000000"/>
                <w:sz w:val="16"/>
                <w:szCs w:val="16"/>
              </w:rPr>
              <w:t> </w:t>
            </w:r>
          </w:p>
        </w:tc>
        <w:tc>
          <w:tcPr>
            <w:tcW w:w="550" w:type="pct"/>
            <w:tcBorders>
              <w:top w:val="nil"/>
              <w:left w:val="nil"/>
              <w:bottom w:val="nil"/>
              <w:right w:val="nil"/>
            </w:tcBorders>
            <w:shd w:val="clear" w:color="000000" w:fill="FFFFFF"/>
            <w:noWrap/>
            <w:vAlign w:val="center"/>
            <w:hideMark/>
          </w:tcPr>
          <w:p w14:paraId="5A196A31" w14:textId="77777777" w:rsidR="00C96284" w:rsidRPr="00C96284" w:rsidRDefault="00C96284" w:rsidP="00C96284">
            <w:pPr>
              <w:spacing w:before="0" w:after="0" w:line="240" w:lineRule="auto"/>
              <w:jc w:val="right"/>
              <w:rPr>
                <w:rFonts w:ascii="Arial" w:hAnsi="Arial" w:cs="Arial"/>
                <w:color w:val="000000"/>
                <w:sz w:val="16"/>
                <w:szCs w:val="16"/>
              </w:rPr>
            </w:pPr>
            <w:r w:rsidRPr="00C96284">
              <w:rPr>
                <w:rFonts w:ascii="Arial" w:hAnsi="Arial" w:cs="Arial"/>
                <w:color w:val="000000"/>
                <w:sz w:val="16"/>
                <w:szCs w:val="16"/>
              </w:rPr>
              <w:t>98</w:t>
            </w:r>
          </w:p>
        </w:tc>
        <w:tc>
          <w:tcPr>
            <w:tcW w:w="550" w:type="pct"/>
            <w:tcBorders>
              <w:top w:val="nil"/>
              <w:left w:val="nil"/>
              <w:bottom w:val="nil"/>
              <w:right w:val="nil"/>
            </w:tcBorders>
            <w:shd w:val="clear" w:color="000000" w:fill="E6F2FF"/>
            <w:noWrap/>
            <w:vAlign w:val="center"/>
            <w:hideMark/>
          </w:tcPr>
          <w:p w14:paraId="1C0BB5BE" w14:textId="77777777" w:rsidR="00C96284" w:rsidRPr="00C96284" w:rsidRDefault="00C96284" w:rsidP="00C96284">
            <w:pPr>
              <w:spacing w:before="0" w:after="0" w:line="240" w:lineRule="auto"/>
              <w:jc w:val="right"/>
              <w:rPr>
                <w:rFonts w:ascii="Arial" w:hAnsi="Arial" w:cs="Arial"/>
                <w:color w:val="000000"/>
                <w:sz w:val="16"/>
                <w:szCs w:val="16"/>
              </w:rPr>
            </w:pPr>
            <w:r w:rsidRPr="00C96284">
              <w:rPr>
                <w:rFonts w:ascii="Arial" w:hAnsi="Arial" w:cs="Arial"/>
                <w:color w:val="000000"/>
                <w:sz w:val="16"/>
                <w:szCs w:val="16"/>
              </w:rPr>
              <w:t>145</w:t>
            </w:r>
          </w:p>
        </w:tc>
        <w:tc>
          <w:tcPr>
            <w:tcW w:w="550" w:type="pct"/>
            <w:tcBorders>
              <w:top w:val="nil"/>
              <w:left w:val="nil"/>
              <w:bottom w:val="nil"/>
              <w:right w:val="nil"/>
            </w:tcBorders>
            <w:shd w:val="clear" w:color="000000" w:fill="FFFFFF"/>
            <w:noWrap/>
            <w:vAlign w:val="center"/>
            <w:hideMark/>
          </w:tcPr>
          <w:p w14:paraId="0847E8A2" w14:textId="77777777" w:rsidR="00C96284" w:rsidRPr="00C96284" w:rsidRDefault="00C96284" w:rsidP="00C96284">
            <w:pPr>
              <w:spacing w:before="0" w:after="0" w:line="240" w:lineRule="auto"/>
              <w:jc w:val="right"/>
              <w:rPr>
                <w:rFonts w:ascii="Arial" w:hAnsi="Arial" w:cs="Arial"/>
                <w:color w:val="000000"/>
                <w:sz w:val="16"/>
                <w:szCs w:val="16"/>
              </w:rPr>
            </w:pPr>
            <w:r w:rsidRPr="00C96284">
              <w:rPr>
                <w:rFonts w:ascii="Arial" w:hAnsi="Arial" w:cs="Arial"/>
                <w:color w:val="000000"/>
                <w:sz w:val="16"/>
                <w:szCs w:val="16"/>
              </w:rPr>
              <w:t>275</w:t>
            </w:r>
          </w:p>
        </w:tc>
        <w:tc>
          <w:tcPr>
            <w:tcW w:w="550" w:type="pct"/>
            <w:tcBorders>
              <w:top w:val="nil"/>
              <w:left w:val="nil"/>
              <w:bottom w:val="nil"/>
              <w:right w:val="nil"/>
            </w:tcBorders>
            <w:shd w:val="clear" w:color="000000" w:fill="FFFFFF"/>
            <w:noWrap/>
            <w:vAlign w:val="center"/>
            <w:hideMark/>
          </w:tcPr>
          <w:p w14:paraId="49B44194" w14:textId="77777777" w:rsidR="00C96284" w:rsidRPr="00C96284" w:rsidRDefault="00C96284" w:rsidP="00C96284">
            <w:pPr>
              <w:spacing w:before="0" w:after="0" w:line="240" w:lineRule="auto"/>
              <w:jc w:val="right"/>
              <w:rPr>
                <w:rFonts w:ascii="Arial" w:hAnsi="Arial" w:cs="Arial"/>
                <w:color w:val="000000"/>
                <w:sz w:val="16"/>
                <w:szCs w:val="16"/>
              </w:rPr>
            </w:pPr>
            <w:r w:rsidRPr="00C96284">
              <w:rPr>
                <w:rFonts w:ascii="Arial" w:hAnsi="Arial" w:cs="Arial"/>
                <w:color w:val="000000"/>
                <w:sz w:val="16"/>
                <w:szCs w:val="16"/>
              </w:rPr>
              <w:t>436</w:t>
            </w:r>
          </w:p>
        </w:tc>
        <w:tc>
          <w:tcPr>
            <w:tcW w:w="550" w:type="pct"/>
            <w:tcBorders>
              <w:top w:val="nil"/>
              <w:left w:val="nil"/>
              <w:bottom w:val="nil"/>
              <w:right w:val="nil"/>
            </w:tcBorders>
            <w:shd w:val="clear" w:color="000000" w:fill="FFFFFF"/>
            <w:noWrap/>
            <w:vAlign w:val="center"/>
            <w:hideMark/>
          </w:tcPr>
          <w:p w14:paraId="2344A37C" w14:textId="77777777" w:rsidR="00C96284" w:rsidRPr="00C96284" w:rsidRDefault="00C96284" w:rsidP="00C96284">
            <w:pPr>
              <w:spacing w:before="0" w:after="0" w:line="240" w:lineRule="auto"/>
              <w:jc w:val="right"/>
              <w:rPr>
                <w:rFonts w:ascii="Arial" w:hAnsi="Arial" w:cs="Arial"/>
                <w:color w:val="000000"/>
                <w:sz w:val="16"/>
                <w:szCs w:val="16"/>
              </w:rPr>
            </w:pPr>
            <w:r w:rsidRPr="00C96284">
              <w:rPr>
                <w:rFonts w:ascii="Arial" w:hAnsi="Arial" w:cs="Arial"/>
                <w:color w:val="000000"/>
                <w:sz w:val="16"/>
                <w:szCs w:val="16"/>
              </w:rPr>
              <w:t>408</w:t>
            </w:r>
          </w:p>
        </w:tc>
      </w:tr>
      <w:tr w:rsidR="00C96284" w:rsidRPr="00C96284" w14:paraId="74F39502" w14:textId="77777777" w:rsidTr="00C96284">
        <w:trPr>
          <w:trHeight w:hRule="exact" w:val="226"/>
        </w:trPr>
        <w:tc>
          <w:tcPr>
            <w:tcW w:w="2183" w:type="pct"/>
            <w:tcBorders>
              <w:top w:val="nil"/>
              <w:left w:val="nil"/>
              <w:bottom w:val="nil"/>
              <w:right w:val="nil"/>
            </w:tcBorders>
            <w:shd w:val="clear" w:color="000000" w:fill="FFFFFF"/>
            <w:noWrap/>
            <w:vAlign w:val="center"/>
            <w:hideMark/>
          </w:tcPr>
          <w:p w14:paraId="14C50537" w14:textId="77777777" w:rsidR="00C96284" w:rsidRPr="00C96284" w:rsidRDefault="00C96284" w:rsidP="00C96284">
            <w:pPr>
              <w:spacing w:before="0" w:after="0" w:line="240" w:lineRule="auto"/>
              <w:rPr>
                <w:rFonts w:ascii="Arial" w:hAnsi="Arial" w:cs="Arial"/>
                <w:color w:val="000000"/>
                <w:sz w:val="16"/>
                <w:szCs w:val="16"/>
              </w:rPr>
            </w:pPr>
            <w:r w:rsidRPr="00C96284">
              <w:rPr>
                <w:rFonts w:ascii="Arial" w:hAnsi="Arial" w:cs="Arial"/>
                <w:color w:val="000000"/>
                <w:sz w:val="16"/>
                <w:szCs w:val="16"/>
              </w:rPr>
              <w:t>Other</w:t>
            </w:r>
          </w:p>
        </w:tc>
        <w:tc>
          <w:tcPr>
            <w:tcW w:w="68" w:type="pct"/>
            <w:tcBorders>
              <w:top w:val="nil"/>
              <w:left w:val="nil"/>
              <w:bottom w:val="nil"/>
              <w:right w:val="nil"/>
            </w:tcBorders>
            <w:shd w:val="clear" w:color="000000" w:fill="FFFFFF"/>
            <w:noWrap/>
            <w:vAlign w:val="center"/>
            <w:hideMark/>
          </w:tcPr>
          <w:p w14:paraId="6565D796" w14:textId="77777777" w:rsidR="00C96284" w:rsidRPr="00C96284" w:rsidRDefault="00C96284" w:rsidP="00C96284">
            <w:pPr>
              <w:spacing w:before="0" w:after="0" w:line="240" w:lineRule="auto"/>
              <w:rPr>
                <w:rFonts w:ascii="Arial" w:hAnsi="Arial" w:cs="Arial"/>
                <w:color w:val="000000"/>
                <w:sz w:val="16"/>
                <w:szCs w:val="16"/>
              </w:rPr>
            </w:pPr>
            <w:r w:rsidRPr="00C96284">
              <w:rPr>
                <w:rFonts w:ascii="Arial" w:hAnsi="Arial" w:cs="Arial"/>
                <w:color w:val="000000"/>
                <w:sz w:val="16"/>
                <w:szCs w:val="16"/>
              </w:rPr>
              <w:t> </w:t>
            </w:r>
          </w:p>
        </w:tc>
        <w:tc>
          <w:tcPr>
            <w:tcW w:w="550" w:type="pct"/>
            <w:tcBorders>
              <w:top w:val="nil"/>
              <w:left w:val="nil"/>
              <w:bottom w:val="single" w:sz="4" w:space="0" w:color="293F5B"/>
              <w:right w:val="nil"/>
            </w:tcBorders>
            <w:shd w:val="clear" w:color="000000" w:fill="FFFFFF"/>
            <w:noWrap/>
            <w:vAlign w:val="center"/>
            <w:hideMark/>
          </w:tcPr>
          <w:p w14:paraId="0F0C6FB6" w14:textId="77777777" w:rsidR="00C96284" w:rsidRPr="00C96284" w:rsidRDefault="00C96284" w:rsidP="00C96284">
            <w:pPr>
              <w:spacing w:before="0" w:after="0" w:line="240" w:lineRule="auto"/>
              <w:jc w:val="right"/>
              <w:rPr>
                <w:rFonts w:ascii="Arial" w:hAnsi="Arial" w:cs="Arial"/>
                <w:color w:val="000000"/>
                <w:sz w:val="16"/>
                <w:szCs w:val="16"/>
              </w:rPr>
            </w:pPr>
            <w:r w:rsidRPr="00C96284">
              <w:rPr>
                <w:rFonts w:ascii="Arial" w:hAnsi="Arial" w:cs="Arial"/>
                <w:color w:val="000000"/>
                <w:sz w:val="16"/>
                <w:szCs w:val="16"/>
              </w:rPr>
              <w:t>402</w:t>
            </w:r>
          </w:p>
        </w:tc>
        <w:tc>
          <w:tcPr>
            <w:tcW w:w="550" w:type="pct"/>
            <w:tcBorders>
              <w:top w:val="nil"/>
              <w:left w:val="nil"/>
              <w:bottom w:val="single" w:sz="4" w:space="0" w:color="293F5B"/>
              <w:right w:val="nil"/>
            </w:tcBorders>
            <w:shd w:val="clear" w:color="000000" w:fill="E6F2FF"/>
            <w:noWrap/>
            <w:vAlign w:val="center"/>
            <w:hideMark/>
          </w:tcPr>
          <w:p w14:paraId="6B2640E7" w14:textId="77777777" w:rsidR="00C96284" w:rsidRPr="00C96284" w:rsidRDefault="00C96284" w:rsidP="00C96284">
            <w:pPr>
              <w:spacing w:before="0" w:after="0" w:line="240" w:lineRule="auto"/>
              <w:jc w:val="right"/>
              <w:rPr>
                <w:rFonts w:ascii="Arial" w:hAnsi="Arial" w:cs="Arial"/>
                <w:color w:val="000000"/>
                <w:sz w:val="16"/>
                <w:szCs w:val="16"/>
              </w:rPr>
            </w:pPr>
            <w:r w:rsidRPr="00C96284">
              <w:rPr>
                <w:rFonts w:ascii="Arial" w:hAnsi="Arial" w:cs="Arial"/>
                <w:color w:val="000000"/>
                <w:sz w:val="16"/>
                <w:szCs w:val="16"/>
              </w:rPr>
              <w:t>440</w:t>
            </w:r>
          </w:p>
        </w:tc>
        <w:tc>
          <w:tcPr>
            <w:tcW w:w="550" w:type="pct"/>
            <w:tcBorders>
              <w:top w:val="nil"/>
              <w:left w:val="nil"/>
              <w:bottom w:val="single" w:sz="4" w:space="0" w:color="293F5B"/>
              <w:right w:val="nil"/>
            </w:tcBorders>
            <w:shd w:val="clear" w:color="000000" w:fill="FFFFFF"/>
            <w:noWrap/>
            <w:vAlign w:val="center"/>
            <w:hideMark/>
          </w:tcPr>
          <w:p w14:paraId="3594C911" w14:textId="77777777" w:rsidR="00C96284" w:rsidRPr="00C96284" w:rsidRDefault="00C96284" w:rsidP="00C96284">
            <w:pPr>
              <w:spacing w:before="0" w:after="0" w:line="240" w:lineRule="auto"/>
              <w:jc w:val="right"/>
              <w:rPr>
                <w:rFonts w:ascii="Arial" w:hAnsi="Arial" w:cs="Arial"/>
                <w:color w:val="000000"/>
                <w:sz w:val="16"/>
                <w:szCs w:val="16"/>
              </w:rPr>
            </w:pPr>
            <w:r w:rsidRPr="00C96284">
              <w:rPr>
                <w:rFonts w:ascii="Arial" w:hAnsi="Arial" w:cs="Arial"/>
                <w:color w:val="000000"/>
                <w:sz w:val="16"/>
                <w:szCs w:val="16"/>
              </w:rPr>
              <w:t>438</w:t>
            </w:r>
          </w:p>
        </w:tc>
        <w:tc>
          <w:tcPr>
            <w:tcW w:w="550" w:type="pct"/>
            <w:tcBorders>
              <w:top w:val="nil"/>
              <w:left w:val="nil"/>
              <w:bottom w:val="single" w:sz="4" w:space="0" w:color="293F5B"/>
              <w:right w:val="nil"/>
            </w:tcBorders>
            <w:shd w:val="clear" w:color="000000" w:fill="FFFFFF"/>
            <w:noWrap/>
            <w:vAlign w:val="center"/>
            <w:hideMark/>
          </w:tcPr>
          <w:p w14:paraId="27F2616D" w14:textId="77777777" w:rsidR="00C96284" w:rsidRPr="00C96284" w:rsidRDefault="00C96284" w:rsidP="00C96284">
            <w:pPr>
              <w:spacing w:before="0" w:after="0" w:line="240" w:lineRule="auto"/>
              <w:jc w:val="right"/>
              <w:rPr>
                <w:rFonts w:ascii="Arial" w:hAnsi="Arial" w:cs="Arial"/>
                <w:color w:val="000000"/>
                <w:sz w:val="16"/>
                <w:szCs w:val="16"/>
              </w:rPr>
            </w:pPr>
            <w:r w:rsidRPr="00C96284">
              <w:rPr>
                <w:rFonts w:ascii="Arial" w:hAnsi="Arial" w:cs="Arial"/>
                <w:color w:val="000000"/>
                <w:sz w:val="16"/>
                <w:szCs w:val="16"/>
              </w:rPr>
              <w:t>411</w:t>
            </w:r>
          </w:p>
        </w:tc>
        <w:tc>
          <w:tcPr>
            <w:tcW w:w="550" w:type="pct"/>
            <w:tcBorders>
              <w:top w:val="nil"/>
              <w:left w:val="nil"/>
              <w:bottom w:val="single" w:sz="4" w:space="0" w:color="293F5B"/>
              <w:right w:val="nil"/>
            </w:tcBorders>
            <w:shd w:val="clear" w:color="000000" w:fill="FFFFFF"/>
            <w:noWrap/>
            <w:vAlign w:val="center"/>
            <w:hideMark/>
          </w:tcPr>
          <w:p w14:paraId="18905AAE" w14:textId="77777777" w:rsidR="00C96284" w:rsidRPr="00C96284" w:rsidRDefault="00C96284" w:rsidP="00C96284">
            <w:pPr>
              <w:spacing w:before="0" w:after="0" w:line="240" w:lineRule="auto"/>
              <w:jc w:val="right"/>
              <w:rPr>
                <w:rFonts w:ascii="Arial" w:hAnsi="Arial" w:cs="Arial"/>
                <w:color w:val="000000"/>
                <w:sz w:val="16"/>
                <w:szCs w:val="16"/>
              </w:rPr>
            </w:pPr>
            <w:r w:rsidRPr="00C96284">
              <w:rPr>
                <w:rFonts w:ascii="Arial" w:hAnsi="Arial" w:cs="Arial"/>
                <w:color w:val="000000"/>
                <w:sz w:val="16"/>
                <w:szCs w:val="16"/>
              </w:rPr>
              <w:t>764</w:t>
            </w:r>
          </w:p>
        </w:tc>
      </w:tr>
      <w:tr w:rsidR="00C96284" w:rsidRPr="00C96284" w14:paraId="2AA5CAE5" w14:textId="77777777" w:rsidTr="00C96284">
        <w:trPr>
          <w:trHeight w:hRule="exact" w:val="226"/>
        </w:trPr>
        <w:tc>
          <w:tcPr>
            <w:tcW w:w="2183" w:type="pct"/>
            <w:tcBorders>
              <w:top w:val="nil"/>
              <w:left w:val="nil"/>
              <w:bottom w:val="single" w:sz="4" w:space="0" w:color="293F5B"/>
              <w:right w:val="nil"/>
            </w:tcBorders>
            <w:shd w:val="clear" w:color="000000" w:fill="FFFFFF"/>
            <w:noWrap/>
            <w:vAlign w:val="center"/>
            <w:hideMark/>
          </w:tcPr>
          <w:p w14:paraId="3FA858B9" w14:textId="77777777" w:rsidR="00C96284" w:rsidRPr="00C96284" w:rsidRDefault="00C96284" w:rsidP="00C96284">
            <w:pPr>
              <w:spacing w:before="0" w:after="0" w:line="240" w:lineRule="auto"/>
              <w:rPr>
                <w:rFonts w:ascii="Arial" w:hAnsi="Arial" w:cs="Arial"/>
                <w:b/>
                <w:bCs/>
                <w:color w:val="000000"/>
                <w:sz w:val="16"/>
                <w:szCs w:val="16"/>
              </w:rPr>
            </w:pPr>
            <w:r w:rsidRPr="00C96284">
              <w:rPr>
                <w:rFonts w:ascii="Arial" w:hAnsi="Arial" w:cs="Arial"/>
                <w:b/>
                <w:bCs/>
                <w:color w:val="000000"/>
                <w:sz w:val="16"/>
                <w:szCs w:val="16"/>
              </w:rPr>
              <w:t>Total</w:t>
            </w:r>
          </w:p>
        </w:tc>
        <w:tc>
          <w:tcPr>
            <w:tcW w:w="68" w:type="pct"/>
            <w:tcBorders>
              <w:top w:val="nil"/>
              <w:left w:val="nil"/>
              <w:bottom w:val="single" w:sz="4" w:space="0" w:color="293F5B"/>
              <w:right w:val="nil"/>
            </w:tcBorders>
            <w:shd w:val="clear" w:color="000000" w:fill="FFFFFF"/>
            <w:noWrap/>
            <w:vAlign w:val="center"/>
            <w:hideMark/>
          </w:tcPr>
          <w:p w14:paraId="386099BC" w14:textId="77777777" w:rsidR="00C96284" w:rsidRPr="00C96284" w:rsidRDefault="00C96284" w:rsidP="00C96284">
            <w:pPr>
              <w:spacing w:before="0" w:after="0" w:line="240" w:lineRule="auto"/>
              <w:rPr>
                <w:rFonts w:ascii="Arial" w:hAnsi="Arial" w:cs="Arial"/>
                <w:b/>
                <w:bCs/>
                <w:color w:val="000000"/>
                <w:sz w:val="16"/>
                <w:szCs w:val="16"/>
              </w:rPr>
            </w:pPr>
            <w:r w:rsidRPr="00C96284">
              <w:rPr>
                <w:rFonts w:ascii="Arial" w:hAnsi="Arial" w:cs="Arial"/>
                <w:b/>
                <w:bCs/>
                <w:color w:val="000000"/>
                <w:sz w:val="16"/>
                <w:szCs w:val="16"/>
              </w:rPr>
              <w:t> </w:t>
            </w:r>
          </w:p>
        </w:tc>
        <w:tc>
          <w:tcPr>
            <w:tcW w:w="550" w:type="pct"/>
            <w:tcBorders>
              <w:top w:val="nil"/>
              <w:left w:val="nil"/>
              <w:bottom w:val="single" w:sz="4" w:space="0" w:color="293F5B"/>
              <w:right w:val="nil"/>
            </w:tcBorders>
            <w:shd w:val="clear" w:color="000000" w:fill="FFFFFF"/>
            <w:noWrap/>
            <w:vAlign w:val="center"/>
            <w:hideMark/>
          </w:tcPr>
          <w:p w14:paraId="6CF683AE" w14:textId="2099C85E" w:rsidR="00C96284" w:rsidRPr="00C96284" w:rsidRDefault="00C96284" w:rsidP="00C96284">
            <w:pPr>
              <w:spacing w:before="0" w:after="0" w:line="240" w:lineRule="auto"/>
              <w:jc w:val="right"/>
              <w:rPr>
                <w:rFonts w:ascii="Arial" w:hAnsi="Arial" w:cs="Arial"/>
                <w:b/>
                <w:bCs/>
                <w:color w:val="000000"/>
                <w:sz w:val="16"/>
                <w:szCs w:val="16"/>
              </w:rPr>
            </w:pPr>
            <w:r w:rsidRPr="00C96284">
              <w:rPr>
                <w:rFonts w:ascii="Arial" w:hAnsi="Arial" w:cs="Arial"/>
                <w:b/>
                <w:bCs/>
                <w:color w:val="000000"/>
                <w:sz w:val="16"/>
                <w:szCs w:val="16"/>
              </w:rPr>
              <w:t>5,96</w:t>
            </w:r>
            <w:r w:rsidR="009A5172">
              <w:rPr>
                <w:rFonts w:ascii="Arial" w:hAnsi="Arial" w:cs="Arial"/>
                <w:b/>
                <w:bCs/>
                <w:color w:val="000000"/>
                <w:sz w:val="16"/>
                <w:szCs w:val="16"/>
              </w:rPr>
              <w:t>8</w:t>
            </w:r>
          </w:p>
        </w:tc>
        <w:tc>
          <w:tcPr>
            <w:tcW w:w="550" w:type="pct"/>
            <w:tcBorders>
              <w:top w:val="nil"/>
              <w:left w:val="nil"/>
              <w:bottom w:val="single" w:sz="4" w:space="0" w:color="293F5B"/>
              <w:right w:val="nil"/>
            </w:tcBorders>
            <w:shd w:val="clear" w:color="000000" w:fill="E6F2FF"/>
            <w:noWrap/>
            <w:vAlign w:val="center"/>
            <w:hideMark/>
          </w:tcPr>
          <w:p w14:paraId="4826A7DE" w14:textId="77777777" w:rsidR="00C96284" w:rsidRPr="00C96284" w:rsidRDefault="00C96284" w:rsidP="00C96284">
            <w:pPr>
              <w:spacing w:before="0" w:after="0" w:line="240" w:lineRule="auto"/>
              <w:jc w:val="right"/>
              <w:rPr>
                <w:rFonts w:ascii="Arial" w:hAnsi="Arial" w:cs="Arial"/>
                <w:b/>
                <w:bCs/>
                <w:color w:val="000000"/>
                <w:sz w:val="16"/>
                <w:szCs w:val="16"/>
              </w:rPr>
            </w:pPr>
            <w:r w:rsidRPr="00C96284">
              <w:rPr>
                <w:rFonts w:ascii="Arial" w:hAnsi="Arial" w:cs="Arial"/>
                <w:b/>
                <w:bCs/>
                <w:color w:val="000000"/>
                <w:sz w:val="16"/>
                <w:szCs w:val="16"/>
              </w:rPr>
              <w:t>5,511</w:t>
            </w:r>
          </w:p>
        </w:tc>
        <w:tc>
          <w:tcPr>
            <w:tcW w:w="550" w:type="pct"/>
            <w:tcBorders>
              <w:top w:val="nil"/>
              <w:left w:val="nil"/>
              <w:bottom w:val="single" w:sz="4" w:space="0" w:color="293F5B"/>
              <w:right w:val="nil"/>
            </w:tcBorders>
            <w:shd w:val="clear" w:color="000000" w:fill="FFFFFF"/>
            <w:noWrap/>
            <w:vAlign w:val="center"/>
            <w:hideMark/>
          </w:tcPr>
          <w:p w14:paraId="0E02BAA8" w14:textId="77777777" w:rsidR="00C96284" w:rsidRPr="00C96284" w:rsidRDefault="00C96284" w:rsidP="00C96284">
            <w:pPr>
              <w:spacing w:before="0" w:after="0" w:line="240" w:lineRule="auto"/>
              <w:jc w:val="right"/>
              <w:rPr>
                <w:rFonts w:ascii="Arial" w:hAnsi="Arial" w:cs="Arial"/>
                <w:b/>
                <w:bCs/>
                <w:color w:val="000000"/>
                <w:sz w:val="16"/>
                <w:szCs w:val="16"/>
              </w:rPr>
            </w:pPr>
            <w:r w:rsidRPr="00C96284">
              <w:rPr>
                <w:rFonts w:ascii="Arial" w:hAnsi="Arial" w:cs="Arial"/>
                <w:b/>
                <w:bCs/>
                <w:color w:val="000000"/>
                <w:sz w:val="16"/>
                <w:szCs w:val="16"/>
              </w:rPr>
              <w:t>5,563</w:t>
            </w:r>
          </w:p>
        </w:tc>
        <w:tc>
          <w:tcPr>
            <w:tcW w:w="550" w:type="pct"/>
            <w:tcBorders>
              <w:top w:val="nil"/>
              <w:left w:val="nil"/>
              <w:bottom w:val="single" w:sz="4" w:space="0" w:color="293F5B"/>
              <w:right w:val="nil"/>
            </w:tcBorders>
            <w:shd w:val="clear" w:color="000000" w:fill="FFFFFF"/>
            <w:noWrap/>
            <w:vAlign w:val="center"/>
            <w:hideMark/>
          </w:tcPr>
          <w:p w14:paraId="19BF6BB1" w14:textId="77777777" w:rsidR="00C96284" w:rsidRPr="00C96284" w:rsidRDefault="00C96284" w:rsidP="00C96284">
            <w:pPr>
              <w:spacing w:before="0" w:after="0" w:line="240" w:lineRule="auto"/>
              <w:jc w:val="right"/>
              <w:rPr>
                <w:rFonts w:ascii="Arial" w:hAnsi="Arial" w:cs="Arial"/>
                <w:b/>
                <w:bCs/>
                <w:color w:val="000000"/>
                <w:sz w:val="16"/>
                <w:szCs w:val="16"/>
              </w:rPr>
            </w:pPr>
            <w:r w:rsidRPr="00C96284">
              <w:rPr>
                <w:rFonts w:ascii="Arial" w:hAnsi="Arial" w:cs="Arial"/>
                <w:b/>
                <w:bCs/>
                <w:color w:val="000000"/>
                <w:sz w:val="16"/>
                <w:szCs w:val="16"/>
              </w:rPr>
              <w:t>5,776</w:t>
            </w:r>
          </w:p>
        </w:tc>
        <w:tc>
          <w:tcPr>
            <w:tcW w:w="550" w:type="pct"/>
            <w:tcBorders>
              <w:top w:val="nil"/>
              <w:left w:val="nil"/>
              <w:bottom w:val="single" w:sz="4" w:space="0" w:color="293F5B"/>
              <w:right w:val="nil"/>
            </w:tcBorders>
            <w:shd w:val="clear" w:color="000000" w:fill="FFFFFF"/>
            <w:noWrap/>
            <w:vAlign w:val="center"/>
            <w:hideMark/>
          </w:tcPr>
          <w:p w14:paraId="5F9322AA" w14:textId="77777777" w:rsidR="00C96284" w:rsidRPr="00C96284" w:rsidRDefault="00C96284" w:rsidP="00C96284">
            <w:pPr>
              <w:spacing w:before="0" w:after="0" w:line="240" w:lineRule="auto"/>
              <w:jc w:val="right"/>
              <w:rPr>
                <w:rFonts w:ascii="Arial" w:hAnsi="Arial" w:cs="Arial"/>
                <w:b/>
                <w:bCs/>
                <w:color w:val="000000"/>
                <w:sz w:val="16"/>
                <w:szCs w:val="16"/>
              </w:rPr>
            </w:pPr>
            <w:r w:rsidRPr="00C96284">
              <w:rPr>
                <w:rFonts w:ascii="Arial" w:hAnsi="Arial" w:cs="Arial"/>
                <w:b/>
                <w:bCs/>
                <w:color w:val="000000"/>
                <w:sz w:val="16"/>
                <w:szCs w:val="16"/>
              </w:rPr>
              <w:t>6,172</w:t>
            </w:r>
          </w:p>
        </w:tc>
      </w:tr>
    </w:tbl>
    <w:p w14:paraId="08F7B30F" w14:textId="5C578F71" w:rsidR="00041C95" w:rsidRDefault="00041C95" w:rsidP="00E87DDC">
      <w:pPr>
        <w:pStyle w:val="ChartandTableFootnoteAlpha"/>
        <w:numPr>
          <w:ilvl w:val="0"/>
          <w:numId w:val="18"/>
        </w:numPr>
      </w:pPr>
      <w:r w:rsidRPr="000177D7">
        <w:t>The entry for each component includes eliminations for inter</w:t>
      </w:r>
      <w:r w:rsidR="008D4F6B">
        <w:noBreakHyphen/>
      </w:r>
      <w:r w:rsidRPr="000177D7">
        <w:t>agency transactions within that component.</w:t>
      </w:r>
    </w:p>
    <w:p w14:paraId="219D0D69" w14:textId="77777777" w:rsidR="00041C95" w:rsidRPr="000177D7" w:rsidRDefault="00041C95" w:rsidP="00D91079">
      <w:pPr>
        <w:pStyle w:val="TableLine"/>
      </w:pPr>
    </w:p>
    <w:p w14:paraId="426F51FC" w14:textId="481AC692" w:rsidR="00FC534C" w:rsidRPr="004C5997" w:rsidRDefault="00FC534C" w:rsidP="00D210D8">
      <w:pPr>
        <w:keepLines/>
        <w:rPr>
          <w:b/>
          <w:szCs w:val="19"/>
        </w:rPr>
      </w:pPr>
      <w:bookmarkStart w:id="151" w:name="_Hlk165714309"/>
      <w:r w:rsidRPr="004C5997">
        <w:rPr>
          <w:szCs w:val="19"/>
        </w:rPr>
        <w:lastRenderedPageBreak/>
        <w:t xml:space="preserve">Expenses for the </w:t>
      </w:r>
      <w:r w:rsidRPr="007932B1">
        <w:rPr>
          <w:rStyle w:val="Strong"/>
        </w:rPr>
        <w:t>Research and Development Tax Incentive</w:t>
      </w:r>
      <w:r w:rsidRPr="004C5997">
        <w:rPr>
          <w:szCs w:val="19"/>
        </w:rPr>
        <w:t xml:space="preserve"> administered by the Australian Taxation Office are expected to increase over the period 2024–25 to 2027–28 due to increases in the number and value of expected claims from eligible companies,</w:t>
      </w:r>
      <w:r w:rsidR="004444F0">
        <w:rPr>
          <w:szCs w:val="19"/>
        </w:rPr>
        <w:t xml:space="preserve"> particularly</w:t>
      </w:r>
      <w:r>
        <w:rPr>
          <w:szCs w:val="19"/>
        </w:rPr>
        <w:t xml:space="preserve"> </w:t>
      </w:r>
      <w:r w:rsidRPr="004C5997">
        <w:rPr>
          <w:szCs w:val="19"/>
        </w:rPr>
        <w:t xml:space="preserve">companies in the </w:t>
      </w:r>
      <w:r w:rsidR="008D4F6B">
        <w:rPr>
          <w:szCs w:val="19"/>
        </w:rPr>
        <w:t>‘</w:t>
      </w:r>
      <w:r w:rsidRPr="004C5997">
        <w:rPr>
          <w:szCs w:val="19"/>
        </w:rPr>
        <w:t>Professional, Scientific and Technical Services</w:t>
      </w:r>
      <w:r w:rsidR="008D4F6B">
        <w:rPr>
          <w:szCs w:val="19"/>
        </w:rPr>
        <w:t>’</w:t>
      </w:r>
      <w:r w:rsidRPr="004C5997">
        <w:rPr>
          <w:szCs w:val="19"/>
        </w:rPr>
        <w:t xml:space="preserve"> industry</w:t>
      </w:r>
      <w:r w:rsidR="0034399B">
        <w:rPr>
          <w:szCs w:val="19"/>
        </w:rPr>
        <w:t>.</w:t>
      </w:r>
    </w:p>
    <w:p w14:paraId="129C195D" w14:textId="679D48EF" w:rsidR="00326A2C" w:rsidRDefault="00326A2C" w:rsidP="00326A2C">
      <w:bookmarkStart w:id="152" w:name="_Hlk165714338"/>
      <w:bookmarkEnd w:id="151"/>
      <w:r w:rsidRPr="00D35121">
        <w:t xml:space="preserve">The </w:t>
      </w:r>
      <w:r w:rsidRPr="007932B1">
        <w:rPr>
          <w:rStyle w:val="Strong"/>
        </w:rPr>
        <w:t>Northern Australia Infrastructure Facility</w:t>
      </w:r>
      <w:r w:rsidRPr="00D35121">
        <w:t xml:space="preserve"> offers debt and equity finance to projects that contribute to the establishment or enhancement of economic activity in northern Australia. Expenses are expected to increase over the period 2024–25 to 2027–28, due to changes in concessional loan discount expenses associated with the expected commitment of concessional loans across the </w:t>
      </w:r>
      <w:r>
        <w:t>period 2024–25 to 2027–28</w:t>
      </w:r>
      <w:r w:rsidRPr="00D35121">
        <w:t>.</w:t>
      </w:r>
    </w:p>
    <w:p w14:paraId="43A90DFC" w14:textId="4B3229B9" w:rsidR="00FC534C" w:rsidRPr="00326A2C" w:rsidRDefault="00BE6BBB" w:rsidP="008B51FE">
      <w:pPr>
        <w:keepLines/>
      </w:pPr>
      <w:r w:rsidRPr="008E4D45">
        <w:rPr>
          <w:szCs w:val="19"/>
        </w:rPr>
        <w:t xml:space="preserve">Expenses under the </w:t>
      </w:r>
      <w:r w:rsidR="003860AE" w:rsidRPr="007932B1">
        <w:rPr>
          <w:rStyle w:val="Strong"/>
        </w:rPr>
        <w:t>O</w:t>
      </w:r>
      <w:r w:rsidRPr="007932B1">
        <w:rPr>
          <w:rStyle w:val="Strong"/>
        </w:rPr>
        <w:t>ther</w:t>
      </w:r>
      <w:r w:rsidRPr="008E4D45">
        <w:rPr>
          <w:szCs w:val="19"/>
        </w:rPr>
        <w:t xml:space="preserve"> component are expected to increase over the period 202</w:t>
      </w:r>
      <w:r w:rsidR="003860AE">
        <w:rPr>
          <w:szCs w:val="19"/>
        </w:rPr>
        <w:t>4</w:t>
      </w:r>
      <w:r w:rsidR="00E82EFE">
        <w:rPr>
          <w:szCs w:val="19"/>
        </w:rPr>
        <w:t>–</w:t>
      </w:r>
      <w:r w:rsidRPr="008E4D45">
        <w:rPr>
          <w:szCs w:val="19"/>
        </w:rPr>
        <w:t>25 to 202</w:t>
      </w:r>
      <w:r w:rsidR="009A5172">
        <w:rPr>
          <w:szCs w:val="19"/>
        </w:rPr>
        <w:t>7</w:t>
      </w:r>
      <w:r w:rsidR="00E82EFE">
        <w:rPr>
          <w:szCs w:val="19"/>
        </w:rPr>
        <w:t>–</w:t>
      </w:r>
      <w:r w:rsidRPr="008E4D45">
        <w:rPr>
          <w:szCs w:val="19"/>
        </w:rPr>
        <w:t>2</w:t>
      </w:r>
      <w:r w:rsidR="009A5172">
        <w:rPr>
          <w:szCs w:val="19"/>
        </w:rPr>
        <w:t>8</w:t>
      </w:r>
      <w:r w:rsidRPr="008E4D45">
        <w:rPr>
          <w:szCs w:val="19"/>
        </w:rPr>
        <w:t>, driven by the 2024–25 Budget measures</w:t>
      </w:r>
      <w:r w:rsidRPr="008E4D45">
        <w:rPr>
          <w:sz w:val="18"/>
          <w:szCs w:val="18"/>
        </w:rPr>
        <w:t xml:space="preserve"> </w:t>
      </w:r>
      <w:r w:rsidR="00141218" w:rsidRPr="007932B1">
        <w:rPr>
          <w:rStyle w:val="Emphasis"/>
          <w:rFonts w:eastAsia="Calibri"/>
        </w:rPr>
        <w:t>Future Made in Australia</w:t>
      </w:r>
      <w:r w:rsidR="008D4F6B" w:rsidRPr="007932B1">
        <w:rPr>
          <w:rStyle w:val="Emphasis"/>
          <w:rFonts w:eastAsia="Calibri"/>
        </w:rPr>
        <w:t xml:space="preserve"> – </w:t>
      </w:r>
      <w:r w:rsidR="00141218" w:rsidRPr="007932B1">
        <w:rPr>
          <w:rStyle w:val="Emphasis"/>
          <w:rFonts w:eastAsia="Calibri"/>
        </w:rPr>
        <w:t>Making Australia a Renewable Energy Superpower</w:t>
      </w:r>
      <w:r w:rsidR="00141218" w:rsidRPr="00E70969">
        <w:rPr>
          <w:rFonts w:asciiTheme="minorHAnsi" w:eastAsia="Calibri" w:hAnsiTheme="minorHAnsi" w:cs="Calibri"/>
          <w:i/>
          <w:iCs/>
          <w:szCs w:val="19"/>
        </w:rPr>
        <w:t xml:space="preserve"> </w:t>
      </w:r>
      <w:r w:rsidR="00141218">
        <w:rPr>
          <w:rFonts w:asciiTheme="minorHAnsi" w:eastAsia="Calibri" w:hAnsiTheme="minorHAnsi" w:cs="Calibri"/>
          <w:szCs w:val="19"/>
        </w:rPr>
        <w:t xml:space="preserve">and </w:t>
      </w:r>
      <w:r w:rsidR="00FC534C" w:rsidRPr="007932B1">
        <w:rPr>
          <w:rStyle w:val="Emphasis"/>
          <w:rFonts w:eastAsia="Calibri"/>
        </w:rPr>
        <w:t>Future Made in Australia</w:t>
      </w:r>
      <w:r w:rsidR="008D4F6B" w:rsidRPr="007932B1">
        <w:rPr>
          <w:rStyle w:val="Emphasis"/>
          <w:rFonts w:eastAsia="Calibri"/>
        </w:rPr>
        <w:t xml:space="preserve"> – </w:t>
      </w:r>
      <w:r w:rsidR="00FC534C" w:rsidRPr="007932B1">
        <w:rPr>
          <w:rStyle w:val="Emphasis"/>
          <w:rFonts w:eastAsia="Calibri"/>
        </w:rPr>
        <w:t>Investing in Innovation</w:t>
      </w:r>
      <w:r w:rsidR="00E70969" w:rsidRPr="007932B1">
        <w:rPr>
          <w:rStyle w:val="Emphasis"/>
          <w:rFonts w:eastAsia="Calibri"/>
        </w:rPr>
        <w:t>, Science and Digital Capabilities</w:t>
      </w:r>
      <w:bookmarkStart w:id="153" w:name="_Hlk166180210"/>
      <w:r w:rsidR="00CD68D5">
        <w:rPr>
          <w:rFonts w:asciiTheme="minorHAnsi" w:eastAsia="Calibri" w:hAnsiTheme="minorHAnsi" w:cs="Calibri"/>
          <w:szCs w:val="19"/>
        </w:rPr>
        <w:t>. Th</w:t>
      </w:r>
      <w:r w:rsidR="00141218">
        <w:rPr>
          <w:rFonts w:asciiTheme="minorHAnsi" w:eastAsia="Calibri" w:hAnsiTheme="minorHAnsi" w:cs="Calibri"/>
          <w:szCs w:val="19"/>
        </w:rPr>
        <w:t xml:space="preserve">is </w:t>
      </w:r>
      <w:r w:rsidR="00CD68D5">
        <w:rPr>
          <w:rFonts w:asciiTheme="minorHAnsi" w:eastAsia="Calibri" w:hAnsiTheme="minorHAnsi" w:cs="Calibri"/>
          <w:szCs w:val="19"/>
        </w:rPr>
        <w:t xml:space="preserve">measure </w:t>
      </w:r>
      <w:bookmarkEnd w:id="153"/>
      <w:r w:rsidR="003860AE" w:rsidRPr="00E70969">
        <w:rPr>
          <w:rFonts w:asciiTheme="minorHAnsi" w:eastAsia="Calibri" w:hAnsiTheme="minorHAnsi" w:cs="Calibri"/>
          <w:szCs w:val="19"/>
        </w:rPr>
        <w:t xml:space="preserve">will </w:t>
      </w:r>
      <w:r w:rsidR="00FC534C" w:rsidRPr="00E70969">
        <w:rPr>
          <w:rFonts w:asciiTheme="minorHAnsi" w:eastAsia="Calibri" w:hAnsiTheme="minorHAnsi" w:cs="Calibri"/>
          <w:szCs w:val="19"/>
        </w:rPr>
        <w:t xml:space="preserve">provide additional resourcing to Geoscience </w:t>
      </w:r>
      <w:r w:rsidR="002536C9" w:rsidRPr="00E70969">
        <w:rPr>
          <w:rFonts w:asciiTheme="minorHAnsi" w:eastAsia="Calibri" w:hAnsiTheme="minorHAnsi" w:cs="Calibri"/>
          <w:szCs w:val="19"/>
        </w:rPr>
        <w:t>Australia</w:t>
      </w:r>
      <w:r w:rsidR="002536C9">
        <w:rPr>
          <w:rFonts w:asciiTheme="minorHAnsi" w:eastAsia="Calibri" w:hAnsiTheme="minorHAnsi" w:cs="Calibri"/>
          <w:szCs w:val="19"/>
        </w:rPr>
        <w:t xml:space="preserve"> to</w:t>
      </w:r>
      <w:r w:rsidR="00577149">
        <w:rPr>
          <w:rFonts w:asciiTheme="minorHAnsi" w:eastAsia="Calibri" w:hAnsiTheme="minorHAnsi" w:cs="Calibri"/>
          <w:szCs w:val="19"/>
        </w:rPr>
        <w:t xml:space="preserve"> map </w:t>
      </w:r>
      <w:r w:rsidR="00F33C64">
        <w:rPr>
          <w:rFonts w:asciiTheme="minorHAnsi" w:eastAsia="Calibri" w:hAnsiTheme="minorHAnsi" w:cs="Calibri"/>
          <w:szCs w:val="19"/>
        </w:rPr>
        <w:t>all of Australia’s critical minerals, strategic minerals, groundwater, and other resources essential to the transition to net zero</w:t>
      </w:r>
      <w:r w:rsidR="00CD68D5">
        <w:rPr>
          <w:rFonts w:asciiTheme="minorHAnsi" w:eastAsia="Calibri" w:hAnsiTheme="minorHAnsi" w:cs="Calibri"/>
          <w:szCs w:val="19"/>
        </w:rPr>
        <w:t>.</w:t>
      </w:r>
      <w:r w:rsidR="002536C9" w:rsidRPr="00E70969">
        <w:rPr>
          <w:rFonts w:asciiTheme="minorHAnsi" w:eastAsia="Calibri" w:hAnsiTheme="minorHAnsi" w:cs="Calibri"/>
          <w:szCs w:val="19"/>
        </w:rPr>
        <w:t xml:space="preserve"> </w:t>
      </w:r>
      <w:r w:rsidR="00CD68D5">
        <w:rPr>
          <w:rFonts w:asciiTheme="minorHAnsi" w:eastAsia="Calibri" w:hAnsiTheme="minorHAnsi" w:cs="Calibri"/>
          <w:szCs w:val="19"/>
        </w:rPr>
        <w:t xml:space="preserve">This funding also covers the expenses involved in </w:t>
      </w:r>
      <w:r w:rsidR="00CD68D5" w:rsidRPr="00E70969">
        <w:rPr>
          <w:rFonts w:asciiTheme="minorHAnsi" w:eastAsia="Calibri" w:hAnsiTheme="minorHAnsi" w:cs="Calibri"/>
          <w:szCs w:val="19"/>
        </w:rPr>
        <w:t>introduc</w:t>
      </w:r>
      <w:r w:rsidR="00CD68D5">
        <w:rPr>
          <w:rFonts w:asciiTheme="minorHAnsi" w:eastAsia="Calibri" w:hAnsiTheme="minorHAnsi" w:cs="Calibri"/>
          <w:szCs w:val="19"/>
        </w:rPr>
        <w:t xml:space="preserve">ing </w:t>
      </w:r>
      <w:r w:rsidR="003860AE" w:rsidRPr="00E70969">
        <w:rPr>
          <w:rFonts w:asciiTheme="minorHAnsi" w:eastAsia="Calibri" w:hAnsiTheme="minorHAnsi" w:cs="Calibri"/>
          <w:szCs w:val="19"/>
        </w:rPr>
        <w:t xml:space="preserve">the </w:t>
      </w:r>
      <w:r w:rsidR="00FC534C" w:rsidRPr="00E70969">
        <w:rPr>
          <w:rFonts w:asciiTheme="minorHAnsi" w:eastAsia="Calibri" w:hAnsiTheme="minorHAnsi" w:cs="Calibri"/>
          <w:szCs w:val="19"/>
        </w:rPr>
        <w:t xml:space="preserve">Critical Minerals Production Tax Incentive. </w:t>
      </w:r>
      <w:r w:rsidRPr="00E70969">
        <w:rPr>
          <w:szCs w:val="19"/>
        </w:rPr>
        <w:t>The</w:t>
      </w:r>
      <w:r w:rsidRPr="008E4D45">
        <w:rPr>
          <w:szCs w:val="19"/>
        </w:rPr>
        <w:t xml:space="preserve"> </w:t>
      </w:r>
      <w:r w:rsidR="00810627">
        <w:rPr>
          <w:szCs w:val="19"/>
        </w:rPr>
        <w:t xml:space="preserve">expected </w:t>
      </w:r>
      <w:r w:rsidRPr="008E4D45">
        <w:rPr>
          <w:szCs w:val="19"/>
        </w:rPr>
        <w:t xml:space="preserve">increase in expenses will be partially offset by the </w:t>
      </w:r>
      <w:r w:rsidRPr="00204B48">
        <w:rPr>
          <w:rStyle w:val="Strong"/>
        </w:rPr>
        <w:t xml:space="preserve">Growing Business Investment </w:t>
      </w:r>
      <w:r w:rsidRPr="008E4D45">
        <w:rPr>
          <w:szCs w:val="19"/>
        </w:rPr>
        <w:t xml:space="preserve">component which </w:t>
      </w:r>
      <w:r w:rsidR="00A4389A">
        <w:rPr>
          <w:szCs w:val="19"/>
        </w:rPr>
        <w:t xml:space="preserve">is expected to </w:t>
      </w:r>
      <w:r w:rsidRPr="008E4D45">
        <w:rPr>
          <w:szCs w:val="19"/>
        </w:rPr>
        <w:t>decrease in expenses over the period 2024–25 to 2027–28, reflecting terminating measures.</w:t>
      </w:r>
    </w:p>
    <w:p w14:paraId="0BEACC2C" w14:textId="77777777" w:rsidR="001D5083" w:rsidRPr="000177D7" w:rsidRDefault="001D5083" w:rsidP="001D5083">
      <w:pPr>
        <w:pStyle w:val="Heading3"/>
      </w:pPr>
      <w:bookmarkStart w:id="154" w:name="_Toc166369429"/>
      <w:bookmarkStart w:id="155" w:name="_Toc4577282"/>
      <w:bookmarkStart w:id="156" w:name="_Toc4689194"/>
      <w:bookmarkEnd w:id="137"/>
      <w:bookmarkEnd w:id="138"/>
      <w:bookmarkEnd w:id="139"/>
      <w:bookmarkEnd w:id="146"/>
      <w:bookmarkEnd w:id="147"/>
      <w:bookmarkEnd w:id="152"/>
      <w:r w:rsidRPr="000177D7">
        <w:t>Transport and communication</w:t>
      </w:r>
      <w:bookmarkEnd w:id="154"/>
    </w:p>
    <w:p w14:paraId="49A77B3E" w14:textId="77777777" w:rsidR="001D5083" w:rsidRPr="00AD782E" w:rsidRDefault="001D5083" w:rsidP="001D5083">
      <w:pPr>
        <w:spacing w:line="240" w:lineRule="auto"/>
        <w:rPr>
          <w:szCs w:val="19"/>
        </w:rPr>
      </w:pPr>
      <w:r w:rsidRPr="000177D7">
        <w:t>The transport and communication function includes expenses to support the infrastructure and regulatory framework for Australia</w:t>
      </w:r>
      <w:r>
        <w:t>’</w:t>
      </w:r>
      <w:r w:rsidRPr="000177D7">
        <w:t>s transport and communication sectors.</w:t>
      </w:r>
      <w:r w:rsidRPr="007A148F">
        <w:rPr>
          <w:rFonts w:cstheme="minorHAnsi"/>
          <w:szCs w:val="19"/>
        </w:rPr>
        <w:t xml:space="preserve"> </w:t>
      </w:r>
      <w:r>
        <w:rPr>
          <w:rFonts w:cstheme="minorHAnsi"/>
          <w:szCs w:val="19"/>
        </w:rPr>
        <w:t xml:space="preserve">Expenses for the transport and communication function primarily reflect Government investment </w:t>
      </w:r>
      <w:r>
        <w:rPr>
          <w:szCs w:val="19"/>
        </w:rPr>
        <w:t xml:space="preserve">in road and rail transport through the </w:t>
      </w:r>
      <w:r w:rsidRPr="003873C6">
        <w:rPr>
          <w:szCs w:val="19"/>
        </w:rPr>
        <w:t>Infrastructure Investment Program</w:t>
      </w:r>
      <w:r>
        <w:rPr>
          <w:szCs w:val="19"/>
        </w:rPr>
        <w:t xml:space="preserve">. This function also includes expenditure for </w:t>
      </w:r>
      <w:r w:rsidRPr="000177D7">
        <w:t>communications activities and support for the digital economy through the Department of Infrastructure, Transport, Regional Development, Communications and the Arts, and the Australian Communications and Media Authority</w:t>
      </w:r>
      <w:r>
        <w:rPr>
          <w:szCs w:val="19"/>
        </w:rPr>
        <w:t>.</w:t>
      </w:r>
    </w:p>
    <w:p w14:paraId="794E19A7" w14:textId="1D7CEB32" w:rsidR="001D5083" w:rsidRDefault="001D5083" w:rsidP="001D5083">
      <w:pPr>
        <w:pStyle w:val="TableHeading"/>
        <w:rPr>
          <w:rFonts w:asciiTheme="minorHAnsi" w:eastAsiaTheme="minorHAnsi" w:hAnsiTheme="minorHAnsi" w:cstheme="minorBidi"/>
          <w:sz w:val="22"/>
          <w:szCs w:val="22"/>
          <w:lang w:eastAsia="en-US"/>
        </w:rPr>
      </w:pPr>
      <w:r>
        <w:t>Table </w:t>
      </w:r>
      <w:r w:rsidRPr="000177D7">
        <w:t>6.15: Summary of expenses</w:t>
      </w:r>
      <w:r>
        <w:t xml:space="preserve"> – </w:t>
      </w:r>
      <w:r w:rsidRPr="000177D7">
        <w:t>transport and communication</w:t>
      </w:r>
      <w:bookmarkStart w:id="157" w:name="_1555616312"/>
      <w:bookmarkStart w:id="158" w:name="_1727774365"/>
      <w:bookmarkEnd w:id="157"/>
      <w:bookmarkEnd w:id="158"/>
    </w:p>
    <w:tbl>
      <w:tblPr>
        <w:tblW w:w="5000" w:type="pct"/>
        <w:tblCellMar>
          <w:left w:w="0" w:type="dxa"/>
          <w:right w:w="28" w:type="dxa"/>
        </w:tblCellMar>
        <w:tblLook w:val="04A0" w:firstRow="1" w:lastRow="0" w:firstColumn="1" w:lastColumn="0" w:noHBand="0" w:noVBand="1"/>
      </w:tblPr>
      <w:tblGrid>
        <w:gridCol w:w="3694"/>
        <w:gridCol w:w="805"/>
        <w:gridCol w:w="803"/>
        <w:gridCol w:w="803"/>
        <w:gridCol w:w="803"/>
        <w:gridCol w:w="802"/>
      </w:tblGrid>
      <w:tr w:rsidR="001D5083" w:rsidRPr="00772B1C" w14:paraId="6EFA648B" w14:textId="77777777">
        <w:trPr>
          <w:trHeight w:hRule="exact" w:val="225"/>
        </w:trPr>
        <w:tc>
          <w:tcPr>
            <w:tcW w:w="2395" w:type="pct"/>
            <w:tcBorders>
              <w:top w:val="single" w:sz="4" w:space="0" w:color="293F5B"/>
              <w:left w:val="nil"/>
              <w:bottom w:val="nil"/>
              <w:right w:val="nil"/>
            </w:tcBorders>
            <w:shd w:val="clear" w:color="000000" w:fill="FFFFFF"/>
            <w:noWrap/>
            <w:vAlign w:val="center"/>
            <w:hideMark/>
          </w:tcPr>
          <w:p w14:paraId="443B266F" w14:textId="77777777" w:rsidR="001D5083" w:rsidRPr="00772B1C" w:rsidRDefault="001D5083">
            <w:pPr>
              <w:spacing w:before="0" w:after="0" w:line="240" w:lineRule="auto"/>
              <w:rPr>
                <w:rFonts w:ascii="Arial" w:hAnsi="Arial" w:cs="Arial"/>
                <w:b/>
                <w:bCs/>
                <w:color w:val="000000"/>
                <w:sz w:val="16"/>
                <w:szCs w:val="16"/>
              </w:rPr>
            </w:pPr>
            <w:r w:rsidRPr="00772B1C">
              <w:rPr>
                <w:rFonts w:ascii="Arial" w:hAnsi="Arial" w:cs="Arial"/>
                <w:b/>
                <w:bCs/>
                <w:color w:val="000000"/>
                <w:sz w:val="16"/>
                <w:szCs w:val="16"/>
              </w:rPr>
              <w:t>Sub-function</w:t>
            </w:r>
          </w:p>
        </w:tc>
        <w:tc>
          <w:tcPr>
            <w:tcW w:w="2605" w:type="pct"/>
            <w:gridSpan w:val="5"/>
            <w:tcBorders>
              <w:top w:val="single" w:sz="4" w:space="0" w:color="293F5B"/>
              <w:left w:val="nil"/>
              <w:bottom w:val="single" w:sz="4" w:space="0" w:color="293F5B"/>
              <w:right w:val="nil"/>
            </w:tcBorders>
            <w:shd w:val="clear" w:color="000000" w:fill="FFFFFF"/>
            <w:noWrap/>
            <w:vAlign w:val="center"/>
            <w:hideMark/>
          </w:tcPr>
          <w:p w14:paraId="2C3E5973" w14:textId="77777777" w:rsidR="001D5083" w:rsidRPr="00772B1C" w:rsidRDefault="001D5083">
            <w:pPr>
              <w:spacing w:before="0" w:after="0" w:line="240" w:lineRule="auto"/>
              <w:jc w:val="center"/>
              <w:rPr>
                <w:rFonts w:ascii="Arial" w:hAnsi="Arial" w:cs="Arial"/>
                <w:color w:val="000000"/>
                <w:sz w:val="16"/>
                <w:szCs w:val="16"/>
              </w:rPr>
            </w:pPr>
            <w:r w:rsidRPr="00772B1C">
              <w:rPr>
                <w:rFonts w:ascii="Arial" w:hAnsi="Arial" w:cs="Arial"/>
                <w:color w:val="000000"/>
                <w:sz w:val="16"/>
                <w:szCs w:val="16"/>
              </w:rPr>
              <w:t>Estimates</w:t>
            </w:r>
          </w:p>
        </w:tc>
      </w:tr>
      <w:tr w:rsidR="001D5083" w:rsidRPr="00772B1C" w14:paraId="60D23A80" w14:textId="77777777">
        <w:trPr>
          <w:trHeight w:hRule="exact" w:val="225"/>
        </w:trPr>
        <w:tc>
          <w:tcPr>
            <w:tcW w:w="2395" w:type="pct"/>
            <w:tcBorders>
              <w:top w:val="nil"/>
              <w:left w:val="nil"/>
              <w:bottom w:val="nil"/>
              <w:right w:val="nil"/>
            </w:tcBorders>
            <w:shd w:val="clear" w:color="000000" w:fill="FFFFFF"/>
            <w:noWrap/>
            <w:vAlign w:val="bottom"/>
            <w:hideMark/>
          </w:tcPr>
          <w:p w14:paraId="16F02B8C" w14:textId="77777777" w:rsidR="001D5083" w:rsidRPr="00772B1C" w:rsidRDefault="001D5083">
            <w:pPr>
              <w:spacing w:before="0" w:after="0" w:line="240" w:lineRule="auto"/>
              <w:rPr>
                <w:rFonts w:ascii="Arial" w:hAnsi="Arial" w:cs="Arial"/>
                <w:color w:val="000000"/>
                <w:sz w:val="16"/>
                <w:szCs w:val="16"/>
              </w:rPr>
            </w:pPr>
            <w:r w:rsidRPr="00772B1C">
              <w:rPr>
                <w:rFonts w:ascii="Arial" w:hAnsi="Arial" w:cs="Arial"/>
                <w:color w:val="000000"/>
                <w:sz w:val="16"/>
                <w:szCs w:val="16"/>
              </w:rPr>
              <w:t> </w:t>
            </w:r>
          </w:p>
        </w:tc>
        <w:tc>
          <w:tcPr>
            <w:tcW w:w="522" w:type="pct"/>
            <w:tcBorders>
              <w:top w:val="single" w:sz="4" w:space="0" w:color="293F5B"/>
              <w:left w:val="nil"/>
              <w:bottom w:val="nil"/>
              <w:right w:val="nil"/>
            </w:tcBorders>
            <w:shd w:val="clear" w:color="000000" w:fill="FFFFFF"/>
            <w:noWrap/>
            <w:vAlign w:val="center"/>
            <w:hideMark/>
          </w:tcPr>
          <w:p w14:paraId="16C367DD" w14:textId="77777777" w:rsidR="001D5083" w:rsidRPr="00772B1C" w:rsidRDefault="001D5083">
            <w:pPr>
              <w:spacing w:before="0" w:after="0" w:line="240" w:lineRule="auto"/>
              <w:jc w:val="right"/>
              <w:rPr>
                <w:rFonts w:ascii="Arial" w:hAnsi="Arial" w:cs="Arial"/>
                <w:sz w:val="16"/>
                <w:szCs w:val="16"/>
              </w:rPr>
            </w:pPr>
            <w:r w:rsidRPr="00772B1C">
              <w:rPr>
                <w:rFonts w:ascii="Arial" w:hAnsi="Arial" w:cs="Arial"/>
                <w:sz w:val="16"/>
                <w:szCs w:val="16"/>
              </w:rPr>
              <w:t>2023-24</w:t>
            </w:r>
          </w:p>
        </w:tc>
        <w:tc>
          <w:tcPr>
            <w:tcW w:w="521" w:type="pct"/>
            <w:tcBorders>
              <w:top w:val="single" w:sz="4" w:space="0" w:color="293F5B"/>
              <w:left w:val="nil"/>
              <w:bottom w:val="nil"/>
              <w:right w:val="nil"/>
            </w:tcBorders>
            <w:shd w:val="clear" w:color="000000" w:fill="E6F2FF"/>
            <w:noWrap/>
            <w:vAlign w:val="center"/>
            <w:hideMark/>
          </w:tcPr>
          <w:p w14:paraId="61744022" w14:textId="77777777" w:rsidR="001D5083" w:rsidRPr="00772B1C" w:rsidRDefault="001D5083">
            <w:pPr>
              <w:spacing w:before="0" w:after="0" w:line="240" w:lineRule="auto"/>
              <w:jc w:val="right"/>
              <w:rPr>
                <w:rFonts w:ascii="Arial" w:hAnsi="Arial" w:cs="Arial"/>
                <w:sz w:val="16"/>
                <w:szCs w:val="16"/>
              </w:rPr>
            </w:pPr>
            <w:r w:rsidRPr="00772B1C">
              <w:rPr>
                <w:rFonts w:ascii="Arial" w:hAnsi="Arial" w:cs="Arial"/>
                <w:sz w:val="16"/>
                <w:szCs w:val="16"/>
              </w:rPr>
              <w:t>2024-25</w:t>
            </w:r>
          </w:p>
        </w:tc>
        <w:tc>
          <w:tcPr>
            <w:tcW w:w="521" w:type="pct"/>
            <w:tcBorders>
              <w:top w:val="single" w:sz="4" w:space="0" w:color="293F5B"/>
              <w:left w:val="nil"/>
              <w:bottom w:val="nil"/>
              <w:right w:val="nil"/>
            </w:tcBorders>
            <w:shd w:val="clear" w:color="000000" w:fill="FFFFFF"/>
            <w:noWrap/>
            <w:vAlign w:val="center"/>
            <w:hideMark/>
          </w:tcPr>
          <w:p w14:paraId="43CD30B1" w14:textId="77777777" w:rsidR="001D5083" w:rsidRPr="00772B1C" w:rsidRDefault="001D5083">
            <w:pPr>
              <w:spacing w:before="0" w:after="0" w:line="240" w:lineRule="auto"/>
              <w:jc w:val="right"/>
              <w:rPr>
                <w:rFonts w:ascii="Arial" w:hAnsi="Arial" w:cs="Arial"/>
                <w:sz w:val="16"/>
                <w:szCs w:val="16"/>
              </w:rPr>
            </w:pPr>
            <w:r w:rsidRPr="00772B1C">
              <w:rPr>
                <w:rFonts w:ascii="Arial" w:hAnsi="Arial" w:cs="Arial"/>
                <w:sz w:val="16"/>
                <w:szCs w:val="16"/>
              </w:rPr>
              <w:t>2025-26</w:t>
            </w:r>
          </w:p>
        </w:tc>
        <w:tc>
          <w:tcPr>
            <w:tcW w:w="521" w:type="pct"/>
            <w:tcBorders>
              <w:top w:val="single" w:sz="4" w:space="0" w:color="293F5B"/>
              <w:left w:val="nil"/>
              <w:bottom w:val="nil"/>
              <w:right w:val="nil"/>
            </w:tcBorders>
            <w:shd w:val="clear" w:color="000000" w:fill="FFFFFF"/>
            <w:noWrap/>
            <w:vAlign w:val="center"/>
            <w:hideMark/>
          </w:tcPr>
          <w:p w14:paraId="31D1D60F" w14:textId="77777777" w:rsidR="001D5083" w:rsidRPr="00772B1C" w:rsidRDefault="001D5083">
            <w:pPr>
              <w:spacing w:before="0" w:after="0" w:line="240" w:lineRule="auto"/>
              <w:jc w:val="right"/>
              <w:rPr>
                <w:rFonts w:ascii="Arial" w:hAnsi="Arial" w:cs="Arial"/>
                <w:sz w:val="16"/>
                <w:szCs w:val="16"/>
              </w:rPr>
            </w:pPr>
            <w:r w:rsidRPr="00772B1C">
              <w:rPr>
                <w:rFonts w:ascii="Arial" w:hAnsi="Arial" w:cs="Arial"/>
                <w:sz w:val="16"/>
                <w:szCs w:val="16"/>
              </w:rPr>
              <w:t>2026-27</w:t>
            </w:r>
          </w:p>
        </w:tc>
        <w:tc>
          <w:tcPr>
            <w:tcW w:w="521" w:type="pct"/>
            <w:tcBorders>
              <w:top w:val="single" w:sz="4" w:space="0" w:color="293F5B"/>
              <w:left w:val="nil"/>
              <w:bottom w:val="nil"/>
              <w:right w:val="nil"/>
            </w:tcBorders>
            <w:shd w:val="clear" w:color="000000" w:fill="FFFFFF"/>
            <w:noWrap/>
            <w:vAlign w:val="center"/>
            <w:hideMark/>
          </w:tcPr>
          <w:p w14:paraId="5A0DDC88" w14:textId="77777777" w:rsidR="001D5083" w:rsidRPr="00772B1C" w:rsidRDefault="001D5083">
            <w:pPr>
              <w:spacing w:before="0" w:after="0" w:line="240" w:lineRule="auto"/>
              <w:jc w:val="right"/>
              <w:rPr>
                <w:rFonts w:ascii="Arial" w:hAnsi="Arial" w:cs="Arial"/>
                <w:color w:val="000000"/>
                <w:sz w:val="16"/>
                <w:szCs w:val="16"/>
              </w:rPr>
            </w:pPr>
            <w:r w:rsidRPr="00772B1C">
              <w:rPr>
                <w:rFonts w:ascii="Arial" w:hAnsi="Arial" w:cs="Arial"/>
                <w:color w:val="000000"/>
                <w:sz w:val="16"/>
                <w:szCs w:val="16"/>
              </w:rPr>
              <w:t>2027-28</w:t>
            </w:r>
          </w:p>
        </w:tc>
      </w:tr>
      <w:tr w:rsidR="001D5083" w:rsidRPr="00772B1C" w14:paraId="43C81E8D" w14:textId="77777777">
        <w:trPr>
          <w:trHeight w:hRule="exact" w:val="225"/>
        </w:trPr>
        <w:tc>
          <w:tcPr>
            <w:tcW w:w="2395" w:type="pct"/>
            <w:tcBorders>
              <w:top w:val="nil"/>
              <w:left w:val="nil"/>
              <w:bottom w:val="nil"/>
              <w:right w:val="nil"/>
            </w:tcBorders>
            <w:shd w:val="clear" w:color="000000" w:fill="FFFFFF"/>
            <w:noWrap/>
            <w:vAlign w:val="center"/>
            <w:hideMark/>
          </w:tcPr>
          <w:p w14:paraId="7C1B2C52" w14:textId="77777777" w:rsidR="001D5083" w:rsidRPr="00772B1C" w:rsidRDefault="001D5083">
            <w:pPr>
              <w:spacing w:before="0" w:after="0" w:line="240" w:lineRule="auto"/>
              <w:rPr>
                <w:rFonts w:ascii="Arial" w:hAnsi="Arial" w:cs="Arial"/>
                <w:color w:val="000000"/>
                <w:sz w:val="16"/>
                <w:szCs w:val="16"/>
              </w:rPr>
            </w:pPr>
            <w:r w:rsidRPr="00772B1C">
              <w:rPr>
                <w:rFonts w:ascii="Arial" w:hAnsi="Arial" w:cs="Arial"/>
                <w:color w:val="000000"/>
                <w:sz w:val="16"/>
                <w:szCs w:val="16"/>
              </w:rPr>
              <w:t> </w:t>
            </w:r>
          </w:p>
        </w:tc>
        <w:tc>
          <w:tcPr>
            <w:tcW w:w="522" w:type="pct"/>
            <w:tcBorders>
              <w:top w:val="nil"/>
              <w:left w:val="nil"/>
              <w:bottom w:val="single" w:sz="4" w:space="0" w:color="293F5B"/>
              <w:right w:val="nil"/>
            </w:tcBorders>
            <w:shd w:val="clear" w:color="000000" w:fill="FFFFFF"/>
            <w:noWrap/>
            <w:vAlign w:val="center"/>
            <w:hideMark/>
          </w:tcPr>
          <w:p w14:paraId="39802E3D" w14:textId="77777777" w:rsidR="001D5083" w:rsidRPr="00772B1C" w:rsidRDefault="001D5083">
            <w:pPr>
              <w:spacing w:before="0" w:after="0" w:line="240" w:lineRule="auto"/>
              <w:jc w:val="right"/>
              <w:rPr>
                <w:rFonts w:ascii="Arial" w:hAnsi="Arial" w:cs="Arial"/>
                <w:color w:val="000000"/>
                <w:sz w:val="16"/>
                <w:szCs w:val="16"/>
              </w:rPr>
            </w:pPr>
            <w:r w:rsidRPr="00772B1C">
              <w:rPr>
                <w:rFonts w:ascii="Arial" w:hAnsi="Arial" w:cs="Arial"/>
                <w:color w:val="000000"/>
                <w:sz w:val="16"/>
                <w:szCs w:val="16"/>
              </w:rPr>
              <w:t>$m</w:t>
            </w:r>
          </w:p>
        </w:tc>
        <w:tc>
          <w:tcPr>
            <w:tcW w:w="521" w:type="pct"/>
            <w:tcBorders>
              <w:top w:val="nil"/>
              <w:left w:val="nil"/>
              <w:bottom w:val="single" w:sz="4" w:space="0" w:color="293F5B"/>
              <w:right w:val="nil"/>
            </w:tcBorders>
            <w:shd w:val="clear" w:color="000000" w:fill="E6F2FF"/>
            <w:noWrap/>
            <w:vAlign w:val="center"/>
            <w:hideMark/>
          </w:tcPr>
          <w:p w14:paraId="057ABC18" w14:textId="77777777" w:rsidR="001D5083" w:rsidRPr="00772B1C" w:rsidRDefault="001D5083">
            <w:pPr>
              <w:spacing w:before="0" w:after="0" w:line="240" w:lineRule="auto"/>
              <w:jc w:val="right"/>
              <w:rPr>
                <w:rFonts w:ascii="Arial" w:hAnsi="Arial" w:cs="Arial"/>
                <w:color w:val="000000"/>
                <w:sz w:val="16"/>
                <w:szCs w:val="16"/>
              </w:rPr>
            </w:pPr>
            <w:r w:rsidRPr="00772B1C">
              <w:rPr>
                <w:rFonts w:ascii="Arial" w:hAnsi="Arial" w:cs="Arial"/>
                <w:color w:val="000000"/>
                <w:sz w:val="16"/>
                <w:szCs w:val="16"/>
              </w:rPr>
              <w:t>$m</w:t>
            </w:r>
          </w:p>
        </w:tc>
        <w:tc>
          <w:tcPr>
            <w:tcW w:w="521" w:type="pct"/>
            <w:tcBorders>
              <w:top w:val="nil"/>
              <w:left w:val="nil"/>
              <w:bottom w:val="single" w:sz="4" w:space="0" w:color="293F5B"/>
              <w:right w:val="nil"/>
            </w:tcBorders>
            <w:shd w:val="clear" w:color="000000" w:fill="FFFFFF"/>
            <w:noWrap/>
            <w:vAlign w:val="center"/>
            <w:hideMark/>
          </w:tcPr>
          <w:p w14:paraId="508EA7B4" w14:textId="77777777" w:rsidR="001D5083" w:rsidRPr="00772B1C" w:rsidRDefault="001D5083">
            <w:pPr>
              <w:spacing w:before="0" w:after="0" w:line="240" w:lineRule="auto"/>
              <w:jc w:val="right"/>
              <w:rPr>
                <w:rFonts w:ascii="Arial" w:hAnsi="Arial" w:cs="Arial"/>
                <w:color w:val="000000"/>
                <w:sz w:val="16"/>
                <w:szCs w:val="16"/>
              </w:rPr>
            </w:pPr>
            <w:r w:rsidRPr="00772B1C">
              <w:rPr>
                <w:rFonts w:ascii="Arial" w:hAnsi="Arial" w:cs="Arial"/>
                <w:color w:val="000000"/>
                <w:sz w:val="16"/>
                <w:szCs w:val="16"/>
              </w:rPr>
              <w:t>$m</w:t>
            </w:r>
          </w:p>
        </w:tc>
        <w:tc>
          <w:tcPr>
            <w:tcW w:w="521" w:type="pct"/>
            <w:tcBorders>
              <w:top w:val="nil"/>
              <w:left w:val="nil"/>
              <w:bottom w:val="single" w:sz="4" w:space="0" w:color="293F5B"/>
              <w:right w:val="nil"/>
            </w:tcBorders>
            <w:shd w:val="clear" w:color="000000" w:fill="FFFFFF"/>
            <w:noWrap/>
            <w:vAlign w:val="center"/>
            <w:hideMark/>
          </w:tcPr>
          <w:p w14:paraId="0BC48D12" w14:textId="77777777" w:rsidR="001D5083" w:rsidRPr="00772B1C" w:rsidRDefault="001D5083">
            <w:pPr>
              <w:spacing w:before="0" w:after="0" w:line="240" w:lineRule="auto"/>
              <w:jc w:val="right"/>
              <w:rPr>
                <w:rFonts w:ascii="Arial" w:hAnsi="Arial" w:cs="Arial"/>
                <w:color w:val="000000"/>
                <w:sz w:val="16"/>
                <w:szCs w:val="16"/>
              </w:rPr>
            </w:pPr>
            <w:r w:rsidRPr="00772B1C">
              <w:rPr>
                <w:rFonts w:ascii="Arial" w:hAnsi="Arial" w:cs="Arial"/>
                <w:color w:val="000000"/>
                <w:sz w:val="16"/>
                <w:szCs w:val="16"/>
              </w:rPr>
              <w:t>$m</w:t>
            </w:r>
          </w:p>
        </w:tc>
        <w:tc>
          <w:tcPr>
            <w:tcW w:w="521" w:type="pct"/>
            <w:tcBorders>
              <w:top w:val="nil"/>
              <w:left w:val="nil"/>
              <w:bottom w:val="single" w:sz="4" w:space="0" w:color="293F5B"/>
              <w:right w:val="nil"/>
            </w:tcBorders>
            <w:shd w:val="clear" w:color="000000" w:fill="FFFFFF"/>
            <w:noWrap/>
            <w:vAlign w:val="center"/>
            <w:hideMark/>
          </w:tcPr>
          <w:p w14:paraId="0E649581" w14:textId="77777777" w:rsidR="001D5083" w:rsidRPr="00772B1C" w:rsidRDefault="001D5083">
            <w:pPr>
              <w:spacing w:before="0" w:after="0" w:line="240" w:lineRule="auto"/>
              <w:jc w:val="right"/>
              <w:rPr>
                <w:rFonts w:ascii="Arial" w:hAnsi="Arial" w:cs="Arial"/>
                <w:color w:val="000000"/>
                <w:sz w:val="16"/>
                <w:szCs w:val="16"/>
              </w:rPr>
            </w:pPr>
            <w:r w:rsidRPr="00772B1C">
              <w:rPr>
                <w:rFonts w:ascii="Arial" w:hAnsi="Arial" w:cs="Arial"/>
                <w:color w:val="000000"/>
                <w:sz w:val="16"/>
                <w:szCs w:val="16"/>
              </w:rPr>
              <w:t>$m</w:t>
            </w:r>
          </w:p>
        </w:tc>
      </w:tr>
      <w:tr w:rsidR="001D5083" w:rsidRPr="00772B1C" w14:paraId="166CFCFD" w14:textId="77777777">
        <w:trPr>
          <w:trHeight w:hRule="exact" w:val="225"/>
        </w:trPr>
        <w:tc>
          <w:tcPr>
            <w:tcW w:w="2395" w:type="pct"/>
            <w:tcBorders>
              <w:top w:val="nil"/>
              <w:left w:val="nil"/>
              <w:bottom w:val="nil"/>
              <w:right w:val="nil"/>
            </w:tcBorders>
            <w:shd w:val="clear" w:color="000000" w:fill="FFFFFF"/>
            <w:noWrap/>
            <w:vAlign w:val="center"/>
            <w:hideMark/>
          </w:tcPr>
          <w:p w14:paraId="6F48D2E6" w14:textId="77777777" w:rsidR="001D5083" w:rsidRPr="00772B1C" w:rsidRDefault="001D5083">
            <w:pPr>
              <w:spacing w:before="0" w:after="0" w:line="240" w:lineRule="auto"/>
              <w:rPr>
                <w:rFonts w:ascii="Arial" w:hAnsi="Arial" w:cs="Arial"/>
                <w:color w:val="000000"/>
                <w:sz w:val="16"/>
                <w:szCs w:val="16"/>
              </w:rPr>
            </w:pPr>
            <w:r w:rsidRPr="00772B1C">
              <w:rPr>
                <w:rFonts w:ascii="Arial" w:hAnsi="Arial" w:cs="Arial"/>
                <w:color w:val="000000"/>
                <w:sz w:val="16"/>
                <w:szCs w:val="16"/>
              </w:rPr>
              <w:t>Communication</w:t>
            </w:r>
          </w:p>
        </w:tc>
        <w:tc>
          <w:tcPr>
            <w:tcW w:w="522" w:type="pct"/>
            <w:tcBorders>
              <w:top w:val="single" w:sz="4" w:space="0" w:color="293F5B"/>
              <w:left w:val="nil"/>
              <w:bottom w:val="nil"/>
              <w:right w:val="nil"/>
            </w:tcBorders>
            <w:shd w:val="clear" w:color="000000" w:fill="FFFFFF"/>
            <w:noWrap/>
            <w:vAlign w:val="center"/>
            <w:hideMark/>
          </w:tcPr>
          <w:p w14:paraId="57CFACED" w14:textId="77777777" w:rsidR="001D5083" w:rsidRPr="00772B1C" w:rsidRDefault="001D5083">
            <w:pPr>
              <w:spacing w:before="0" w:after="0" w:line="240" w:lineRule="auto"/>
              <w:jc w:val="right"/>
              <w:rPr>
                <w:rFonts w:ascii="Arial" w:hAnsi="Arial" w:cs="Arial"/>
                <w:color w:val="000000"/>
                <w:sz w:val="16"/>
                <w:szCs w:val="16"/>
              </w:rPr>
            </w:pPr>
            <w:r w:rsidRPr="00772B1C">
              <w:rPr>
                <w:rFonts w:ascii="Arial" w:hAnsi="Arial" w:cs="Arial"/>
                <w:color w:val="000000"/>
                <w:sz w:val="16"/>
                <w:szCs w:val="16"/>
              </w:rPr>
              <w:t>1,775</w:t>
            </w:r>
          </w:p>
        </w:tc>
        <w:tc>
          <w:tcPr>
            <w:tcW w:w="521" w:type="pct"/>
            <w:tcBorders>
              <w:top w:val="single" w:sz="4" w:space="0" w:color="293F5B"/>
              <w:left w:val="nil"/>
              <w:bottom w:val="nil"/>
              <w:right w:val="nil"/>
            </w:tcBorders>
            <w:shd w:val="clear" w:color="000000" w:fill="E6F2FF"/>
            <w:noWrap/>
            <w:vAlign w:val="center"/>
            <w:hideMark/>
          </w:tcPr>
          <w:p w14:paraId="5529E52D" w14:textId="77777777" w:rsidR="001D5083" w:rsidRPr="00772B1C" w:rsidRDefault="001D5083">
            <w:pPr>
              <w:spacing w:before="0" w:after="0" w:line="240" w:lineRule="auto"/>
              <w:jc w:val="right"/>
              <w:rPr>
                <w:rFonts w:ascii="Arial" w:hAnsi="Arial" w:cs="Arial"/>
                <w:color w:val="000000"/>
                <w:sz w:val="16"/>
                <w:szCs w:val="16"/>
              </w:rPr>
            </w:pPr>
            <w:r w:rsidRPr="00772B1C">
              <w:rPr>
                <w:rFonts w:ascii="Arial" w:hAnsi="Arial" w:cs="Arial"/>
                <w:color w:val="000000"/>
                <w:sz w:val="16"/>
                <w:szCs w:val="16"/>
              </w:rPr>
              <w:t>1,927</w:t>
            </w:r>
          </w:p>
        </w:tc>
        <w:tc>
          <w:tcPr>
            <w:tcW w:w="521" w:type="pct"/>
            <w:tcBorders>
              <w:top w:val="single" w:sz="4" w:space="0" w:color="293F5B"/>
              <w:left w:val="nil"/>
              <w:bottom w:val="nil"/>
              <w:right w:val="nil"/>
            </w:tcBorders>
            <w:shd w:val="clear" w:color="000000" w:fill="FFFFFF"/>
            <w:noWrap/>
            <w:vAlign w:val="center"/>
            <w:hideMark/>
          </w:tcPr>
          <w:p w14:paraId="4349CA76" w14:textId="77777777" w:rsidR="001D5083" w:rsidRPr="00772B1C" w:rsidRDefault="001D5083">
            <w:pPr>
              <w:spacing w:before="0" w:after="0" w:line="240" w:lineRule="auto"/>
              <w:jc w:val="right"/>
              <w:rPr>
                <w:rFonts w:ascii="Arial" w:hAnsi="Arial" w:cs="Arial"/>
                <w:color w:val="000000"/>
                <w:sz w:val="16"/>
                <w:szCs w:val="16"/>
              </w:rPr>
            </w:pPr>
            <w:r w:rsidRPr="00772B1C">
              <w:rPr>
                <w:rFonts w:ascii="Arial" w:hAnsi="Arial" w:cs="Arial"/>
                <w:color w:val="000000"/>
                <w:sz w:val="16"/>
                <w:szCs w:val="16"/>
              </w:rPr>
              <w:t>1,825</w:t>
            </w:r>
          </w:p>
        </w:tc>
        <w:tc>
          <w:tcPr>
            <w:tcW w:w="521" w:type="pct"/>
            <w:tcBorders>
              <w:top w:val="single" w:sz="4" w:space="0" w:color="293F5B"/>
              <w:left w:val="nil"/>
              <w:bottom w:val="nil"/>
              <w:right w:val="nil"/>
            </w:tcBorders>
            <w:shd w:val="clear" w:color="000000" w:fill="FFFFFF"/>
            <w:noWrap/>
            <w:vAlign w:val="center"/>
            <w:hideMark/>
          </w:tcPr>
          <w:p w14:paraId="00E8E5EA" w14:textId="77777777" w:rsidR="001D5083" w:rsidRPr="00772B1C" w:rsidRDefault="001D5083">
            <w:pPr>
              <w:spacing w:before="0" w:after="0" w:line="240" w:lineRule="auto"/>
              <w:jc w:val="right"/>
              <w:rPr>
                <w:rFonts w:ascii="Arial" w:hAnsi="Arial" w:cs="Arial"/>
                <w:color w:val="000000"/>
                <w:sz w:val="16"/>
                <w:szCs w:val="16"/>
              </w:rPr>
            </w:pPr>
            <w:r w:rsidRPr="00772B1C">
              <w:rPr>
                <w:rFonts w:ascii="Arial" w:hAnsi="Arial" w:cs="Arial"/>
                <w:color w:val="000000"/>
                <w:sz w:val="16"/>
                <w:szCs w:val="16"/>
              </w:rPr>
              <w:t>1,745</w:t>
            </w:r>
          </w:p>
        </w:tc>
        <w:tc>
          <w:tcPr>
            <w:tcW w:w="521" w:type="pct"/>
            <w:tcBorders>
              <w:top w:val="single" w:sz="4" w:space="0" w:color="293F5B"/>
              <w:left w:val="nil"/>
              <w:bottom w:val="nil"/>
              <w:right w:val="nil"/>
            </w:tcBorders>
            <w:shd w:val="clear" w:color="000000" w:fill="FFFFFF"/>
            <w:noWrap/>
            <w:vAlign w:val="center"/>
            <w:hideMark/>
          </w:tcPr>
          <w:p w14:paraId="01C8FBB5" w14:textId="77777777" w:rsidR="001D5083" w:rsidRPr="00772B1C" w:rsidRDefault="001D5083">
            <w:pPr>
              <w:spacing w:before="0" w:after="0" w:line="240" w:lineRule="auto"/>
              <w:jc w:val="right"/>
              <w:rPr>
                <w:rFonts w:ascii="Arial" w:hAnsi="Arial" w:cs="Arial"/>
                <w:color w:val="000000"/>
                <w:sz w:val="16"/>
                <w:szCs w:val="16"/>
              </w:rPr>
            </w:pPr>
            <w:r w:rsidRPr="00772B1C">
              <w:rPr>
                <w:rFonts w:ascii="Arial" w:hAnsi="Arial" w:cs="Arial"/>
                <w:color w:val="000000"/>
                <w:sz w:val="16"/>
                <w:szCs w:val="16"/>
              </w:rPr>
              <w:t>1,645</w:t>
            </w:r>
          </w:p>
        </w:tc>
      </w:tr>
      <w:tr w:rsidR="001D5083" w:rsidRPr="00772B1C" w14:paraId="5C67AFBE" w14:textId="77777777">
        <w:trPr>
          <w:trHeight w:hRule="exact" w:val="225"/>
        </w:trPr>
        <w:tc>
          <w:tcPr>
            <w:tcW w:w="2395" w:type="pct"/>
            <w:tcBorders>
              <w:top w:val="nil"/>
              <w:left w:val="nil"/>
              <w:bottom w:val="nil"/>
              <w:right w:val="nil"/>
            </w:tcBorders>
            <w:shd w:val="clear" w:color="000000" w:fill="FFFFFF"/>
            <w:noWrap/>
            <w:vAlign w:val="center"/>
            <w:hideMark/>
          </w:tcPr>
          <w:p w14:paraId="6E3237A8" w14:textId="77777777" w:rsidR="001D5083" w:rsidRPr="00772B1C" w:rsidRDefault="001D5083">
            <w:pPr>
              <w:spacing w:before="0" w:after="0" w:line="240" w:lineRule="auto"/>
              <w:rPr>
                <w:rFonts w:ascii="Arial" w:hAnsi="Arial" w:cs="Arial"/>
                <w:color w:val="000000"/>
                <w:sz w:val="16"/>
                <w:szCs w:val="16"/>
              </w:rPr>
            </w:pPr>
            <w:r w:rsidRPr="00772B1C">
              <w:rPr>
                <w:rFonts w:ascii="Arial" w:hAnsi="Arial" w:cs="Arial"/>
                <w:color w:val="000000"/>
                <w:sz w:val="16"/>
                <w:szCs w:val="16"/>
              </w:rPr>
              <w:t>Rail transport</w:t>
            </w:r>
          </w:p>
        </w:tc>
        <w:tc>
          <w:tcPr>
            <w:tcW w:w="522" w:type="pct"/>
            <w:tcBorders>
              <w:top w:val="nil"/>
              <w:left w:val="nil"/>
              <w:bottom w:val="nil"/>
              <w:right w:val="nil"/>
            </w:tcBorders>
            <w:shd w:val="clear" w:color="000000" w:fill="FFFFFF"/>
            <w:noWrap/>
            <w:vAlign w:val="center"/>
            <w:hideMark/>
          </w:tcPr>
          <w:p w14:paraId="178E0D00" w14:textId="77777777" w:rsidR="001D5083" w:rsidRPr="00772B1C" w:rsidRDefault="001D5083">
            <w:pPr>
              <w:spacing w:before="0" w:after="0" w:line="240" w:lineRule="auto"/>
              <w:jc w:val="right"/>
              <w:rPr>
                <w:rFonts w:ascii="Arial" w:hAnsi="Arial" w:cs="Arial"/>
                <w:color w:val="000000"/>
                <w:sz w:val="16"/>
                <w:szCs w:val="16"/>
              </w:rPr>
            </w:pPr>
            <w:r w:rsidRPr="00772B1C">
              <w:rPr>
                <w:rFonts w:ascii="Arial" w:hAnsi="Arial" w:cs="Arial"/>
                <w:color w:val="000000"/>
                <w:sz w:val="16"/>
                <w:szCs w:val="16"/>
              </w:rPr>
              <w:t>3,082</w:t>
            </w:r>
          </w:p>
        </w:tc>
        <w:tc>
          <w:tcPr>
            <w:tcW w:w="521" w:type="pct"/>
            <w:tcBorders>
              <w:top w:val="nil"/>
              <w:left w:val="nil"/>
              <w:bottom w:val="nil"/>
              <w:right w:val="nil"/>
            </w:tcBorders>
            <w:shd w:val="clear" w:color="000000" w:fill="E6F2FF"/>
            <w:noWrap/>
            <w:vAlign w:val="center"/>
            <w:hideMark/>
          </w:tcPr>
          <w:p w14:paraId="3F957684" w14:textId="77777777" w:rsidR="001D5083" w:rsidRPr="00772B1C" w:rsidRDefault="001D5083">
            <w:pPr>
              <w:spacing w:before="0" w:after="0" w:line="240" w:lineRule="auto"/>
              <w:jc w:val="right"/>
              <w:rPr>
                <w:rFonts w:ascii="Arial" w:hAnsi="Arial" w:cs="Arial"/>
                <w:color w:val="000000"/>
                <w:sz w:val="16"/>
                <w:szCs w:val="16"/>
              </w:rPr>
            </w:pPr>
            <w:r w:rsidRPr="00772B1C">
              <w:rPr>
                <w:rFonts w:ascii="Arial" w:hAnsi="Arial" w:cs="Arial"/>
                <w:color w:val="000000"/>
                <w:sz w:val="16"/>
                <w:szCs w:val="16"/>
              </w:rPr>
              <w:t>3,814</w:t>
            </w:r>
          </w:p>
        </w:tc>
        <w:tc>
          <w:tcPr>
            <w:tcW w:w="521" w:type="pct"/>
            <w:tcBorders>
              <w:top w:val="nil"/>
              <w:left w:val="nil"/>
              <w:bottom w:val="nil"/>
              <w:right w:val="nil"/>
            </w:tcBorders>
            <w:shd w:val="clear" w:color="000000" w:fill="FFFFFF"/>
            <w:noWrap/>
            <w:vAlign w:val="center"/>
            <w:hideMark/>
          </w:tcPr>
          <w:p w14:paraId="63F084A9" w14:textId="77777777" w:rsidR="001D5083" w:rsidRPr="00772B1C" w:rsidRDefault="001D5083">
            <w:pPr>
              <w:spacing w:before="0" w:after="0" w:line="240" w:lineRule="auto"/>
              <w:jc w:val="right"/>
              <w:rPr>
                <w:rFonts w:ascii="Arial" w:hAnsi="Arial" w:cs="Arial"/>
                <w:color w:val="000000"/>
                <w:sz w:val="16"/>
                <w:szCs w:val="16"/>
              </w:rPr>
            </w:pPr>
            <w:r w:rsidRPr="00772B1C">
              <w:rPr>
                <w:rFonts w:ascii="Arial" w:hAnsi="Arial" w:cs="Arial"/>
                <w:color w:val="000000"/>
                <w:sz w:val="16"/>
                <w:szCs w:val="16"/>
              </w:rPr>
              <w:t>3,212</w:t>
            </w:r>
          </w:p>
        </w:tc>
        <w:tc>
          <w:tcPr>
            <w:tcW w:w="521" w:type="pct"/>
            <w:tcBorders>
              <w:top w:val="nil"/>
              <w:left w:val="nil"/>
              <w:bottom w:val="nil"/>
              <w:right w:val="nil"/>
            </w:tcBorders>
            <w:shd w:val="clear" w:color="000000" w:fill="FFFFFF"/>
            <w:noWrap/>
            <w:vAlign w:val="center"/>
            <w:hideMark/>
          </w:tcPr>
          <w:p w14:paraId="1D1E3804" w14:textId="77777777" w:rsidR="001D5083" w:rsidRPr="00772B1C" w:rsidRDefault="001D5083">
            <w:pPr>
              <w:spacing w:before="0" w:after="0" w:line="240" w:lineRule="auto"/>
              <w:jc w:val="right"/>
              <w:rPr>
                <w:rFonts w:ascii="Arial" w:hAnsi="Arial" w:cs="Arial"/>
                <w:color w:val="000000"/>
                <w:sz w:val="16"/>
                <w:szCs w:val="16"/>
              </w:rPr>
            </w:pPr>
            <w:r w:rsidRPr="00772B1C">
              <w:rPr>
                <w:rFonts w:ascii="Arial" w:hAnsi="Arial" w:cs="Arial"/>
                <w:color w:val="000000"/>
                <w:sz w:val="16"/>
                <w:szCs w:val="16"/>
              </w:rPr>
              <w:t>3,676</w:t>
            </w:r>
          </w:p>
        </w:tc>
        <w:tc>
          <w:tcPr>
            <w:tcW w:w="521" w:type="pct"/>
            <w:tcBorders>
              <w:top w:val="nil"/>
              <w:left w:val="nil"/>
              <w:bottom w:val="nil"/>
              <w:right w:val="nil"/>
            </w:tcBorders>
            <w:shd w:val="clear" w:color="000000" w:fill="FFFFFF"/>
            <w:noWrap/>
            <w:vAlign w:val="center"/>
            <w:hideMark/>
          </w:tcPr>
          <w:p w14:paraId="2B57A528" w14:textId="77777777" w:rsidR="001D5083" w:rsidRPr="00772B1C" w:rsidRDefault="001D5083">
            <w:pPr>
              <w:spacing w:before="0" w:after="0" w:line="240" w:lineRule="auto"/>
              <w:jc w:val="right"/>
              <w:rPr>
                <w:rFonts w:ascii="Arial" w:hAnsi="Arial" w:cs="Arial"/>
                <w:color w:val="000000"/>
                <w:sz w:val="16"/>
                <w:szCs w:val="16"/>
              </w:rPr>
            </w:pPr>
            <w:r w:rsidRPr="00772B1C">
              <w:rPr>
                <w:rFonts w:ascii="Arial" w:hAnsi="Arial" w:cs="Arial"/>
                <w:color w:val="000000"/>
                <w:sz w:val="16"/>
                <w:szCs w:val="16"/>
              </w:rPr>
              <w:t>2,816</w:t>
            </w:r>
          </w:p>
        </w:tc>
      </w:tr>
      <w:tr w:rsidR="001D5083" w:rsidRPr="00772B1C" w14:paraId="1526FF80" w14:textId="77777777">
        <w:trPr>
          <w:trHeight w:hRule="exact" w:val="225"/>
        </w:trPr>
        <w:tc>
          <w:tcPr>
            <w:tcW w:w="2395" w:type="pct"/>
            <w:tcBorders>
              <w:top w:val="nil"/>
              <w:left w:val="nil"/>
              <w:bottom w:val="nil"/>
              <w:right w:val="nil"/>
            </w:tcBorders>
            <w:shd w:val="clear" w:color="000000" w:fill="FFFFFF"/>
            <w:noWrap/>
            <w:vAlign w:val="center"/>
            <w:hideMark/>
          </w:tcPr>
          <w:p w14:paraId="10CDFF6B" w14:textId="77777777" w:rsidR="001D5083" w:rsidRPr="00772B1C" w:rsidRDefault="001D5083">
            <w:pPr>
              <w:spacing w:before="0" w:after="0" w:line="240" w:lineRule="auto"/>
              <w:rPr>
                <w:rFonts w:ascii="Arial" w:hAnsi="Arial" w:cs="Arial"/>
                <w:color w:val="000000"/>
                <w:sz w:val="16"/>
                <w:szCs w:val="16"/>
              </w:rPr>
            </w:pPr>
            <w:r w:rsidRPr="00772B1C">
              <w:rPr>
                <w:rFonts w:ascii="Arial" w:hAnsi="Arial" w:cs="Arial"/>
                <w:color w:val="000000"/>
                <w:sz w:val="16"/>
                <w:szCs w:val="16"/>
              </w:rPr>
              <w:t>Air transport</w:t>
            </w:r>
          </w:p>
        </w:tc>
        <w:tc>
          <w:tcPr>
            <w:tcW w:w="522" w:type="pct"/>
            <w:tcBorders>
              <w:top w:val="nil"/>
              <w:left w:val="nil"/>
              <w:bottom w:val="nil"/>
              <w:right w:val="nil"/>
            </w:tcBorders>
            <w:shd w:val="clear" w:color="000000" w:fill="FFFFFF"/>
            <w:noWrap/>
            <w:vAlign w:val="center"/>
            <w:hideMark/>
          </w:tcPr>
          <w:p w14:paraId="49CC54DB" w14:textId="77777777" w:rsidR="001D5083" w:rsidRPr="00772B1C" w:rsidRDefault="001D5083">
            <w:pPr>
              <w:spacing w:before="0" w:after="0" w:line="240" w:lineRule="auto"/>
              <w:jc w:val="right"/>
              <w:rPr>
                <w:rFonts w:ascii="Arial" w:hAnsi="Arial" w:cs="Arial"/>
                <w:color w:val="000000"/>
                <w:sz w:val="16"/>
                <w:szCs w:val="16"/>
              </w:rPr>
            </w:pPr>
            <w:r w:rsidRPr="00772B1C">
              <w:rPr>
                <w:rFonts w:ascii="Arial" w:hAnsi="Arial" w:cs="Arial"/>
                <w:color w:val="000000"/>
                <w:sz w:val="16"/>
                <w:szCs w:val="16"/>
              </w:rPr>
              <w:t>434</w:t>
            </w:r>
          </w:p>
        </w:tc>
        <w:tc>
          <w:tcPr>
            <w:tcW w:w="521" w:type="pct"/>
            <w:tcBorders>
              <w:top w:val="nil"/>
              <w:left w:val="nil"/>
              <w:bottom w:val="nil"/>
              <w:right w:val="nil"/>
            </w:tcBorders>
            <w:shd w:val="clear" w:color="000000" w:fill="E6F2FF"/>
            <w:noWrap/>
            <w:vAlign w:val="center"/>
            <w:hideMark/>
          </w:tcPr>
          <w:p w14:paraId="3EE03D1C" w14:textId="77777777" w:rsidR="001D5083" w:rsidRPr="00772B1C" w:rsidRDefault="001D5083">
            <w:pPr>
              <w:spacing w:before="0" w:after="0" w:line="240" w:lineRule="auto"/>
              <w:jc w:val="right"/>
              <w:rPr>
                <w:rFonts w:ascii="Arial" w:hAnsi="Arial" w:cs="Arial"/>
                <w:color w:val="000000"/>
                <w:sz w:val="16"/>
                <w:szCs w:val="16"/>
              </w:rPr>
            </w:pPr>
            <w:r w:rsidRPr="00772B1C">
              <w:rPr>
                <w:rFonts w:ascii="Arial" w:hAnsi="Arial" w:cs="Arial"/>
                <w:color w:val="000000"/>
                <w:sz w:val="16"/>
                <w:szCs w:val="16"/>
              </w:rPr>
              <w:t>465</w:t>
            </w:r>
          </w:p>
        </w:tc>
        <w:tc>
          <w:tcPr>
            <w:tcW w:w="521" w:type="pct"/>
            <w:tcBorders>
              <w:top w:val="nil"/>
              <w:left w:val="nil"/>
              <w:bottom w:val="nil"/>
              <w:right w:val="nil"/>
            </w:tcBorders>
            <w:shd w:val="clear" w:color="000000" w:fill="FFFFFF"/>
            <w:noWrap/>
            <w:vAlign w:val="center"/>
            <w:hideMark/>
          </w:tcPr>
          <w:p w14:paraId="3B95360F" w14:textId="77777777" w:rsidR="001D5083" w:rsidRPr="00772B1C" w:rsidRDefault="001D5083">
            <w:pPr>
              <w:spacing w:before="0" w:after="0" w:line="240" w:lineRule="auto"/>
              <w:jc w:val="right"/>
              <w:rPr>
                <w:rFonts w:ascii="Arial" w:hAnsi="Arial" w:cs="Arial"/>
                <w:color w:val="000000"/>
                <w:sz w:val="16"/>
                <w:szCs w:val="16"/>
              </w:rPr>
            </w:pPr>
            <w:r w:rsidRPr="00772B1C">
              <w:rPr>
                <w:rFonts w:ascii="Arial" w:hAnsi="Arial" w:cs="Arial"/>
                <w:color w:val="000000"/>
                <w:sz w:val="16"/>
                <w:szCs w:val="16"/>
              </w:rPr>
              <w:t>446</w:t>
            </w:r>
          </w:p>
        </w:tc>
        <w:tc>
          <w:tcPr>
            <w:tcW w:w="521" w:type="pct"/>
            <w:tcBorders>
              <w:top w:val="nil"/>
              <w:left w:val="nil"/>
              <w:bottom w:val="nil"/>
              <w:right w:val="nil"/>
            </w:tcBorders>
            <w:shd w:val="clear" w:color="000000" w:fill="FFFFFF"/>
            <w:noWrap/>
            <w:vAlign w:val="center"/>
            <w:hideMark/>
          </w:tcPr>
          <w:p w14:paraId="6647C3F3" w14:textId="77777777" w:rsidR="001D5083" w:rsidRPr="00772B1C" w:rsidRDefault="001D5083">
            <w:pPr>
              <w:spacing w:before="0" w:after="0" w:line="240" w:lineRule="auto"/>
              <w:jc w:val="right"/>
              <w:rPr>
                <w:rFonts w:ascii="Arial" w:hAnsi="Arial" w:cs="Arial"/>
                <w:color w:val="000000"/>
                <w:sz w:val="16"/>
                <w:szCs w:val="16"/>
              </w:rPr>
            </w:pPr>
            <w:r w:rsidRPr="00772B1C">
              <w:rPr>
                <w:rFonts w:ascii="Arial" w:hAnsi="Arial" w:cs="Arial"/>
                <w:color w:val="000000"/>
                <w:sz w:val="16"/>
                <w:szCs w:val="16"/>
              </w:rPr>
              <w:t>355</w:t>
            </w:r>
          </w:p>
        </w:tc>
        <w:tc>
          <w:tcPr>
            <w:tcW w:w="521" w:type="pct"/>
            <w:tcBorders>
              <w:top w:val="nil"/>
              <w:left w:val="nil"/>
              <w:bottom w:val="nil"/>
              <w:right w:val="nil"/>
            </w:tcBorders>
            <w:shd w:val="clear" w:color="000000" w:fill="FFFFFF"/>
            <w:noWrap/>
            <w:vAlign w:val="center"/>
            <w:hideMark/>
          </w:tcPr>
          <w:p w14:paraId="6A352DB2" w14:textId="77777777" w:rsidR="001D5083" w:rsidRPr="00772B1C" w:rsidRDefault="001D5083">
            <w:pPr>
              <w:spacing w:before="0" w:after="0" w:line="240" w:lineRule="auto"/>
              <w:jc w:val="right"/>
              <w:rPr>
                <w:rFonts w:ascii="Arial" w:hAnsi="Arial" w:cs="Arial"/>
                <w:color w:val="000000"/>
                <w:sz w:val="16"/>
                <w:szCs w:val="16"/>
              </w:rPr>
            </w:pPr>
            <w:r w:rsidRPr="00772B1C">
              <w:rPr>
                <w:rFonts w:ascii="Arial" w:hAnsi="Arial" w:cs="Arial"/>
                <w:color w:val="000000"/>
                <w:sz w:val="16"/>
                <w:szCs w:val="16"/>
              </w:rPr>
              <w:t>291</w:t>
            </w:r>
          </w:p>
        </w:tc>
      </w:tr>
      <w:tr w:rsidR="001D5083" w:rsidRPr="00772B1C" w14:paraId="31BEC027" w14:textId="77777777">
        <w:trPr>
          <w:trHeight w:hRule="exact" w:val="225"/>
        </w:trPr>
        <w:tc>
          <w:tcPr>
            <w:tcW w:w="2395" w:type="pct"/>
            <w:tcBorders>
              <w:top w:val="nil"/>
              <w:left w:val="nil"/>
              <w:bottom w:val="nil"/>
              <w:right w:val="nil"/>
            </w:tcBorders>
            <w:shd w:val="clear" w:color="000000" w:fill="FFFFFF"/>
            <w:noWrap/>
            <w:vAlign w:val="center"/>
            <w:hideMark/>
          </w:tcPr>
          <w:p w14:paraId="14249251" w14:textId="77777777" w:rsidR="001D5083" w:rsidRPr="00772B1C" w:rsidRDefault="001D5083">
            <w:pPr>
              <w:spacing w:before="0" w:after="0" w:line="240" w:lineRule="auto"/>
              <w:rPr>
                <w:rFonts w:ascii="Arial" w:hAnsi="Arial" w:cs="Arial"/>
                <w:color w:val="000000"/>
                <w:sz w:val="16"/>
                <w:szCs w:val="16"/>
              </w:rPr>
            </w:pPr>
            <w:r w:rsidRPr="00772B1C">
              <w:rPr>
                <w:rFonts w:ascii="Arial" w:hAnsi="Arial" w:cs="Arial"/>
                <w:color w:val="000000"/>
                <w:sz w:val="16"/>
                <w:szCs w:val="16"/>
              </w:rPr>
              <w:t>Road transport</w:t>
            </w:r>
          </w:p>
        </w:tc>
        <w:tc>
          <w:tcPr>
            <w:tcW w:w="522" w:type="pct"/>
            <w:tcBorders>
              <w:top w:val="nil"/>
              <w:left w:val="nil"/>
              <w:bottom w:val="nil"/>
              <w:right w:val="nil"/>
            </w:tcBorders>
            <w:shd w:val="clear" w:color="000000" w:fill="FFFFFF"/>
            <w:noWrap/>
            <w:vAlign w:val="center"/>
            <w:hideMark/>
          </w:tcPr>
          <w:p w14:paraId="5A0DE579" w14:textId="77777777" w:rsidR="001D5083" w:rsidRPr="00772B1C" w:rsidRDefault="001D5083">
            <w:pPr>
              <w:spacing w:before="0" w:after="0" w:line="240" w:lineRule="auto"/>
              <w:jc w:val="right"/>
              <w:rPr>
                <w:rFonts w:ascii="Arial" w:hAnsi="Arial" w:cs="Arial"/>
                <w:color w:val="000000"/>
                <w:sz w:val="16"/>
                <w:szCs w:val="16"/>
              </w:rPr>
            </w:pPr>
            <w:r w:rsidRPr="00772B1C">
              <w:rPr>
                <w:rFonts w:ascii="Arial" w:hAnsi="Arial" w:cs="Arial"/>
                <w:color w:val="000000"/>
                <w:sz w:val="16"/>
                <w:szCs w:val="16"/>
              </w:rPr>
              <w:t>8,859</w:t>
            </w:r>
          </w:p>
        </w:tc>
        <w:tc>
          <w:tcPr>
            <w:tcW w:w="521" w:type="pct"/>
            <w:tcBorders>
              <w:top w:val="nil"/>
              <w:left w:val="nil"/>
              <w:bottom w:val="nil"/>
              <w:right w:val="nil"/>
            </w:tcBorders>
            <w:shd w:val="clear" w:color="000000" w:fill="E6F2FF"/>
            <w:noWrap/>
            <w:vAlign w:val="center"/>
            <w:hideMark/>
          </w:tcPr>
          <w:p w14:paraId="622927B3" w14:textId="77777777" w:rsidR="001D5083" w:rsidRPr="00772B1C" w:rsidRDefault="001D5083">
            <w:pPr>
              <w:spacing w:before="0" w:after="0" w:line="240" w:lineRule="auto"/>
              <w:jc w:val="right"/>
              <w:rPr>
                <w:rFonts w:ascii="Arial" w:hAnsi="Arial" w:cs="Arial"/>
                <w:color w:val="000000"/>
                <w:sz w:val="16"/>
                <w:szCs w:val="16"/>
              </w:rPr>
            </w:pPr>
            <w:r w:rsidRPr="00772B1C">
              <w:rPr>
                <w:rFonts w:ascii="Arial" w:hAnsi="Arial" w:cs="Arial"/>
                <w:color w:val="000000"/>
                <w:sz w:val="16"/>
                <w:szCs w:val="16"/>
              </w:rPr>
              <w:t>9,707</w:t>
            </w:r>
          </w:p>
        </w:tc>
        <w:tc>
          <w:tcPr>
            <w:tcW w:w="521" w:type="pct"/>
            <w:tcBorders>
              <w:top w:val="nil"/>
              <w:left w:val="nil"/>
              <w:bottom w:val="nil"/>
              <w:right w:val="nil"/>
            </w:tcBorders>
            <w:shd w:val="clear" w:color="000000" w:fill="FFFFFF"/>
            <w:noWrap/>
            <w:vAlign w:val="center"/>
            <w:hideMark/>
          </w:tcPr>
          <w:p w14:paraId="5FE4E893" w14:textId="77777777" w:rsidR="001D5083" w:rsidRPr="00772B1C" w:rsidRDefault="001D5083">
            <w:pPr>
              <w:spacing w:before="0" w:after="0" w:line="240" w:lineRule="auto"/>
              <w:jc w:val="right"/>
              <w:rPr>
                <w:rFonts w:ascii="Arial" w:hAnsi="Arial" w:cs="Arial"/>
                <w:color w:val="000000"/>
                <w:sz w:val="16"/>
                <w:szCs w:val="16"/>
              </w:rPr>
            </w:pPr>
            <w:r w:rsidRPr="00772B1C">
              <w:rPr>
                <w:rFonts w:ascii="Arial" w:hAnsi="Arial" w:cs="Arial"/>
                <w:color w:val="000000"/>
                <w:sz w:val="16"/>
                <w:szCs w:val="16"/>
              </w:rPr>
              <w:t>10,408</w:t>
            </w:r>
          </w:p>
        </w:tc>
        <w:tc>
          <w:tcPr>
            <w:tcW w:w="521" w:type="pct"/>
            <w:tcBorders>
              <w:top w:val="nil"/>
              <w:left w:val="nil"/>
              <w:bottom w:val="nil"/>
              <w:right w:val="nil"/>
            </w:tcBorders>
            <w:shd w:val="clear" w:color="000000" w:fill="FFFFFF"/>
            <w:noWrap/>
            <w:vAlign w:val="center"/>
            <w:hideMark/>
          </w:tcPr>
          <w:p w14:paraId="6BBB347A" w14:textId="77777777" w:rsidR="001D5083" w:rsidRPr="00772B1C" w:rsidRDefault="001D5083">
            <w:pPr>
              <w:spacing w:before="0" w:after="0" w:line="240" w:lineRule="auto"/>
              <w:jc w:val="right"/>
              <w:rPr>
                <w:rFonts w:ascii="Arial" w:hAnsi="Arial" w:cs="Arial"/>
                <w:color w:val="000000"/>
                <w:sz w:val="16"/>
                <w:szCs w:val="16"/>
              </w:rPr>
            </w:pPr>
            <w:r w:rsidRPr="00772B1C">
              <w:rPr>
                <w:rFonts w:ascii="Arial" w:hAnsi="Arial" w:cs="Arial"/>
                <w:color w:val="000000"/>
                <w:sz w:val="16"/>
                <w:szCs w:val="16"/>
              </w:rPr>
              <w:t>9,799</w:t>
            </w:r>
          </w:p>
        </w:tc>
        <w:tc>
          <w:tcPr>
            <w:tcW w:w="521" w:type="pct"/>
            <w:tcBorders>
              <w:top w:val="nil"/>
              <w:left w:val="nil"/>
              <w:bottom w:val="nil"/>
              <w:right w:val="nil"/>
            </w:tcBorders>
            <w:shd w:val="clear" w:color="000000" w:fill="FFFFFF"/>
            <w:noWrap/>
            <w:vAlign w:val="center"/>
            <w:hideMark/>
          </w:tcPr>
          <w:p w14:paraId="07D92DCD" w14:textId="77777777" w:rsidR="001D5083" w:rsidRPr="00772B1C" w:rsidRDefault="001D5083">
            <w:pPr>
              <w:spacing w:before="0" w:after="0" w:line="240" w:lineRule="auto"/>
              <w:jc w:val="right"/>
              <w:rPr>
                <w:rFonts w:ascii="Arial" w:hAnsi="Arial" w:cs="Arial"/>
                <w:color w:val="000000"/>
                <w:sz w:val="16"/>
                <w:szCs w:val="16"/>
              </w:rPr>
            </w:pPr>
            <w:r w:rsidRPr="00772B1C">
              <w:rPr>
                <w:rFonts w:ascii="Arial" w:hAnsi="Arial" w:cs="Arial"/>
                <w:color w:val="000000"/>
                <w:sz w:val="16"/>
                <w:szCs w:val="16"/>
              </w:rPr>
              <w:t>9,111</w:t>
            </w:r>
          </w:p>
        </w:tc>
      </w:tr>
      <w:tr w:rsidR="001D5083" w:rsidRPr="00772B1C" w14:paraId="7492EEA0" w14:textId="77777777">
        <w:trPr>
          <w:trHeight w:hRule="exact" w:val="225"/>
        </w:trPr>
        <w:tc>
          <w:tcPr>
            <w:tcW w:w="2395" w:type="pct"/>
            <w:tcBorders>
              <w:top w:val="nil"/>
              <w:left w:val="nil"/>
              <w:bottom w:val="nil"/>
              <w:right w:val="nil"/>
            </w:tcBorders>
            <w:shd w:val="clear" w:color="000000" w:fill="FFFFFF"/>
            <w:noWrap/>
            <w:vAlign w:val="center"/>
            <w:hideMark/>
          </w:tcPr>
          <w:p w14:paraId="7DDE7839" w14:textId="77777777" w:rsidR="001D5083" w:rsidRPr="00772B1C" w:rsidRDefault="001D5083">
            <w:pPr>
              <w:spacing w:before="0" w:after="0" w:line="240" w:lineRule="auto"/>
              <w:rPr>
                <w:rFonts w:ascii="Arial" w:hAnsi="Arial" w:cs="Arial"/>
                <w:color w:val="000000"/>
                <w:sz w:val="16"/>
                <w:szCs w:val="16"/>
              </w:rPr>
            </w:pPr>
            <w:r w:rsidRPr="00772B1C">
              <w:rPr>
                <w:rFonts w:ascii="Arial" w:hAnsi="Arial" w:cs="Arial"/>
                <w:color w:val="000000"/>
                <w:sz w:val="16"/>
                <w:szCs w:val="16"/>
              </w:rPr>
              <w:t>Sea transport</w:t>
            </w:r>
          </w:p>
        </w:tc>
        <w:tc>
          <w:tcPr>
            <w:tcW w:w="522" w:type="pct"/>
            <w:tcBorders>
              <w:top w:val="nil"/>
              <w:left w:val="nil"/>
              <w:bottom w:val="nil"/>
              <w:right w:val="nil"/>
            </w:tcBorders>
            <w:shd w:val="clear" w:color="000000" w:fill="FFFFFF"/>
            <w:noWrap/>
            <w:vAlign w:val="center"/>
            <w:hideMark/>
          </w:tcPr>
          <w:p w14:paraId="5AB71DAA" w14:textId="77777777" w:rsidR="001D5083" w:rsidRPr="00772B1C" w:rsidRDefault="001D5083">
            <w:pPr>
              <w:spacing w:before="0" w:after="0" w:line="240" w:lineRule="auto"/>
              <w:jc w:val="right"/>
              <w:rPr>
                <w:rFonts w:ascii="Arial" w:hAnsi="Arial" w:cs="Arial"/>
                <w:color w:val="000000"/>
                <w:sz w:val="16"/>
                <w:szCs w:val="16"/>
              </w:rPr>
            </w:pPr>
            <w:r w:rsidRPr="00772B1C">
              <w:rPr>
                <w:rFonts w:ascii="Arial" w:hAnsi="Arial" w:cs="Arial"/>
                <w:color w:val="000000"/>
                <w:sz w:val="16"/>
                <w:szCs w:val="16"/>
              </w:rPr>
              <w:t>499</w:t>
            </w:r>
          </w:p>
        </w:tc>
        <w:tc>
          <w:tcPr>
            <w:tcW w:w="521" w:type="pct"/>
            <w:tcBorders>
              <w:top w:val="nil"/>
              <w:left w:val="nil"/>
              <w:bottom w:val="nil"/>
              <w:right w:val="nil"/>
            </w:tcBorders>
            <w:shd w:val="clear" w:color="000000" w:fill="E6F2FF"/>
            <w:noWrap/>
            <w:vAlign w:val="center"/>
            <w:hideMark/>
          </w:tcPr>
          <w:p w14:paraId="3DF9DF72" w14:textId="77777777" w:rsidR="001D5083" w:rsidRPr="00772B1C" w:rsidRDefault="001D5083">
            <w:pPr>
              <w:spacing w:before="0" w:after="0" w:line="240" w:lineRule="auto"/>
              <w:jc w:val="right"/>
              <w:rPr>
                <w:rFonts w:ascii="Arial" w:hAnsi="Arial" w:cs="Arial"/>
                <w:color w:val="000000"/>
                <w:sz w:val="16"/>
                <w:szCs w:val="16"/>
              </w:rPr>
            </w:pPr>
            <w:r w:rsidRPr="00772B1C">
              <w:rPr>
                <w:rFonts w:ascii="Arial" w:hAnsi="Arial" w:cs="Arial"/>
                <w:color w:val="000000"/>
                <w:sz w:val="16"/>
                <w:szCs w:val="16"/>
              </w:rPr>
              <w:t>496</w:t>
            </w:r>
          </w:p>
        </w:tc>
        <w:tc>
          <w:tcPr>
            <w:tcW w:w="521" w:type="pct"/>
            <w:tcBorders>
              <w:top w:val="nil"/>
              <w:left w:val="nil"/>
              <w:bottom w:val="nil"/>
              <w:right w:val="nil"/>
            </w:tcBorders>
            <w:shd w:val="clear" w:color="000000" w:fill="FFFFFF"/>
            <w:noWrap/>
            <w:vAlign w:val="center"/>
            <w:hideMark/>
          </w:tcPr>
          <w:p w14:paraId="35FDE657" w14:textId="77777777" w:rsidR="001D5083" w:rsidRPr="00772B1C" w:rsidRDefault="001D5083">
            <w:pPr>
              <w:spacing w:before="0" w:after="0" w:line="240" w:lineRule="auto"/>
              <w:jc w:val="right"/>
              <w:rPr>
                <w:rFonts w:ascii="Arial" w:hAnsi="Arial" w:cs="Arial"/>
                <w:color w:val="000000"/>
                <w:sz w:val="16"/>
                <w:szCs w:val="16"/>
              </w:rPr>
            </w:pPr>
            <w:r w:rsidRPr="00772B1C">
              <w:rPr>
                <w:rFonts w:ascii="Arial" w:hAnsi="Arial" w:cs="Arial"/>
                <w:color w:val="000000"/>
                <w:sz w:val="16"/>
                <w:szCs w:val="16"/>
              </w:rPr>
              <w:t>496</w:t>
            </w:r>
          </w:p>
        </w:tc>
        <w:tc>
          <w:tcPr>
            <w:tcW w:w="521" w:type="pct"/>
            <w:tcBorders>
              <w:top w:val="nil"/>
              <w:left w:val="nil"/>
              <w:bottom w:val="nil"/>
              <w:right w:val="nil"/>
            </w:tcBorders>
            <w:shd w:val="clear" w:color="000000" w:fill="FFFFFF"/>
            <w:noWrap/>
            <w:vAlign w:val="center"/>
            <w:hideMark/>
          </w:tcPr>
          <w:p w14:paraId="687A6DD9" w14:textId="77777777" w:rsidR="001D5083" w:rsidRPr="00772B1C" w:rsidRDefault="001D5083">
            <w:pPr>
              <w:spacing w:before="0" w:after="0" w:line="240" w:lineRule="auto"/>
              <w:jc w:val="right"/>
              <w:rPr>
                <w:rFonts w:ascii="Arial" w:hAnsi="Arial" w:cs="Arial"/>
                <w:color w:val="000000"/>
                <w:sz w:val="16"/>
                <w:szCs w:val="16"/>
              </w:rPr>
            </w:pPr>
            <w:r w:rsidRPr="00772B1C">
              <w:rPr>
                <w:rFonts w:ascii="Arial" w:hAnsi="Arial" w:cs="Arial"/>
                <w:color w:val="000000"/>
                <w:sz w:val="16"/>
                <w:szCs w:val="16"/>
              </w:rPr>
              <w:t>501</w:t>
            </w:r>
          </w:p>
        </w:tc>
        <w:tc>
          <w:tcPr>
            <w:tcW w:w="521" w:type="pct"/>
            <w:tcBorders>
              <w:top w:val="nil"/>
              <w:left w:val="nil"/>
              <w:bottom w:val="nil"/>
              <w:right w:val="nil"/>
            </w:tcBorders>
            <w:shd w:val="clear" w:color="000000" w:fill="FFFFFF"/>
            <w:noWrap/>
            <w:vAlign w:val="center"/>
            <w:hideMark/>
          </w:tcPr>
          <w:p w14:paraId="3BD4FA4B" w14:textId="77777777" w:rsidR="001D5083" w:rsidRPr="00772B1C" w:rsidRDefault="001D5083">
            <w:pPr>
              <w:spacing w:before="0" w:after="0" w:line="240" w:lineRule="auto"/>
              <w:jc w:val="right"/>
              <w:rPr>
                <w:rFonts w:ascii="Arial" w:hAnsi="Arial" w:cs="Arial"/>
                <w:color w:val="000000"/>
                <w:sz w:val="16"/>
                <w:szCs w:val="16"/>
              </w:rPr>
            </w:pPr>
            <w:r w:rsidRPr="00772B1C">
              <w:rPr>
                <w:rFonts w:ascii="Arial" w:hAnsi="Arial" w:cs="Arial"/>
                <w:color w:val="000000"/>
                <w:sz w:val="16"/>
                <w:szCs w:val="16"/>
              </w:rPr>
              <w:t>507</w:t>
            </w:r>
          </w:p>
        </w:tc>
      </w:tr>
      <w:tr w:rsidR="001D5083" w:rsidRPr="00772B1C" w14:paraId="71B97C68" w14:textId="77777777">
        <w:trPr>
          <w:trHeight w:hRule="exact" w:val="225"/>
        </w:trPr>
        <w:tc>
          <w:tcPr>
            <w:tcW w:w="2395" w:type="pct"/>
            <w:tcBorders>
              <w:top w:val="nil"/>
              <w:left w:val="nil"/>
              <w:bottom w:val="nil"/>
              <w:right w:val="nil"/>
            </w:tcBorders>
            <w:shd w:val="clear" w:color="000000" w:fill="FFFFFF"/>
            <w:noWrap/>
            <w:vAlign w:val="center"/>
            <w:hideMark/>
          </w:tcPr>
          <w:p w14:paraId="43D97918" w14:textId="77777777" w:rsidR="001D5083" w:rsidRPr="00772B1C" w:rsidRDefault="001D5083">
            <w:pPr>
              <w:spacing w:before="0" w:after="0" w:line="240" w:lineRule="auto"/>
              <w:rPr>
                <w:rFonts w:ascii="Arial" w:hAnsi="Arial" w:cs="Arial"/>
                <w:color w:val="000000"/>
                <w:sz w:val="16"/>
                <w:szCs w:val="16"/>
              </w:rPr>
            </w:pPr>
            <w:r w:rsidRPr="00772B1C">
              <w:rPr>
                <w:rFonts w:ascii="Arial" w:hAnsi="Arial" w:cs="Arial"/>
                <w:color w:val="000000"/>
                <w:sz w:val="16"/>
                <w:szCs w:val="16"/>
              </w:rPr>
              <w:t>Other transport and communication</w:t>
            </w:r>
          </w:p>
        </w:tc>
        <w:tc>
          <w:tcPr>
            <w:tcW w:w="522" w:type="pct"/>
            <w:tcBorders>
              <w:top w:val="nil"/>
              <w:left w:val="nil"/>
              <w:bottom w:val="single" w:sz="4" w:space="0" w:color="293F5B"/>
              <w:right w:val="nil"/>
            </w:tcBorders>
            <w:shd w:val="clear" w:color="000000" w:fill="FFFFFF"/>
            <w:noWrap/>
            <w:vAlign w:val="center"/>
            <w:hideMark/>
          </w:tcPr>
          <w:p w14:paraId="0907690F" w14:textId="77777777" w:rsidR="001D5083" w:rsidRPr="00772B1C" w:rsidRDefault="001D5083">
            <w:pPr>
              <w:spacing w:before="0" w:after="0" w:line="240" w:lineRule="auto"/>
              <w:jc w:val="right"/>
              <w:rPr>
                <w:rFonts w:ascii="Arial" w:hAnsi="Arial" w:cs="Arial"/>
                <w:color w:val="000000"/>
                <w:sz w:val="16"/>
                <w:szCs w:val="16"/>
              </w:rPr>
            </w:pPr>
            <w:r w:rsidRPr="00772B1C">
              <w:rPr>
                <w:rFonts w:ascii="Arial" w:hAnsi="Arial" w:cs="Arial"/>
                <w:color w:val="000000"/>
                <w:sz w:val="16"/>
                <w:szCs w:val="16"/>
              </w:rPr>
              <w:t>279</w:t>
            </w:r>
          </w:p>
        </w:tc>
        <w:tc>
          <w:tcPr>
            <w:tcW w:w="521" w:type="pct"/>
            <w:tcBorders>
              <w:top w:val="nil"/>
              <w:left w:val="nil"/>
              <w:bottom w:val="single" w:sz="4" w:space="0" w:color="293F5B"/>
              <w:right w:val="nil"/>
            </w:tcBorders>
            <w:shd w:val="clear" w:color="000000" w:fill="E6F2FF"/>
            <w:noWrap/>
            <w:vAlign w:val="center"/>
            <w:hideMark/>
          </w:tcPr>
          <w:p w14:paraId="7C562808" w14:textId="77777777" w:rsidR="001D5083" w:rsidRPr="00772B1C" w:rsidRDefault="001D5083">
            <w:pPr>
              <w:spacing w:before="0" w:after="0" w:line="240" w:lineRule="auto"/>
              <w:jc w:val="right"/>
              <w:rPr>
                <w:rFonts w:ascii="Arial" w:hAnsi="Arial" w:cs="Arial"/>
                <w:color w:val="000000"/>
                <w:sz w:val="16"/>
                <w:szCs w:val="16"/>
              </w:rPr>
            </w:pPr>
            <w:r w:rsidRPr="00772B1C">
              <w:rPr>
                <w:rFonts w:ascii="Arial" w:hAnsi="Arial" w:cs="Arial"/>
                <w:color w:val="000000"/>
                <w:sz w:val="16"/>
                <w:szCs w:val="16"/>
              </w:rPr>
              <w:t>360</w:t>
            </w:r>
          </w:p>
        </w:tc>
        <w:tc>
          <w:tcPr>
            <w:tcW w:w="521" w:type="pct"/>
            <w:tcBorders>
              <w:top w:val="nil"/>
              <w:left w:val="nil"/>
              <w:bottom w:val="single" w:sz="4" w:space="0" w:color="293F5B"/>
              <w:right w:val="nil"/>
            </w:tcBorders>
            <w:shd w:val="clear" w:color="000000" w:fill="FFFFFF"/>
            <w:noWrap/>
            <w:vAlign w:val="center"/>
            <w:hideMark/>
          </w:tcPr>
          <w:p w14:paraId="104AB4F8" w14:textId="77777777" w:rsidR="001D5083" w:rsidRPr="00772B1C" w:rsidRDefault="001D5083">
            <w:pPr>
              <w:spacing w:before="0" w:after="0" w:line="240" w:lineRule="auto"/>
              <w:jc w:val="right"/>
              <w:rPr>
                <w:rFonts w:ascii="Arial" w:hAnsi="Arial" w:cs="Arial"/>
                <w:color w:val="000000"/>
                <w:sz w:val="16"/>
                <w:szCs w:val="16"/>
              </w:rPr>
            </w:pPr>
            <w:r w:rsidRPr="00772B1C">
              <w:rPr>
                <w:rFonts w:ascii="Arial" w:hAnsi="Arial" w:cs="Arial"/>
                <w:color w:val="000000"/>
                <w:sz w:val="16"/>
                <w:szCs w:val="16"/>
              </w:rPr>
              <w:t>331</w:t>
            </w:r>
          </w:p>
        </w:tc>
        <w:tc>
          <w:tcPr>
            <w:tcW w:w="521" w:type="pct"/>
            <w:tcBorders>
              <w:top w:val="nil"/>
              <w:left w:val="nil"/>
              <w:bottom w:val="single" w:sz="4" w:space="0" w:color="293F5B"/>
              <w:right w:val="nil"/>
            </w:tcBorders>
            <w:shd w:val="clear" w:color="000000" w:fill="FFFFFF"/>
            <w:noWrap/>
            <w:vAlign w:val="center"/>
            <w:hideMark/>
          </w:tcPr>
          <w:p w14:paraId="1D0D3D87" w14:textId="77777777" w:rsidR="001D5083" w:rsidRPr="00772B1C" w:rsidRDefault="001D5083">
            <w:pPr>
              <w:spacing w:before="0" w:after="0" w:line="240" w:lineRule="auto"/>
              <w:jc w:val="right"/>
              <w:rPr>
                <w:rFonts w:ascii="Arial" w:hAnsi="Arial" w:cs="Arial"/>
                <w:color w:val="000000"/>
                <w:sz w:val="16"/>
                <w:szCs w:val="16"/>
              </w:rPr>
            </w:pPr>
            <w:r w:rsidRPr="00772B1C">
              <w:rPr>
                <w:rFonts w:ascii="Arial" w:hAnsi="Arial" w:cs="Arial"/>
                <w:color w:val="000000"/>
                <w:sz w:val="16"/>
                <w:szCs w:val="16"/>
              </w:rPr>
              <w:t>299</w:t>
            </w:r>
          </w:p>
        </w:tc>
        <w:tc>
          <w:tcPr>
            <w:tcW w:w="521" w:type="pct"/>
            <w:tcBorders>
              <w:top w:val="nil"/>
              <w:left w:val="nil"/>
              <w:bottom w:val="single" w:sz="4" w:space="0" w:color="293F5B"/>
              <w:right w:val="nil"/>
            </w:tcBorders>
            <w:shd w:val="clear" w:color="000000" w:fill="FFFFFF"/>
            <w:noWrap/>
            <w:vAlign w:val="center"/>
            <w:hideMark/>
          </w:tcPr>
          <w:p w14:paraId="1FFE16B2" w14:textId="77777777" w:rsidR="001D5083" w:rsidRPr="00772B1C" w:rsidRDefault="001D5083">
            <w:pPr>
              <w:spacing w:before="0" w:after="0" w:line="240" w:lineRule="auto"/>
              <w:jc w:val="right"/>
              <w:rPr>
                <w:rFonts w:ascii="Arial" w:hAnsi="Arial" w:cs="Arial"/>
                <w:color w:val="000000"/>
                <w:sz w:val="16"/>
                <w:szCs w:val="16"/>
              </w:rPr>
            </w:pPr>
            <w:r w:rsidRPr="00772B1C">
              <w:rPr>
                <w:rFonts w:ascii="Arial" w:hAnsi="Arial" w:cs="Arial"/>
                <w:color w:val="000000"/>
                <w:sz w:val="16"/>
                <w:szCs w:val="16"/>
              </w:rPr>
              <w:t>286</w:t>
            </w:r>
          </w:p>
        </w:tc>
      </w:tr>
      <w:tr w:rsidR="001D5083" w:rsidRPr="00772B1C" w14:paraId="47A894AD" w14:textId="77777777">
        <w:trPr>
          <w:trHeight w:hRule="exact" w:val="225"/>
        </w:trPr>
        <w:tc>
          <w:tcPr>
            <w:tcW w:w="2395" w:type="pct"/>
            <w:tcBorders>
              <w:top w:val="nil"/>
              <w:left w:val="nil"/>
              <w:bottom w:val="single" w:sz="4" w:space="0" w:color="293F5B"/>
              <w:right w:val="nil"/>
            </w:tcBorders>
            <w:shd w:val="clear" w:color="000000" w:fill="FFFFFF"/>
            <w:noWrap/>
            <w:vAlign w:val="center"/>
            <w:hideMark/>
          </w:tcPr>
          <w:p w14:paraId="73E6A880" w14:textId="77777777" w:rsidR="001D5083" w:rsidRPr="00772B1C" w:rsidRDefault="001D5083">
            <w:pPr>
              <w:spacing w:before="0" w:after="0" w:line="240" w:lineRule="auto"/>
              <w:rPr>
                <w:rFonts w:ascii="Arial" w:hAnsi="Arial" w:cs="Arial"/>
                <w:b/>
                <w:bCs/>
                <w:color w:val="000000"/>
                <w:sz w:val="16"/>
                <w:szCs w:val="16"/>
              </w:rPr>
            </w:pPr>
            <w:r w:rsidRPr="00772B1C">
              <w:rPr>
                <w:rFonts w:ascii="Arial" w:hAnsi="Arial" w:cs="Arial"/>
                <w:b/>
                <w:bCs/>
                <w:color w:val="000000"/>
                <w:sz w:val="16"/>
                <w:szCs w:val="16"/>
              </w:rPr>
              <w:t>Total transport and communication</w:t>
            </w:r>
          </w:p>
        </w:tc>
        <w:tc>
          <w:tcPr>
            <w:tcW w:w="522" w:type="pct"/>
            <w:tcBorders>
              <w:top w:val="single" w:sz="4" w:space="0" w:color="293F5B"/>
              <w:left w:val="nil"/>
              <w:bottom w:val="single" w:sz="4" w:space="0" w:color="293F5B"/>
              <w:right w:val="nil"/>
            </w:tcBorders>
            <w:shd w:val="clear" w:color="000000" w:fill="FFFFFF"/>
            <w:noWrap/>
            <w:vAlign w:val="center"/>
            <w:hideMark/>
          </w:tcPr>
          <w:p w14:paraId="72DB271D" w14:textId="77777777" w:rsidR="001D5083" w:rsidRPr="00772B1C" w:rsidRDefault="001D5083">
            <w:pPr>
              <w:spacing w:before="0" w:after="0" w:line="240" w:lineRule="auto"/>
              <w:jc w:val="right"/>
              <w:rPr>
                <w:rFonts w:ascii="Arial" w:hAnsi="Arial" w:cs="Arial"/>
                <w:b/>
                <w:bCs/>
                <w:color w:val="000000"/>
                <w:sz w:val="16"/>
                <w:szCs w:val="16"/>
              </w:rPr>
            </w:pPr>
            <w:r w:rsidRPr="00772B1C">
              <w:rPr>
                <w:rFonts w:ascii="Arial" w:hAnsi="Arial" w:cs="Arial"/>
                <w:b/>
                <w:bCs/>
                <w:color w:val="000000"/>
                <w:sz w:val="16"/>
                <w:szCs w:val="16"/>
              </w:rPr>
              <w:t>14,928</w:t>
            </w:r>
          </w:p>
        </w:tc>
        <w:tc>
          <w:tcPr>
            <w:tcW w:w="521" w:type="pct"/>
            <w:tcBorders>
              <w:top w:val="single" w:sz="4" w:space="0" w:color="293F5B"/>
              <w:left w:val="nil"/>
              <w:bottom w:val="single" w:sz="4" w:space="0" w:color="293F5B"/>
              <w:right w:val="nil"/>
            </w:tcBorders>
            <w:shd w:val="clear" w:color="000000" w:fill="E6F2FF"/>
            <w:noWrap/>
            <w:vAlign w:val="center"/>
            <w:hideMark/>
          </w:tcPr>
          <w:p w14:paraId="5C788409" w14:textId="77777777" w:rsidR="001D5083" w:rsidRPr="00772B1C" w:rsidRDefault="001D5083">
            <w:pPr>
              <w:spacing w:before="0" w:after="0" w:line="240" w:lineRule="auto"/>
              <w:jc w:val="right"/>
              <w:rPr>
                <w:rFonts w:ascii="Arial" w:hAnsi="Arial" w:cs="Arial"/>
                <w:b/>
                <w:bCs/>
                <w:color w:val="000000"/>
                <w:sz w:val="16"/>
                <w:szCs w:val="16"/>
              </w:rPr>
            </w:pPr>
            <w:r w:rsidRPr="00772B1C">
              <w:rPr>
                <w:rFonts w:ascii="Arial" w:hAnsi="Arial" w:cs="Arial"/>
                <w:b/>
                <w:bCs/>
                <w:color w:val="000000"/>
                <w:sz w:val="16"/>
                <w:szCs w:val="16"/>
              </w:rPr>
              <w:t>16,769</w:t>
            </w:r>
          </w:p>
        </w:tc>
        <w:tc>
          <w:tcPr>
            <w:tcW w:w="521" w:type="pct"/>
            <w:tcBorders>
              <w:top w:val="single" w:sz="4" w:space="0" w:color="293F5B"/>
              <w:left w:val="nil"/>
              <w:bottom w:val="single" w:sz="4" w:space="0" w:color="293F5B"/>
              <w:right w:val="nil"/>
            </w:tcBorders>
            <w:shd w:val="clear" w:color="000000" w:fill="FFFFFF"/>
            <w:noWrap/>
            <w:vAlign w:val="center"/>
            <w:hideMark/>
          </w:tcPr>
          <w:p w14:paraId="166E3AE4" w14:textId="77777777" w:rsidR="001D5083" w:rsidRPr="00772B1C" w:rsidRDefault="001D5083">
            <w:pPr>
              <w:spacing w:before="0" w:after="0" w:line="240" w:lineRule="auto"/>
              <w:jc w:val="right"/>
              <w:rPr>
                <w:rFonts w:ascii="Arial" w:hAnsi="Arial" w:cs="Arial"/>
                <w:b/>
                <w:bCs/>
                <w:color w:val="000000"/>
                <w:sz w:val="16"/>
                <w:szCs w:val="16"/>
              </w:rPr>
            </w:pPr>
            <w:r w:rsidRPr="00772B1C">
              <w:rPr>
                <w:rFonts w:ascii="Arial" w:hAnsi="Arial" w:cs="Arial"/>
                <w:b/>
                <w:bCs/>
                <w:color w:val="000000"/>
                <w:sz w:val="16"/>
                <w:szCs w:val="16"/>
              </w:rPr>
              <w:t>16,717</w:t>
            </w:r>
          </w:p>
        </w:tc>
        <w:tc>
          <w:tcPr>
            <w:tcW w:w="521" w:type="pct"/>
            <w:tcBorders>
              <w:top w:val="single" w:sz="4" w:space="0" w:color="293F5B"/>
              <w:left w:val="nil"/>
              <w:bottom w:val="single" w:sz="4" w:space="0" w:color="293F5B"/>
              <w:right w:val="nil"/>
            </w:tcBorders>
            <w:shd w:val="clear" w:color="000000" w:fill="FFFFFF"/>
            <w:noWrap/>
            <w:vAlign w:val="center"/>
            <w:hideMark/>
          </w:tcPr>
          <w:p w14:paraId="1DD60CB4" w14:textId="77777777" w:rsidR="001D5083" w:rsidRPr="00772B1C" w:rsidRDefault="001D5083">
            <w:pPr>
              <w:spacing w:before="0" w:after="0" w:line="240" w:lineRule="auto"/>
              <w:jc w:val="right"/>
              <w:rPr>
                <w:rFonts w:ascii="Arial" w:hAnsi="Arial" w:cs="Arial"/>
                <w:b/>
                <w:bCs/>
                <w:color w:val="000000"/>
                <w:sz w:val="16"/>
                <w:szCs w:val="16"/>
              </w:rPr>
            </w:pPr>
            <w:r w:rsidRPr="00772B1C">
              <w:rPr>
                <w:rFonts w:ascii="Arial" w:hAnsi="Arial" w:cs="Arial"/>
                <w:b/>
                <w:bCs/>
                <w:color w:val="000000"/>
                <w:sz w:val="16"/>
                <w:szCs w:val="16"/>
              </w:rPr>
              <w:t>16,375</w:t>
            </w:r>
          </w:p>
        </w:tc>
        <w:tc>
          <w:tcPr>
            <w:tcW w:w="521" w:type="pct"/>
            <w:tcBorders>
              <w:top w:val="single" w:sz="4" w:space="0" w:color="293F5B"/>
              <w:left w:val="nil"/>
              <w:bottom w:val="single" w:sz="4" w:space="0" w:color="293F5B"/>
              <w:right w:val="nil"/>
            </w:tcBorders>
            <w:shd w:val="clear" w:color="000000" w:fill="FFFFFF"/>
            <w:noWrap/>
            <w:vAlign w:val="center"/>
            <w:hideMark/>
          </w:tcPr>
          <w:p w14:paraId="37B220FE" w14:textId="77777777" w:rsidR="001D5083" w:rsidRPr="00772B1C" w:rsidRDefault="001D5083">
            <w:pPr>
              <w:spacing w:before="0" w:after="0" w:line="240" w:lineRule="auto"/>
              <w:jc w:val="right"/>
              <w:rPr>
                <w:rFonts w:ascii="Arial" w:hAnsi="Arial" w:cs="Arial"/>
                <w:b/>
                <w:bCs/>
                <w:color w:val="000000"/>
                <w:sz w:val="16"/>
                <w:szCs w:val="16"/>
              </w:rPr>
            </w:pPr>
            <w:r w:rsidRPr="00772B1C">
              <w:rPr>
                <w:rFonts w:ascii="Arial" w:hAnsi="Arial" w:cs="Arial"/>
                <w:b/>
                <w:bCs/>
                <w:color w:val="000000"/>
                <w:sz w:val="16"/>
                <w:szCs w:val="16"/>
              </w:rPr>
              <w:t>14,656</w:t>
            </w:r>
          </w:p>
        </w:tc>
      </w:tr>
    </w:tbl>
    <w:p w14:paraId="295C99F9" w14:textId="4891D3F3" w:rsidR="001D5083" w:rsidRPr="008E4D45" w:rsidRDefault="001D5083" w:rsidP="001D5083">
      <w:pPr>
        <w:keepLines/>
        <w:rPr>
          <w:rFonts w:cstheme="minorHAnsi"/>
        </w:rPr>
      </w:pPr>
      <w:bookmarkStart w:id="159" w:name="_Toc99203691"/>
      <w:bookmarkStart w:id="160" w:name="_Toc117358184"/>
      <w:bookmarkStart w:id="161" w:name="_Hlk165741408"/>
      <w:r w:rsidRPr="003873C6">
        <w:t xml:space="preserve">Total expenses under this function are estimated to </w:t>
      </w:r>
      <w:r w:rsidRPr="003873C6">
        <w:rPr>
          <w:lang w:val="en-US"/>
        </w:rPr>
        <w:t xml:space="preserve">decrease by </w:t>
      </w:r>
      <w:r>
        <w:rPr>
          <w:lang w:val="en-US"/>
        </w:rPr>
        <w:t xml:space="preserve">12.6 </w:t>
      </w:r>
      <w:r w:rsidRPr="004D52FF">
        <w:rPr>
          <w:lang w:val="en-US"/>
        </w:rPr>
        <w:t>per cent</w:t>
      </w:r>
      <w:r w:rsidRPr="003873C6">
        <w:rPr>
          <w:lang w:val="en-US"/>
        </w:rPr>
        <w:t xml:space="preserve"> from 2024</w:t>
      </w:r>
      <w:bookmarkStart w:id="162" w:name="_Hlk165665741"/>
      <w:r w:rsidRPr="003873C6">
        <w:rPr>
          <w:lang w:val="en-US"/>
        </w:rPr>
        <w:t>–</w:t>
      </w:r>
      <w:bookmarkEnd w:id="162"/>
      <w:r w:rsidRPr="003873C6">
        <w:rPr>
          <w:lang w:val="en-US"/>
        </w:rPr>
        <w:t xml:space="preserve">25 to 2027–28. </w:t>
      </w:r>
      <w:r w:rsidRPr="003873C6">
        <w:t xml:space="preserve">This is </w:t>
      </w:r>
      <w:r>
        <w:t>largely</w:t>
      </w:r>
      <w:r w:rsidRPr="003873C6">
        <w:t xml:space="preserve"> driven by the realignment of project profiles under the Infrastructure Investment Program to </w:t>
      </w:r>
      <w:r>
        <w:t>more accurately</w:t>
      </w:r>
      <w:r w:rsidRPr="003873C6">
        <w:t xml:space="preserve"> </w:t>
      </w:r>
      <w:r>
        <w:t xml:space="preserve">reflect </w:t>
      </w:r>
      <w:r w:rsidRPr="003873C6">
        <w:t>delivery schedules</w:t>
      </w:r>
      <w:r>
        <w:t>, as well as the completion of priority infrastructure projects</w:t>
      </w:r>
      <w:r w:rsidRPr="003873C6">
        <w:t>.</w:t>
      </w:r>
    </w:p>
    <w:p w14:paraId="608BB93A" w14:textId="77777777" w:rsidR="001D5083" w:rsidRDefault="001D5083" w:rsidP="001D5083">
      <w:pPr>
        <w:spacing w:line="240" w:lineRule="auto"/>
      </w:pPr>
      <w:r w:rsidRPr="007932B1">
        <w:rPr>
          <w:rStyle w:val="Strong"/>
        </w:rPr>
        <w:lastRenderedPageBreak/>
        <w:t>Communication</w:t>
      </w:r>
      <w:r w:rsidRPr="000177D7">
        <w:t xml:space="preserve"> </w:t>
      </w:r>
      <w:r>
        <w:t xml:space="preserve">expenses </w:t>
      </w:r>
      <w:r w:rsidRPr="000177D7">
        <w:t>are</w:t>
      </w:r>
      <w:r>
        <w:t xml:space="preserve"> estimated to decrease from 2024</w:t>
      </w:r>
      <w:r w:rsidRPr="003873C6">
        <w:rPr>
          <w:szCs w:val="19"/>
          <w:lang w:val="en-US"/>
        </w:rPr>
        <w:t>–</w:t>
      </w:r>
      <w:r>
        <w:t>25 to 2027</w:t>
      </w:r>
      <w:r w:rsidRPr="003873C6">
        <w:rPr>
          <w:szCs w:val="19"/>
          <w:lang w:val="en-US"/>
        </w:rPr>
        <w:t>–</w:t>
      </w:r>
      <w:r>
        <w:t xml:space="preserve">28, primarily reflecting the funding profile for </w:t>
      </w:r>
      <w:r w:rsidRPr="00E70969">
        <w:t>the Better Connectivity Plan for Regional and Rural Australia, and the conclusion of the</w:t>
      </w:r>
      <w:r>
        <w:t xml:space="preserve"> Mobile Black Spot Program.</w:t>
      </w:r>
    </w:p>
    <w:p w14:paraId="6B4DC2C1" w14:textId="77777777" w:rsidR="001D5083" w:rsidRDefault="001D5083" w:rsidP="001D5083">
      <w:pPr>
        <w:spacing w:line="240" w:lineRule="auto"/>
        <w:rPr>
          <w:rFonts w:cstheme="minorHAnsi"/>
          <w:szCs w:val="19"/>
        </w:rPr>
      </w:pPr>
      <w:r w:rsidRPr="007932B1">
        <w:rPr>
          <w:rStyle w:val="Strong"/>
        </w:rPr>
        <w:t>Rail transport</w:t>
      </w:r>
      <w:r w:rsidRPr="003A3BFD">
        <w:rPr>
          <w:szCs w:val="19"/>
        </w:rPr>
        <w:t xml:space="preserve"> </w:t>
      </w:r>
      <w:r>
        <w:rPr>
          <w:szCs w:val="19"/>
        </w:rPr>
        <w:t xml:space="preserve">expenses </w:t>
      </w:r>
      <w:r w:rsidRPr="003A3BFD">
        <w:rPr>
          <w:szCs w:val="19"/>
        </w:rPr>
        <w:t xml:space="preserve">are estimated to </w:t>
      </w:r>
      <w:r w:rsidRPr="003873C6">
        <w:rPr>
          <w:szCs w:val="19"/>
        </w:rPr>
        <w:t>increase from 2023</w:t>
      </w:r>
      <w:r w:rsidRPr="003873C6">
        <w:rPr>
          <w:rFonts w:cstheme="minorHAnsi"/>
          <w:szCs w:val="19"/>
        </w:rPr>
        <w:t>–</w:t>
      </w:r>
      <w:r w:rsidRPr="003873C6">
        <w:rPr>
          <w:szCs w:val="19"/>
        </w:rPr>
        <w:t>24 to 2024</w:t>
      </w:r>
      <w:r w:rsidRPr="003873C6">
        <w:rPr>
          <w:rFonts w:cstheme="minorHAnsi"/>
          <w:szCs w:val="19"/>
        </w:rPr>
        <w:t>–</w:t>
      </w:r>
      <w:r w:rsidRPr="003873C6">
        <w:rPr>
          <w:szCs w:val="19"/>
        </w:rPr>
        <w:t>25,</w:t>
      </w:r>
      <w:r>
        <w:rPr>
          <w:szCs w:val="19"/>
        </w:rPr>
        <w:t xml:space="preserve"> before</w:t>
      </w:r>
      <w:r w:rsidRPr="003873C6">
        <w:rPr>
          <w:szCs w:val="19"/>
        </w:rPr>
        <w:t xml:space="preserve"> decreas</w:t>
      </w:r>
      <w:r>
        <w:rPr>
          <w:szCs w:val="19"/>
        </w:rPr>
        <w:t xml:space="preserve">ing </w:t>
      </w:r>
      <w:r w:rsidRPr="003873C6">
        <w:rPr>
          <w:szCs w:val="19"/>
        </w:rPr>
        <w:t>from 2024</w:t>
      </w:r>
      <w:r w:rsidRPr="003873C6">
        <w:rPr>
          <w:rFonts w:cstheme="minorHAnsi"/>
          <w:szCs w:val="19"/>
          <w:lang w:val="en-US"/>
        </w:rPr>
        <w:t>–</w:t>
      </w:r>
      <w:r w:rsidRPr="003873C6">
        <w:rPr>
          <w:szCs w:val="19"/>
          <w:lang w:val="en-US"/>
        </w:rPr>
        <w:t>25</w:t>
      </w:r>
      <w:r w:rsidRPr="003873C6">
        <w:rPr>
          <w:szCs w:val="19"/>
        </w:rPr>
        <w:t xml:space="preserve"> to </w:t>
      </w:r>
      <w:r w:rsidRPr="003873C6">
        <w:rPr>
          <w:szCs w:val="19"/>
          <w:lang w:val="en-US"/>
        </w:rPr>
        <w:t>2027</w:t>
      </w:r>
      <w:r w:rsidRPr="003873C6">
        <w:rPr>
          <w:rFonts w:cstheme="minorHAnsi"/>
          <w:szCs w:val="19"/>
          <w:lang w:val="en-US"/>
        </w:rPr>
        <w:t>–</w:t>
      </w:r>
      <w:r w:rsidRPr="003873C6">
        <w:rPr>
          <w:szCs w:val="19"/>
          <w:lang w:val="en-US"/>
        </w:rPr>
        <w:t>28</w:t>
      </w:r>
      <w:r>
        <w:rPr>
          <w:szCs w:val="19"/>
          <w:lang w:val="en-US"/>
        </w:rPr>
        <w:t>. The initial increase and subsequent decrease in expenditure</w:t>
      </w:r>
      <w:r w:rsidRPr="003A3BFD">
        <w:rPr>
          <w:szCs w:val="19"/>
        </w:rPr>
        <w:t xml:space="preserve"> reflects the schedules of major rail infrastructure projects, </w:t>
      </w:r>
      <w:r>
        <w:t>including projects under the METRONET program and Sydney Metro – Western Sydney Airport.</w:t>
      </w:r>
    </w:p>
    <w:p w14:paraId="21355A67" w14:textId="77777777" w:rsidR="001D5083" w:rsidRPr="008E4D45" w:rsidRDefault="001D5083" w:rsidP="001D5083">
      <w:pPr>
        <w:spacing w:line="240" w:lineRule="auto"/>
        <w:rPr>
          <w:rFonts w:cstheme="minorHAnsi"/>
          <w:szCs w:val="19"/>
        </w:rPr>
      </w:pPr>
      <w:r w:rsidRPr="009F2958">
        <w:rPr>
          <w:rStyle w:val="Strong"/>
        </w:rPr>
        <w:t>Air transport</w:t>
      </w:r>
      <w:r w:rsidRPr="0046779C">
        <w:rPr>
          <w:rFonts w:cstheme="minorHAnsi"/>
          <w:szCs w:val="19"/>
        </w:rPr>
        <w:t xml:space="preserve"> </w:t>
      </w:r>
      <w:r>
        <w:rPr>
          <w:rFonts w:cstheme="minorHAnsi"/>
          <w:szCs w:val="19"/>
        </w:rPr>
        <w:t xml:space="preserve">expenses </w:t>
      </w:r>
      <w:r w:rsidRPr="0046779C">
        <w:rPr>
          <w:rFonts w:cstheme="minorHAnsi"/>
          <w:szCs w:val="19"/>
        </w:rPr>
        <w:t>primarily relate to activities of the safety regulator Civil Aviation Safety Authority</w:t>
      </w:r>
      <w:r>
        <w:rPr>
          <w:rFonts w:cstheme="minorHAnsi"/>
          <w:szCs w:val="19"/>
        </w:rPr>
        <w:t>,</w:t>
      </w:r>
      <w:r w:rsidRPr="0046779C">
        <w:rPr>
          <w:rFonts w:cstheme="minorHAnsi"/>
          <w:szCs w:val="19"/>
        </w:rPr>
        <w:t xml:space="preserve"> and aviation related initiatives. Total expenses</w:t>
      </w:r>
      <w:r>
        <w:rPr>
          <w:rFonts w:cstheme="minorHAnsi"/>
          <w:szCs w:val="19"/>
        </w:rPr>
        <w:t xml:space="preserve"> are estimated to</w:t>
      </w:r>
      <w:r w:rsidRPr="0046779C">
        <w:rPr>
          <w:rFonts w:cstheme="minorHAnsi"/>
          <w:szCs w:val="19"/>
        </w:rPr>
        <w:t xml:space="preserve"> decrease from 202</w:t>
      </w:r>
      <w:r>
        <w:rPr>
          <w:rFonts w:cstheme="minorHAnsi"/>
          <w:szCs w:val="19"/>
        </w:rPr>
        <w:t>4</w:t>
      </w:r>
      <w:r w:rsidRPr="0046779C">
        <w:rPr>
          <w:rFonts w:cstheme="minorHAnsi"/>
          <w:szCs w:val="19"/>
        </w:rPr>
        <w:t>–2</w:t>
      </w:r>
      <w:r>
        <w:rPr>
          <w:rFonts w:cstheme="minorHAnsi"/>
          <w:szCs w:val="19"/>
        </w:rPr>
        <w:t>5</w:t>
      </w:r>
      <w:r w:rsidRPr="0046779C">
        <w:rPr>
          <w:rFonts w:cstheme="minorHAnsi"/>
          <w:szCs w:val="19"/>
        </w:rPr>
        <w:t xml:space="preserve"> to 2027–28</w:t>
      </w:r>
      <w:r>
        <w:rPr>
          <w:rFonts w:cstheme="minorHAnsi"/>
          <w:szCs w:val="19"/>
        </w:rPr>
        <w:t>,</w:t>
      </w:r>
      <w:r w:rsidRPr="0046779C">
        <w:rPr>
          <w:rFonts w:cstheme="minorHAnsi"/>
          <w:szCs w:val="19"/>
        </w:rPr>
        <w:t xml:space="preserve"> due to the conclusion of a number of aviation initiatives, including upgrades at Hobart and Newcastle Airports and the timing of additional rounds of regional aviation connectivity programs provided through the 2024</w:t>
      </w:r>
      <w:r>
        <w:rPr>
          <w:rFonts w:cstheme="minorHAnsi"/>
          <w:szCs w:val="19"/>
        </w:rPr>
        <w:t>–</w:t>
      </w:r>
      <w:r w:rsidRPr="0046779C">
        <w:rPr>
          <w:rFonts w:cstheme="minorHAnsi"/>
          <w:szCs w:val="19"/>
        </w:rPr>
        <w:t xml:space="preserve">25 Budget measure </w:t>
      </w:r>
      <w:r w:rsidRPr="009F2958">
        <w:rPr>
          <w:rStyle w:val="Emphasis"/>
        </w:rPr>
        <w:t>Supporting Transport Priorities</w:t>
      </w:r>
      <w:r>
        <w:rPr>
          <w:rFonts w:cstheme="minorHAnsi"/>
          <w:szCs w:val="19"/>
        </w:rPr>
        <w:t>.</w:t>
      </w:r>
    </w:p>
    <w:p w14:paraId="16D9F7AA" w14:textId="77777777" w:rsidR="001D5083" w:rsidRDefault="001D5083" w:rsidP="001D5083">
      <w:pPr>
        <w:spacing w:line="240" w:lineRule="auto"/>
        <w:rPr>
          <w:szCs w:val="19"/>
        </w:rPr>
      </w:pPr>
      <w:r w:rsidRPr="00AC51DA">
        <w:rPr>
          <w:rStyle w:val="Strong"/>
        </w:rPr>
        <w:t>Road transport</w:t>
      </w:r>
      <w:r w:rsidRPr="003A3BFD">
        <w:rPr>
          <w:szCs w:val="19"/>
        </w:rPr>
        <w:t xml:space="preserve"> </w:t>
      </w:r>
      <w:r>
        <w:rPr>
          <w:szCs w:val="19"/>
        </w:rPr>
        <w:t xml:space="preserve">expenses </w:t>
      </w:r>
      <w:r w:rsidRPr="003A3BFD">
        <w:rPr>
          <w:szCs w:val="19"/>
        </w:rPr>
        <w:t xml:space="preserve">are estimated to increase </w:t>
      </w:r>
      <w:r w:rsidRPr="003873C6">
        <w:rPr>
          <w:szCs w:val="19"/>
        </w:rPr>
        <w:t>from 2023</w:t>
      </w:r>
      <w:r w:rsidRPr="003873C6">
        <w:rPr>
          <w:szCs w:val="19"/>
          <w:lang w:val="en-US"/>
        </w:rPr>
        <w:t>–</w:t>
      </w:r>
      <w:r w:rsidRPr="003873C6">
        <w:rPr>
          <w:szCs w:val="19"/>
        </w:rPr>
        <w:t>24 to 202</w:t>
      </w:r>
      <w:r>
        <w:rPr>
          <w:szCs w:val="19"/>
        </w:rPr>
        <w:t>5</w:t>
      </w:r>
      <w:r>
        <w:rPr>
          <w:rFonts w:cstheme="minorHAnsi"/>
          <w:szCs w:val="19"/>
        </w:rPr>
        <w:t>–</w:t>
      </w:r>
      <w:r w:rsidRPr="003873C6">
        <w:rPr>
          <w:szCs w:val="19"/>
        </w:rPr>
        <w:t>2</w:t>
      </w:r>
      <w:r>
        <w:rPr>
          <w:szCs w:val="19"/>
        </w:rPr>
        <w:t>6</w:t>
      </w:r>
      <w:r w:rsidRPr="003873C6">
        <w:rPr>
          <w:szCs w:val="19"/>
        </w:rPr>
        <w:t>, and then decrease from 202</w:t>
      </w:r>
      <w:r>
        <w:rPr>
          <w:szCs w:val="19"/>
        </w:rPr>
        <w:t>5</w:t>
      </w:r>
      <w:r w:rsidRPr="003873C6">
        <w:rPr>
          <w:rFonts w:cstheme="minorHAnsi"/>
          <w:szCs w:val="19"/>
        </w:rPr>
        <w:t>–</w:t>
      </w:r>
      <w:r w:rsidRPr="003873C6">
        <w:rPr>
          <w:szCs w:val="19"/>
        </w:rPr>
        <w:t>2</w:t>
      </w:r>
      <w:r>
        <w:rPr>
          <w:szCs w:val="19"/>
        </w:rPr>
        <w:t>6</w:t>
      </w:r>
      <w:r w:rsidRPr="003873C6">
        <w:rPr>
          <w:szCs w:val="19"/>
        </w:rPr>
        <w:t xml:space="preserve"> to 2027</w:t>
      </w:r>
      <w:r w:rsidRPr="003873C6">
        <w:rPr>
          <w:rFonts w:cstheme="minorHAnsi"/>
          <w:szCs w:val="19"/>
        </w:rPr>
        <w:t>–</w:t>
      </w:r>
      <w:r w:rsidRPr="003873C6">
        <w:rPr>
          <w:szCs w:val="19"/>
        </w:rPr>
        <w:t>28. The increase and subsequent decrease</w:t>
      </w:r>
      <w:r w:rsidRPr="003A3BFD">
        <w:rPr>
          <w:szCs w:val="19"/>
        </w:rPr>
        <w:t xml:space="preserve"> in expenditure, reflects the Government</w:t>
      </w:r>
      <w:r>
        <w:rPr>
          <w:szCs w:val="19"/>
        </w:rPr>
        <w:t>’</w:t>
      </w:r>
      <w:r w:rsidRPr="003A3BFD">
        <w:rPr>
          <w:szCs w:val="19"/>
        </w:rPr>
        <w:t xml:space="preserve">s continued investment in priority road infrastructure projects, and the expected completion of priority </w:t>
      </w:r>
      <w:r w:rsidRPr="003873C6">
        <w:rPr>
          <w:szCs w:val="19"/>
        </w:rPr>
        <w:t>infrastructure projects including t</w:t>
      </w:r>
      <w:r w:rsidRPr="00E70969">
        <w:rPr>
          <w:szCs w:val="19"/>
        </w:rPr>
        <w:t>he Bunbury Outer Ring Road and M12 Motorway. Thro</w:t>
      </w:r>
      <w:r w:rsidRPr="003A3BFD">
        <w:rPr>
          <w:szCs w:val="19"/>
        </w:rPr>
        <w:t xml:space="preserve">ugh the </w:t>
      </w:r>
      <w:r w:rsidRPr="003873C6">
        <w:rPr>
          <w:szCs w:val="19"/>
        </w:rPr>
        <w:t>2024</w:t>
      </w:r>
      <w:r w:rsidRPr="003873C6">
        <w:rPr>
          <w:szCs w:val="19"/>
          <w:lang w:val="en-US"/>
        </w:rPr>
        <w:t>–</w:t>
      </w:r>
      <w:r w:rsidRPr="003873C6">
        <w:rPr>
          <w:szCs w:val="19"/>
        </w:rPr>
        <w:t xml:space="preserve">25 Budget measure </w:t>
      </w:r>
      <w:r w:rsidRPr="00AC51DA">
        <w:rPr>
          <w:rStyle w:val="Emphasis"/>
        </w:rPr>
        <w:t>Building a Better Future Through Considered Infrastructure Investment</w:t>
      </w:r>
      <w:r w:rsidRPr="00E70969">
        <w:rPr>
          <w:szCs w:val="19"/>
        </w:rPr>
        <w:t xml:space="preserve">, the </w:t>
      </w:r>
      <w:r w:rsidRPr="00E70969">
        <w:rPr>
          <w:rFonts w:cstheme="minorHAnsi"/>
          <w:szCs w:val="19"/>
        </w:rPr>
        <w:t xml:space="preserve">Government </w:t>
      </w:r>
      <w:r>
        <w:rPr>
          <w:rFonts w:cstheme="minorHAnsi"/>
          <w:szCs w:val="19"/>
        </w:rPr>
        <w:t>is</w:t>
      </w:r>
      <w:r w:rsidRPr="00E70969">
        <w:rPr>
          <w:rFonts w:cstheme="minorHAnsi"/>
          <w:szCs w:val="19"/>
        </w:rPr>
        <w:t xml:space="preserve"> provid</w:t>
      </w:r>
      <w:r>
        <w:rPr>
          <w:rFonts w:cstheme="minorHAnsi"/>
          <w:szCs w:val="19"/>
        </w:rPr>
        <w:t>ing</w:t>
      </w:r>
      <w:r w:rsidRPr="00E70969">
        <w:rPr>
          <w:rFonts w:cstheme="minorHAnsi"/>
          <w:szCs w:val="19"/>
        </w:rPr>
        <w:t xml:space="preserve"> $16.5</w:t>
      </w:r>
      <w:r>
        <w:rPr>
          <w:rFonts w:cstheme="minorHAnsi"/>
          <w:szCs w:val="19"/>
        </w:rPr>
        <w:t> </w:t>
      </w:r>
      <w:r w:rsidRPr="00E70969">
        <w:rPr>
          <w:rFonts w:cstheme="minorHAnsi"/>
          <w:szCs w:val="19"/>
        </w:rPr>
        <w:t>billion towards priority road and rail projects and re</w:t>
      </w:r>
      <w:r>
        <w:rPr>
          <w:rFonts w:cstheme="minorHAnsi"/>
          <w:szCs w:val="19"/>
        </w:rPr>
        <w:noBreakHyphen/>
      </w:r>
      <w:r w:rsidRPr="00E70969">
        <w:rPr>
          <w:rFonts w:cstheme="minorHAnsi"/>
          <w:szCs w:val="19"/>
        </w:rPr>
        <w:t>profile $2.1 billion to beyond the</w:t>
      </w:r>
      <w:r>
        <w:rPr>
          <w:rFonts w:cstheme="minorHAnsi"/>
          <w:szCs w:val="19"/>
        </w:rPr>
        <w:t xml:space="preserve"> forward estimates to better align with construction market conditions and project delivery timeframes.</w:t>
      </w:r>
    </w:p>
    <w:bookmarkEnd w:id="159"/>
    <w:bookmarkEnd w:id="160"/>
    <w:p w14:paraId="42FEEADB" w14:textId="77777777" w:rsidR="001D5083" w:rsidRPr="003873C6" w:rsidRDefault="001D5083" w:rsidP="001D5083">
      <w:pPr>
        <w:spacing w:line="240" w:lineRule="auto"/>
        <w:rPr>
          <w:szCs w:val="19"/>
        </w:rPr>
      </w:pPr>
      <w:r w:rsidRPr="003873C6">
        <w:rPr>
          <w:szCs w:val="19"/>
        </w:rPr>
        <w:t>Total expenses</w:t>
      </w:r>
      <w:r>
        <w:rPr>
          <w:szCs w:val="19"/>
        </w:rPr>
        <w:t xml:space="preserve"> for</w:t>
      </w:r>
      <w:r w:rsidRPr="003873C6">
        <w:rPr>
          <w:szCs w:val="19"/>
        </w:rPr>
        <w:t xml:space="preserve"> </w:t>
      </w:r>
      <w:r w:rsidRPr="00442AF1">
        <w:rPr>
          <w:rStyle w:val="Strong"/>
        </w:rPr>
        <w:t xml:space="preserve">other transport and communication </w:t>
      </w:r>
      <w:r w:rsidRPr="003873C6">
        <w:rPr>
          <w:szCs w:val="19"/>
        </w:rPr>
        <w:t xml:space="preserve">are estimated to decrease from 2024–25 to 2027–28, </w:t>
      </w:r>
      <w:r>
        <w:rPr>
          <w:szCs w:val="19"/>
        </w:rPr>
        <w:t xml:space="preserve">primarily </w:t>
      </w:r>
      <w:r w:rsidRPr="003873C6">
        <w:rPr>
          <w:szCs w:val="19"/>
        </w:rPr>
        <w:t xml:space="preserve">reflecting the </w:t>
      </w:r>
      <w:r>
        <w:rPr>
          <w:szCs w:val="19"/>
        </w:rPr>
        <w:t>timeline of departmental</w:t>
      </w:r>
      <w:r w:rsidRPr="003873C6">
        <w:rPr>
          <w:szCs w:val="19"/>
        </w:rPr>
        <w:t xml:space="preserve"> activities </w:t>
      </w:r>
      <w:r>
        <w:rPr>
          <w:szCs w:val="19"/>
        </w:rPr>
        <w:t>under</w:t>
      </w:r>
      <w:r w:rsidRPr="003873C6">
        <w:rPr>
          <w:szCs w:val="19"/>
        </w:rPr>
        <w:t xml:space="preserve"> the 2024–25 Budget </w:t>
      </w:r>
      <w:r w:rsidRPr="00E70969">
        <w:rPr>
          <w:szCs w:val="19"/>
        </w:rPr>
        <w:t xml:space="preserve">measure </w:t>
      </w:r>
      <w:r w:rsidRPr="00442AF1">
        <w:rPr>
          <w:rStyle w:val="Emphasis"/>
        </w:rPr>
        <w:t>New Vehicle Efficiency Standard Implementation</w:t>
      </w:r>
      <w:r w:rsidRPr="00E70969">
        <w:rPr>
          <w:szCs w:val="19"/>
        </w:rPr>
        <w:t>.</w:t>
      </w:r>
    </w:p>
    <w:p w14:paraId="2306DEC5" w14:textId="77777777" w:rsidR="00EC03B5" w:rsidRPr="000177D7" w:rsidRDefault="00EC03B5" w:rsidP="00EC03B5">
      <w:pPr>
        <w:pStyle w:val="Heading3"/>
      </w:pPr>
      <w:bookmarkStart w:id="163" w:name="_Toc166369430"/>
      <w:bookmarkEnd w:id="161"/>
      <w:r w:rsidRPr="000177D7">
        <w:t>Other economic affairs</w:t>
      </w:r>
      <w:bookmarkEnd w:id="163"/>
    </w:p>
    <w:p w14:paraId="459C129B" w14:textId="3F4111E0" w:rsidR="00E32E1B" w:rsidRPr="000177D7" w:rsidRDefault="00E32E1B" w:rsidP="00E32E1B">
      <w:bookmarkStart w:id="164" w:name="_Toc99203692"/>
      <w:bookmarkStart w:id="165" w:name="_Toc117358185"/>
      <w:r w:rsidRPr="000177D7">
        <w:t>The other economic affairs function includes expenses on tourism and area promotion, labour market assistance, immigration, industrial relations, and other economic affairs not elsewhere classified (nec).</w:t>
      </w:r>
    </w:p>
    <w:p w14:paraId="067FC0D5" w14:textId="77777777" w:rsidR="00D210D8" w:rsidRDefault="00D210D8">
      <w:pPr>
        <w:spacing w:before="0" w:after="160" w:line="259" w:lineRule="auto"/>
      </w:pPr>
      <w:r>
        <w:br w:type="page"/>
      </w:r>
    </w:p>
    <w:p w14:paraId="5F9F7A2C" w14:textId="5ECF0F7B" w:rsidR="001F7425" w:rsidRDefault="00E32E1B" w:rsidP="001F7425">
      <w:pPr>
        <w:pStyle w:val="TableHeading"/>
        <w:rPr>
          <w:rFonts w:asciiTheme="minorHAnsi" w:eastAsiaTheme="minorHAnsi" w:hAnsiTheme="minorHAnsi" w:cstheme="minorBidi"/>
          <w:sz w:val="22"/>
          <w:szCs w:val="22"/>
          <w:lang w:eastAsia="en-US"/>
        </w:rPr>
      </w:pPr>
      <w:r>
        <w:lastRenderedPageBreak/>
        <w:t>Table </w:t>
      </w:r>
      <w:r w:rsidRPr="000177D7">
        <w:t>6.16: Summary of expenses</w:t>
      </w:r>
      <w:r>
        <w:t xml:space="preserve"> – </w:t>
      </w:r>
      <w:r w:rsidRPr="000177D7">
        <w:t>other economic affairs</w:t>
      </w:r>
      <w:bookmarkStart w:id="166" w:name="_1727774373"/>
      <w:bookmarkEnd w:id="166"/>
    </w:p>
    <w:tbl>
      <w:tblPr>
        <w:tblW w:w="5000" w:type="pct"/>
        <w:tblCellMar>
          <w:left w:w="0" w:type="dxa"/>
          <w:right w:w="28" w:type="dxa"/>
        </w:tblCellMar>
        <w:tblLook w:val="04A0" w:firstRow="1" w:lastRow="0" w:firstColumn="1" w:lastColumn="0" w:noHBand="0" w:noVBand="1"/>
      </w:tblPr>
      <w:tblGrid>
        <w:gridCol w:w="3694"/>
        <w:gridCol w:w="805"/>
        <w:gridCol w:w="803"/>
        <w:gridCol w:w="803"/>
        <w:gridCol w:w="803"/>
        <w:gridCol w:w="802"/>
      </w:tblGrid>
      <w:tr w:rsidR="001F7425" w:rsidRPr="001F7425" w14:paraId="5BEF7A2A" w14:textId="77777777" w:rsidTr="009317BE">
        <w:trPr>
          <w:trHeight w:hRule="exact" w:val="225"/>
        </w:trPr>
        <w:tc>
          <w:tcPr>
            <w:tcW w:w="2395" w:type="pct"/>
            <w:tcBorders>
              <w:top w:val="single" w:sz="4" w:space="0" w:color="293F5B"/>
              <w:left w:val="nil"/>
              <w:bottom w:val="nil"/>
              <w:right w:val="nil"/>
            </w:tcBorders>
            <w:shd w:val="clear" w:color="000000" w:fill="FFFFFF"/>
            <w:noWrap/>
            <w:vAlign w:val="center"/>
            <w:hideMark/>
          </w:tcPr>
          <w:p w14:paraId="146104C5" w14:textId="123D9590" w:rsidR="001F7425" w:rsidRPr="001F7425" w:rsidRDefault="001F7425" w:rsidP="001F7425">
            <w:pPr>
              <w:spacing w:before="0" w:after="0" w:line="240" w:lineRule="auto"/>
              <w:rPr>
                <w:rFonts w:ascii="Arial" w:hAnsi="Arial" w:cs="Arial"/>
                <w:b/>
                <w:bCs/>
                <w:color w:val="000000"/>
                <w:sz w:val="16"/>
                <w:szCs w:val="16"/>
              </w:rPr>
            </w:pPr>
            <w:r w:rsidRPr="001F7425">
              <w:rPr>
                <w:rFonts w:ascii="Arial" w:hAnsi="Arial" w:cs="Arial"/>
                <w:b/>
                <w:bCs/>
                <w:color w:val="000000"/>
                <w:sz w:val="16"/>
                <w:szCs w:val="16"/>
              </w:rPr>
              <w:t>Sub-function</w:t>
            </w:r>
          </w:p>
        </w:tc>
        <w:tc>
          <w:tcPr>
            <w:tcW w:w="2605" w:type="pct"/>
            <w:gridSpan w:val="5"/>
            <w:tcBorders>
              <w:top w:val="single" w:sz="4" w:space="0" w:color="293F5B"/>
              <w:left w:val="nil"/>
              <w:bottom w:val="single" w:sz="4" w:space="0" w:color="293F5B"/>
              <w:right w:val="nil"/>
            </w:tcBorders>
            <w:shd w:val="clear" w:color="000000" w:fill="FFFFFF"/>
            <w:noWrap/>
            <w:vAlign w:val="center"/>
            <w:hideMark/>
          </w:tcPr>
          <w:p w14:paraId="6900BA14" w14:textId="77777777" w:rsidR="001F7425" w:rsidRPr="001F7425" w:rsidRDefault="001F7425" w:rsidP="001F7425">
            <w:pPr>
              <w:spacing w:before="0" w:after="0" w:line="240" w:lineRule="auto"/>
              <w:jc w:val="center"/>
              <w:rPr>
                <w:rFonts w:ascii="Arial" w:hAnsi="Arial" w:cs="Arial"/>
                <w:color w:val="000000"/>
                <w:sz w:val="16"/>
                <w:szCs w:val="16"/>
              </w:rPr>
            </w:pPr>
            <w:r w:rsidRPr="001F7425">
              <w:rPr>
                <w:rFonts w:ascii="Arial" w:hAnsi="Arial" w:cs="Arial"/>
                <w:color w:val="000000"/>
                <w:sz w:val="16"/>
                <w:szCs w:val="16"/>
              </w:rPr>
              <w:t>Estimates</w:t>
            </w:r>
          </w:p>
        </w:tc>
      </w:tr>
      <w:tr w:rsidR="001F7425" w:rsidRPr="001F7425" w14:paraId="1670112B" w14:textId="77777777" w:rsidTr="009317BE">
        <w:trPr>
          <w:trHeight w:hRule="exact" w:val="225"/>
        </w:trPr>
        <w:tc>
          <w:tcPr>
            <w:tcW w:w="2395" w:type="pct"/>
            <w:tcBorders>
              <w:top w:val="nil"/>
              <w:left w:val="nil"/>
              <w:bottom w:val="nil"/>
              <w:right w:val="nil"/>
            </w:tcBorders>
            <w:shd w:val="clear" w:color="000000" w:fill="FFFFFF"/>
            <w:noWrap/>
            <w:vAlign w:val="bottom"/>
            <w:hideMark/>
          </w:tcPr>
          <w:p w14:paraId="0D2E827D" w14:textId="77777777" w:rsidR="001F7425" w:rsidRPr="001F7425" w:rsidRDefault="001F7425" w:rsidP="001F7425">
            <w:pPr>
              <w:spacing w:before="0" w:after="0" w:line="240" w:lineRule="auto"/>
              <w:rPr>
                <w:rFonts w:ascii="Arial" w:hAnsi="Arial" w:cs="Arial"/>
                <w:color w:val="000000"/>
                <w:sz w:val="16"/>
                <w:szCs w:val="16"/>
              </w:rPr>
            </w:pPr>
            <w:r w:rsidRPr="001F7425">
              <w:rPr>
                <w:rFonts w:ascii="Arial" w:hAnsi="Arial" w:cs="Arial"/>
                <w:color w:val="000000"/>
                <w:sz w:val="16"/>
                <w:szCs w:val="16"/>
              </w:rPr>
              <w:t> </w:t>
            </w:r>
          </w:p>
        </w:tc>
        <w:tc>
          <w:tcPr>
            <w:tcW w:w="522" w:type="pct"/>
            <w:tcBorders>
              <w:top w:val="single" w:sz="4" w:space="0" w:color="293F5B"/>
              <w:left w:val="nil"/>
              <w:bottom w:val="nil"/>
              <w:right w:val="nil"/>
            </w:tcBorders>
            <w:shd w:val="clear" w:color="000000" w:fill="FFFFFF"/>
            <w:noWrap/>
            <w:vAlign w:val="center"/>
            <w:hideMark/>
          </w:tcPr>
          <w:p w14:paraId="4C50B819" w14:textId="77777777" w:rsidR="001F7425" w:rsidRPr="001F7425" w:rsidRDefault="001F7425" w:rsidP="001F7425">
            <w:pPr>
              <w:spacing w:before="0" w:after="0" w:line="240" w:lineRule="auto"/>
              <w:jc w:val="right"/>
              <w:rPr>
                <w:rFonts w:ascii="Arial" w:hAnsi="Arial" w:cs="Arial"/>
                <w:sz w:val="16"/>
                <w:szCs w:val="16"/>
              </w:rPr>
            </w:pPr>
            <w:r w:rsidRPr="001F7425">
              <w:rPr>
                <w:rFonts w:ascii="Arial" w:hAnsi="Arial" w:cs="Arial"/>
                <w:sz w:val="16"/>
                <w:szCs w:val="16"/>
              </w:rPr>
              <w:t>2023-24</w:t>
            </w:r>
          </w:p>
        </w:tc>
        <w:tc>
          <w:tcPr>
            <w:tcW w:w="521" w:type="pct"/>
            <w:tcBorders>
              <w:top w:val="single" w:sz="4" w:space="0" w:color="293F5B"/>
              <w:left w:val="nil"/>
              <w:bottom w:val="nil"/>
              <w:right w:val="nil"/>
            </w:tcBorders>
            <w:shd w:val="clear" w:color="000000" w:fill="E6F2FF"/>
            <w:noWrap/>
            <w:vAlign w:val="center"/>
            <w:hideMark/>
          </w:tcPr>
          <w:p w14:paraId="4FB363E2" w14:textId="77777777" w:rsidR="001F7425" w:rsidRPr="001F7425" w:rsidRDefault="001F7425" w:rsidP="001F7425">
            <w:pPr>
              <w:spacing w:before="0" w:after="0" w:line="240" w:lineRule="auto"/>
              <w:jc w:val="right"/>
              <w:rPr>
                <w:rFonts w:ascii="Arial" w:hAnsi="Arial" w:cs="Arial"/>
                <w:sz w:val="16"/>
                <w:szCs w:val="16"/>
              </w:rPr>
            </w:pPr>
            <w:r w:rsidRPr="001F7425">
              <w:rPr>
                <w:rFonts w:ascii="Arial" w:hAnsi="Arial" w:cs="Arial"/>
                <w:sz w:val="16"/>
                <w:szCs w:val="16"/>
              </w:rPr>
              <w:t>2024-25</w:t>
            </w:r>
          </w:p>
        </w:tc>
        <w:tc>
          <w:tcPr>
            <w:tcW w:w="521" w:type="pct"/>
            <w:tcBorders>
              <w:top w:val="single" w:sz="4" w:space="0" w:color="293F5B"/>
              <w:left w:val="nil"/>
              <w:bottom w:val="nil"/>
              <w:right w:val="nil"/>
            </w:tcBorders>
            <w:shd w:val="clear" w:color="000000" w:fill="FFFFFF"/>
            <w:noWrap/>
            <w:vAlign w:val="center"/>
            <w:hideMark/>
          </w:tcPr>
          <w:p w14:paraId="300BB5E9" w14:textId="77777777" w:rsidR="001F7425" w:rsidRPr="001F7425" w:rsidRDefault="001F7425" w:rsidP="001F7425">
            <w:pPr>
              <w:spacing w:before="0" w:after="0" w:line="240" w:lineRule="auto"/>
              <w:jc w:val="right"/>
              <w:rPr>
                <w:rFonts w:ascii="Arial" w:hAnsi="Arial" w:cs="Arial"/>
                <w:sz w:val="16"/>
                <w:szCs w:val="16"/>
              </w:rPr>
            </w:pPr>
            <w:r w:rsidRPr="001F7425">
              <w:rPr>
                <w:rFonts w:ascii="Arial" w:hAnsi="Arial" w:cs="Arial"/>
                <w:sz w:val="16"/>
                <w:szCs w:val="16"/>
              </w:rPr>
              <w:t>2025-26</w:t>
            </w:r>
          </w:p>
        </w:tc>
        <w:tc>
          <w:tcPr>
            <w:tcW w:w="521" w:type="pct"/>
            <w:tcBorders>
              <w:top w:val="single" w:sz="4" w:space="0" w:color="293F5B"/>
              <w:left w:val="nil"/>
              <w:bottom w:val="nil"/>
              <w:right w:val="nil"/>
            </w:tcBorders>
            <w:shd w:val="clear" w:color="000000" w:fill="FFFFFF"/>
            <w:noWrap/>
            <w:vAlign w:val="center"/>
            <w:hideMark/>
          </w:tcPr>
          <w:p w14:paraId="4C4E7932" w14:textId="77777777" w:rsidR="001F7425" w:rsidRPr="001F7425" w:rsidRDefault="001F7425" w:rsidP="001F7425">
            <w:pPr>
              <w:spacing w:before="0" w:after="0" w:line="240" w:lineRule="auto"/>
              <w:jc w:val="right"/>
              <w:rPr>
                <w:rFonts w:ascii="Arial" w:hAnsi="Arial" w:cs="Arial"/>
                <w:sz w:val="16"/>
                <w:szCs w:val="16"/>
              </w:rPr>
            </w:pPr>
            <w:r w:rsidRPr="001F7425">
              <w:rPr>
                <w:rFonts w:ascii="Arial" w:hAnsi="Arial" w:cs="Arial"/>
                <w:sz w:val="16"/>
                <w:szCs w:val="16"/>
              </w:rPr>
              <w:t>2026-27</w:t>
            </w:r>
          </w:p>
        </w:tc>
        <w:tc>
          <w:tcPr>
            <w:tcW w:w="521" w:type="pct"/>
            <w:tcBorders>
              <w:top w:val="single" w:sz="4" w:space="0" w:color="293F5B"/>
              <w:left w:val="nil"/>
              <w:bottom w:val="nil"/>
              <w:right w:val="nil"/>
            </w:tcBorders>
            <w:shd w:val="clear" w:color="000000" w:fill="FFFFFF"/>
            <w:noWrap/>
            <w:vAlign w:val="center"/>
            <w:hideMark/>
          </w:tcPr>
          <w:p w14:paraId="798C4CED" w14:textId="77777777" w:rsidR="001F7425" w:rsidRPr="001F7425" w:rsidRDefault="001F7425" w:rsidP="001F7425">
            <w:pPr>
              <w:spacing w:before="0" w:after="0" w:line="240" w:lineRule="auto"/>
              <w:jc w:val="right"/>
              <w:rPr>
                <w:rFonts w:ascii="Arial" w:hAnsi="Arial" w:cs="Arial"/>
                <w:color w:val="000000"/>
                <w:sz w:val="16"/>
                <w:szCs w:val="16"/>
              </w:rPr>
            </w:pPr>
            <w:r w:rsidRPr="001F7425">
              <w:rPr>
                <w:rFonts w:ascii="Arial" w:hAnsi="Arial" w:cs="Arial"/>
                <w:color w:val="000000"/>
                <w:sz w:val="16"/>
                <w:szCs w:val="16"/>
              </w:rPr>
              <w:t>2027-28</w:t>
            </w:r>
          </w:p>
        </w:tc>
      </w:tr>
      <w:tr w:rsidR="001F7425" w:rsidRPr="001F7425" w14:paraId="63DDB830" w14:textId="77777777" w:rsidTr="009317BE">
        <w:trPr>
          <w:trHeight w:hRule="exact" w:val="225"/>
        </w:trPr>
        <w:tc>
          <w:tcPr>
            <w:tcW w:w="2395" w:type="pct"/>
            <w:tcBorders>
              <w:top w:val="nil"/>
              <w:left w:val="nil"/>
              <w:bottom w:val="nil"/>
              <w:right w:val="nil"/>
            </w:tcBorders>
            <w:shd w:val="clear" w:color="000000" w:fill="FFFFFF"/>
            <w:noWrap/>
            <w:vAlign w:val="center"/>
            <w:hideMark/>
          </w:tcPr>
          <w:p w14:paraId="644F55D7" w14:textId="77777777" w:rsidR="001F7425" w:rsidRPr="001F7425" w:rsidRDefault="001F7425" w:rsidP="001F7425">
            <w:pPr>
              <w:spacing w:before="0" w:after="0" w:line="240" w:lineRule="auto"/>
              <w:rPr>
                <w:rFonts w:ascii="Arial" w:hAnsi="Arial" w:cs="Arial"/>
                <w:color w:val="000000"/>
                <w:sz w:val="16"/>
                <w:szCs w:val="16"/>
              </w:rPr>
            </w:pPr>
            <w:r w:rsidRPr="001F7425">
              <w:rPr>
                <w:rFonts w:ascii="Arial" w:hAnsi="Arial" w:cs="Arial"/>
                <w:color w:val="000000"/>
                <w:sz w:val="16"/>
                <w:szCs w:val="16"/>
              </w:rPr>
              <w:t> </w:t>
            </w:r>
          </w:p>
        </w:tc>
        <w:tc>
          <w:tcPr>
            <w:tcW w:w="522" w:type="pct"/>
            <w:tcBorders>
              <w:top w:val="nil"/>
              <w:left w:val="nil"/>
              <w:bottom w:val="single" w:sz="4" w:space="0" w:color="293F5B"/>
              <w:right w:val="nil"/>
            </w:tcBorders>
            <w:shd w:val="clear" w:color="000000" w:fill="FFFFFF"/>
            <w:noWrap/>
            <w:vAlign w:val="center"/>
            <w:hideMark/>
          </w:tcPr>
          <w:p w14:paraId="529D1449" w14:textId="77777777" w:rsidR="001F7425" w:rsidRPr="001F7425" w:rsidRDefault="001F7425" w:rsidP="001F7425">
            <w:pPr>
              <w:spacing w:before="0" w:after="0" w:line="240" w:lineRule="auto"/>
              <w:jc w:val="right"/>
              <w:rPr>
                <w:rFonts w:ascii="Arial" w:hAnsi="Arial" w:cs="Arial"/>
                <w:color w:val="000000"/>
                <w:sz w:val="16"/>
                <w:szCs w:val="16"/>
              </w:rPr>
            </w:pPr>
            <w:r w:rsidRPr="001F7425">
              <w:rPr>
                <w:rFonts w:ascii="Arial" w:hAnsi="Arial" w:cs="Arial"/>
                <w:color w:val="000000"/>
                <w:sz w:val="16"/>
                <w:szCs w:val="16"/>
              </w:rPr>
              <w:t>$m</w:t>
            </w:r>
          </w:p>
        </w:tc>
        <w:tc>
          <w:tcPr>
            <w:tcW w:w="521" w:type="pct"/>
            <w:tcBorders>
              <w:top w:val="nil"/>
              <w:left w:val="nil"/>
              <w:bottom w:val="single" w:sz="4" w:space="0" w:color="293F5B"/>
              <w:right w:val="nil"/>
            </w:tcBorders>
            <w:shd w:val="clear" w:color="000000" w:fill="E6F2FF"/>
            <w:noWrap/>
            <w:vAlign w:val="center"/>
            <w:hideMark/>
          </w:tcPr>
          <w:p w14:paraId="6F202609" w14:textId="77777777" w:rsidR="001F7425" w:rsidRPr="001F7425" w:rsidRDefault="001F7425" w:rsidP="001F7425">
            <w:pPr>
              <w:spacing w:before="0" w:after="0" w:line="240" w:lineRule="auto"/>
              <w:jc w:val="right"/>
              <w:rPr>
                <w:rFonts w:ascii="Arial" w:hAnsi="Arial" w:cs="Arial"/>
                <w:color w:val="000000"/>
                <w:sz w:val="16"/>
                <w:szCs w:val="16"/>
              </w:rPr>
            </w:pPr>
            <w:r w:rsidRPr="001F7425">
              <w:rPr>
                <w:rFonts w:ascii="Arial" w:hAnsi="Arial" w:cs="Arial"/>
                <w:color w:val="000000"/>
                <w:sz w:val="16"/>
                <w:szCs w:val="16"/>
              </w:rPr>
              <w:t>$m</w:t>
            </w:r>
          </w:p>
        </w:tc>
        <w:tc>
          <w:tcPr>
            <w:tcW w:w="521" w:type="pct"/>
            <w:tcBorders>
              <w:top w:val="nil"/>
              <w:left w:val="nil"/>
              <w:bottom w:val="single" w:sz="4" w:space="0" w:color="293F5B"/>
              <w:right w:val="nil"/>
            </w:tcBorders>
            <w:shd w:val="clear" w:color="000000" w:fill="FFFFFF"/>
            <w:noWrap/>
            <w:vAlign w:val="center"/>
            <w:hideMark/>
          </w:tcPr>
          <w:p w14:paraId="3F60083A" w14:textId="77777777" w:rsidR="001F7425" w:rsidRPr="001F7425" w:rsidRDefault="001F7425" w:rsidP="001F7425">
            <w:pPr>
              <w:spacing w:before="0" w:after="0" w:line="240" w:lineRule="auto"/>
              <w:jc w:val="right"/>
              <w:rPr>
                <w:rFonts w:ascii="Arial" w:hAnsi="Arial" w:cs="Arial"/>
                <w:color w:val="000000"/>
                <w:sz w:val="16"/>
                <w:szCs w:val="16"/>
              </w:rPr>
            </w:pPr>
            <w:r w:rsidRPr="001F7425">
              <w:rPr>
                <w:rFonts w:ascii="Arial" w:hAnsi="Arial" w:cs="Arial"/>
                <w:color w:val="000000"/>
                <w:sz w:val="16"/>
                <w:szCs w:val="16"/>
              </w:rPr>
              <w:t>$m</w:t>
            </w:r>
          </w:p>
        </w:tc>
        <w:tc>
          <w:tcPr>
            <w:tcW w:w="521" w:type="pct"/>
            <w:tcBorders>
              <w:top w:val="nil"/>
              <w:left w:val="nil"/>
              <w:bottom w:val="single" w:sz="4" w:space="0" w:color="293F5B"/>
              <w:right w:val="nil"/>
            </w:tcBorders>
            <w:shd w:val="clear" w:color="000000" w:fill="FFFFFF"/>
            <w:noWrap/>
            <w:vAlign w:val="center"/>
            <w:hideMark/>
          </w:tcPr>
          <w:p w14:paraId="622874B5" w14:textId="77777777" w:rsidR="001F7425" w:rsidRPr="001F7425" w:rsidRDefault="001F7425" w:rsidP="001F7425">
            <w:pPr>
              <w:spacing w:before="0" w:after="0" w:line="240" w:lineRule="auto"/>
              <w:jc w:val="right"/>
              <w:rPr>
                <w:rFonts w:ascii="Arial" w:hAnsi="Arial" w:cs="Arial"/>
                <w:color w:val="000000"/>
                <w:sz w:val="16"/>
                <w:szCs w:val="16"/>
              </w:rPr>
            </w:pPr>
            <w:r w:rsidRPr="001F7425">
              <w:rPr>
                <w:rFonts w:ascii="Arial" w:hAnsi="Arial" w:cs="Arial"/>
                <w:color w:val="000000"/>
                <w:sz w:val="16"/>
                <w:szCs w:val="16"/>
              </w:rPr>
              <w:t>$m</w:t>
            </w:r>
          </w:p>
        </w:tc>
        <w:tc>
          <w:tcPr>
            <w:tcW w:w="521" w:type="pct"/>
            <w:tcBorders>
              <w:top w:val="nil"/>
              <w:left w:val="nil"/>
              <w:bottom w:val="single" w:sz="4" w:space="0" w:color="293F5B"/>
              <w:right w:val="nil"/>
            </w:tcBorders>
            <w:shd w:val="clear" w:color="000000" w:fill="FFFFFF"/>
            <w:noWrap/>
            <w:vAlign w:val="center"/>
            <w:hideMark/>
          </w:tcPr>
          <w:p w14:paraId="45122336" w14:textId="77777777" w:rsidR="001F7425" w:rsidRPr="001F7425" w:rsidRDefault="001F7425" w:rsidP="001F7425">
            <w:pPr>
              <w:spacing w:before="0" w:after="0" w:line="240" w:lineRule="auto"/>
              <w:jc w:val="right"/>
              <w:rPr>
                <w:rFonts w:ascii="Arial" w:hAnsi="Arial" w:cs="Arial"/>
                <w:color w:val="000000"/>
                <w:sz w:val="16"/>
                <w:szCs w:val="16"/>
              </w:rPr>
            </w:pPr>
            <w:r w:rsidRPr="001F7425">
              <w:rPr>
                <w:rFonts w:ascii="Arial" w:hAnsi="Arial" w:cs="Arial"/>
                <w:color w:val="000000"/>
                <w:sz w:val="16"/>
                <w:szCs w:val="16"/>
              </w:rPr>
              <w:t>$m</w:t>
            </w:r>
          </w:p>
        </w:tc>
      </w:tr>
      <w:tr w:rsidR="001F7425" w:rsidRPr="001F7425" w14:paraId="6ABD5DBE" w14:textId="77777777" w:rsidTr="009317BE">
        <w:trPr>
          <w:trHeight w:hRule="exact" w:val="225"/>
        </w:trPr>
        <w:tc>
          <w:tcPr>
            <w:tcW w:w="2395" w:type="pct"/>
            <w:tcBorders>
              <w:top w:val="nil"/>
              <w:left w:val="nil"/>
              <w:bottom w:val="nil"/>
              <w:right w:val="nil"/>
            </w:tcBorders>
            <w:shd w:val="clear" w:color="000000" w:fill="FFFFFF"/>
            <w:noWrap/>
            <w:vAlign w:val="center"/>
            <w:hideMark/>
          </w:tcPr>
          <w:p w14:paraId="4BF00704" w14:textId="77777777" w:rsidR="001F7425" w:rsidRPr="001F7425" w:rsidRDefault="001F7425" w:rsidP="001F7425">
            <w:pPr>
              <w:spacing w:before="0" w:after="0" w:line="240" w:lineRule="auto"/>
              <w:rPr>
                <w:rFonts w:ascii="Arial" w:hAnsi="Arial" w:cs="Arial"/>
                <w:color w:val="000000"/>
                <w:sz w:val="16"/>
                <w:szCs w:val="16"/>
              </w:rPr>
            </w:pPr>
            <w:r w:rsidRPr="001F7425">
              <w:rPr>
                <w:rFonts w:ascii="Arial" w:hAnsi="Arial" w:cs="Arial"/>
                <w:color w:val="000000"/>
                <w:sz w:val="16"/>
                <w:szCs w:val="16"/>
              </w:rPr>
              <w:t>Tourism and area promotion</w:t>
            </w:r>
          </w:p>
        </w:tc>
        <w:tc>
          <w:tcPr>
            <w:tcW w:w="522" w:type="pct"/>
            <w:tcBorders>
              <w:top w:val="nil"/>
              <w:left w:val="nil"/>
              <w:bottom w:val="nil"/>
              <w:right w:val="nil"/>
            </w:tcBorders>
            <w:shd w:val="clear" w:color="000000" w:fill="FFFFFF"/>
            <w:noWrap/>
            <w:vAlign w:val="center"/>
            <w:hideMark/>
          </w:tcPr>
          <w:p w14:paraId="524A0EC7" w14:textId="77777777" w:rsidR="001F7425" w:rsidRPr="001F7425" w:rsidRDefault="001F7425" w:rsidP="001F7425">
            <w:pPr>
              <w:spacing w:before="0" w:after="0" w:line="240" w:lineRule="auto"/>
              <w:jc w:val="right"/>
              <w:rPr>
                <w:rFonts w:ascii="Arial" w:hAnsi="Arial" w:cs="Arial"/>
                <w:color w:val="000000"/>
                <w:sz w:val="16"/>
                <w:szCs w:val="16"/>
              </w:rPr>
            </w:pPr>
            <w:r w:rsidRPr="001F7425">
              <w:rPr>
                <w:rFonts w:ascii="Arial" w:hAnsi="Arial" w:cs="Arial"/>
                <w:color w:val="000000"/>
                <w:sz w:val="16"/>
                <w:szCs w:val="16"/>
              </w:rPr>
              <w:t>198</w:t>
            </w:r>
          </w:p>
        </w:tc>
        <w:tc>
          <w:tcPr>
            <w:tcW w:w="521" w:type="pct"/>
            <w:tcBorders>
              <w:top w:val="nil"/>
              <w:left w:val="nil"/>
              <w:bottom w:val="nil"/>
              <w:right w:val="nil"/>
            </w:tcBorders>
            <w:shd w:val="clear" w:color="000000" w:fill="E6F2FF"/>
            <w:noWrap/>
            <w:vAlign w:val="center"/>
            <w:hideMark/>
          </w:tcPr>
          <w:p w14:paraId="7E25B876" w14:textId="77777777" w:rsidR="001F7425" w:rsidRPr="001F7425" w:rsidRDefault="001F7425" w:rsidP="001F7425">
            <w:pPr>
              <w:spacing w:before="0" w:after="0" w:line="240" w:lineRule="auto"/>
              <w:jc w:val="right"/>
              <w:rPr>
                <w:rFonts w:ascii="Arial" w:hAnsi="Arial" w:cs="Arial"/>
                <w:color w:val="000000"/>
                <w:sz w:val="16"/>
                <w:szCs w:val="16"/>
              </w:rPr>
            </w:pPr>
            <w:r w:rsidRPr="001F7425">
              <w:rPr>
                <w:rFonts w:ascii="Arial" w:hAnsi="Arial" w:cs="Arial"/>
                <w:color w:val="000000"/>
                <w:sz w:val="16"/>
                <w:szCs w:val="16"/>
              </w:rPr>
              <w:t>192</w:t>
            </w:r>
          </w:p>
        </w:tc>
        <w:tc>
          <w:tcPr>
            <w:tcW w:w="521" w:type="pct"/>
            <w:tcBorders>
              <w:top w:val="nil"/>
              <w:left w:val="nil"/>
              <w:bottom w:val="nil"/>
              <w:right w:val="nil"/>
            </w:tcBorders>
            <w:shd w:val="clear" w:color="000000" w:fill="FFFFFF"/>
            <w:noWrap/>
            <w:vAlign w:val="center"/>
            <w:hideMark/>
          </w:tcPr>
          <w:p w14:paraId="082294B6" w14:textId="77777777" w:rsidR="001F7425" w:rsidRPr="001F7425" w:rsidRDefault="001F7425" w:rsidP="001F7425">
            <w:pPr>
              <w:spacing w:before="0" w:after="0" w:line="240" w:lineRule="auto"/>
              <w:jc w:val="right"/>
              <w:rPr>
                <w:rFonts w:ascii="Arial" w:hAnsi="Arial" w:cs="Arial"/>
                <w:color w:val="000000"/>
                <w:sz w:val="16"/>
                <w:szCs w:val="16"/>
              </w:rPr>
            </w:pPr>
            <w:r w:rsidRPr="001F7425">
              <w:rPr>
                <w:rFonts w:ascii="Arial" w:hAnsi="Arial" w:cs="Arial"/>
                <w:color w:val="000000"/>
                <w:sz w:val="16"/>
                <w:szCs w:val="16"/>
              </w:rPr>
              <w:t>191</w:t>
            </w:r>
          </w:p>
        </w:tc>
        <w:tc>
          <w:tcPr>
            <w:tcW w:w="521" w:type="pct"/>
            <w:tcBorders>
              <w:top w:val="nil"/>
              <w:left w:val="nil"/>
              <w:bottom w:val="nil"/>
              <w:right w:val="nil"/>
            </w:tcBorders>
            <w:shd w:val="clear" w:color="000000" w:fill="FFFFFF"/>
            <w:noWrap/>
            <w:vAlign w:val="center"/>
            <w:hideMark/>
          </w:tcPr>
          <w:p w14:paraId="31AFB7C0" w14:textId="77777777" w:rsidR="001F7425" w:rsidRPr="001F7425" w:rsidRDefault="001F7425" w:rsidP="001F7425">
            <w:pPr>
              <w:spacing w:before="0" w:after="0" w:line="240" w:lineRule="auto"/>
              <w:jc w:val="right"/>
              <w:rPr>
                <w:rFonts w:ascii="Arial" w:hAnsi="Arial" w:cs="Arial"/>
                <w:color w:val="000000"/>
                <w:sz w:val="16"/>
                <w:szCs w:val="16"/>
              </w:rPr>
            </w:pPr>
            <w:r w:rsidRPr="001F7425">
              <w:rPr>
                <w:rFonts w:ascii="Arial" w:hAnsi="Arial" w:cs="Arial"/>
                <w:color w:val="000000"/>
                <w:sz w:val="16"/>
                <w:szCs w:val="16"/>
              </w:rPr>
              <w:t>191</w:t>
            </w:r>
          </w:p>
        </w:tc>
        <w:tc>
          <w:tcPr>
            <w:tcW w:w="521" w:type="pct"/>
            <w:tcBorders>
              <w:top w:val="nil"/>
              <w:left w:val="nil"/>
              <w:bottom w:val="nil"/>
              <w:right w:val="nil"/>
            </w:tcBorders>
            <w:shd w:val="clear" w:color="000000" w:fill="FFFFFF"/>
            <w:noWrap/>
            <w:vAlign w:val="center"/>
            <w:hideMark/>
          </w:tcPr>
          <w:p w14:paraId="3D290BFA" w14:textId="77777777" w:rsidR="001F7425" w:rsidRPr="001F7425" w:rsidRDefault="001F7425" w:rsidP="001F7425">
            <w:pPr>
              <w:spacing w:before="0" w:after="0" w:line="240" w:lineRule="auto"/>
              <w:jc w:val="right"/>
              <w:rPr>
                <w:rFonts w:ascii="Arial" w:hAnsi="Arial" w:cs="Arial"/>
                <w:color w:val="000000"/>
                <w:sz w:val="16"/>
                <w:szCs w:val="16"/>
              </w:rPr>
            </w:pPr>
            <w:r w:rsidRPr="001F7425">
              <w:rPr>
                <w:rFonts w:ascii="Arial" w:hAnsi="Arial" w:cs="Arial"/>
                <w:color w:val="000000"/>
                <w:sz w:val="16"/>
                <w:szCs w:val="16"/>
              </w:rPr>
              <w:t>191</w:t>
            </w:r>
          </w:p>
        </w:tc>
      </w:tr>
      <w:tr w:rsidR="001F7425" w:rsidRPr="001F7425" w14:paraId="12B3920E" w14:textId="77777777" w:rsidTr="009317BE">
        <w:trPr>
          <w:trHeight w:hRule="exact" w:val="225"/>
        </w:trPr>
        <w:tc>
          <w:tcPr>
            <w:tcW w:w="2395" w:type="pct"/>
            <w:tcBorders>
              <w:top w:val="nil"/>
              <w:left w:val="nil"/>
              <w:bottom w:val="nil"/>
              <w:right w:val="nil"/>
            </w:tcBorders>
            <w:shd w:val="clear" w:color="000000" w:fill="FFFFFF"/>
            <w:noWrap/>
            <w:vAlign w:val="center"/>
            <w:hideMark/>
          </w:tcPr>
          <w:p w14:paraId="7DC23FC0" w14:textId="77777777" w:rsidR="001F7425" w:rsidRPr="001F7425" w:rsidRDefault="001F7425" w:rsidP="001F7425">
            <w:pPr>
              <w:spacing w:before="0" w:after="0" w:line="240" w:lineRule="auto"/>
              <w:rPr>
                <w:rFonts w:ascii="Arial" w:hAnsi="Arial" w:cs="Arial"/>
                <w:color w:val="000000"/>
                <w:sz w:val="16"/>
                <w:szCs w:val="16"/>
              </w:rPr>
            </w:pPr>
            <w:r w:rsidRPr="001F7425">
              <w:rPr>
                <w:rFonts w:ascii="Arial" w:hAnsi="Arial" w:cs="Arial"/>
                <w:color w:val="000000"/>
                <w:sz w:val="16"/>
                <w:szCs w:val="16"/>
              </w:rPr>
              <w:t>Total labour and employment affairs</w:t>
            </w:r>
          </w:p>
        </w:tc>
        <w:tc>
          <w:tcPr>
            <w:tcW w:w="522" w:type="pct"/>
            <w:tcBorders>
              <w:top w:val="nil"/>
              <w:left w:val="nil"/>
              <w:bottom w:val="nil"/>
              <w:right w:val="nil"/>
            </w:tcBorders>
            <w:shd w:val="clear" w:color="000000" w:fill="FFFFFF"/>
            <w:noWrap/>
            <w:vAlign w:val="center"/>
            <w:hideMark/>
          </w:tcPr>
          <w:p w14:paraId="2014A103" w14:textId="77777777" w:rsidR="001F7425" w:rsidRPr="001F7425" w:rsidRDefault="001F7425" w:rsidP="001F7425">
            <w:pPr>
              <w:spacing w:before="0" w:after="0" w:line="240" w:lineRule="auto"/>
              <w:jc w:val="right"/>
              <w:rPr>
                <w:rFonts w:ascii="Arial" w:hAnsi="Arial" w:cs="Arial"/>
                <w:color w:val="000000"/>
                <w:sz w:val="16"/>
                <w:szCs w:val="16"/>
              </w:rPr>
            </w:pPr>
            <w:r w:rsidRPr="001F7425">
              <w:rPr>
                <w:rFonts w:ascii="Arial" w:hAnsi="Arial" w:cs="Arial"/>
                <w:color w:val="000000"/>
                <w:sz w:val="16"/>
                <w:szCs w:val="16"/>
              </w:rPr>
              <w:t>6,308</w:t>
            </w:r>
          </w:p>
        </w:tc>
        <w:tc>
          <w:tcPr>
            <w:tcW w:w="521" w:type="pct"/>
            <w:tcBorders>
              <w:top w:val="nil"/>
              <w:left w:val="nil"/>
              <w:bottom w:val="nil"/>
              <w:right w:val="nil"/>
            </w:tcBorders>
            <w:shd w:val="clear" w:color="000000" w:fill="E6F2FF"/>
            <w:noWrap/>
            <w:vAlign w:val="center"/>
            <w:hideMark/>
          </w:tcPr>
          <w:p w14:paraId="5271B818" w14:textId="77777777" w:rsidR="001F7425" w:rsidRPr="001F7425" w:rsidRDefault="001F7425" w:rsidP="001F7425">
            <w:pPr>
              <w:spacing w:before="0" w:after="0" w:line="240" w:lineRule="auto"/>
              <w:jc w:val="right"/>
              <w:rPr>
                <w:rFonts w:ascii="Arial" w:hAnsi="Arial" w:cs="Arial"/>
                <w:color w:val="000000"/>
                <w:sz w:val="16"/>
                <w:szCs w:val="16"/>
              </w:rPr>
            </w:pPr>
            <w:r w:rsidRPr="001F7425">
              <w:rPr>
                <w:rFonts w:ascii="Arial" w:hAnsi="Arial" w:cs="Arial"/>
                <w:color w:val="000000"/>
                <w:sz w:val="16"/>
                <w:szCs w:val="16"/>
              </w:rPr>
              <w:t>5,881</w:t>
            </w:r>
          </w:p>
        </w:tc>
        <w:tc>
          <w:tcPr>
            <w:tcW w:w="521" w:type="pct"/>
            <w:tcBorders>
              <w:top w:val="nil"/>
              <w:left w:val="nil"/>
              <w:bottom w:val="nil"/>
              <w:right w:val="nil"/>
            </w:tcBorders>
            <w:shd w:val="clear" w:color="000000" w:fill="FFFFFF"/>
            <w:noWrap/>
            <w:vAlign w:val="center"/>
            <w:hideMark/>
          </w:tcPr>
          <w:p w14:paraId="6FB05FE9" w14:textId="77777777" w:rsidR="001F7425" w:rsidRPr="001F7425" w:rsidRDefault="001F7425" w:rsidP="001F7425">
            <w:pPr>
              <w:spacing w:before="0" w:after="0" w:line="240" w:lineRule="auto"/>
              <w:jc w:val="right"/>
              <w:rPr>
                <w:rFonts w:ascii="Arial" w:hAnsi="Arial" w:cs="Arial"/>
                <w:color w:val="000000"/>
                <w:sz w:val="16"/>
                <w:szCs w:val="16"/>
              </w:rPr>
            </w:pPr>
            <w:r w:rsidRPr="001F7425">
              <w:rPr>
                <w:rFonts w:ascii="Arial" w:hAnsi="Arial" w:cs="Arial"/>
                <w:color w:val="000000"/>
                <w:sz w:val="16"/>
                <w:szCs w:val="16"/>
              </w:rPr>
              <w:t>5,575</w:t>
            </w:r>
          </w:p>
        </w:tc>
        <w:tc>
          <w:tcPr>
            <w:tcW w:w="521" w:type="pct"/>
            <w:tcBorders>
              <w:top w:val="nil"/>
              <w:left w:val="nil"/>
              <w:bottom w:val="nil"/>
              <w:right w:val="nil"/>
            </w:tcBorders>
            <w:shd w:val="clear" w:color="000000" w:fill="FFFFFF"/>
            <w:noWrap/>
            <w:vAlign w:val="center"/>
            <w:hideMark/>
          </w:tcPr>
          <w:p w14:paraId="5C5C5CC3" w14:textId="77777777" w:rsidR="001F7425" w:rsidRPr="001F7425" w:rsidRDefault="001F7425" w:rsidP="001F7425">
            <w:pPr>
              <w:spacing w:before="0" w:after="0" w:line="240" w:lineRule="auto"/>
              <w:jc w:val="right"/>
              <w:rPr>
                <w:rFonts w:ascii="Arial" w:hAnsi="Arial" w:cs="Arial"/>
                <w:color w:val="000000"/>
                <w:sz w:val="16"/>
                <w:szCs w:val="16"/>
              </w:rPr>
            </w:pPr>
            <w:r w:rsidRPr="001F7425">
              <w:rPr>
                <w:rFonts w:ascii="Arial" w:hAnsi="Arial" w:cs="Arial"/>
                <w:color w:val="000000"/>
                <w:sz w:val="16"/>
                <w:szCs w:val="16"/>
              </w:rPr>
              <w:t>5,198</w:t>
            </w:r>
          </w:p>
        </w:tc>
        <w:tc>
          <w:tcPr>
            <w:tcW w:w="521" w:type="pct"/>
            <w:tcBorders>
              <w:top w:val="nil"/>
              <w:left w:val="nil"/>
              <w:bottom w:val="nil"/>
              <w:right w:val="nil"/>
            </w:tcBorders>
            <w:shd w:val="clear" w:color="000000" w:fill="FFFFFF"/>
            <w:noWrap/>
            <w:vAlign w:val="center"/>
            <w:hideMark/>
          </w:tcPr>
          <w:p w14:paraId="5E5F8D10" w14:textId="77777777" w:rsidR="001F7425" w:rsidRPr="001F7425" w:rsidRDefault="001F7425" w:rsidP="001F7425">
            <w:pPr>
              <w:spacing w:before="0" w:after="0" w:line="240" w:lineRule="auto"/>
              <w:jc w:val="right"/>
              <w:rPr>
                <w:rFonts w:ascii="Arial" w:hAnsi="Arial" w:cs="Arial"/>
                <w:color w:val="000000"/>
                <w:sz w:val="16"/>
                <w:szCs w:val="16"/>
              </w:rPr>
            </w:pPr>
            <w:r w:rsidRPr="001F7425">
              <w:rPr>
                <w:rFonts w:ascii="Arial" w:hAnsi="Arial" w:cs="Arial"/>
                <w:color w:val="000000"/>
                <w:sz w:val="16"/>
                <w:szCs w:val="16"/>
              </w:rPr>
              <w:t>5,081</w:t>
            </w:r>
          </w:p>
        </w:tc>
      </w:tr>
      <w:tr w:rsidR="001F7425" w:rsidRPr="001F7425" w14:paraId="3D2978E9" w14:textId="77777777" w:rsidTr="009317BE">
        <w:trPr>
          <w:trHeight w:hRule="exact" w:val="225"/>
        </w:trPr>
        <w:tc>
          <w:tcPr>
            <w:tcW w:w="2395" w:type="pct"/>
            <w:tcBorders>
              <w:top w:val="nil"/>
              <w:left w:val="nil"/>
              <w:bottom w:val="nil"/>
              <w:right w:val="nil"/>
            </w:tcBorders>
            <w:shd w:val="clear" w:color="000000" w:fill="FFFFFF"/>
            <w:noWrap/>
            <w:vAlign w:val="center"/>
            <w:hideMark/>
          </w:tcPr>
          <w:p w14:paraId="0DF6E480" w14:textId="77777777" w:rsidR="001F7425" w:rsidRPr="001F7425" w:rsidRDefault="001F7425" w:rsidP="009317BE">
            <w:pPr>
              <w:spacing w:before="0" w:after="0" w:line="240" w:lineRule="auto"/>
              <w:ind w:left="170"/>
              <w:rPr>
                <w:rFonts w:ascii="Arial" w:hAnsi="Arial" w:cs="Arial"/>
                <w:i/>
                <w:iCs/>
                <w:color w:val="000000"/>
                <w:sz w:val="16"/>
                <w:szCs w:val="16"/>
              </w:rPr>
            </w:pPr>
            <w:r w:rsidRPr="001F7425">
              <w:rPr>
                <w:rFonts w:ascii="Arial" w:hAnsi="Arial" w:cs="Arial"/>
                <w:i/>
                <w:iCs/>
                <w:color w:val="000000"/>
                <w:sz w:val="16"/>
                <w:szCs w:val="16"/>
              </w:rPr>
              <w:t>Vocational and industry training</w:t>
            </w:r>
          </w:p>
        </w:tc>
        <w:tc>
          <w:tcPr>
            <w:tcW w:w="522" w:type="pct"/>
            <w:tcBorders>
              <w:top w:val="nil"/>
              <w:left w:val="nil"/>
              <w:bottom w:val="nil"/>
              <w:right w:val="nil"/>
            </w:tcBorders>
            <w:shd w:val="clear" w:color="000000" w:fill="FFFFFF"/>
            <w:noWrap/>
            <w:vAlign w:val="center"/>
            <w:hideMark/>
          </w:tcPr>
          <w:p w14:paraId="53A8CBEE" w14:textId="77777777" w:rsidR="001F7425" w:rsidRPr="001F7425" w:rsidRDefault="001F7425" w:rsidP="001F7425">
            <w:pPr>
              <w:spacing w:before="0" w:after="0" w:line="240" w:lineRule="auto"/>
              <w:jc w:val="right"/>
              <w:rPr>
                <w:rFonts w:ascii="Arial" w:hAnsi="Arial" w:cs="Arial"/>
                <w:i/>
                <w:iCs/>
                <w:color w:val="000000"/>
                <w:sz w:val="16"/>
                <w:szCs w:val="16"/>
              </w:rPr>
            </w:pPr>
            <w:r w:rsidRPr="001F7425">
              <w:rPr>
                <w:rFonts w:ascii="Arial" w:hAnsi="Arial" w:cs="Arial"/>
                <w:i/>
                <w:iCs/>
                <w:color w:val="000000"/>
                <w:sz w:val="16"/>
                <w:szCs w:val="16"/>
              </w:rPr>
              <w:t>2,984</w:t>
            </w:r>
          </w:p>
        </w:tc>
        <w:tc>
          <w:tcPr>
            <w:tcW w:w="521" w:type="pct"/>
            <w:tcBorders>
              <w:top w:val="nil"/>
              <w:left w:val="nil"/>
              <w:bottom w:val="nil"/>
              <w:right w:val="nil"/>
            </w:tcBorders>
            <w:shd w:val="clear" w:color="000000" w:fill="E6F2FF"/>
            <w:noWrap/>
            <w:vAlign w:val="center"/>
            <w:hideMark/>
          </w:tcPr>
          <w:p w14:paraId="0DA4439A" w14:textId="77777777" w:rsidR="001F7425" w:rsidRPr="001F7425" w:rsidRDefault="001F7425" w:rsidP="001F7425">
            <w:pPr>
              <w:spacing w:before="0" w:after="0" w:line="240" w:lineRule="auto"/>
              <w:jc w:val="right"/>
              <w:rPr>
                <w:rFonts w:ascii="Arial" w:hAnsi="Arial" w:cs="Arial"/>
                <w:i/>
                <w:iCs/>
                <w:color w:val="000000"/>
                <w:sz w:val="16"/>
                <w:szCs w:val="16"/>
              </w:rPr>
            </w:pPr>
            <w:r w:rsidRPr="001F7425">
              <w:rPr>
                <w:rFonts w:ascii="Arial" w:hAnsi="Arial" w:cs="Arial"/>
                <w:i/>
                <w:iCs/>
                <w:color w:val="000000"/>
                <w:sz w:val="16"/>
                <w:szCs w:val="16"/>
              </w:rPr>
              <w:t>2,384</w:t>
            </w:r>
          </w:p>
        </w:tc>
        <w:tc>
          <w:tcPr>
            <w:tcW w:w="521" w:type="pct"/>
            <w:tcBorders>
              <w:top w:val="nil"/>
              <w:left w:val="nil"/>
              <w:bottom w:val="nil"/>
              <w:right w:val="nil"/>
            </w:tcBorders>
            <w:shd w:val="clear" w:color="000000" w:fill="FFFFFF"/>
            <w:noWrap/>
            <w:vAlign w:val="center"/>
            <w:hideMark/>
          </w:tcPr>
          <w:p w14:paraId="71C23220" w14:textId="77777777" w:rsidR="001F7425" w:rsidRPr="001F7425" w:rsidRDefault="001F7425" w:rsidP="001F7425">
            <w:pPr>
              <w:spacing w:before="0" w:after="0" w:line="240" w:lineRule="auto"/>
              <w:jc w:val="right"/>
              <w:rPr>
                <w:rFonts w:ascii="Arial" w:hAnsi="Arial" w:cs="Arial"/>
                <w:i/>
                <w:iCs/>
                <w:color w:val="000000"/>
                <w:sz w:val="16"/>
                <w:szCs w:val="16"/>
              </w:rPr>
            </w:pPr>
            <w:r w:rsidRPr="001F7425">
              <w:rPr>
                <w:rFonts w:ascii="Arial" w:hAnsi="Arial" w:cs="Arial"/>
                <w:i/>
                <w:iCs/>
                <w:color w:val="000000"/>
                <w:sz w:val="16"/>
                <w:szCs w:val="16"/>
              </w:rPr>
              <w:t>2,130</w:t>
            </w:r>
          </w:p>
        </w:tc>
        <w:tc>
          <w:tcPr>
            <w:tcW w:w="521" w:type="pct"/>
            <w:tcBorders>
              <w:top w:val="nil"/>
              <w:left w:val="nil"/>
              <w:bottom w:val="nil"/>
              <w:right w:val="nil"/>
            </w:tcBorders>
            <w:shd w:val="clear" w:color="000000" w:fill="FFFFFF"/>
            <w:noWrap/>
            <w:vAlign w:val="center"/>
            <w:hideMark/>
          </w:tcPr>
          <w:p w14:paraId="4209E4E5" w14:textId="77777777" w:rsidR="001F7425" w:rsidRPr="001F7425" w:rsidRDefault="001F7425" w:rsidP="001F7425">
            <w:pPr>
              <w:spacing w:before="0" w:after="0" w:line="240" w:lineRule="auto"/>
              <w:jc w:val="right"/>
              <w:rPr>
                <w:rFonts w:ascii="Arial" w:hAnsi="Arial" w:cs="Arial"/>
                <w:i/>
                <w:iCs/>
                <w:color w:val="000000"/>
                <w:sz w:val="16"/>
                <w:szCs w:val="16"/>
              </w:rPr>
            </w:pPr>
            <w:r w:rsidRPr="001F7425">
              <w:rPr>
                <w:rFonts w:ascii="Arial" w:hAnsi="Arial" w:cs="Arial"/>
                <w:i/>
                <w:iCs/>
                <w:color w:val="000000"/>
                <w:sz w:val="16"/>
                <w:szCs w:val="16"/>
              </w:rPr>
              <w:t>1,676</w:t>
            </w:r>
          </w:p>
        </w:tc>
        <w:tc>
          <w:tcPr>
            <w:tcW w:w="521" w:type="pct"/>
            <w:tcBorders>
              <w:top w:val="nil"/>
              <w:left w:val="nil"/>
              <w:bottom w:val="nil"/>
              <w:right w:val="nil"/>
            </w:tcBorders>
            <w:shd w:val="clear" w:color="000000" w:fill="FFFFFF"/>
            <w:noWrap/>
            <w:vAlign w:val="center"/>
            <w:hideMark/>
          </w:tcPr>
          <w:p w14:paraId="109EF4FE" w14:textId="77777777" w:rsidR="001F7425" w:rsidRPr="001F7425" w:rsidRDefault="001F7425" w:rsidP="001F7425">
            <w:pPr>
              <w:spacing w:before="0" w:after="0" w:line="240" w:lineRule="auto"/>
              <w:jc w:val="right"/>
              <w:rPr>
                <w:rFonts w:ascii="Arial" w:hAnsi="Arial" w:cs="Arial"/>
                <w:i/>
                <w:iCs/>
                <w:color w:val="000000"/>
                <w:sz w:val="16"/>
                <w:szCs w:val="16"/>
              </w:rPr>
            </w:pPr>
            <w:r w:rsidRPr="001F7425">
              <w:rPr>
                <w:rFonts w:ascii="Arial" w:hAnsi="Arial" w:cs="Arial"/>
                <w:i/>
                <w:iCs/>
                <w:color w:val="000000"/>
                <w:sz w:val="16"/>
                <w:szCs w:val="16"/>
              </w:rPr>
              <w:t>1,561</w:t>
            </w:r>
          </w:p>
        </w:tc>
      </w:tr>
      <w:tr w:rsidR="001F7425" w:rsidRPr="001F7425" w14:paraId="77A42E27" w14:textId="77777777" w:rsidTr="009317BE">
        <w:trPr>
          <w:trHeight w:hRule="exact" w:val="225"/>
        </w:trPr>
        <w:tc>
          <w:tcPr>
            <w:tcW w:w="2395" w:type="pct"/>
            <w:tcBorders>
              <w:top w:val="nil"/>
              <w:left w:val="nil"/>
              <w:bottom w:val="nil"/>
              <w:right w:val="nil"/>
            </w:tcBorders>
            <w:shd w:val="clear" w:color="000000" w:fill="FFFFFF"/>
            <w:noWrap/>
            <w:vAlign w:val="center"/>
            <w:hideMark/>
          </w:tcPr>
          <w:p w14:paraId="7B1044CE" w14:textId="77777777" w:rsidR="001F7425" w:rsidRPr="001F7425" w:rsidRDefault="001F7425" w:rsidP="009317BE">
            <w:pPr>
              <w:spacing w:before="0" w:after="0" w:line="240" w:lineRule="auto"/>
              <w:ind w:left="170"/>
              <w:rPr>
                <w:rFonts w:ascii="Arial" w:hAnsi="Arial" w:cs="Arial"/>
                <w:i/>
                <w:iCs/>
                <w:color w:val="000000"/>
                <w:sz w:val="16"/>
                <w:szCs w:val="16"/>
              </w:rPr>
            </w:pPr>
            <w:r w:rsidRPr="001F7425">
              <w:rPr>
                <w:rFonts w:ascii="Arial" w:hAnsi="Arial" w:cs="Arial"/>
                <w:i/>
                <w:iCs/>
                <w:color w:val="000000"/>
                <w:sz w:val="16"/>
                <w:szCs w:val="16"/>
              </w:rPr>
              <w:t>Labour market assistance to job</w:t>
            </w:r>
          </w:p>
        </w:tc>
        <w:tc>
          <w:tcPr>
            <w:tcW w:w="522" w:type="pct"/>
            <w:tcBorders>
              <w:top w:val="nil"/>
              <w:left w:val="nil"/>
              <w:bottom w:val="nil"/>
              <w:right w:val="nil"/>
            </w:tcBorders>
            <w:shd w:val="clear" w:color="000000" w:fill="FFFFFF"/>
            <w:noWrap/>
            <w:vAlign w:val="center"/>
            <w:hideMark/>
          </w:tcPr>
          <w:p w14:paraId="3A2C7B96" w14:textId="77777777" w:rsidR="001F7425" w:rsidRPr="001F7425" w:rsidRDefault="001F7425" w:rsidP="001F7425">
            <w:pPr>
              <w:spacing w:before="0" w:after="0" w:line="240" w:lineRule="auto"/>
              <w:rPr>
                <w:rFonts w:ascii="Arial" w:hAnsi="Arial" w:cs="Arial"/>
                <w:i/>
                <w:iCs/>
                <w:color w:val="000000"/>
                <w:sz w:val="16"/>
                <w:szCs w:val="16"/>
              </w:rPr>
            </w:pPr>
            <w:r w:rsidRPr="001F7425">
              <w:rPr>
                <w:rFonts w:ascii="Arial" w:hAnsi="Arial" w:cs="Arial"/>
                <w:i/>
                <w:iCs/>
                <w:color w:val="000000"/>
                <w:sz w:val="16"/>
                <w:szCs w:val="16"/>
              </w:rPr>
              <w:t> </w:t>
            </w:r>
          </w:p>
        </w:tc>
        <w:tc>
          <w:tcPr>
            <w:tcW w:w="521" w:type="pct"/>
            <w:tcBorders>
              <w:top w:val="nil"/>
              <w:left w:val="nil"/>
              <w:bottom w:val="nil"/>
              <w:right w:val="nil"/>
            </w:tcBorders>
            <w:shd w:val="clear" w:color="000000" w:fill="E6F2FF"/>
            <w:noWrap/>
            <w:vAlign w:val="center"/>
            <w:hideMark/>
          </w:tcPr>
          <w:p w14:paraId="578E00EF" w14:textId="77777777" w:rsidR="001F7425" w:rsidRPr="001F7425" w:rsidRDefault="001F7425" w:rsidP="001F7425">
            <w:pPr>
              <w:spacing w:before="0" w:after="0" w:line="240" w:lineRule="auto"/>
              <w:rPr>
                <w:rFonts w:ascii="Arial" w:hAnsi="Arial" w:cs="Arial"/>
                <w:i/>
                <w:iCs/>
                <w:color w:val="000000"/>
                <w:sz w:val="16"/>
                <w:szCs w:val="16"/>
              </w:rPr>
            </w:pPr>
            <w:r w:rsidRPr="001F7425">
              <w:rPr>
                <w:rFonts w:ascii="Arial" w:hAnsi="Arial" w:cs="Arial"/>
                <w:i/>
                <w:iCs/>
                <w:color w:val="000000"/>
                <w:sz w:val="16"/>
                <w:szCs w:val="16"/>
              </w:rPr>
              <w:t> </w:t>
            </w:r>
          </w:p>
        </w:tc>
        <w:tc>
          <w:tcPr>
            <w:tcW w:w="521" w:type="pct"/>
            <w:tcBorders>
              <w:top w:val="nil"/>
              <w:left w:val="nil"/>
              <w:bottom w:val="nil"/>
              <w:right w:val="nil"/>
            </w:tcBorders>
            <w:shd w:val="clear" w:color="000000" w:fill="FFFFFF"/>
            <w:noWrap/>
            <w:vAlign w:val="center"/>
            <w:hideMark/>
          </w:tcPr>
          <w:p w14:paraId="7DC6A9B0" w14:textId="77777777" w:rsidR="001F7425" w:rsidRPr="001F7425" w:rsidRDefault="001F7425" w:rsidP="001F7425">
            <w:pPr>
              <w:spacing w:before="0" w:after="0" w:line="240" w:lineRule="auto"/>
              <w:rPr>
                <w:rFonts w:ascii="Arial" w:hAnsi="Arial" w:cs="Arial"/>
                <w:i/>
                <w:iCs/>
                <w:color w:val="000000"/>
                <w:sz w:val="16"/>
                <w:szCs w:val="16"/>
              </w:rPr>
            </w:pPr>
            <w:r w:rsidRPr="001F7425">
              <w:rPr>
                <w:rFonts w:ascii="Arial" w:hAnsi="Arial" w:cs="Arial"/>
                <w:i/>
                <w:iCs/>
                <w:color w:val="000000"/>
                <w:sz w:val="16"/>
                <w:szCs w:val="16"/>
              </w:rPr>
              <w:t> </w:t>
            </w:r>
          </w:p>
        </w:tc>
        <w:tc>
          <w:tcPr>
            <w:tcW w:w="521" w:type="pct"/>
            <w:tcBorders>
              <w:top w:val="nil"/>
              <w:left w:val="nil"/>
              <w:bottom w:val="nil"/>
              <w:right w:val="nil"/>
            </w:tcBorders>
            <w:shd w:val="clear" w:color="000000" w:fill="FFFFFF"/>
            <w:noWrap/>
            <w:vAlign w:val="center"/>
            <w:hideMark/>
          </w:tcPr>
          <w:p w14:paraId="4968AF1C" w14:textId="77777777" w:rsidR="001F7425" w:rsidRPr="001F7425" w:rsidRDefault="001F7425" w:rsidP="001F7425">
            <w:pPr>
              <w:spacing w:before="0" w:after="0" w:line="240" w:lineRule="auto"/>
              <w:rPr>
                <w:rFonts w:ascii="Arial" w:hAnsi="Arial" w:cs="Arial"/>
                <w:i/>
                <w:iCs/>
                <w:color w:val="000000"/>
                <w:sz w:val="16"/>
                <w:szCs w:val="16"/>
              </w:rPr>
            </w:pPr>
            <w:r w:rsidRPr="001F7425">
              <w:rPr>
                <w:rFonts w:ascii="Arial" w:hAnsi="Arial" w:cs="Arial"/>
                <w:i/>
                <w:iCs/>
                <w:color w:val="000000"/>
                <w:sz w:val="16"/>
                <w:szCs w:val="16"/>
              </w:rPr>
              <w:t> </w:t>
            </w:r>
          </w:p>
        </w:tc>
        <w:tc>
          <w:tcPr>
            <w:tcW w:w="521" w:type="pct"/>
            <w:tcBorders>
              <w:top w:val="nil"/>
              <w:left w:val="nil"/>
              <w:bottom w:val="nil"/>
              <w:right w:val="nil"/>
            </w:tcBorders>
            <w:shd w:val="clear" w:color="000000" w:fill="FFFFFF"/>
            <w:noWrap/>
            <w:vAlign w:val="center"/>
            <w:hideMark/>
          </w:tcPr>
          <w:p w14:paraId="5012ADD9" w14:textId="77777777" w:rsidR="001F7425" w:rsidRPr="001F7425" w:rsidRDefault="001F7425" w:rsidP="001F7425">
            <w:pPr>
              <w:spacing w:before="0" w:after="0" w:line="240" w:lineRule="auto"/>
              <w:rPr>
                <w:rFonts w:ascii="Arial" w:hAnsi="Arial" w:cs="Arial"/>
                <w:i/>
                <w:iCs/>
                <w:color w:val="000000"/>
                <w:sz w:val="16"/>
                <w:szCs w:val="16"/>
              </w:rPr>
            </w:pPr>
            <w:r w:rsidRPr="001F7425">
              <w:rPr>
                <w:rFonts w:ascii="Arial" w:hAnsi="Arial" w:cs="Arial"/>
                <w:i/>
                <w:iCs/>
                <w:color w:val="000000"/>
                <w:sz w:val="16"/>
                <w:szCs w:val="16"/>
              </w:rPr>
              <w:t> </w:t>
            </w:r>
          </w:p>
        </w:tc>
      </w:tr>
      <w:tr w:rsidR="001F7425" w:rsidRPr="001F7425" w14:paraId="4BDA036D" w14:textId="77777777" w:rsidTr="009317BE">
        <w:trPr>
          <w:trHeight w:hRule="exact" w:val="225"/>
        </w:trPr>
        <w:tc>
          <w:tcPr>
            <w:tcW w:w="2395" w:type="pct"/>
            <w:tcBorders>
              <w:top w:val="nil"/>
              <w:left w:val="nil"/>
              <w:bottom w:val="nil"/>
              <w:right w:val="nil"/>
            </w:tcBorders>
            <w:shd w:val="clear" w:color="000000" w:fill="FFFFFF"/>
            <w:noWrap/>
            <w:vAlign w:val="center"/>
            <w:hideMark/>
          </w:tcPr>
          <w:p w14:paraId="708B8394" w14:textId="77777777" w:rsidR="001F7425" w:rsidRPr="001F7425" w:rsidRDefault="001F7425" w:rsidP="009317BE">
            <w:pPr>
              <w:spacing w:before="0" w:after="0" w:line="240" w:lineRule="auto"/>
              <w:ind w:left="340"/>
              <w:rPr>
                <w:rFonts w:ascii="Arial" w:hAnsi="Arial" w:cs="Arial"/>
                <w:i/>
                <w:iCs/>
                <w:color w:val="000000"/>
                <w:sz w:val="16"/>
                <w:szCs w:val="16"/>
              </w:rPr>
            </w:pPr>
            <w:r w:rsidRPr="001F7425">
              <w:rPr>
                <w:rFonts w:ascii="Arial" w:hAnsi="Arial" w:cs="Arial"/>
                <w:i/>
                <w:iCs/>
                <w:color w:val="000000"/>
                <w:sz w:val="16"/>
                <w:szCs w:val="16"/>
              </w:rPr>
              <w:t>seekers and industry</w:t>
            </w:r>
          </w:p>
        </w:tc>
        <w:tc>
          <w:tcPr>
            <w:tcW w:w="522" w:type="pct"/>
            <w:tcBorders>
              <w:top w:val="nil"/>
              <w:left w:val="nil"/>
              <w:bottom w:val="nil"/>
              <w:right w:val="nil"/>
            </w:tcBorders>
            <w:shd w:val="clear" w:color="000000" w:fill="FFFFFF"/>
            <w:noWrap/>
            <w:vAlign w:val="center"/>
            <w:hideMark/>
          </w:tcPr>
          <w:p w14:paraId="3343B6E2" w14:textId="77777777" w:rsidR="001F7425" w:rsidRPr="001F7425" w:rsidRDefault="001F7425" w:rsidP="001F7425">
            <w:pPr>
              <w:spacing w:before="0" w:after="0" w:line="240" w:lineRule="auto"/>
              <w:jc w:val="right"/>
              <w:rPr>
                <w:rFonts w:ascii="Arial" w:hAnsi="Arial" w:cs="Arial"/>
                <w:i/>
                <w:iCs/>
                <w:color w:val="000000"/>
                <w:sz w:val="16"/>
                <w:szCs w:val="16"/>
              </w:rPr>
            </w:pPr>
            <w:r w:rsidRPr="001F7425">
              <w:rPr>
                <w:rFonts w:ascii="Arial" w:hAnsi="Arial" w:cs="Arial"/>
                <w:i/>
                <w:iCs/>
                <w:color w:val="000000"/>
                <w:sz w:val="16"/>
                <w:szCs w:val="16"/>
              </w:rPr>
              <w:t>2,326</w:t>
            </w:r>
          </w:p>
        </w:tc>
        <w:tc>
          <w:tcPr>
            <w:tcW w:w="521" w:type="pct"/>
            <w:tcBorders>
              <w:top w:val="nil"/>
              <w:left w:val="nil"/>
              <w:bottom w:val="nil"/>
              <w:right w:val="nil"/>
            </w:tcBorders>
            <w:shd w:val="clear" w:color="000000" w:fill="E6F2FF"/>
            <w:noWrap/>
            <w:vAlign w:val="center"/>
            <w:hideMark/>
          </w:tcPr>
          <w:p w14:paraId="47CBC827" w14:textId="77777777" w:rsidR="001F7425" w:rsidRPr="001F7425" w:rsidRDefault="001F7425" w:rsidP="001F7425">
            <w:pPr>
              <w:spacing w:before="0" w:after="0" w:line="240" w:lineRule="auto"/>
              <w:jc w:val="right"/>
              <w:rPr>
                <w:rFonts w:ascii="Arial" w:hAnsi="Arial" w:cs="Arial"/>
                <w:i/>
                <w:iCs/>
                <w:color w:val="000000"/>
                <w:sz w:val="16"/>
                <w:szCs w:val="16"/>
              </w:rPr>
            </w:pPr>
            <w:r w:rsidRPr="001F7425">
              <w:rPr>
                <w:rFonts w:ascii="Arial" w:hAnsi="Arial" w:cs="Arial"/>
                <w:i/>
                <w:iCs/>
                <w:color w:val="000000"/>
                <w:sz w:val="16"/>
                <w:szCs w:val="16"/>
              </w:rPr>
              <w:t>2,411</w:t>
            </w:r>
          </w:p>
        </w:tc>
        <w:tc>
          <w:tcPr>
            <w:tcW w:w="521" w:type="pct"/>
            <w:tcBorders>
              <w:top w:val="nil"/>
              <w:left w:val="nil"/>
              <w:bottom w:val="nil"/>
              <w:right w:val="nil"/>
            </w:tcBorders>
            <w:shd w:val="clear" w:color="000000" w:fill="FFFFFF"/>
            <w:noWrap/>
            <w:vAlign w:val="center"/>
            <w:hideMark/>
          </w:tcPr>
          <w:p w14:paraId="6FCA6804" w14:textId="77777777" w:rsidR="001F7425" w:rsidRPr="001F7425" w:rsidRDefault="001F7425" w:rsidP="001F7425">
            <w:pPr>
              <w:spacing w:before="0" w:after="0" w:line="240" w:lineRule="auto"/>
              <w:jc w:val="right"/>
              <w:rPr>
                <w:rFonts w:ascii="Arial" w:hAnsi="Arial" w:cs="Arial"/>
                <w:i/>
                <w:iCs/>
                <w:color w:val="000000"/>
                <w:sz w:val="16"/>
                <w:szCs w:val="16"/>
              </w:rPr>
            </w:pPr>
            <w:r w:rsidRPr="001F7425">
              <w:rPr>
                <w:rFonts w:ascii="Arial" w:hAnsi="Arial" w:cs="Arial"/>
                <w:i/>
                <w:iCs/>
                <w:color w:val="000000"/>
                <w:sz w:val="16"/>
                <w:szCs w:val="16"/>
              </w:rPr>
              <w:t>2,400</w:t>
            </w:r>
          </w:p>
        </w:tc>
        <w:tc>
          <w:tcPr>
            <w:tcW w:w="521" w:type="pct"/>
            <w:tcBorders>
              <w:top w:val="nil"/>
              <w:left w:val="nil"/>
              <w:bottom w:val="nil"/>
              <w:right w:val="nil"/>
            </w:tcBorders>
            <w:shd w:val="clear" w:color="000000" w:fill="FFFFFF"/>
            <w:noWrap/>
            <w:vAlign w:val="center"/>
            <w:hideMark/>
          </w:tcPr>
          <w:p w14:paraId="43055837" w14:textId="77777777" w:rsidR="001F7425" w:rsidRPr="001F7425" w:rsidRDefault="001F7425" w:rsidP="001F7425">
            <w:pPr>
              <w:spacing w:before="0" w:after="0" w:line="240" w:lineRule="auto"/>
              <w:jc w:val="right"/>
              <w:rPr>
                <w:rFonts w:ascii="Arial" w:hAnsi="Arial" w:cs="Arial"/>
                <w:i/>
                <w:iCs/>
                <w:color w:val="000000"/>
                <w:sz w:val="16"/>
                <w:szCs w:val="16"/>
              </w:rPr>
            </w:pPr>
            <w:r w:rsidRPr="001F7425">
              <w:rPr>
                <w:rFonts w:ascii="Arial" w:hAnsi="Arial" w:cs="Arial"/>
                <w:i/>
                <w:iCs/>
                <w:color w:val="000000"/>
                <w:sz w:val="16"/>
                <w:szCs w:val="16"/>
              </w:rPr>
              <w:t>2,490</w:t>
            </w:r>
          </w:p>
        </w:tc>
        <w:tc>
          <w:tcPr>
            <w:tcW w:w="521" w:type="pct"/>
            <w:tcBorders>
              <w:top w:val="nil"/>
              <w:left w:val="nil"/>
              <w:bottom w:val="nil"/>
              <w:right w:val="nil"/>
            </w:tcBorders>
            <w:shd w:val="clear" w:color="000000" w:fill="FFFFFF"/>
            <w:noWrap/>
            <w:vAlign w:val="center"/>
            <w:hideMark/>
          </w:tcPr>
          <w:p w14:paraId="3F160C13" w14:textId="77777777" w:rsidR="001F7425" w:rsidRPr="001F7425" w:rsidRDefault="001F7425" w:rsidP="001F7425">
            <w:pPr>
              <w:spacing w:before="0" w:after="0" w:line="240" w:lineRule="auto"/>
              <w:jc w:val="right"/>
              <w:rPr>
                <w:rFonts w:ascii="Arial" w:hAnsi="Arial" w:cs="Arial"/>
                <w:i/>
                <w:iCs/>
                <w:color w:val="000000"/>
                <w:sz w:val="16"/>
                <w:szCs w:val="16"/>
              </w:rPr>
            </w:pPr>
            <w:r w:rsidRPr="001F7425">
              <w:rPr>
                <w:rFonts w:ascii="Arial" w:hAnsi="Arial" w:cs="Arial"/>
                <w:i/>
                <w:iCs/>
                <w:color w:val="000000"/>
                <w:sz w:val="16"/>
                <w:szCs w:val="16"/>
              </w:rPr>
              <w:t>2,473</w:t>
            </w:r>
          </w:p>
        </w:tc>
      </w:tr>
      <w:tr w:rsidR="001F7425" w:rsidRPr="001F7425" w14:paraId="6421059A" w14:textId="77777777" w:rsidTr="009317BE">
        <w:trPr>
          <w:trHeight w:hRule="exact" w:val="225"/>
        </w:trPr>
        <w:tc>
          <w:tcPr>
            <w:tcW w:w="2395" w:type="pct"/>
            <w:tcBorders>
              <w:top w:val="nil"/>
              <w:left w:val="nil"/>
              <w:bottom w:val="nil"/>
              <w:right w:val="nil"/>
            </w:tcBorders>
            <w:shd w:val="clear" w:color="000000" w:fill="FFFFFF"/>
            <w:noWrap/>
            <w:vAlign w:val="center"/>
            <w:hideMark/>
          </w:tcPr>
          <w:p w14:paraId="05C2543A" w14:textId="77777777" w:rsidR="001F7425" w:rsidRPr="001F7425" w:rsidRDefault="001F7425" w:rsidP="009317BE">
            <w:pPr>
              <w:spacing w:before="0" w:after="0" w:line="240" w:lineRule="auto"/>
              <w:ind w:left="170"/>
              <w:rPr>
                <w:rFonts w:ascii="Arial" w:hAnsi="Arial" w:cs="Arial"/>
                <w:i/>
                <w:iCs/>
                <w:color w:val="000000"/>
                <w:sz w:val="16"/>
                <w:szCs w:val="16"/>
              </w:rPr>
            </w:pPr>
            <w:r w:rsidRPr="001F7425">
              <w:rPr>
                <w:rFonts w:ascii="Arial" w:hAnsi="Arial" w:cs="Arial"/>
                <w:i/>
                <w:iCs/>
                <w:color w:val="000000"/>
                <w:sz w:val="16"/>
                <w:szCs w:val="16"/>
              </w:rPr>
              <w:t>Industrial relations</w:t>
            </w:r>
          </w:p>
        </w:tc>
        <w:tc>
          <w:tcPr>
            <w:tcW w:w="522" w:type="pct"/>
            <w:tcBorders>
              <w:top w:val="nil"/>
              <w:left w:val="nil"/>
              <w:bottom w:val="nil"/>
              <w:right w:val="nil"/>
            </w:tcBorders>
            <w:shd w:val="clear" w:color="000000" w:fill="FFFFFF"/>
            <w:noWrap/>
            <w:vAlign w:val="center"/>
            <w:hideMark/>
          </w:tcPr>
          <w:p w14:paraId="0B25F091" w14:textId="77777777" w:rsidR="001F7425" w:rsidRPr="001F7425" w:rsidRDefault="001F7425" w:rsidP="001F7425">
            <w:pPr>
              <w:spacing w:before="0" w:after="0" w:line="240" w:lineRule="auto"/>
              <w:jc w:val="right"/>
              <w:rPr>
                <w:rFonts w:ascii="Arial" w:hAnsi="Arial" w:cs="Arial"/>
                <w:i/>
                <w:iCs/>
                <w:color w:val="000000"/>
                <w:sz w:val="16"/>
                <w:szCs w:val="16"/>
              </w:rPr>
            </w:pPr>
            <w:r w:rsidRPr="001F7425">
              <w:rPr>
                <w:rFonts w:ascii="Arial" w:hAnsi="Arial" w:cs="Arial"/>
                <w:i/>
                <w:iCs/>
                <w:color w:val="000000"/>
                <w:sz w:val="16"/>
                <w:szCs w:val="16"/>
              </w:rPr>
              <w:t>998</w:t>
            </w:r>
          </w:p>
        </w:tc>
        <w:tc>
          <w:tcPr>
            <w:tcW w:w="521" w:type="pct"/>
            <w:tcBorders>
              <w:top w:val="nil"/>
              <w:left w:val="nil"/>
              <w:bottom w:val="nil"/>
              <w:right w:val="nil"/>
            </w:tcBorders>
            <w:shd w:val="clear" w:color="000000" w:fill="E6F2FF"/>
            <w:noWrap/>
            <w:vAlign w:val="center"/>
            <w:hideMark/>
          </w:tcPr>
          <w:p w14:paraId="498AA6B1" w14:textId="77777777" w:rsidR="001F7425" w:rsidRPr="001F7425" w:rsidRDefault="001F7425" w:rsidP="001F7425">
            <w:pPr>
              <w:spacing w:before="0" w:after="0" w:line="240" w:lineRule="auto"/>
              <w:jc w:val="right"/>
              <w:rPr>
                <w:rFonts w:ascii="Arial" w:hAnsi="Arial" w:cs="Arial"/>
                <w:i/>
                <w:iCs/>
                <w:color w:val="000000"/>
                <w:sz w:val="16"/>
                <w:szCs w:val="16"/>
              </w:rPr>
            </w:pPr>
            <w:r w:rsidRPr="001F7425">
              <w:rPr>
                <w:rFonts w:ascii="Arial" w:hAnsi="Arial" w:cs="Arial"/>
                <w:i/>
                <w:iCs/>
                <w:color w:val="000000"/>
                <w:sz w:val="16"/>
                <w:szCs w:val="16"/>
              </w:rPr>
              <w:t>1,086</w:t>
            </w:r>
          </w:p>
        </w:tc>
        <w:tc>
          <w:tcPr>
            <w:tcW w:w="521" w:type="pct"/>
            <w:tcBorders>
              <w:top w:val="nil"/>
              <w:left w:val="nil"/>
              <w:bottom w:val="nil"/>
              <w:right w:val="nil"/>
            </w:tcBorders>
            <w:shd w:val="clear" w:color="000000" w:fill="FFFFFF"/>
            <w:noWrap/>
            <w:vAlign w:val="center"/>
            <w:hideMark/>
          </w:tcPr>
          <w:p w14:paraId="6729C118" w14:textId="77777777" w:rsidR="001F7425" w:rsidRPr="001F7425" w:rsidRDefault="001F7425" w:rsidP="001F7425">
            <w:pPr>
              <w:spacing w:before="0" w:after="0" w:line="240" w:lineRule="auto"/>
              <w:jc w:val="right"/>
              <w:rPr>
                <w:rFonts w:ascii="Arial" w:hAnsi="Arial" w:cs="Arial"/>
                <w:i/>
                <w:iCs/>
                <w:color w:val="000000"/>
                <w:sz w:val="16"/>
                <w:szCs w:val="16"/>
              </w:rPr>
            </w:pPr>
            <w:r w:rsidRPr="001F7425">
              <w:rPr>
                <w:rFonts w:ascii="Arial" w:hAnsi="Arial" w:cs="Arial"/>
                <w:i/>
                <w:iCs/>
                <w:color w:val="000000"/>
                <w:sz w:val="16"/>
                <w:szCs w:val="16"/>
              </w:rPr>
              <w:t>1,044</w:t>
            </w:r>
          </w:p>
        </w:tc>
        <w:tc>
          <w:tcPr>
            <w:tcW w:w="521" w:type="pct"/>
            <w:tcBorders>
              <w:top w:val="nil"/>
              <w:left w:val="nil"/>
              <w:bottom w:val="nil"/>
              <w:right w:val="nil"/>
            </w:tcBorders>
            <w:shd w:val="clear" w:color="000000" w:fill="FFFFFF"/>
            <w:noWrap/>
            <w:vAlign w:val="center"/>
            <w:hideMark/>
          </w:tcPr>
          <w:p w14:paraId="47E1AC08" w14:textId="77777777" w:rsidR="001F7425" w:rsidRPr="001F7425" w:rsidRDefault="001F7425" w:rsidP="001F7425">
            <w:pPr>
              <w:spacing w:before="0" w:after="0" w:line="240" w:lineRule="auto"/>
              <w:jc w:val="right"/>
              <w:rPr>
                <w:rFonts w:ascii="Arial" w:hAnsi="Arial" w:cs="Arial"/>
                <w:i/>
                <w:iCs/>
                <w:color w:val="000000"/>
                <w:sz w:val="16"/>
                <w:szCs w:val="16"/>
              </w:rPr>
            </w:pPr>
            <w:r w:rsidRPr="001F7425">
              <w:rPr>
                <w:rFonts w:ascii="Arial" w:hAnsi="Arial" w:cs="Arial"/>
                <w:i/>
                <w:iCs/>
                <w:color w:val="000000"/>
                <w:sz w:val="16"/>
                <w:szCs w:val="16"/>
              </w:rPr>
              <w:t>1,032</w:t>
            </w:r>
          </w:p>
        </w:tc>
        <w:tc>
          <w:tcPr>
            <w:tcW w:w="521" w:type="pct"/>
            <w:tcBorders>
              <w:top w:val="nil"/>
              <w:left w:val="nil"/>
              <w:bottom w:val="nil"/>
              <w:right w:val="nil"/>
            </w:tcBorders>
            <w:shd w:val="clear" w:color="000000" w:fill="FFFFFF"/>
            <w:noWrap/>
            <w:vAlign w:val="center"/>
            <w:hideMark/>
          </w:tcPr>
          <w:p w14:paraId="3791817A" w14:textId="77777777" w:rsidR="001F7425" w:rsidRPr="001F7425" w:rsidRDefault="001F7425" w:rsidP="001F7425">
            <w:pPr>
              <w:spacing w:before="0" w:after="0" w:line="240" w:lineRule="auto"/>
              <w:jc w:val="right"/>
              <w:rPr>
                <w:rFonts w:ascii="Arial" w:hAnsi="Arial" w:cs="Arial"/>
                <w:i/>
                <w:iCs/>
                <w:color w:val="000000"/>
                <w:sz w:val="16"/>
                <w:szCs w:val="16"/>
              </w:rPr>
            </w:pPr>
            <w:r w:rsidRPr="001F7425">
              <w:rPr>
                <w:rFonts w:ascii="Arial" w:hAnsi="Arial" w:cs="Arial"/>
                <w:i/>
                <w:iCs/>
                <w:color w:val="000000"/>
                <w:sz w:val="16"/>
                <w:szCs w:val="16"/>
              </w:rPr>
              <w:t>1,047</w:t>
            </w:r>
          </w:p>
        </w:tc>
      </w:tr>
      <w:tr w:rsidR="001F7425" w:rsidRPr="001F7425" w14:paraId="1C26DA3C" w14:textId="77777777" w:rsidTr="009317BE">
        <w:trPr>
          <w:trHeight w:hRule="exact" w:val="225"/>
        </w:trPr>
        <w:tc>
          <w:tcPr>
            <w:tcW w:w="2395" w:type="pct"/>
            <w:tcBorders>
              <w:top w:val="nil"/>
              <w:left w:val="nil"/>
              <w:bottom w:val="nil"/>
              <w:right w:val="nil"/>
            </w:tcBorders>
            <w:shd w:val="clear" w:color="000000" w:fill="FFFFFF"/>
            <w:noWrap/>
            <w:vAlign w:val="center"/>
            <w:hideMark/>
          </w:tcPr>
          <w:p w14:paraId="61E0CE71" w14:textId="77777777" w:rsidR="001F7425" w:rsidRPr="001F7425" w:rsidRDefault="001F7425" w:rsidP="001F7425">
            <w:pPr>
              <w:spacing w:before="0" w:after="0" w:line="240" w:lineRule="auto"/>
              <w:rPr>
                <w:rFonts w:ascii="Arial" w:hAnsi="Arial" w:cs="Arial"/>
                <w:color w:val="000000"/>
                <w:sz w:val="16"/>
                <w:szCs w:val="16"/>
              </w:rPr>
            </w:pPr>
            <w:r w:rsidRPr="001F7425">
              <w:rPr>
                <w:rFonts w:ascii="Arial" w:hAnsi="Arial" w:cs="Arial"/>
                <w:color w:val="000000"/>
                <w:sz w:val="16"/>
                <w:szCs w:val="16"/>
              </w:rPr>
              <w:t>Immigration(a)</w:t>
            </w:r>
          </w:p>
        </w:tc>
        <w:tc>
          <w:tcPr>
            <w:tcW w:w="522" w:type="pct"/>
            <w:tcBorders>
              <w:top w:val="nil"/>
              <w:left w:val="nil"/>
              <w:bottom w:val="nil"/>
              <w:right w:val="nil"/>
            </w:tcBorders>
            <w:shd w:val="clear" w:color="000000" w:fill="FFFFFF"/>
            <w:noWrap/>
            <w:vAlign w:val="center"/>
            <w:hideMark/>
          </w:tcPr>
          <w:p w14:paraId="085CBBAA" w14:textId="77777777" w:rsidR="001F7425" w:rsidRPr="001F7425" w:rsidRDefault="001F7425" w:rsidP="001F7425">
            <w:pPr>
              <w:spacing w:before="0" w:after="0" w:line="240" w:lineRule="auto"/>
              <w:jc w:val="right"/>
              <w:rPr>
                <w:rFonts w:ascii="Arial" w:hAnsi="Arial" w:cs="Arial"/>
                <w:color w:val="000000"/>
                <w:sz w:val="16"/>
                <w:szCs w:val="16"/>
              </w:rPr>
            </w:pPr>
            <w:r w:rsidRPr="001F7425">
              <w:rPr>
                <w:rFonts w:ascii="Arial" w:hAnsi="Arial" w:cs="Arial"/>
                <w:color w:val="000000"/>
                <w:sz w:val="16"/>
                <w:szCs w:val="16"/>
              </w:rPr>
              <w:t>3,836</w:t>
            </w:r>
          </w:p>
        </w:tc>
        <w:tc>
          <w:tcPr>
            <w:tcW w:w="521" w:type="pct"/>
            <w:tcBorders>
              <w:top w:val="nil"/>
              <w:left w:val="nil"/>
              <w:bottom w:val="nil"/>
              <w:right w:val="nil"/>
            </w:tcBorders>
            <w:shd w:val="clear" w:color="000000" w:fill="E6F2FF"/>
            <w:noWrap/>
            <w:vAlign w:val="center"/>
            <w:hideMark/>
          </w:tcPr>
          <w:p w14:paraId="689830D6" w14:textId="77777777" w:rsidR="001F7425" w:rsidRPr="001F7425" w:rsidRDefault="001F7425" w:rsidP="001F7425">
            <w:pPr>
              <w:spacing w:before="0" w:after="0" w:line="240" w:lineRule="auto"/>
              <w:jc w:val="right"/>
              <w:rPr>
                <w:rFonts w:ascii="Arial" w:hAnsi="Arial" w:cs="Arial"/>
                <w:color w:val="000000"/>
                <w:sz w:val="16"/>
                <w:szCs w:val="16"/>
              </w:rPr>
            </w:pPr>
            <w:r w:rsidRPr="001F7425">
              <w:rPr>
                <w:rFonts w:ascii="Arial" w:hAnsi="Arial" w:cs="Arial"/>
                <w:color w:val="000000"/>
                <w:sz w:val="16"/>
                <w:szCs w:val="16"/>
              </w:rPr>
              <w:t>3,699</w:t>
            </w:r>
          </w:p>
        </w:tc>
        <w:tc>
          <w:tcPr>
            <w:tcW w:w="521" w:type="pct"/>
            <w:tcBorders>
              <w:top w:val="nil"/>
              <w:left w:val="nil"/>
              <w:bottom w:val="nil"/>
              <w:right w:val="nil"/>
            </w:tcBorders>
            <w:shd w:val="clear" w:color="000000" w:fill="FFFFFF"/>
            <w:noWrap/>
            <w:vAlign w:val="center"/>
            <w:hideMark/>
          </w:tcPr>
          <w:p w14:paraId="319677E8" w14:textId="77777777" w:rsidR="001F7425" w:rsidRPr="001F7425" w:rsidRDefault="001F7425" w:rsidP="001F7425">
            <w:pPr>
              <w:spacing w:before="0" w:after="0" w:line="240" w:lineRule="auto"/>
              <w:jc w:val="right"/>
              <w:rPr>
                <w:rFonts w:ascii="Arial" w:hAnsi="Arial" w:cs="Arial"/>
                <w:color w:val="000000"/>
                <w:sz w:val="16"/>
                <w:szCs w:val="16"/>
              </w:rPr>
            </w:pPr>
            <w:r w:rsidRPr="001F7425">
              <w:rPr>
                <w:rFonts w:ascii="Arial" w:hAnsi="Arial" w:cs="Arial"/>
                <w:color w:val="000000"/>
                <w:sz w:val="16"/>
                <w:szCs w:val="16"/>
              </w:rPr>
              <w:t>3,147</w:t>
            </w:r>
          </w:p>
        </w:tc>
        <w:tc>
          <w:tcPr>
            <w:tcW w:w="521" w:type="pct"/>
            <w:tcBorders>
              <w:top w:val="nil"/>
              <w:left w:val="nil"/>
              <w:bottom w:val="nil"/>
              <w:right w:val="nil"/>
            </w:tcBorders>
            <w:shd w:val="clear" w:color="000000" w:fill="FFFFFF"/>
            <w:noWrap/>
            <w:vAlign w:val="center"/>
            <w:hideMark/>
          </w:tcPr>
          <w:p w14:paraId="7482C3EA" w14:textId="77777777" w:rsidR="001F7425" w:rsidRPr="001F7425" w:rsidRDefault="001F7425" w:rsidP="001F7425">
            <w:pPr>
              <w:spacing w:before="0" w:after="0" w:line="240" w:lineRule="auto"/>
              <w:jc w:val="right"/>
              <w:rPr>
                <w:rFonts w:ascii="Arial" w:hAnsi="Arial" w:cs="Arial"/>
                <w:color w:val="000000"/>
                <w:sz w:val="16"/>
                <w:szCs w:val="16"/>
              </w:rPr>
            </w:pPr>
            <w:r w:rsidRPr="001F7425">
              <w:rPr>
                <w:rFonts w:ascii="Arial" w:hAnsi="Arial" w:cs="Arial"/>
                <w:color w:val="000000"/>
                <w:sz w:val="16"/>
                <w:szCs w:val="16"/>
              </w:rPr>
              <w:t>3,156</w:t>
            </w:r>
          </w:p>
        </w:tc>
        <w:tc>
          <w:tcPr>
            <w:tcW w:w="521" w:type="pct"/>
            <w:tcBorders>
              <w:top w:val="nil"/>
              <w:left w:val="nil"/>
              <w:bottom w:val="nil"/>
              <w:right w:val="nil"/>
            </w:tcBorders>
            <w:shd w:val="clear" w:color="000000" w:fill="FFFFFF"/>
            <w:noWrap/>
            <w:vAlign w:val="center"/>
            <w:hideMark/>
          </w:tcPr>
          <w:p w14:paraId="57A2D088" w14:textId="77777777" w:rsidR="001F7425" w:rsidRPr="001F7425" w:rsidRDefault="001F7425" w:rsidP="001F7425">
            <w:pPr>
              <w:spacing w:before="0" w:after="0" w:line="240" w:lineRule="auto"/>
              <w:jc w:val="right"/>
              <w:rPr>
                <w:rFonts w:ascii="Arial" w:hAnsi="Arial" w:cs="Arial"/>
                <w:color w:val="000000"/>
                <w:sz w:val="16"/>
                <w:szCs w:val="16"/>
              </w:rPr>
            </w:pPr>
            <w:r w:rsidRPr="001F7425">
              <w:rPr>
                <w:rFonts w:ascii="Arial" w:hAnsi="Arial" w:cs="Arial"/>
                <w:color w:val="000000"/>
                <w:sz w:val="16"/>
                <w:szCs w:val="16"/>
              </w:rPr>
              <w:t>3,088</w:t>
            </w:r>
          </w:p>
        </w:tc>
      </w:tr>
      <w:tr w:rsidR="001F7425" w:rsidRPr="001F7425" w14:paraId="7C966331" w14:textId="77777777" w:rsidTr="009317BE">
        <w:trPr>
          <w:trHeight w:hRule="exact" w:val="225"/>
        </w:trPr>
        <w:tc>
          <w:tcPr>
            <w:tcW w:w="2395" w:type="pct"/>
            <w:tcBorders>
              <w:top w:val="nil"/>
              <w:left w:val="nil"/>
              <w:bottom w:val="nil"/>
              <w:right w:val="nil"/>
            </w:tcBorders>
            <w:shd w:val="clear" w:color="000000" w:fill="FFFFFF"/>
            <w:noWrap/>
            <w:vAlign w:val="center"/>
            <w:hideMark/>
          </w:tcPr>
          <w:p w14:paraId="198EE7B2" w14:textId="77777777" w:rsidR="001F7425" w:rsidRPr="001F7425" w:rsidRDefault="001F7425" w:rsidP="001F7425">
            <w:pPr>
              <w:spacing w:before="0" w:after="0" w:line="240" w:lineRule="auto"/>
              <w:rPr>
                <w:rFonts w:ascii="Arial" w:hAnsi="Arial" w:cs="Arial"/>
                <w:color w:val="000000"/>
                <w:sz w:val="16"/>
                <w:szCs w:val="16"/>
              </w:rPr>
            </w:pPr>
            <w:r w:rsidRPr="001F7425">
              <w:rPr>
                <w:rFonts w:ascii="Arial" w:hAnsi="Arial" w:cs="Arial"/>
                <w:color w:val="000000"/>
                <w:sz w:val="16"/>
                <w:szCs w:val="16"/>
              </w:rPr>
              <w:t>Other economic affairs nec(b)</w:t>
            </w:r>
          </w:p>
        </w:tc>
        <w:tc>
          <w:tcPr>
            <w:tcW w:w="522" w:type="pct"/>
            <w:tcBorders>
              <w:top w:val="nil"/>
              <w:left w:val="nil"/>
              <w:bottom w:val="nil"/>
              <w:right w:val="nil"/>
            </w:tcBorders>
            <w:shd w:val="clear" w:color="000000" w:fill="FFFFFF"/>
            <w:noWrap/>
            <w:vAlign w:val="center"/>
            <w:hideMark/>
          </w:tcPr>
          <w:p w14:paraId="1A5B5E79" w14:textId="77777777" w:rsidR="001F7425" w:rsidRPr="001F7425" w:rsidRDefault="001F7425" w:rsidP="001F7425">
            <w:pPr>
              <w:spacing w:before="0" w:after="0" w:line="240" w:lineRule="auto"/>
              <w:jc w:val="right"/>
              <w:rPr>
                <w:rFonts w:ascii="Arial" w:hAnsi="Arial" w:cs="Arial"/>
                <w:color w:val="000000"/>
                <w:sz w:val="16"/>
                <w:szCs w:val="16"/>
              </w:rPr>
            </w:pPr>
            <w:r w:rsidRPr="001F7425">
              <w:rPr>
                <w:rFonts w:ascii="Arial" w:hAnsi="Arial" w:cs="Arial"/>
                <w:color w:val="000000"/>
                <w:sz w:val="16"/>
                <w:szCs w:val="16"/>
              </w:rPr>
              <w:t>3,669</w:t>
            </w:r>
          </w:p>
        </w:tc>
        <w:tc>
          <w:tcPr>
            <w:tcW w:w="521" w:type="pct"/>
            <w:tcBorders>
              <w:top w:val="nil"/>
              <w:left w:val="nil"/>
              <w:bottom w:val="nil"/>
              <w:right w:val="nil"/>
            </w:tcBorders>
            <w:shd w:val="clear" w:color="000000" w:fill="E6F2FF"/>
            <w:noWrap/>
            <w:vAlign w:val="center"/>
            <w:hideMark/>
          </w:tcPr>
          <w:p w14:paraId="3E441462" w14:textId="77777777" w:rsidR="001F7425" w:rsidRPr="001F7425" w:rsidRDefault="001F7425" w:rsidP="001F7425">
            <w:pPr>
              <w:spacing w:before="0" w:after="0" w:line="240" w:lineRule="auto"/>
              <w:jc w:val="right"/>
              <w:rPr>
                <w:rFonts w:ascii="Arial" w:hAnsi="Arial" w:cs="Arial"/>
                <w:color w:val="000000"/>
                <w:sz w:val="16"/>
                <w:szCs w:val="16"/>
              </w:rPr>
            </w:pPr>
            <w:r w:rsidRPr="001F7425">
              <w:rPr>
                <w:rFonts w:ascii="Arial" w:hAnsi="Arial" w:cs="Arial"/>
                <w:color w:val="000000"/>
                <w:sz w:val="16"/>
                <w:szCs w:val="16"/>
              </w:rPr>
              <w:t>3,614</w:t>
            </w:r>
          </w:p>
        </w:tc>
        <w:tc>
          <w:tcPr>
            <w:tcW w:w="521" w:type="pct"/>
            <w:tcBorders>
              <w:top w:val="nil"/>
              <w:left w:val="nil"/>
              <w:bottom w:val="nil"/>
              <w:right w:val="nil"/>
            </w:tcBorders>
            <w:shd w:val="clear" w:color="000000" w:fill="FFFFFF"/>
            <w:noWrap/>
            <w:vAlign w:val="center"/>
            <w:hideMark/>
          </w:tcPr>
          <w:p w14:paraId="54CED7EE" w14:textId="77777777" w:rsidR="001F7425" w:rsidRPr="001F7425" w:rsidRDefault="001F7425" w:rsidP="001F7425">
            <w:pPr>
              <w:spacing w:before="0" w:after="0" w:line="240" w:lineRule="auto"/>
              <w:jc w:val="right"/>
              <w:rPr>
                <w:rFonts w:ascii="Arial" w:hAnsi="Arial" w:cs="Arial"/>
                <w:color w:val="000000"/>
                <w:sz w:val="16"/>
                <w:szCs w:val="16"/>
              </w:rPr>
            </w:pPr>
            <w:r w:rsidRPr="001F7425">
              <w:rPr>
                <w:rFonts w:ascii="Arial" w:hAnsi="Arial" w:cs="Arial"/>
                <w:color w:val="000000"/>
                <w:sz w:val="16"/>
                <w:szCs w:val="16"/>
              </w:rPr>
              <w:t>3,300</w:t>
            </w:r>
          </w:p>
        </w:tc>
        <w:tc>
          <w:tcPr>
            <w:tcW w:w="521" w:type="pct"/>
            <w:tcBorders>
              <w:top w:val="nil"/>
              <w:left w:val="nil"/>
              <w:bottom w:val="nil"/>
              <w:right w:val="nil"/>
            </w:tcBorders>
            <w:shd w:val="clear" w:color="000000" w:fill="FFFFFF"/>
            <w:noWrap/>
            <w:vAlign w:val="center"/>
            <w:hideMark/>
          </w:tcPr>
          <w:p w14:paraId="1E3EA79F" w14:textId="77777777" w:rsidR="001F7425" w:rsidRPr="001F7425" w:rsidRDefault="001F7425" w:rsidP="001F7425">
            <w:pPr>
              <w:spacing w:before="0" w:after="0" w:line="240" w:lineRule="auto"/>
              <w:jc w:val="right"/>
              <w:rPr>
                <w:rFonts w:ascii="Arial" w:hAnsi="Arial" w:cs="Arial"/>
                <w:color w:val="000000"/>
                <w:sz w:val="16"/>
                <w:szCs w:val="16"/>
              </w:rPr>
            </w:pPr>
            <w:r w:rsidRPr="001F7425">
              <w:rPr>
                <w:rFonts w:ascii="Arial" w:hAnsi="Arial" w:cs="Arial"/>
                <w:color w:val="000000"/>
                <w:sz w:val="16"/>
                <w:szCs w:val="16"/>
              </w:rPr>
              <w:t>3,187</w:t>
            </w:r>
          </w:p>
        </w:tc>
        <w:tc>
          <w:tcPr>
            <w:tcW w:w="521" w:type="pct"/>
            <w:tcBorders>
              <w:top w:val="nil"/>
              <w:left w:val="nil"/>
              <w:bottom w:val="nil"/>
              <w:right w:val="nil"/>
            </w:tcBorders>
            <w:shd w:val="clear" w:color="000000" w:fill="FFFFFF"/>
            <w:noWrap/>
            <w:vAlign w:val="center"/>
            <w:hideMark/>
          </w:tcPr>
          <w:p w14:paraId="64B1304A" w14:textId="77777777" w:rsidR="001F7425" w:rsidRPr="001F7425" w:rsidRDefault="001F7425" w:rsidP="001F7425">
            <w:pPr>
              <w:spacing w:before="0" w:after="0" w:line="240" w:lineRule="auto"/>
              <w:jc w:val="right"/>
              <w:rPr>
                <w:rFonts w:ascii="Arial" w:hAnsi="Arial" w:cs="Arial"/>
                <w:color w:val="000000"/>
                <w:sz w:val="16"/>
                <w:szCs w:val="16"/>
              </w:rPr>
            </w:pPr>
            <w:r w:rsidRPr="001F7425">
              <w:rPr>
                <w:rFonts w:ascii="Arial" w:hAnsi="Arial" w:cs="Arial"/>
                <w:color w:val="000000"/>
                <w:sz w:val="16"/>
                <w:szCs w:val="16"/>
              </w:rPr>
              <w:t>3,151</w:t>
            </w:r>
          </w:p>
        </w:tc>
      </w:tr>
      <w:tr w:rsidR="001F7425" w:rsidRPr="001F7425" w14:paraId="6D0AC0F3" w14:textId="77777777" w:rsidTr="009317BE">
        <w:trPr>
          <w:trHeight w:hRule="exact" w:val="225"/>
        </w:trPr>
        <w:tc>
          <w:tcPr>
            <w:tcW w:w="2395" w:type="pct"/>
            <w:tcBorders>
              <w:top w:val="nil"/>
              <w:left w:val="nil"/>
              <w:bottom w:val="single" w:sz="4" w:space="0" w:color="293F5B"/>
              <w:right w:val="nil"/>
            </w:tcBorders>
            <w:shd w:val="clear" w:color="000000" w:fill="FFFFFF"/>
            <w:noWrap/>
            <w:vAlign w:val="center"/>
            <w:hideMark/>
          </w:tcPr>
          <w:p w14:paraId="3068469D" w14:textId="77777777" w:rsidR="001F7425" w:rsidRPr="001F7425" w:rsidRDefault="001F7425" w:rsidP="001F7425">
            <w:pPr>
              <w:spacing w:before="0" w:after="0" w:line="240" w:lineRule="auto"/>
              <w:rPr>
                <w:rFonts w:ascii="Arial" w:hAnsi="Arial" w:cs="Arial"/>
                <w:b/>
                <w:bCs/>
                <w:color w:val="000000"/>
                <w:sz w:val="16"/>
                <w:szCs w:val="16"/>
              </w:rPr>
            </w:pPr>
            <w:r w:rsidRPr="001F7425">
              <w:rPr>
                <w:rFonts w:ascii="Arial" w:hAnsi="Arial" w:cs="Arial"/>
                <w:b/>
                <w:bCs/>
                <w:color w:val="000000"/>
                <w:sz w:val="16"/>
                <w:szCs w:val="16"/>
              </w:rPr>
              <w:t>Total other economic affairs</w:t>
            </w:r>
          </w:p>
        </w:tc>
        <w:tc>
          <w:tcPr>
            <w:tcW w:w="522" w:type="pct"/>
            <w:tcBorders>
              <w:top w:val="single" w:sz="4" w:space="0" w:color="293F5B"/>
              <w:left w:val="nil"/>
              <w:bottom w:val="single" w:sz="4" w:space="0" w:color="293F5B"/>
              <w:right w:val="nil"/>
            </w:tcBorders>
            <w:shd w:val="clear" w:color="000000" w:fill="FFFFFF"/>
            <w:noWrap/>
            <w:vAlign w:val="center"/>
            <w:hideMark/>
          </w:tcPr>
          <w:p w14:paraId="2B69B999" w14:textId="77777777" w:rsidR="001F7425" w:rsidRPr="001F7425" w:rsidRDefault="001F7425" w:rsidP="001F7425">
            <w:pPr>
              <w:spacing w:before="0" w:after="0" w:line="240" w:lineRule="auto"/>
              <w:jc w:val="right"/>
              <w:rPr>
                <w:rFonts w:ascii="Arial" w:hAnsi="Arial" w:cs="Arial"/>
                <w:b/>
                <w:bCs/>
                <w:color w:val="000000"/>
                <w:sz w:val="16"/>
                <w:szCs w:val="16"/>
              </w:rPr>
            </w:pPr>
            <w:r w:rsidRPr="001F7425">
              <w:rPr>
                <w:rFonts w:ascii="Arial" w:hAnsi="Arial" w:cs="Arial"/>
                <w:b/>
                <w:bCs/>
                <w:color w:val="000000"/>
                <w:sz w:val="16"/>
                <w:szCs w:val="16"/>
              </w:rPr>
              <w:t>14,011</w:t>
            </w:r>
          </w:p>
        </w:tc>
        <w:tc>
          <w:tcPr>
            <w:tcW w:w="521" w:type="pct"/>
            <w:tcBorders>
              <w:top w:val="single" w:sz="4" w:space="0" w:color="293F5B"/>
              <w:left w:val="nil"/>
              <w:bottom w:val="single" w:sz="4" w:space="0" w:color="293F5B"/>
              <w:right w:val="nil"/>
            </w:tcBorders>
            <w:shd w:val="clear" w:color="000000" w:fill="E6F2FF"/>
            <w:noWrap/>
            <w:vAlign w:val="center"/>
            <w:hideMark/>
          </w:tcPr>
          <w:p w14:paraId="1201DDC7" w14:textId="77777777" w:rsidR="001F7425" w:rsidRPr="001F7425" w:rsidRDefault="001F7425" w:rsidP="001F7425">
            <w:pPr>
              <w:spacing w:before="0" w:after="0" w:line="240" w:lineRule="auto"/>
              <w:jc w:val="right"/>
              <w:rPr>
                <w:rFonts w:ascii="Arial" w:hAnsi="Arial" w:cs="Arial"/>
                <w:b/>
                <w:bCs/>
                <w:color w:val="000000"/>
                <w:sz w:val="16"/>
                <w:szCs w:val="16"/>
              </w:rPr>
            </w:pPr>
            <w:r w:rsidRPr="001F7425">
              <w:rPr>
                <w:rFonts w:ascii="Arial" w:hAnsi="Arial" w:cs="Arial"/>
                <w:b/>
                <w:bCs/>
                <w:color w:val="000000"/>
                <w:sz w:val="16"/>
                <w:szCs w:val="16"/>
              </w:rPr>
              <w:t>13,386</w:t>
            </w:r>
          </w:p>
        </w:tc>
        <w:tc>
          <w:tcPr>
            <w:tcW w:w="521" w:type="pct"/>
            <w:tcBorders>
              <w:top w:val="single" w:sz="4" w:space="0" w:color="293F5B"/>
              <w:left w:val="nil"/>
              <w:bottom w:val="single" w:sz="4" w:space="0" w:color="293F5B"/>
              <w:right w:val="nil"/>
            </w:tcBorders>
            <w:shd w:val="clear" w:color="000000" w:fill="FFFFFF"/>
            <w:noWrap/>
            <w:vAlign w:val="center"/>
            <w:hideMark/>
          </w:tcPr>
          <w:p w14:paraId="6CA5E1CC" w14:textId="77777777" w:rsidR="001F7425" w:rsidRPr="001F7425" w:rsidRDefault="001F7425" w:rsidP="001F7425">
            <w:pPr>
              <w:spacing w:before="0" w:after="0" w:line="240" w:lineRule="auto"/>
              <w:jc w:val="right"/>
              <w:rPr>
                <w:rFonts w:ascii="Arial" w:hAnsi="Arial" w:cs="Arial"/>
                <w:b/>
                <w:bCs/>
                <w:color w:val="000000"/>
                <w:sz w:val="16"/>
                <w:szCs w:val="16"/>
              </w:rPr>
            </w:pPr>
            <w:r w:rsidRPr="001F7425">
              <w:rPr>
                <w:rFonts w:ascii="Arial" w:hAnsi="Arial" w:cs="Arial"/>
                <w:b/>
                <w:bCs/>
                <w:color w:val="000000"/>
                <w:sz w:val="16"/>
                <w:szCs w:val="16"/>
              </w:rPr>
              <w:t>12,214</w:t>
            </w:r>
          </w:p>
        </w:tc>
        <w:tc>
          <w:tcPr>
            <w:tcW w:w="521" w:type="pct"/>
            <w:tcBorders>
              <w:top w:val="single" w:sz="4" w:space="0" w:color="293F5B"/>
              <w:left w:val="nil"/>
              <w:bottom w:val="single" w:sz="4" w:space="0" w:color="293F5B"/>
              <w:right w:val="nil"/>
            </w:tcBorders>
            <w:shd w:val="clear" w:color="000000" w:fill="FFFFFF"/>
            <w:noWrap/>
            <w:vAlign w:val="center"/>
            <w:hideMark/>
          </w:tcPr>
          <w:p w14:paraId="32D44C64" w14:textId="77777777" w:rsidR="001F7425" w:rsidRPr="001F7425" w:rsidRDefault="001F7425" w:rsidP="001F7425">
            <w:pPr>
              <w:spacing w:before="0" w:after="0" w:line="240" w:lineRule="auto"/>
              <w:jc w:val="right"/>
              <w:rPr>
                <w:rFonts w:ascii="Arial" w:hAnsi="Arial" w:cs="Arial"/>
                <w:b/>
                <w:bCs/>
                <w:color w:val="000000"/>
                <w:sz w:val="16"/>
                <w:szCs w:val="16"/>
              </w:rPr>
            </w:pPr>
            <w:r w:rsidRPr="001F7425">
              <w:rPr>
                <w:rFonts w:ascii="Arial" w:hAnsi="Arial" w:cs="Arial"/>
                <w:b/>
                <w:bCs/>
                <w:color w:val="000000"/>
                <w:sz w:val="16"/>
                <w:szCs w:val="16"/>
              </w:rPr>
              <w:t>11,733</w:t>
            </w:r>
          </w:p>
        </w:tc>
        <w:tc>
          <w:tcPr>
            <w:tcW w:w="521" w:type="pct"/>
            <w:tcBorders>
              <w:top w:val="single" w:sz="4" w:space="0" w:color="293F5B"/>
              <w:left w:val="nil"/>
              <w:bottom w:val="single" w:sz="4" w:space="0" w:color="293F5B"/>
              <w:right w:val="nil"/>
            </w:tcBorders>
            <w:shd w:val="clear" w:color="000000" w:fill="FFFFFF"/>
            <w:noWrap/>
            <w:vAlign w:val="center"/>
            <w:hideMark/>
          </w:tcPr>
          <w:p w14:paraId="158366C8" w14:textId="77777777" w:rsidR="001F7425" w:rsidRPr="001F7425" w:rsidRDefault="001F7425" w:rsidP="001F7425">
            <w:pPr>
              <w:spacing w:before="0" w:after="0" w:line="240" w:lineRule="auto"/>
              <w:jc w:val="right"/>
              <w:rPr>
                <w:rFonts w:ascii="Arial" w:hAnsi="Arial" w:cs="Arial"/>
                <w:b/>
                <w:bCs/>
                <w:color w:val="000000"/>
                <w:sz w:val="16"/>
                <w:szCs w:val="16"/>
              </w:rPr>
            </w:pPr>
            <w:r w:rsidRPr="001F7425">
              <w:rPr>
                <w:rFonts w:ascii="Arial" w:hAnsi="Arial" w:cs="Arial"/>
                <w:b/>
                <w:bCs/>
                <w:color w:val="000000"/>
                <w:sz w:val="16"/>
                <w:szCs w:val="16"/>
              </w:rPr>
              <w:t>11,512</w:t>
            </w:r>
          </w:p>
        </w:tc>
      </w:tr>
    </w:tbl>
    <w:p w14:paraId="71ED15CD" w14:textId="6F6A5F18" w:rsidR="00E32E1B" w:rsidRPr="005F6A7E" w:rsidRDefault="00E32E1B" w:rsidP="00E87DDC">
      <w:pPr>
        <w:pStyle w:val="ChartandTableFootnoteAlpha"/>
        <w:numPr>
          <w:ilvl w:val="0"/>
          <w:numId w:val="30"/>
        </w:numPr>
        <w:rPr>
          <w:lang w:val="en-US"/>
        </w:rPr>
      </w:pPr>
      <w:r w:rsidRPr="005F6A7E">
        <w:rPr>
          <w:lang w:val="en-US"/>
        </w:rPr>
        <w:t>A further breakdown of the immigration sub function is provided in Table 6.16.1.</w:t>
      </w:r>
    </w:p>
    <w:p w14:paraId="2F6A5B40" w14:textId="5466CDFF" w:rsidR="00E32E1B" w:rsidRPr="00EB6A47" w:rsidRDefault="00E32E1B" w:rsidP="00E87DDC">
      <w:pPr>
        <w:pStyle w:val="ChartandTableFootnoteAlpha"/>
        <w:numPr>
          <w:ilvl w:val="0"/>
          <w:numId w:val="30"/>
        </w:numPr>
        <w:rPr>
          <w:lang w:val="en-US"/>
        </w:rPr>
      </w:pPr>
      <w:r w:rsidRPr="00EB6A47">
        <w:rPr>
          <w:lang w:val="en-US"/>
        </w:rPr>
        <w:t>A further breakdown of the other economic affairs nec sub function is provided in Table 6.16.2.</w:t>
      </w:r>
    </w:p>
    <w:p w14:paraId="1E3B70CE" w14:textId="77777777" w:rsidR="00E32E1B" w:rsidRPr="000177D7" w:rsidRDefault="00E32E1B" w:rsidP="00D91079">
      <w:pPr>
        <w:pStyle w:val="TableLine"/>
      </w:pPr>
    </w:p>
    <w:p w14:paraId="3628D56C" w14:textId="410A42B0" w:rsidR="007D7259" w:rsidRPr="009B27AE" w:rsidRDefault="007D7259" w:rsidP="00C81CBC">
      <w:pPr>
        <w:keepLines/>
        <w:rPr>
          <w:rFonts w:cstheme="minorHAnsi"/>
          <w:sz w:val="20"/>
        </w:rPr>
      </w:pPr>
      <w:bookmarkStart w:id="167" w:name="_Hlk165038469"/>
      <w:bookmarkStart w:id="168" w:name="_Hlk166154904"/>
      <w:r w:rsidRPr="005E62B9">
        <w:t>Total</w:t>
      </w:r>
      <w:r w:rsidRPr="005E62B9">
        <w:rPr>
          <w:lang w:val="en-US"/>
        </w:rPr>
        <w:t xml:space="preserve"> expenses </w:t>
      </w:r>
      <w:r w:rsidR="00046A8F">
        <w:rPr>
          <w:lang w:val="en-US"/>
        </w:rPr>
        <w:t xml:space="preserve">for </w:t>
      </w:r>
      <w:r w:rsidRPr="005E62B9">
        <w:t>other</w:t>
      </w:r>
      <w:r w:rsidRPr="005E62B9">
        <w:rPr>
          <w:lang w:val="en-US"/>
        </w:rPr>
        <w:t xml:space="preserve"> economic affairs are estimated to decrease by </w:t>
      </w:r>
      <w:r w:rsidR="008E4D45">
        <w:rPr>
          <w:lang w:val="en-US"/>
        </w:rPr>
        <w:t>14.0</w:t>
      </w:r>
      <w:r w:rsidRPr="005E62B9">
        <w:rPr>
          <w:lang w:val="en-US"/>
        </w:rPr>
        <w:t xml:space="preserve"> per cent over the period 2024–25 to 2027–28, </w:t>
      </w:r>
      <w:bookmarkEnd w:id="167"/>
      <w:r w:rsidR="002536C9" w:rsidRPr="005E62B9">
        <w:rPr>
          <w:lang w:val="en-US"/>
        </w:rPr>
        <w:t xml:space="preserve">reflecting </w:t>
      </w:r>
      <w:r w:rsidR="002536C9" w:rsidRPr="005E62B9">
        <w:t>the cessation of the Boosting Apprenticeship Commencements wage subsidy</w:t>
      </w:r>
      <w:r w:rsidR="002536C9">
        <w:rPr>
          <w:lang w:val="en-US"/>
        </w:rPr>
        <w:t>.</w:t>
      </w:r>
      <w:r w:rsidR="00CA777B" w:rsidRPr="00CA777B">
        <w:rPr>
          <w:lang w:val="en-US"/>
        </w:rPr>
        <w:t xml:space="preserve"> </w:t>
      </w:r>
      <w:r w:rsidR="00CA777B" w:rsidRPr="00D64EC4">
        <w:rPr>
          <w:lang w:val="en-US"/>
        </w:rPr>
        <w:t xml:space="preserve">The Government is undertaking a Strategic Review of the Australian Apprenticeships Incentive System and, through the 2024–25 Budget measure </w:t>
      </w:r>
      <w:r w:rsidR="00CA777B" w:rsidRPr="00E40434">
        <w:rPr>
          <w:i/>
          <w:iCs/>
          <w:lang w:val="en-US"/>
        </w:rPr>
        <w:t>Australian Apprenticeships Incentive System</w:t>
      </w:r>
      <w:r w:rsidR="008D4F6B">
        <w:rPr>
          <w:i/>
          <w:iCs/>
          <w:lang w:val="en-US"/>
        </w:rPr>
        <w:t xml:space="preserve"> – </w:t>
      </w:r>
      <w:r w:rsidR="00CA777B" w:rsidRPr="00E40434">
        <w:rPr>
          <w:i/>
          <w:iCs/>
          <w:lang w:val="en-US"/>
        </w:rPr>
        <w:t>further support</w:t>
      </w:r>
      <w:r w:rsidR="00CA777B" w:rsidRPr="00D64EC4">
        <w:rPr>
          <w:lang w:val="en-US"/>
        </w:rPr>
        <w:t>, is providing additional financial support to apprentices and their employers while this review is completed.</w:t>
      </w:r>
    </w:p>
    <w:bookmarkEnd w:id="168"/>
    <w:p w14:paraId="579057F1" w14:textId="207CD179" w:rsidR="007D7259" w:rsidRPr="00002DB4" w:rsidRDefault="007D7259" w:rsidP="007D7259">
      <w:pPr>
        <w:rPr>
          <w:lang w:val="en-US"/>
        </w:rPr>
      </w:pPr>
      <w:r w:rsidRPr="00002DB4">
        <w:rPr>
          <w:lang w:val="en-US"/>
        </w:rPr>
        <w:t>The</w:t>
      </w:r>
      <w:r>
        <w:rPr>
          <w:lang w:val="en-US"/>
        </w:rPr>
        <w:t xml:space="preserve"> largest movement in the </w:t>
      </w:r>
      <w:r w:rsidR="00EF009D">
        <w:rPr>
          <w:lang w:val="en-US"/>
        </w:rPr>
        <w:t xml:space="preserve">other </w:t>
      </w:r>
      <w:r>
        <w:rPr>
          <w:lang w:val="en-US"/>
        </w:rPr>
        <w:t xml:space="preserve">economic affairs function is estimated to occur </w:t>
      </w:r>
      <w:r w:rsidR="00046A8F">
        <w:rPr>
          <w:lang w:val="en-US"/>
        </w:rPr>
        <w:t>in</w:t>
      </w:r>
      <w:r w:rsidRPr="00002DB4">
        <w:rPr>
          <w:lang w:val="en-US"/>
        </w:rPr>
        <w:t xml:space="preserve"> </w:t>
      </w:r>
      <w:r w:rsidRPr="00442AF1">
        <w:rPr>
          <w:rStyle w:val="Strong"/>
        </w:rPr>
        <w:t>vocational and industry training</w:t>
      </w:r>
      <w:r>
        <w:rPr>
          <w:lang w:val="en-US"/>
        </w:rPr>
        <w:t xml:space="preserve">, with other significant movements in expenses in </w:t>
      </w:r>
      <w:r w:rsidRPr="00442AF1">
        <w:rPr>
          <w:rStyle w:val="Strong"/>
        </w:rPr>
        <w:t>labour market assistance to job seekers and industry, immigration</w:t>
      </w:r>
      <w:r w:rsidRPr="00565D0C">
        <w:rPr>
          <w:lang w:val="en-US"/>
        </w:rPr>
        <w:t>,</w:t>
      </w:r>
      <w:r w:rsidRPr="00002DB4">
        <w:rPr>
          <w:b/>
          <w:bCs/>
          <w:lang w:val="en-US"/>
        </w:rPr>
        <w:t xml:space="preserve"> </w:t>
      </w:r>
      <w:r w:rsidRPr="00002DB4">
        <w:rPr>
          <w:lang w:val="en-US"/>
        </w:rPr>
        <w:t xml:space="preserve">and </w:t>
      </w:r>
      <w:r w:rsidRPr="00442AF1">
        <w:rPr>
          <w:rStyle w:val="Strong"/>
        </w:rPr>
        <w:t xml:space="preserve">other economic affairs </w:t>
      </w:r>
      <w:r w:rsidR="00046A8F" w:rsidRPr="00442AF1">
        <w:rPr>
          <w:rStyle w:val="Strong"/>
        </w:rPr>
        <w:t>nec</w:t>
      </w:r>
      <w:r w:rsidRPr="00002DB4">
        <w:rPr>
          <w:lang w:val="en-US"/>
        </w:rPr>
        <w:t>. The remaining sub</w:t>
      </w:r>
      <w:r w:rsidR="008D4F6B">
        <w:rPr>
          <w:lang w:val="en-US"/>
        </w:rPr>
        <w:noBreakHyphen/>
      </w:r>
      <w:r w:rsidRPr="00002DB4">
        <w:rPr>
          <w:lang w:val="en-US"/>
        </w:rPr>
        <w:t xml:space="preserve">functions are estimated to remain broadly stable </w:t>
      </w:r>
      <w:r w:rsidR="00957B9D">
        <w:t>over the period 2024–25 to 2027–28</w:t>
      </w:r>
      <w:r w:rsidRPr="00002DB4">
        <w:rPr>
          <w:lang w:val="en-US"/>
        </w:rPr>
        <w:t>.</w:t>
      </w:r>
    </w:p>
    <w:p w14:paraId="7924C340" w14:textId="1781B896" w:rsidR="007D7259" w:rsidRPr="009B27AE" w:rsidRDefault="00E70969" w:rsidP="007D7259">
      <w:bookmarkStart w:id="169" w:name="_Hlk166154986"/>
      <w:r w:rsidRPr="00442AF1">
        <w:rPr>
          <w:rStyle w:val="Strong"/>
        </w:rPr>
        <w:t>V</w:t>
      </w:r>
      <w:r w:rsidR="007D7259" w:rsidRPr="00442AF1">
        <w:rPr>
          <w:rStyle w:val="Strong"/>
        </w:rPr>
        <w:t>ocational and industry training</w:t>
      </w:r>
      <w:r w:rsidR="007D7259" w:rsidRPr="005E62B9">
        <w:t xml:space="preserve"> </w:t>
      </w:r>
      <w:r>
        <w:t xml:space="preserve">expenses </w:t>
      </w:r>
      <w:r w:rsidR="007D7259" w:rsidRPr="005E62B9">
        <w:t xml:space="preserve">are estimated to decrease over the period </w:t>
      </w:r>
      <w:r w:rsidR="00170882">
        <w:br/>
      </w:r>
      <w:r w:rsidR="007D7259" w:rsidRPr="005E62B9">
        <w:t>2024</w:t>
      </w:r>
      <w:r w:rsidR="00046A8F">
        <w:t>–</w:t>
      </w:r>
      <w:r w:rsidR="007D7259" w:rsidRPr="005E62B9">
        <w:t xml:space="preserve">25 to 2027–28, primarily reflecting the cessation of </w:t>
      </w:r>
      <w:r w:rsidR="002536C9" w:rsidRPr="005E62B9">
        <w:t>the</w:t>
      </w:r>
      <w:r w:rsidR="002536C9">
        <w:t xml:space="preserve"> temporary COVID</w:t>
      </w:r>
      <w:r w:rsidR="008D4F6B">
        <w:noBreakHyphen/>
      </w:r>
      <w:r w:rsidR="002536C9">
        <w:t>19 support</w:t>
      </w:r>
      <w:r w:rsidR="002536C9" w:rsidRPr="005E62B9">
        <w:t xml:space="preserve"> </w:t>
      </w:r>
      <w:r w:rsidR="007D7259" w:rsidRPr="005E62B9">
        <w:t>Boosting Apprenticeship Commencements wage subsidy, which is closed to new applicants</w:t>
      </w:r>
      <w:r w:rsidR="007D7259" w:rsidRPr="004B1A2C">
        <w:t>.</w:t>
      </w:r>
      <w:r w:rsidR="007D7259" w:rsidRPr="009B27AE">
        <w:t xml:space="preserve"> Th</w:t>
      </w:r>
      <w:r w:rsidR="007D7259">
        <w:t xml:space="preserve">e Government is providing additional support to apprentices and their employers through the </w:t>
      </w:r>
      <w:r w:rsidR="007D7259" w:rsidRPr="00374937">
        <w:t>2024</w:t>
      </w:r>
      <w:r>
        <w:t>–</w:t>
      </w:r>
      <w:r w:rsidR="007D7259" w:rsidRPr="00374937">
        <w:t xml:space="preserve">25 Budget </w:t>
      </w:r>
      <w:r w:rsidR="007D7259" w:rsidRPr="00C319DA">
        <w:t xml:space="preserve">measure </w:t>
      </w:r>
      <w:r w:rsidR="007D7259" w:rsidRPr="00E70969">
        <w:rPr>
          <w:i/>
          <w:iCs/>
        </w:rPr>
        <w:t>Australian Apprenticeships Incentive System</w:t>
      </w:r>
      <w:r w:rsidR="008D4F6B">
        <w:rPr>
          <w:i/>
          <w:iCs/>
        </w:rPr>
        <w:t xml:space="preserve"> – </w:t>
      </w:r>
      <w:r w:rsidR="007D7259" w:rsidRPr="00E70969">
        <w:rPr>
          <w:i/>
          <w:iCs/>
        </w:rPr>
        <w:t>further support</w:t>
      </w:r>
      <w:r w:rsidR="00D64EC4">
        <w:rPr>
          <w:i/>
          <w:iCs/>
        </w:rPr>
        <w:t xml:space="preserve">, </w:t>
      </w:r>
      <w:r w:rsidR="00D64EC4" w:rsidRPr="00E40434">
        <w:t>while the Government undertakes the Strategic Review of the Australian Apprenticeships Inventive System</w:t>
      </w:r>
      <w:r w:rsidR="007D7259" w:rsidRPr="00E70969">
        <w:t>.</w:t>
      </w:r>
      <w:r w:rsidR="007D7259">
        <w:t xml:space="preserve"> This support</w:t>
      </w:r>
      <w:r w:rsidR="007D7259" w:rsidRPr="00637344">
        <w:t xml:space="preserve">, </w:t>
      </w:r>
      <w:r w:rsidR="007D7259">
        <w:t>targeted towards apprenticeships in priority occupations, will boost apprenticeship commencements in industries where skills needs are greatest</w:t>
      </w:r>
      <w:r w:rsidR="007D7259" w:rsidRPr="009B27AE">
        <w:t>.</w:t>
      </w:r>
    </w:p>
    <w:bookmarkEnd w:id="169"/>
    <w:p w14:paraId="126354E8" w14:textId="0DFD739B" w:rsidR="007D7259" w:rsidRDefault="00E70969" w:rsidP="007D7259">
      <w:pPr>
        <w:rPr>
          <w:rFonts w:cs="Book Antiqua"/>
          <w:szCs w:val="19"/>
        </w:rPr>
      </w:pPr>
      <w:r w:rsidRPr="00442AF1">
        <w:rPr>
          <w:rStyle w:val="Strong"/>
        </w:rPr>
        <w:t>L</w:t>
      </w:r>
      <w:r w:rsidR="007D7259" w:rsidRPr="00442AF1">
        <w:rPr>
          <w:rStyle w:val="Strong"/>
        </w:rPr>
        <w:t>abour market assistance to job seekers and industry</w:t>
      </w:r>
      <w:r>
        <w:rPr>
          <w:rFonts w:cs="Book Antiqua"/>
          <w:b/>
          <w:bCs/>
          <w:szCs w:val="19"/>
        </w:rPr>
        <w:t xml:space="preserve"> </w:t>
      </w:r>
      <w:r>
        <w:rPr>
          <w:rFonts w:cs="Book Antiqua"/>
          <w:szCs w:val="19"/>
        </w:rPr>
        <w:t>expenses</w:t>
      </w:r>
      <w:r w:rsidR="007D7259" w:rsidRPr="005E62B9">
        <w:rPr>
          <w:rFonts w:cs="Book Antiqua"/>
          <w:szCs w:val="19"/>
        </w:rPr>
        <w:t xml:space="preserve"> are estimated to increase over the period 2024–25 to 2027–28, reflecting the Government</w:t>
      </w:r>
      <w:r w:rsidR="008D4F6B">
        <w:rPr>
          <w:rFonts w:cs="Book Antiqua"/>
          <w:szCs w:val="19"/>
        </w:rPr>
        <w:t>’</w:t>
      </w:r>
      <w:r w:rsidR="007D7259" w:rsidRPr="005E62B9">
        <w:rPr>
          <w:rFonts w:cs="Book Antiqua"/>
          <w:szCs w:val="19"/>
        </w:rPr>
        <w:t>s commitment to strengthen Australia</w:t>
      </w:r>
      <w:r w:rsidR="008D4F6B">
        <w:rPr>
          <w:rFonts w:cs="Book Antiqua"/>
          <w:szCs w:val="19"/>
        </w:rPr>
        <w:t>’</w:t>
      </w:r>
      <w:r w:rsidR="007D7259" w:rsidRPr="005E62B9">
        <w:rPr>
          <w:rFonts w:cs="Book Antiqua"/>
          <w:szCs w:val="19"/>
        </w:rPr>
        <w:t>s employment services system and improve outcomes for individuals accessing employment services more broadly. The growth in expenses is primarily driven by implementing a range of improvements to the current employment services system, consistent with the Government</w:t>
      </w:r>
      <w:r w:rsidR="008D4F6B">
        <w:rPr>
          <w:rFonts w:cs="Book Antiqua"/>
          <w:szCs w:val="19"/>
        </w:rPr>
        <w:t>’</w:t>
      </w:r>
      <w:r w:rsidR="007D7259" w:rsidRPr="005E62B9">
        <w:rPr>
          <w:rFonts w:cs="Book Antiqua"/>
          <w:szCs w:val="19"/>
        </w:rPr>
        <w:t>s vision for a dynamic and inclusive labour market</w:t>
      </w:r>
      <w:r w:rsidR="00D73EFB">
        <w:rPr>
          <w:rFonts w:cs="Book Antiqua"/>
          <w:szCs w:val="19"/>
        </w:rPr>
        <w:t xml:space="preserve"> and </w:t>
      </w:r>
      <w:r w:rsidR="007D7259" w:rsidRPr="005E62B9">
        <w:rPr>
          <w:rFonts w:cs="Book Antiqua"/>
          <w:szCs w:val="19"/>
        </w:rPr>
        <w:t>the Employment White Paper.</w:t>
      </w:r>
    </w:p>
    <w:p w14:paraId="77389CF9" w14:textId="7761EFAC" w:rsidR="007D7259" w:rsidRPr="00321371" w:rsidRDefault="00E70969" w:rsidP="007D7259">
      <w:pPr>
        <w:rPr>
          <w:rFonts w:cs="Book Antiqua"/>
          <w:bCs/>
          <w:szCs w:val="19"/>
        </w:rPr>
      </w:pPr>
      <w:r w:rsidRPr="00442AF1">
        <w:rPr>
          <w:rStyle w:val="Strong"/>
        </w:rPr>
        <w:lastRenderedPageBreak/>
        <w:t>I</w:t>
      </w:r>
      <w:r w:rsidR="007D7259" w:rsidRPr="00442AF1">
        <w:rPr>
          <w:rStyle w:val="Strong"/>
        </w:rPr>
        <w:t>ndustrial relations</w:t>
      </w:r>
      <w:r w:rsidR="007D7259" w:rsidRPr="00321371">
        <w:rPr>
          <w:rFonts w:cs="Book Antiqua"/>
          <w:bCs/>
          <w:szCs w:val="19"/>
        </w:rPr>
        <w:t xml:space="preserve"> </w:t>
      </w:r>
      <w:r>
        <w:rPr>
          <w:rFonts w:cs="Book Antiqua"/>
          <w:bCs/>
          <w:szCs w:val="19"/>
        </w:rPr>
        <w:t xml:space="preserve">expenses </w:t>
      </w:r>
      <w:r w:rsidR="007D7259" w:rsidRPr="00321371">
        <w:rPr>
          <w:rFonts w:cs="Book Antiqua"/>
          <w:bCs/>
          <w:szCs w:val="19"/>
        </w:rPr>
        <w:t xml:space="preserve">are estimated to </w:t>
      </w:r>
      <w:r w:rsidR="007D7259">
        <w:rPr>
          <w:rFonts w:cs="Book Antiqua"/>
          <w:bCs/>
          <w:szCs w:val="19"/>
        </w:rPr>
        <w:t>decrease</w:t>
      </w:r>
      <w:r w:rsidR="007D7259" w:rsidRPr="00321371">
        <w:rPr>
          <w:rFonts w:cs="Book Antiqua"/>
          <w:bCs/>
          <w:szCs w:val="19"/>
        </w:rPr>
        <w:t xml:space="preserve"> over the period 2024–25 to 2027–28</w:t>
      </w:r>
      <w:r w:rsidR="001D436E">
        <w:rPr>
          <w:rFonts w:cs="Book Antiqua"/>
          <w:bCs/>
          <w:szCs w:val="19"/>
        </w:rPr>
        <w:t xml:space="preserve"> largely as a result </w:t>
      </w:r>
      <w:r w:rsidR="00362471">
        <w:rPr>
          <w:rFonts w:cs="Book Antiqua"/>
          <w:bCs/>
          <w:szCs w:val="19"/>
        </w:rPr>
        <w:t xml:space="preserve">of </w:t>
      </w:r>
      <w:r w:rsidR="00D07552" w:rsidRPr="00D07552">
        <w:rPr>
          <w:rFonts w:cs="Book Antiqua"/>
          <w:bCs/>
          <w:szCs w:val="19"/>
        </w:rPr>
        <w:t>terminating funding provided in the 2023</w:t>
      </w:r>
      <w:r w:rsidR="00362471">
        <w:rPr>
          <w:rFonts w:cs="Book Antiqua"/>
          <w:bCs/>
          <w:szCs w:val="19"/>
        </w:rPr>
        <w:t>–</w:t>
      </w:r>
      <w:r w:rsidR="00D07552" w:rsidRPr="00D07552">
        <w:rPr>
          <w:rFonts w:cs="Book Antiqua"/>
          <w:bCs/>
          <w:szCs w:val="19"/>
        </w:rPr>
        <w:t xml:space="preserve">24 MYEFO measures </w:t>
      </w:r>
      <w:r w:rsidR="00D07552" w:rsidRPr="00442AF1">
        <w:rPr>
          <w:rStyle w:val="Emphasis"/>
        </w:rPr>
        <w:t>Prohibition on the Use of Engineered Stone – communication strategy</w:t>
      </w:r>
      <w:r w:rsidR="00D07552" w:rsidRPr="00D07552">
        <w:rPr>
          <w:rFonts w:cs="Book Antiqua"/>
          <w:bCs/>
          <w:i/>
          <w:iCs/>
          <w:szCs w:val="19"/>
        </w:rPr>
        <w:t xml:space="preserve"> </w:t>
      </w:r>
      <w:r w:rsidR="00D07552" w:rsidRPr="00102787">
        <w:rPr>
          <w:rFonts w:cs="Book Antiqua"/>
          <w:bCs/>
          <w:szCs w:val="19"/>
        </w:rPr>
        <w:t>and</w:t>
      </w:r>
      <w:r w:rsidR="00D07552" w:rsidRPr="00D07552">
        <w:rPr>
          <w:rFonts w:cs="Book Antiqua"/>
          <w:bCs/>
          <w:i/>
          <w:iCs/>
          <w:szCs w:val="19"/>
        </w:rPr>
        <w:t xml:space="preserve"> </w:t>
      </w:r>
      <w:r w:rsidR="00D07552" w:rsidRPr="00442AF1">
        <w:rPr>
          <w:rStyle w:val="Emphasis"/>
        </w:rPr>
        <w:t>Review of the Safety, Rehabilitation and Compensation Act 1988</w:t>
      </w:r>
      <w:r w:rsidR="00D07552" w:rsidRPr="00D07552">
        <w:rPr>
          <w:rFonts w:cs="Book Antiqua"/>
          <w:bCs/>
          <w:szCs w:val="19"/>
        </w:rPr>
        <w:t>.</w:t>
      </w:r>
      <w:r w:rsidR="00D07552">
        <w:rPr>
          <w:color w:val="FF0000"/>
        </w:rPr>
        <w:t xml:space="preserve"> </w:t>
      </w:r>
      <w:r w:rsidR="0016027E">
        <w:rPr>
          <w:rFonts w:cs="Book Antiqua"/>
          <w:bCs/>
          <w:szCs w:val="19"/>
        </w:rPr>
        <w:t>Th</w:t>
      </w:r>
      <w:r w:rsidR="001D436E">
        <w:rPr>
          <w:rFonts w:cs="Book Antiqua"/>
          <w:bCs/>
          <w:szCs w:val="19"/>
        </w:rPr>
        <w:t>is</w:t>
      </w:r>
      <w:r w:rsidR="0016027E">
        <w:rPr>
          <w:rFonts w:cs="Book Antiqua"/>
          <w:bCs/>
          <w:szCs w:val="19"/>
        </w:rPr>
        <w:t xml:space="preserve"> decrease </w:t>
      </w:r>
      <w:r w:rsidR="001D436E">
        <w:rPr>
          <w:rFonts w:cs="Book Antiqua"/>
          <w:bCs/>
          <w:szCs w:val="19"/>
        </w:rPr>
        <w:t>is expected to be</w:t>
      </w:r>
      <w:r w:rsidR="007D7259">
        <w:rPr>
          <w:rFonts w:cs="Book Antiqua"/>
          <w:bCs/>
          <w:szCs w:val="19"/>
        </w:rPr>
        <w:t xml:space="preserve"> partially offset by </w:t>
      </w:r>
      <w:r w:rsidR="007D7259" w:rsidRPr="00B90034">
        <w:rPr>
          <w:rFonts w:cs="Book Antiqua"/>
          <w:bCs/>
          <w:szCs w:val="19"/>
        </w:rPr>
        <w:t>a</w:t>
      </w:r>
      <w:r w:rsidR="007D7259" w:rsidRPr="00321371">
        <w:rPr>
          <w:rFonts w:cs="Book Antiqua"/>
          <w:bCs/>
          <w:szCs w:val="19"/>
        </w:rPr>
        <w:t xml:space="preserve"> range of supports to progress the Government</w:t>
      </w:r>
      <w:r w:rsidR="008D4F6B">
        <w:rPr>
          <w:rFonts w:cs="Book Antiqua"/>
          <w:bCs/>
          <w:szCs w:val="19"/>
        </w:rPr>
        <w:t>’</w:t>
      </w:r>
      <w:r w:rsidR="007D7259" w:rsidRPr="00321371">
        <w:rPr>
          <w:rFonts w:cs="Book Antiqua"/>
          <w:bCs/>
          <w:szCs w:val="19"/>
        </w:rPr>
        <w:t xml:space="preserve">s workplace relations agenda, critical to the implementation of changes made by the </w:t>
      </w:r>
      <w:r w:rsidR="007D7259" w:rsidRPr="00442AF1">
        <w:rPr>
          <w:rStyle w:val="Emphasis"/>
        </w:rPr>
        <w:t>Fair Work Legislation Amendment (Closing Loopholes) Act 2023</w:t>
      </w:r>
      <w:r w:rsidR="007D7259" w:rsidRPr="00321371">
        <w:rPr>
          <w:rFonts w:cs="Book Antiqua"/>
          <w:bCs/>
          <w:szCs w:val="19"/>
        </w:rPr>
        <w:t xml:space="preserve">, and further reforms passed in the </w:t>
      </w:r>
      <w:r w:rsidR="007D7259" w:rsidRPr="00442AF1">
        <w:rPr>
          <w:rStyle w:val="Emphasis"/>
        </w:rPr>
        <w:t>Fair Work Legislation Amendment (Closing Loopholes No.2) Bill 2023</w:t>
      </w:r>
      <w:r w:rsidR="007D7259" w:rsidRPr="00321371">
        <w:rPr>
          <w:rFonts w:cs="Book Antiqua"/>
          <w:bCs/>
          <w:szCs w:val="19"/>
        </w:rPr>
        <w:t>.</w:t>
      </w:r>
    </w:p>
    <w:p w14:paraId="64944407" w14:textId="00F285F0" w:rsidR="00C81CBC" w:rsidRPr="00285AA6" w:rsidRDefault="007D7259" w:rsidP="00A4389A">
      <w:pPr>
        <w:rPr>
          <w:rFonts w:cstheme="minorHAnsi"/>
          <w:szCs w:val="19"/>
        </w:rPr>
      </w:pPr>
      <w:bookmarkStart w:id="170" w:name="_Hlk165657891"/>
      <w:r w:rsidRPr="00AB29A0">
        <w:rPr>
          <w:rFonts w:cstheme="minorHAnsi"/>
          <w:szCs w:val="19"/>
        </w:rPr>
        <w:t xml:space="preserve">The </w:t>
      </w:r>
      <w:r w:rsidRPr="00442AF1">
        <w:rPr>
          <w:rStyle w:val="Strong"/>
        </w:rPr>
        <w:t>immigration</w:t>
      </w:r>
      <w:r w:rsidRPr="00AB29A0">
        <w:rPr>
          <w:rFonts w:cstheme="minorHAnsi"/>
          <w:szCs w:val="19"/>
        </w:rPr>
        <w:t xml:space="preserve"> sub</w:t>
      </w:r>
      <w:r w:rsidR="008D4F6B">
        <w:rPr>
          <w:rFonts w:cstheme="minorHAnsi"/>
          <w:szCs w:val="19"/>
        </w:rPr>
        <w:noBreakHyphen/>
      </w:r>
      <w:r w:rsidRPr="00AB29A0">
        <w:rPr>
          <w:rFonts w:cstheme="minorHAnsi"/>
          <w:szCs w:val="19"/>
        </w:rPr>
        <w:t>function includes the provision of migration and citizenship services, the management of unlawful non</w:t>
      </w:r>
      <w:r w:rsidR="008D4F6B">
        <w:rPr>
          <w:rFonts w:cstheme="minorHAnsi"/>
          <w:szCs w:val="19"/>
        </w:rPr>
        <w:noBreakHyphen/>
      </w:r>
      <w:r w:rsidRPr="00AB29A0">
        <w:rPr>
          <w:rFonts w:cstheme="minorHAnsi"/>
          <w:szCs w:val="19"/>
        </w:rPr>
        <w:t>citizens</w:t>
      </w:r>
      <w:r w:rsidR="0034399B">
        <w:rPr>
          <w:rFonts w:cstheme="minorHAnsi"/>
          <w:szCs w:val="19"/>
        </w:rPr>
        <w:t>,</w:t>
      </w:r>
      <w:r w:rsidRPr="00AB29A0">
        <w:rPr>
          <w:rFonts w:cstheme="minorHAnsi"/>
          <w:szCs w:val="19"/>
        </w:rPr>
        <w:t xml:space="preserve"> and refugee and humanitarian assistance. </w:t>
      </w:r>
      <w:r w:rsidR="004444F0" w:rsidRPr="00442AF1">
        <w:rPr>
          <w:rStyle w:val="Strong"/>
        </w:rPr>
        <w:t>Immigration</w:t>
      </w:r>
      <w:r w:rsidR="004444F0">
        <w:rPr>
          <w:rFonts w:cstheme="minorHAnsi"/>
          <w:szCs w:val="19"/>
        </w:rPr>
        <w:t xml:space="preserve"> e</w:t>
      </w:r>
      <w:r w:rsidRPr="00AB29A0">
        <w:rPr>
          <w:rFonts w:cstheme="minorHAnsi"/>
          <w:szCs w:val="19"/>
        </w:rPr>
        <w:t>xpenses are expected to decrease over the period 2024–25 to 2027–28, primarily reflecting the forecast reduction of the detainee population in onshore detention and</w:t>
      </w:r>
      <w:r w:rsidR="00767D72">
        <w:rPr>
          <w:rFonts w:cstheme="minorHAnsi"/>
          <w:szCs w:val="19"/>
        </w:rPr>
        <w:t xml:space="preserve"> in</w:t>
      </w:r>
      <w:r w:rsidRPr="00AB29A0">
        <w:rPr>
          <w:rFonts w:cstheme="minorHAnsi"/>
          <w:szCs w:val="19"/>
        </w:rPr>
        <w:t xml:space="preserve"> the offshore processing centre</w:t>
      </w:r>
      <w:r w:rsidR="008D4F6B">
        <w:rPr>
          <w:rFonts w:cstheme="minorHAnsi"/>
          <w:szCs w:val="19"/>
        </w:rPr>
        <w:t>.</w:t>
      </w:r>
      <w:bookmarkEnd w:id="170"/>
    </w:p>
    <w:p w14:paraId="3FCBE70E" w14:textId="1C863B0E" w:rsidR="007D7259" w:rsidRDefault="007D7259" w:rsidP="00A4389A">
      <w:pPr>
        <w:rPr>
          <w:rFonts w:cstheme="minorHAnsi"/>
          <w:szCs w:val="19"/>
        </w:rPr>
      </w:pPr>
      <w:r>
        <w:t>Table </w:t>
      </w:r>
      <w:r w:rsidRPr="000177D7">
        <w:t>6.1</w:t>
      </w:r>
      <w:r w:rsidR="00362471">
        <w:t>6</w:t>
      </w:r>
      <w:r w:rsidRPr="000177D7">
        <w:t xml:space="preserve">.1 sets out the major components of the </w:t>
      </w:r>
      <w:r w:rsidRPr="00442AF1">
        <w:rPr>
          <w:rStyle w:val="Strong"/>
        </w:rPr>
        <w:t>immigration</w:t>
      </w:r>
      <w:r w:rsidRPr="000177D7">
        <w:t xml:space="preserve"> sub</w:t>
      </w:r>
      <w:r w:rsidR="008D4F6B">
        <w:noBreakHyphen/>
      </w:r>
      <w:r w:rsidRPr="000177D7">
        <w:t>functio</w:t>
      </w:r>
      <w:r>
        <w:t>n.</w:t>
      </w:r>
    </w:p>
    <w:p w14:paraId="2D064F2F" w14:textId="2A35DCF5" w:rsidR="00885096" w:rsidRDefault="00E32E1B" w:rsidP="00885096">
      <w:pPr>
        <w:pStyle w:val="TableHeading"/>
        <w:rPr>
          <w:rFonts w:asciiTheme="minorHAnsi" w:eastAsiaTheme="minorHAnsi" w:hAnsiTheme="minorHAnsi" w:cstheme="minorBidi"/>
          <w:sz w:val="22"/>
          <w:szCs w:val="22"/>
          <w:lang w:eastAsia="en-US"/>
        </w:rPr>
      </w:pPr>
      <w:r>
        <w:t>Table </w:t>
      </w:r>
      <w:r w:rsidRPr="000177D7">
        <w:t xml:space="preserve">6.16.1: Trends in the major components of </w:t>
      </w:r>
      <w:r>
        <w:t xml:space="preserve">the </w:t>
      </w:r>
      <w:r w:rsidRPr="000177D7">
        <w:t>immigration sub</w:t>
      </w:r>
      <w:r w:rsidR="008D4F6B">
        <w:noBreakHyphen/>
      </w:r>
      <w:r w:rsidRPr="000177D7">
        <w:t xml:space="preserve">function </w:t>
      </w:r>
      <w:r w:rsidRPr="00B965A6">
        <w:t>expense</w:t>
      </w:r>
    </w:p>
    <w:tbl>
      <w:tblPr>
        <w:tblW w:w="5000" w:type="pct"/>
        <w:tblCellMar>
          <w:left w:w="0" w:type="dxa"/>
          <w:right w:w="28" w:type="dxa"/>
        </w:tblCellMar>
        <w:tblLook w:val="04A0" w:firstRow="1" w:lastRow="0" w:firstColumn="1" w:lastColumn="0" w:noHBand="0" w:noVBand="1"/>
      </w:tblPr>
      <w:tblGrid>
        <w:gridCol w:w="3366"/>
        <w:gridCol w:w="105"/>
        <w:gridCol w:w="848"/>
        <w:gridCol w:w="848"/>
        <w:gridCol w:w="848"/>
        <w:gridCol w:w="848"/>
        <w:gridCol w:w="847"/>
      </w:tblGrid>
      <w:tr w:rsidR="00885096" w:rsidRPr="00885096" w14:paraId="3A7364C1" w14:textId="77777777" w:rsidTr="00885096">
        <w:trPr>
          <w:trHeight w:hRule="exact" w:val="20"/>
        </w:trPr>
        <w:tc>
          <w:tcPr>
            <w:tcW w:w="2183" w:type="pct"/>
            <w:tcBorders>
              <w:top w:val="nil"/>
              <w:left w:val="nil"/>
              <w:bottom w:val="single" w:sz="4" w:space="0" w:color="293F5B"/>
              <w:right w:val="nil"/>
            </w:tcBorders>
            <w:shd w:val="clear" w:color="000000" w:fill="FFFFFF"/>
            <w:noWrap/>
            <w:vAlign w:val="center"/>
            <w:hideMark/>
          </w:tcPr>
          <w:p w14:paraId="3AD96720" w14:textId="7904177F" w:rsidR="00885096" w:rsidRPr="00885096" w:rsidRDefault="00885096" w:rsidP="00885096">
            <w:pPr>
              <w:spacing w:before="0" w:after="0" w:line="240" w:lineRule="auto"/>
              <w:rPr>
                <w:rFonts w:ascii="Arial" w:hAnsi="Arial" w:cs="Arial"/>
                <w:b/>
                <w:bCs/>
                <w:color w:val="000000"/>
                <w:sz w:val="16"/>
                <w:szCs w:val="16"/>
              </w:rPr>
            </w:pPr>
            <w:r w:rsidRPr="00885096">
              <w:rPr>
                <w:rFonts w:ascii="Arial" w:hAnsi="Arial" w:cs="Arial"/>
                <w:b/>
                <w:bCs/>
                <w:color w:val="000000"/>
                <w:sz w:val="16"/>
                <w:szCs w:val="16"/>
              </w:rPr>
              <w:t> </w:t>
            </w:r>
          </w:p>
        </w:tc>
        <w:tc>
          <w:tcPr>
            <w:tcW w:w="68" w:type="pct"/>
            <w:tcBorders>
              <w:top w:val="nil"/>
              <w:left w:val="nil"/>
              <w:bottom w:val="single" w:sz="4" w:space="0" w:color="293F5B"/>
              <w:right w:val="nil"/>
            </w:tcBorders>
            <w:shd w:val="clear" w:color="000000" w:fill="FFFFFF"/>
            <w:noWrap/>
            <w:vAlign w:val="center"/>
            <w:hideMark/>
          </w:tcPr>
          <w:p w14:paraId="415618C8" w14:textId="77777777" w:rsidR="00885096" w:rsidRPr="00885096" w:rsidRDefault="00885096" w:rsidP="00885096">
            <w:pPr>
              <w:spacing w:before="0" w:after="0" w:line="240" w:lineRule="auto"/>
              <w:rPr>
                <w:rFonts w:ascii="Arial" w:hAnsi="Arial" w:cs="Arial"/>
                <w:b/>
                <w:bCs/>
                <w:color w:val="000000"/>
                <w:sz w:val="16"/>
                <w:szCs w:val="16"/>
              </w:rPr>
            </w:pPr>
            <w:r w:rsidRPr="00885096">
              <w:rPr>
                <w:rFonts w:ascii="Arial" w:hAnsi="Arial" w:cs="Arial"/>
                <w:b/>
                <w:bCs/>
                <w:color w:val="000000"/>
                <w:sz w:val="16"/>
                <w:szCs w:val="16"/>
              </w:rPr>
              <w:t> </w:t>
            </w:r>
          </w:p>
        </w:tc>
        <w:tc>
          <w:tcPr>
            <w:tcW w:w="550" w:type="pct"/>
            <w:tcBorders>
              <w:top w:val="nil"/>
              <w:left w:val="nil"/>
              <w:bottom w:val="single" w:sz="4" w:space="0" w:color="293F5B"/>
              <w:right w:val="nil"/>
            </w:tcBorders>
            <w:shd w:val="clear" w:color="000000" w:fill="FFFFFF"/>
            <w:noWrap/>
            <w:vAlign w:val="center"/>
            <w:hideMark/>
          </w:tcPr>
          <w:p w14:paraId="1F01888D" w14:textId="77777777" w:rsidR="00885096" w:rsidRPr="00885096" w:rsidRDefault="00885096" w:rsidP="00885096">
            <w:pPr>
              <w:spacing w:before="0" w:after="0" w:line="240" w:lineRule="auto"/>
              <w:rPr>
                <w:rFonts w:ascii="Arial" w:hAnsi="Arial" w:cs="Arial"/>
                <w:color w:val="000000"/>
                <w:sz w:val="16"/>
                <w:szCs w:val="16"/>
              </w:rPr>
            </w:pPr>
            <w:r w:rsidRPr="00885096">
              <w:rPr>
                <w:rFonts w:ascii="Arial" w:hAnsi="Arial" w:cs="Arial"/>
                <w:color w:val="000000"/>
                <w:sz w:val="16"/>
                <w:szCs w:val="16"/>
              </w:rPr>
              <w:t> </w:t>
            </w:r>
          </w:p>
        </w:tc>
        <w:tc>
          <w:tcPr>
            <w:tcW w:w="550" w:type="pct"/>
            <w:tcBorders>
              <w:top w:val="nil"/>
              <w:left w:val="nil"/>
              <w:bottom w:val="single" w:sz="4" w:space="0" w:color="293F5B"/>
              <w:right w:val="nil"/>
            </w:tcBorders>
            <w:shd w:val="clear" w:color="000000" w:fill="FFFFFF"/>
            <w:noWrap/>
            <w:vAlign w:val="center"/>
            <w:hideMark/>
          </w:tcPr>
          <w:p w14:paraId="18E03F2C" w14:textId="77777777" w:rsidR="00885096" w:rsidRPr="00885096" w:rsidRDefault="00885096" w:rsidP="00885096">
            <w:pPr>
              <w:spacing w:before="0" w:after="0" w:line="240" w:lineRule="auto"/>
              <w:rPr>
                <w:rFonts w:ascii="Arial" w:hAnsi="Arial" w:cs="Arial"/>
                <w:color w:val="000000"/>
                <w:sz w:val="16"/>
                <w:szCs w:val="16"/>
              </w:rPr>
            </w:pPr>
            <w:r w:rsidRPr="00885096">
              <w:rPr>
                <w:rFonts w:ascii="Arial" w:hAnsi="Arial" w:cs="Arial"/>
                <w:color w:val="000000"/>
                <w:sz w:val="16"/>
                <w:szCs w:val="16"/>
              </w:rPr>
              <w:t> </w:t>
            </w:r>
          </w:p>
        </w:tc>
        <w:tc>
          <w:tcPr>
            <w:tcW w:w="550" w:type="pct"/>
            <w:tcBorders>
              <w:top w:val="nil"/>
              <w:left w:val="nil"/>
              <w:bottom w:val="single" w:sz="4" w:space="0" w:color="293F5B"/>
              <w:right w:val="nil"/>
            </w:tcBorders>
            <w:shd w:val="clear" w:color="000000" w:fill="FFFFFF"/>
            <w:noWrap/>
            <w:vAlign w:val="center"/>
            <w:hideMark/>
          </w:tcPr>
          <w:p w14:paraId="6DE44C6E" w14:textId="77777777" w:rsidR="00885096" w:rsidRPr="00885096" w:rsidRDefault="00885096" w:rsidP="00885096">
            <w:pPr>
              <w:spacing w:before="0" w:after="0" w:line="240" w:lineRule="auto"/>
              <w:rPr>
                <w:rFonts w:ascii="Arial" w:hAnsi="Arial" w:cs="Arial"/>
                <w:color w:val="000000"/>
                <w:sz w:val="16"/>
                <w:szCs w:val="16"/>
              </w:rPr>
            </w:pPr>
            <w:r w:rsidRPr="00885096">
              <w:rPr>
                <w:rFonts w:ascii="Arial" w:hAnsi="Arial" w:cs="Arial"/>
                <w:color w:val="000000"/>
                <w:sz w:val="16"/>
                <w:szCs w:val="16"/>
              </w:rPr>
              <w:t> </w:t>
            </w:r>
          </w:p>
        </w:tc>
        <w:tc>
          <w:tcPr>
            <w:tcW w:w="550" w:type="pct"/>
            <w:tcBorders>
              <w:top w:val="nil"/>
              <w:left w:val="nil"/>
              <w:bottom w:val="single" w:sz="4" w:space="0" w:color="293F5B"/>
              <w:right w:val="nil"/>
            </w:tcBorders>
            <w:shd w:val="clear" w:color="000000" w:fill="FFFFFF"/>
            <w:noWrap/>
            <w:vAlign w:val="center"/>
            <w:hideMark/>
          </w:tcPr>
          <w:p w14:paraId="6A5502CE" w14:textId="77777777" w:rsidR="00885096" w:rsidRPr="00885096" w:rsidRDefault="00885096" w:rsidP="00885096">
            <w:pPr>
              <w:spacing w:before="0" w:after="0" w:line="240" w:lineRule="auto"/>
              <w:rPr>
                <w:rFonts w:ascii="Arial" w:hAnsi="Arial" w:cs="Arial"/>
                <w:color w:val="000000"/>
                <w:sz w:val="16"/>
                <w:szCs w:val="16"/>
              </w:rPr>
            </w:pPr>
            <w:r w:rsidRPr="00885096">
              <w:rPr>
                <w:rFonts w:ascii="Arial" w:hAnsi="Arial" w:cs="Arial"/>
                <w:color w:val="000000"/>
                <w:sz w:val="16"/>
                <w:szCs w:val="16"/>
              </w:rPr>
              <w:t> </w:t>
            </w:r>
          </w:p>
        </w:tc>
        <w:tc>
          <w:tcPr>
            <w:tcW w:w="550" w:type="pct"/>
            <w:tcBorders>
              <w:top w:val="nil"/>
              <w:left w:val="nil"/>
              <w:bottom w:val="single" w:sz="4" w:space="0" w:color="293F5B"/>
              <w:right w:val="nil"/>
            </w:tcBorders>
            <w:shd w:val="clear" w:color="000000" w:fill="FFFFFF"/>
            <w:noWrap/>
            <w:vAlign w:val="center"/>
            <w:hideMark/>
          </w:tcPr>
          <w:p w14:paraId="5A5999F0" w14:textId="77777777" w:rsidR="00885096" w:rsidRPr="00885096" w:rsidRDefault="00885096" w:rsidP="00885096">
            <w:pPr>
              <w:spacing w:before="0" w:after="0" w:line="240" w:lineRule="auto"/>
              <w:rPr>
                <w:rFonts w:ascii="Arial" w:hAnsi="Arial" w:cs="Arial"/>
                <w:color w:val="000000"/>
                <w:sz w:val="16"/>
                <w:szCs w:val="16"/>
              </w:rPr>
            </w:pPr>
            <w:r w:rsidRPr="00885096">
              <w:rPr>
                <w:rFonts w:ascii="Arial" w:hAnsi="Arial" w:cs="Arial"/>
                <w:color w:val="000000"/>
                <w:sz w:val="16"/>
                <w:szCs w:val="16"/>
              </w:rPr>
              <w:t> </w:t>
            </w:r>
          </w:p>
        </w:tc>
      </w:tr>
      <w:tr w:rsidR="00885096" w:rsidRPr="00885096" w14:paraId="42491E24" w14:textId="77777777" w:rsidTr="00236E34">
        <w:trPr>
          <w:trHeight w:hRule="exact" w:val="226"/>
        </w:trPr>
        <w:tc>
          <w:tcPr>
            <w:tcW w:w="2183" w:type="pct"/>
            <w:tcBorders>
              <w:top w:val="nil"/>
              <w:left w:val="nil"/>
              <w:bottom w:val="nil"/>
              <w:right w:val="nil"/>
            </w:tcBorders>
            <w:shd w:val="clear" w:color="000000" w:fill="FFFFFF"/>
            <w:noWrap/>
            <w:vAlign w:val="center"/>
            <w:hideMark/>
          </w:tcPr>
          <w:p w14:paraId="77ED0E69" w14:textId="77777777" w:rsidR="00885096" w:rsidRPr="00885096" w:rsidRDefault="00885096" w:rsidP="00885096">
            <w:pPr>
              <w:spacing w:before="0" w:after="0" w:line="240" w:lineRule="auto"/>
              <w:rPr>
                <w:rFonts w:ascii="Arial" w:hAnsi="Arial" w:cs="Arial"/>
                <w:b/>
                <w:bCs/>
                <w:color w:val="000000"/>
                <w:sz w:val="16"/>
                <w:szCs w:val="16"/>
              </w:rPr>
            </w:pPr>
            <w:r w:rsidRPr="00885096">
              <w:rPr>
                <w:rFonts w:ascii="Arial" w:hAnsi="Arial" w:cs="Arial"/>
                <w:b/>
                <w:bCs/>
                <w:color w:val="000000"/>
                <w:sz w:val="16"/>
                <w:szCs w:val="16"/>
              </w:rPr>
              <w:t>Component(a)</w:t>
            </w:r>
          </w:p>
        </w:tc>
        <w:tc>
          <w:tcPr>
            <w:tcW w:w="68" w:type="pct"/>
            <w:tcBorders>
              <w:top w:val="nil"/>
              <w:left w:val="nil"/>
              <w:bottom w:val="nil"/>
              <w:right w:val="nil"/>
            </w:tcBorders>
            <w:shd w:val="clear" w:color="000000" w:fill="FFFFFF"/>
            <w:noWrap/>
            <w:vAlign w:val="center"/>
            <w:hideMark/>
          </w:tcPr>
          <w:p w14:paraId="5C4ECB3A" w14:textId="77777777" w:rsidR="00885096" w:rsidRPr="00885096" w:rsidRDefault="00885096" w:rsidP="00885096">
            <w:pPr>
              <w:spacing w:before="0" w:after="0" w:line="240" w:lineRule="auto"/>
              <w:rPr>
                <w:rFonts w:ascii="Arial" w:hAnsi="Arial" w:cs="Arial"/>
                <w:color w:val="000000"/>
                <w:sz w:val="16"/>
                <w:szCs w:val="16"/>
              </w:rPr>
            </w:pPr>
            <w:r w:rsidRPr="00885096">
              <w:rPr>
                <w:rFonts w:ascii="Arial" w:hAnsi="Arial" w:cs="Arial"/>
                <w:color w:val="000000"/>
                <w:sz w:val="16"/>
                <w:szCs w:val="16"/>
              </w:rPr>
              <w:t> </w:t>
            </w:r>
          </w:p>
        </w:tc>
        <w:tc>
          <w:tcPr>
            <w:tcW w:w="2748" w:type="pct"/>
            <w:gridSpan w:val="5"/>
            <w:tcBorders>
              <w:top w:val="single" w:sz="4" w:space="0" w:color="293F5B"/>
              <w:left w:val="nil"/>
              <w:bottom w:val="single" w:sz="4" w:space="0" w:color="293F5B"/>
              <w:right w:val="nil"/>
            </w:tcBorders>
            <w:shd w:val="clear" w:color="000000" w:fill="FFFFFF"/>
            <w:noWrap/>
            <w:vAlign w:val="center"/>
            <w:hideMark/>
          </w:tcPr>
          <w:p w14:paraId="55D75E4A" w14:textId="77777777" w:rsidR="00885096" w:rsidRPr="00885096" w:rsidRDefault="00885096" w:rsidP="00885096">
            <w:pPr>
              <w:spacing w:before="0" w:after="0" w:line="240" w:lineRule="auto"/>
              <w:jc w:val="center"/>
              <w:rPr>
                <w:rFonts w:ascii="Arial" w:hAnsi="Arial" w:cs="Arial"/>
                <w:color w:val="000000"/>
                <w:sz w:val="16"/>
                <w:szCs w:val="16"/>
              </w:rPr>
            </w:pPr>
            <w:r w:rsidRPr="00885096">
              <w:rPr>
                <w:rFonts w:ascii="Arial" w:hAnsi="Arial" w:cs="Arial"/>
                <w:color w:val="000000"/>
                <w:sz w:val="16"/>
                <w:szCs w:val="16"/>
              </w:rPr>
              <w:t>Estimates</w:t>
            </w:r>
          </w:p>
        </w:tc>
      </w:tr>
      <w:tr w:rsidR="00885096" w:rsidRPr="00885096" w14:paraId="026C04C3" w14:textId="77777777" w:rsidTr="00885096">
        <w:trPr>
          <w:trHeight w:hRule="exact" w:val="226"/>
        </w:trPr>
        <w:tc>
          <w:tcPr>
            <w:tcW w:w="2183" w:type="pct"/>
            <w:tcBorders>
              <w:top w:val="nil"/>
              <w:left w:val="nil"/>
              <w:bottom w:val="nil"/>
              <w:right w:val="nil"/>
            </w:tcBorders>
            <w:shd w:val="clear" w:color="000000" w:fill="FFFFFF"/>
            <w:noWrap/>
            <w:vAlign w:val="bottom"/>
            <w:hideMark/>
          </w:tcPr>
          <w:p w14:paraId="0A161C14" w14:textId="77777777" w:rsidR="00885096" w:rsidRPr="00885096" w:rsidRDefault="00885096" w:rsidP="00885096">
            <w:pPr>
              <w:spacing w:before="0" w:after="0" w:line="240" w:lineRule="auto"/>
              <w:rPr>
                <w:rFonts w:ascii="Arial" w:hAnsi="Arial" w:cs="Arial"/>
                <w:color w:val="000000"/>
                <w:sz w:val="16"/>
                <w:szCs w:val="16"/>
              </w:rPr>
            </w:pPr>
            <w:r w:rsidRPr="00885096">
              <w:rPr>
                <w:rFonts w:ascii="Arial" w:hAnsi="Arial" w:cs="Arial"/>
                <w:color w:val="000000"/>
                <w:sz w:val="16"/>
                <w:szCs w:val="16"/>
              </w:rPr>
              <w:t> </w:t>
            </w:r>
          </w:p>
        </w:tc>
        <w:tc>
          <w:tcPr>
            <w:tcW w:w="68" w:type="pct"/>
            <w:tcBorders>
              <w:top w:val="nil"/>
              <w:left w:val="nil"/>
              <w:bottom w:val="nil"/>
              <w:right w:val="nil"/>
            </w:tcBorders>
            <w:shd w:val="clear" w:color="000000" w:fill="FFFFFF"/>
            <w:noWrap/>
            <w:vAlign w:val="center"/>
            <w:hideMark/>
          </w:tcPr>
          <w:p w14:paraId="0D3FEC4F" w14:textId="77777777" w:rsidR="00885096" w:rsidRPr="00885096" w:rsidRDefault="00885096" w:rsidP="00885096">
            <w:pPr>
              <w:spacing w:before="0" w:after="0" w:line="240" w:lineRule="auto"/>
              <w:jc w:val="right"/>
              <w:rPr>
                <w:rFonts w:ascii="Arial" w:hAnsi="Arial" w:cs="Arial"/>
                <w:sz w:val="16"/>
                <w:szCs w:val="16"/>
              </w:rPr>
            </w:pPr>
            <w:r w:rsidRPr="00885096">
              <w:rPr>
                <w:rFonts w:ascii="Arial" w:hAnsi="Arial" w:cs="Arial"/>
                <w:sz w:val="16"/>
                <w:szCs w:val="16"/>
              </w:rPr>
              <w:t> </w:t>
            </w:r>
          </w:p>
        </w:tc>
        <w:tc>
          <w:tcPr>
            <w:tcW w:w="550" w:type="pct"/>
            <w:tcBorders>
              <w:top w:val="single" w:sz="4" w:space="0" w:color="293F5B"/>
              <w:left w:val="nil"/>
              <w:bottom w:val="nil"/>
              <w:right w:val="nil"/>
            </w:tcBorders>
            <w:shd w:val="clear" w:color="000000" w:fill="FFFFFF"/>
            <w:noWrap/>
            <w:vAlign w:val="center"/>
            <w:hideMark/>
          </w:tcPr>
          <w:p w14:paraId="68593949" w14:textId="0242BD05" w:rsidR="00885096" w:rsidRPr="00885096" w:rsidRDefault="00885096" w:rsidP="00885096">
            <w:pPr>
              <w:spacing w:before="0" w:after="0" w:line="240" w:lineRule="auto"/>
              <w:jc w:val="right"/>
              <w:rPr>
                <w:rFonts w:ascii="Arial" w:hAnsi="Arial" w:cs="Arial"/>
                <w:sz w:val="16"/>
                <w:szCs w:val="16"/>
              </w:rPr>
            </w:pPr>
            <w:r w:rsidRPr="00885096">
              <w:rPr>
                <w:rFonts w:ascii="Arial" w:hAnsi="Arial" w:cs="Arial"/>
                <w:sz w:val="16"/>
                <w:szCs w:val="16"/>
              </w:rPr>
              <w:t>2023</w:t>
            </w:r>
            <w:r w:rsidR="008D4F6B">
              <w:rPr>
                <w:rFonts w:ascii="Arial" w:hAnsi="Arial" w:cs="Arial"/>
                <w:sz w:val="16"/>
                <w:szCs w:val="16"/>
              </w:rPr>
              <w:noBreakHyphen/>
            </w:r>
            <w:r w:rsidRPr="00885096">
              <w:rPr>
                <w:rFonts w:ascii="Arial" w:hAnsi="Arial" w:cs="Arial"/>
                <w:sz w:val="16"/>
                <w:szCs w:val="16"/>
              </w:rPr>
              <w:t>24</w:t>
            </w:r>
          </w:p>
        </w:tc>
        <w:tc>
          <w:tcPr>
            <w:tcW w:w="550" w:type="pct"/>
            <w:tcBorders>
              <w:top w:val="single" w:sz="4" w:space="0" w:color="293F5B"/>
              <w:left w:val="nil"/>
              <w:bottom w:val="nil"/>
              <w:right w:val="nil"/>
            </w:tcBorders>
            <w:shd w:val="clear" w:color="000000" w:fill="E6F2FF"/>
            <w:noWrap/>
            <w:vAlign w:val="center"/>
            <w:hideMark/>
          </w:tcPr>
          <w:p w14:paraId="41F79444" w14:textId="7E60AAE1" w:rsidR="00885096" w:rsidRPr="00885096" w:rsidRDefault="00885096" w:rsidP="00885096">
            <w:pPr>
              <w:spacing w:before="0" w:after="0" w:line="240" w:lineRule="auto"/>
              <w:jc w:val="right"/>
              <w:rPr>
                <w:rFonts w:ascii="Arial" w:hAnsi="Arial" w:cs="Arial"/>
                <w:sz w:val="16"/>
                <w:szCs w:val="16"/>
              </w:rPr>
            </w:pPr>
            <w:r w:rsidRPr="00885096">
              <w:rPr>
                <w:rFonts w:ascii="Arial" w:hAnsi="Arial" w:cs="Arial"/>
                <w:sz w:val="16"/>
                <w:szCs w:val="16"/>
              </w:rPr>
              <w:t>2024</w:t>
            </w:r>
            <w:r w:rsidR="008D4F6B">
              <w:rPr>
                <w:rFonts w:ascii="Arial" w:hAnsi="Arial" w:cs="Arial"/>
                <w:sz w:val="16"/>
                <w:szCs w:val="16"/>
              </w:rPr>
              <w:noBreakHyphen/>
            </w:r>
            <w:r w:rsidRPr="00885096">
              <w:rPr>
                <w:rFonts w:ascii="Arial" w:hAnsi="Arial" w:cs="Arial"/>
                <w:sz w:val="16"/>
                <w:szCs w:val="16"/>
              </w:rPr>
              <w:t>25</w:t>
            </w:r>
          </w:p>
        </w:tc>
        <w:tc>
          <w:tcPr>
            <w:tcW w:w="550" w:type="pct"/>
            <w:tcBorders>
              <w:top w:val="single" w:sz="4" w:space="0" w:color="293F5B"/>
              <w:left w:val="nil"/>
              <w:bottom w:val="nil"/>
              <w:right w:val="nil"/>
            </w:tcBorders>
            <w:shd w:val="clear" w:color="000000" w:fill="FFFFFF"/>
            <w:noWrap/>
            <w:vAlign w:val="center"/>
            <w:hideMark/>
          </w:tcPr>
          <w:p w14:paraId="51FFBA03" w14:textId="5944B281" w:rsidR="00885096" w:rsidRPr="00885096" w:rsidRDefault="00885096" w:rsidP="00885096">
            <w:pPr>
              <w:spacing w:before="0" w:after="0" w:line="240" w:lineRule="auto"/>
              <w:jc w:val="right"/>
              <w:rPr>
                <w:rFonts w:ascii="Arial" w:hAnsi="Arial" w:cs="Arial"/>
                <w:sz w:val="16"/>
                <w:szCs w:val="16"/>
              </w:rPr>
            </w:pPr>
            <w:r w:rsidRPr="00885096">
              <w:rPr>
                <w:rFonts w:ascii="Arial" w:hAnsi="Arial" w:cs="Arial"/>
                <w:sz w:val="16"/>
                <w:szCs w:val="16"/>
              </w:rPr>
              <w:t>2025</w:t>
            </w:r>
            <w:r w:rsidR="008D4F6B">
              <w:rPr>
                <w:rFonts w:ascii="Arial" w:hAnsi="Arial" w:cs="Arial"/>
                <w:sz w:val="16"/>
                <w:szCs w:val="16"/>
              </w:rPr>
              <w:noBreakHyphen/>
            </w:r>
            <w:r w:rsidRPr="00885096">
              <w:rPr>
                <w:rFonts w:ascii="Arial" w:hAnsi="Arial" w:cs="Arial"/>
                <w:sz w:val="16"/>
                <w:szCs w:val="16"/>
              </w:rPr>
              <w:t>26</w:t>
            </w:r>
          </w:p>
        </w:tc>
        <w:tc>
          <w:tcPr>
            <w:tcW w:w="550" w:type="pct"/>
            <w:tcBorders>
              <w:top w:val="single" w:sz="4" w:space="0" w:color="293F5B"/>
              <w:left w:val="nil"/>
              <w:bottom w:val="nil"/>
              <w:right w:val="nil"/>
            </w:tcBorders>
            <w:shd w:val="clear" w:color="000000" w:fill="FFFFFF"/>
            <w:noWrap/>
            <w:vAlign w:val="center"/>
            <w:hideMark/>
          </w:tcPr>
          <w:p w14:paraId="5A8FDF9A" w14:textId="5A95D116" w:rsidR="00885096" w:rsidRPr="00885096" w:rsidRDefault="00885096" w:rsidP="00885096">
            <w:pPr>
              <w:spacing w:before="0" w:after="0" w:line="240" w:lineRule="auto"/>
              <w:jc w:val="right"/>
              <w:rPr>
                <w:rFonts w:ascii="Arial" w:hAnsi="Arial" w:cs="Arial"/>
                <w:sz w:val="16"/>
                <w:szCs w:val="16"/>
              </w:rPr>
            </w:pPr>
            <w:r w:rsidRPr="00885096">
              <w:rPr>
                <w:rFonts w:ascii="Arial" w:hAnsi="Arial" w:cs="Arial"/>
                <w:sz w:val="16"/>
                <w:szCs w:val="16"/>
              </w:rPr>
              <w:t>2026</w:t>
            </w:r>
            <w:r w:rsidR="008D4F6B">
              <w:rPr>
                <w:rFonts w:ascii="Arial" w:hAnsi="Arial" w:cs="Arial"/>
                <w:sz w:val="16"/>
                <w:szCs w:val="16"/>
              </w:rPr>
              <w:noBreakHyphen/>
            </w:r>
            <w:r w:rsidRPr="00885096">
              <w:rPr>
                <w:rFonts w:ascii="Arial" w:hAnsi="Arial" w:cs="Arial"/>
                <w:sz w:val="16"/>
                <w:szCs w:val="16"/>
              </w:rPr>
              <w:t>27</w:t>
            </w:r>
          </w:p>
        </w:tc>
        <w:tc>
          <w:tcPr>
            <w:tcW w:w="550" w:type="pct"/>
            <w:tcBorders>
              <w:top w:val="single" w:sz="4" w:space="0" w:color="293F5B"/>
              <w:left w:val="nil"/>
              <w:bottom w:val="nil"/>
              <w:right w:val="nil"/>
            </w:tcBorders>
            <w:shd w:val="clear" w:color="000000" w:fill="FFFFFF"/>
            <w:noWrap/>
            <w:vAlign w:val="center"/>
            <w:hideMark/>
          </w:tcPr>
          <w:p w14:paraId="5C8200F8" w14:textId="7FC9A34C" w:rsidR="00885096" w:rsidRPr="00885096" w:rsidRDefault="00885096" w:rsidP="00885096">
            <w:pPr>
              <w:spacing w:before="0" w:after="0" w:line="240" w:lineRule="auto"/>
              <w:jc w:val="right"/>
              <w:rPr>
                <w:rFonts w:ascii="Arial" w:hAnsi="Arial" w:cs="Arial"/>
                <w:color w:val="000000"/>
                <w:sz w:val="16"/>
                <w:szCs w:val="16"/>
              </w:rPr>
            </w:pPr>
            <w:r w:rsidRPr="00885096">
              <w:rPr>
                <w:rFonts w:ascii="Arial" w:hAnsi="Arial" w:cs="Arial"/>
                <w:color w:val="000000"/>
                <w:sz w:val="16"/>
                <w:szCs w:val="16"/>
              </w:rPr>
              <w:t>2027</w:t>
            </w:r>
            <w:r w:rsidR="008D4F6B">
              <w:rPr>
                <w:rFonts w:ascii="Arial" w:hAnsi="Arial" w:cs="Arial"/>
                <w:color w:val="000000"/>
                <w:sz w:val="16"/>
                <w:szCs w:val="16"/>
              </w:rPr>
              <w:noBreakHyphen/>
            </w:r>
            <w:r w:rsidRPr="00885096">
              <w:rPr>
                <w:rFonts w:ascii="Arial" w:hAnsi="Arial" w:cs="Arial"/>
                <w:color w:val="000000"/>
                <w:sz w:val="16"/>
                <w:szCs w:val="16"/>
              </w:rPr>
              <w:t>28</w:t>
            </w:r>
          </w:p>
        </w:tc>
      </w:tr>
      <w:tr w:rsidR="00885096" w:rsidRPr="00885096" w14:paraId="7978E8CE" w14:textId="77777777" w:rsidTr="00885096">
        <w:trPr>
          <w:trHeight w:hRule="exact" w:val="226"/>
        </w:trPr>
        <w:tc>
          <w:tcPr>
            <w:tcW w:w="2183" w:type="pct"/>
            <w:tcBorders>
              <w:top w:val="nil"/>
              <w:left w:val="nil"/>
              <w:bottom w:val="nil"/>
              <w:right w:val="nil"/>
            </w:tcBorders>
            <w:shd w:val="clear" w:color="000000" w:fill="FFFFFF"/>
            <w:noWrap/>
            <w:vAlign w:val="center"/>
            <w:hideMark/>
          </w:tcPr>
          <w:p w14:paraId="04FF5814" w14:textId="77777777" w:rsidR="00885096" w:rsidRPr="00885096" w:rsidRDefault="00885096" w:rsidP="00885096">
            <w:pPr>
              <w:spacing w:before="0" w:after="0" w:line="240" w:lineRule="auto"/>
              <w:rPr>
                <w:rFonts w:ascii="Arial" w:hAnsi="Arial" w:cs="Arial"/>
                <w:color w:val="000000"/>
                <w:sz w:val="16"/>
                <w:szCs w:val="16"/>
              </w:rPr>
            </w:pPr>
            <w:r w:rsidRPr="00885096">
              <w:rPr>
                <w:rFonts w:ascii="Arial" w:hAnsi="Arial" w:cs="Arial"/>
                <w:color w:val="000000"/>
                <w:sz w:val="16"/>
                <w:szCs w:val="16"/>
              </w:rPr>
              <w:t> </w:t>
            </w:r>
          </w:p>
        </w:tc>
        <w:tc>
          <w:tcPr>
            <w:tcW w:w="68" w:type="pct"/>
            <w:tcBorders>
              <w:top w:val="nil"/>
              <w:left w:val="nil"/>
              <w:bottom w:val="nil"/>
              <w:right w:val="nil"/>
            </w:tcBorders>
            <w:shd w:val="clear" w:color="000000" w:fill="FFFFFF"/>
            <w:noWrap/>
            <w:vAlign w:val="center"/>
            <w:hideMark/>
          </w:tcPr>
          <w:p w14:paraId="52E2A353" w14:textId="77777777" w:rsidR="00885096" w:rsidRPr="00885096" w:rsidRDefault="00885096" w:rsidP="00885096">
            <w:pPr>
              <w:spacing w:before="0" w:after="0" w:line="240" w:lineRule="auto"/>
              <w:jc w:val="right"/>
              <w:rPr>
                <w:rFonts w:ascii="Arial" w:hAnsi="Arial" w:cs="Arial"/>
                <w:color w:val="000000"/>
                <w:sz w:val="16"/>
                <w:szCs w:val="16"/>
              </w:rPr>
            </w:pPr>
            <w:r w:rsidRPr="00885096">
              <w:rPr>
                <w:rFonts w:ascii="Arial" w:hAnsi="Arial" w:cs="Arial"/>
                <w:color w:val="000000"/>
                <w:sz w:val="16"/>
                <w:szCs w:val="16"/>
              </w:rPr>
              <w:t> </w:t>
            </w:r>
          </w:p>
        </w:tc>
        <w:tc>
          <w:tcPr>
            <w:tcW w:w="550" w:type="pct"/>
            <w:tcBorders>
              <w:top w:val="nil"/>
              <w:left w:val="nil"/>
              <w:bottom w:val="single" w:sz="4" w:space="0" w:color="293F5B"/>
              <w:right w:val="nil"/>
            </w:tcBorders>
            <w:shd w:val="clear" w:color="000000" w:fill="FFFFFF"/>
            <w:noWrap/>
            <w:vAlign w:val="center"/>
            <w:hideMark/>
          </w:tcPr>
          <w:p w14:paraId="5BA0907E" w14:textId="77777777" w:rsidR="00885096" w:rsidRPr="00885096" w:rsidRDefault="00885096" w:rsidP="00885096">
            <w:pPr>
              <w:spacing w:before="0" w:after="0" w:line="240" w:lineRule="auto"/>
              <w:jc w:val="right"/>
              <w:rPr>
                <w:rFonts w:ascii="Arial" w:hAnsi="Arial" w:cs="Arial"/>
                <w:color w:val="000000"/>
                <w:sz w:val="16"/>
                <w:szCs w:val="16"/>
              </w:rPr>
            </w:pPr>
            <w:r w:rsidRPr="00885096">
              <w:rPr>
                <w:rFonts w:ascii="Arial" w:hAnsi="Arial" w:cs="Arial"/>
                <w:color w:val="000000"/>
                <w:sz w:val="16"/>
                <w:szCs w:val="16"/>
              </w:rPr>
              <w:t>$m</w:t>
            </w:r>
          </w:p>
        </w:tc>
        <w:tc>
          <w:tcPr>
            <w:tcW w:w="550" w:type="pct"/>
            <w:tcBorders>
              <w:top w:val="nil"/>
              <w:left w:val="nil"/>
              <w:bottom w:val="single" w:sz="4" w:space="0" w:color="293F5B"/>
              <w:right w:val="nil"/>
            </w:tcBorders>
            <w:shd w:val="clear" w:color="000000" w:fill="E6F2FF"/>
            <w:noWrap/>
            <w:vAlign w:val="center"/>
            <w:hideMark/>
          </w:tcPr>
          <w:p w14:paraId="39D40B2A" w14:textId="77777777" w:rsidR="00885096" w:rsidRPr="00885096" w:rsidRDefault="00885096" w:rsidP="00885096">
            <w:pPr>
              <w:spacing w:before="0" w:after="0" w:line="240" w:lineRule="auto"/>
              <w:jc w:val="right"/>
              <w:rPr>
                <w:rFonts w:ascii="Arial" w:hAnsi="Arial" w:cs="Arial"/>
                <w:color w:val="000000"/>
                <w:sz w:val="16"/>
                <w:szCs w:val="16"/>
              </w:rPr>
            </w:pPr>
            <w:r w:rsidRPr="00885096">
              <w:rPr>
                <w:rFonts w:ascii="Arial" w:hAnsi="Arial" w:cs="Arial"/>
                <w:color w:val="000000"/>
                <w:sz w:val="16"/>
                <w:szCs w:val="16"/>
              </w:rPr>
              <w:t>$m</w:t>
            </w:r>
          </w:p>
        </w:tc>
        <w:tc>
          <w:tcPr>
            <w:tcW w:w="550" w:type="pct"/>
            <w:tcBorders>
              <w:top w:val="nil"/>
              <w:left w:val="nil"/>
              <w:bottom w:val="single" w:sz="4" w:space="0" w:color="293F5B"/>
              <w:right w:val="nil"/>
            </w:tcBorders>
            <w:shd w:val="clear" w:color="000000" w:fill="FFFFFF"/>
            <w:noWrap/>
            <w:vAlign w:val="center"/>
            <w:hideMark/>
          </w:tcPr>
          <w:p w14:paraId="16BD187C" w14:textId="77777777" w:rsidR="00885096" w:rsidRPr="00885096" w:rsidRDefault="00885096" w:rsidP="00885096">
            <w:pPr>
              <w:spacing w:before="0" w:after="0" w:line="240" w:lineRule="auto"/>
              <w:jc w:val="right"/>
              <w:rPr>
                <w:rFonts w:ascii="Arial" w:hAnsi="Arial" w:cs="Arial"/>
                <w:color w:val="000000"/>
                <w:sz w:val="16"/>
                <w:szCs w:val="16"/>
              </w:rPr>
            </w:pPr>
            <w:r w:rsidRPr="00885096">
              <w:rPr>
                <w:rFonts w:ascii="Arial" w:hAnsi="Arial" w:cs="Arial"/>
                <w:color w:val="000000"/>
                <w:sz w:val="16"/>
                <w:szCs w:val="16"/>
              </w:rPr>
              <w:t>$m</w:t>
            </w:r>
          </w:p>
        </w:tc>
        <w:tc>
          <w:tcPr>
            <w:tcW w:w="550" w:type="pct"/>
            <w:tcBorders>
              <w:top w:val="nil"/>
              <w:left w:val="nil"/>
              <w:bottom w:val="single" w:sz="4" w:space="0" w:color="293F5B"/>
              <w:right w:val="nil"/>
            </w:tcBorders>
            <w:shd w:val="clear" w:color="000000" w:fill="FFFFFF"/>
            <w:noWrap/>
            <w:vAlign w:val="center"/>
            <w:hideMark/>
          </w:tcPr>
          <w:p w14:paraId="6F6118CC" w14:textId="77777777" w:rsidR="00885096" w:rsidRPr="00885096" w:rsidRDefault="00885096" w:rsidP="00885096">
            <w:pPr>
              <w:spacing w:before="0" w:after="0" w:line="240" w:lineRule="auto"/>
              <w:jc w:val="right"/>
              <w:rPr>
                <w:rFonts w:ascii="Arial" w:hAnsi="Arial" w:cs="Arial"/>
                <w:color w:val="000000"/>
                <w:sz w:val="16"/>
                <w:szCs w:val="16"/>
              </w:rPr>
            </w:pPr>
            <w:r w:rsidRPr="00885096">
              <w:rPr>
                <w:rFonts w:ascii="Arial" w:hAnsi="Arial" w:cs="Arial"/>
                <w:color w:val="000000"/>
                <w:sz w:val="16"/>
                <w:szCs w:val="16"/>
              </w:rPr>
              <w:t>$m</w:t>
            </w:r>
          </w:p>
        </w:tc>
        <w:tc>
          <w:tcPr>
            <w:tcW w:w="550" w:type="pct"/>
            <w:tcBorders>
              <w:top w:val="nil"/>
              <w:left w:val="nil"/>
              <w:bottom w:val="single" w:sz="4" w:space="0" w:color="293F5B"/>
              <w:right w:val="nil"/>
            </w:tcBorders>
            <w:shd w:val="clear" w:color="000000" w:fill="FFFFFF"/>
            <w:noWrap/>
            <w:vAlign w:val="center"/>
            <w:hideMark/>
          </w:tcPr>
          <w:p w14:paraId="7B013C72" w14:textId="77777777" w:rsidR="00885096" w:rsidRPr="00885096" w:rsidRDefault="00885096" w:rsidP="00885096">
            <w:pPr>
              <w:spacing w:before="0" w:after="0" w:line="240" w:lineRule="auto"/>
              <w:jc w:val="right"/>
              <w:rPr>
                <w:rFonts w:ascii="Arial" w:hAnsi="Arial" w:cs="Arial"/>
                <w:color w:val="000000"/>
                <w:sz w:val="16"/>
                <w:szCs w:val="16"/>
              </w:rPr>
            </w:pPr>
            <w:r w:rsidRPr="00885096">
              <w:rPr>
                <w:rFonts w:ascii="Arial" w:hAnsi="Arial" w:cs="Arial"/>
                <w:color w:val="000000"/>
                <w:sz w:val="16"/>
                <w:szCs w:val="16"/>
              </w:rPr>
              <w:t>$m</w:t>
            </w:r>
          </w:p>
        </w:tc>
      </w:tr>
      <w:tr w:rsidR="00885096" w:rsidRPr="00885096" w14:paraId="4C569276" w14:textId="77777777" w:rsidTr="00885096">
        <w:trPr>
          <w:trHeight w:hRule="exact" w:val="224"/>
        </w:trPr>
        <w:tc>
          <w:tcPr>
            <w:tcW w:w="2183" w:type="pct"/>
            <w:tcBorders>
              <w:top w:val="nil"/>
              <w:left w:val="nil"/>
              <w:bottom w:val="nil"/>
              <w:right w:val="nil"/>
            </w:tcBorders>
            <w:shd w:val="clear" w:color="000000" w:fill="FFFFFF"/>
            <w:noWrap/>
            <w:vAlign w:val="center"/>
            <w:hideMark/>
          </w:tcPr>
          <w:p w14:paraId="2E882FBB" w14:textId="60A717CA" w:rsidR="00885096" w:rsidRPr="00885096" w:rsidRDefault="00885096" w:rsidP="00885096">
            <w:pPr>
              <w:spacing w:before="0" w:after="0" w:line="240" w:lineRule="auto"/>
              <w:rPr>
                <w:rFonts w:ascii="Arial" w:hAnsi="Arial" w:cs="Arial"/>
                <w:color w:val="000000"/>
                <w:sz w:val="16"/>
                <w:szCs w:val="16"/>
              </w:rPr>
            </w:pPr>
            <w:r w:rsidRPr="00885096">
              <w:rPr>
                <w:rFonts w:ascii="Arial" w:hAnsi="Arial" w:cs="Arial"/>
                <w:color w:val="000000"/>
                <w:sz w:val="16"/>
                <w:szCs w:val="16"/>
              </w:rPr>
              <w:t>Management of unlawful non</w:t>
            </w:r>
            <w:r w:rsidR="008D4F6B">
              <w:rPr>
                <w:rFonts w:ascii="Arial" w:hAnsi="Arial" w:cs="Arial"/>
                <w:color w:val="000000"/>
                <w:sz w:val="16"/>
                <w:szCs w:val="16"/>
              </w:rPr>
              <w:noBreakHyphen/>
            </w:r>
            <w:r w:rsidRPr="00885096">
              <w:rPr>
                <w:rFonts w:ascii="Arial" w:hAnsi="Arial" w:cs="Arial"/>
                <w:color w:val="000000"/>
                <w:sz w:val="16"/>
                <w:szCs w:val="16"/>
              </w:rPr>
              <w:t>citizens</w:t>
            </w:r>
          </w:p>
        </w:tc>
        <w:tc>
          <w:tcPr>
            <w:tcW w:w="68" w:type="pct"/>
            <w:tcBorders>
              <w:top w:val="nil"/>
              <w:left w:val="nil"/>
              <w:bottom w:val="nil"/>
              <w:right w:val="nil"/>
            </w:tcBorders>
            <w:shd w:val="clear" w:color="000000" w:fill="FFFFFF"/>
            <w:noWrap/>
            <w:vAlign w:val="center"/>
            <w:hideMark/>
          </w:tcPr>
          <w:p w14:paraId="399BED61" w14:textId="77777777" w:rsidR="00885096" w:rsidRPr="00885096" w:rsidRDefault="00885096" w:rsidP="00885096">
            <w:pPr>
              <w:spacing w:before="0" w:after="0" w:line="240" w:lineRule="auto"/>
              <w:rPr>
                <w:rFonts w:ascii="Arial" w:hAnsi="Arial" w:cs="Arial"/>
                <w:color w:val="000000"/>
                <w:sz w:val="16"/>
                <w:szCs w:val="16"/>
              </w:rPr>
            </w:pPr>
            <w:r w:rsidRPr="00885096">
              <w:rPr>
                <w:rFonts w:ascii="Arial" w:hAnsi="Arial" w:cs="Arial"/>
                <w:color w:val="000000"/>
                <w:sz w:val="16"/>
                <w:szCs w:val="16"/>
              </w:rPr>
              <w:t> </w:t>
            </w:r>
          </w:p>
        </w:tc>
        <w:tc>
          <w:tcPr>
            <w:tcW w:w="550" w:type="pct"/>
            <w:tcBorders>
              <w:top w:val="nil"/>
              <w:left w:val="nil"/>
              <w:bottom w:val="nil"/>
              <w:right w:val="nil"/>
            </w:tcBorders>
            <w:shd w:val="clear" w:color="000000" w:fill="FFFFFF"/>
            <w:noWrap/>
            <w:vAlign w:val="center"/>
            <w:hideMark/>
          </w:tcPr>
          <w:p w14:paraId="2DEE70EA" w14:textId="77777777" w:rsidR="00885096" w:rsidRPr="00885096" w:rsidRDefault="00885096" w:rsidP="00885096">
            <w:pPr>
              <w:spacing w:before="0" w:after="0" w:line="240" w:lineRule="auto"/>
              <w:jc w:val="right"/>
              <w:rPr>
                <w:rFonts w:ascii="Arial" w:hAnsi="Arial" w:cs="Arial"/>
                <w:color w:val="000000"/>
                <w:sz w:val="16"/>
                <w:szCs w:val="16"/>
              </w:rPr>
            </w:pPr>
            <w:r w:rsidRPr="00885096">
              <w:rPr>
                <w:rFonts w:ascii="Arial" w:hAnsi="Arial" w:cs="Arial"/>
                <w:color w:val="000000"/>
                <w:sz w:val="16"/>
                <w:szCs w:val="16"/>
              </w:rPr>
              <w:t>1,779</w:t>
            </w:r>
          </w:p>
        </w:tc>
        <w:tc>
          <w:tcPr>
            <w:tcW w:w="550" w:type="pct"/>
            <w:tcBorders>
              <w:top w:val="nil"/>
              <w:left w:val="nil"/>
              <w:bottom w:val="nil"/>
              <w:right w:val="nil"/>
            </w:tcBorders>
            <w:shd w:val="clear" w:color="000000" w:fill="E6F2FF"/>
            <w:noWrap/>
            <w:vAlign w:val="center"/>
            <w:hideMark/>
          </w:tcPr>
          <w:p w14:paraId="2F6E9035" w14:textId="77777777" w:rsidR="00885096" w:rsidRPr="00885096" w:rsidRDefault="00885096" w:rsidP="00885096">
            <w:pPr>
              <w:spacing w:before="0" w:after="0" w:line="240" w:lineRule="auto"/>
              <w:jc w:val="right"/>
              <w:rPr>
                <w:rFonts w:ascii="Arial" w:hAnsi="Arial" w:cs="Arial"/>
                <w:color w:val="000000"/>
                <w:sz w:val="16"/>
                <w:szCs w:val="16"/>
              </w:rPr>
            </w:pPr>
            <w:r w:rsidRPr="00885096">
              <w:rPr>
                <w:rFonts w:ascii="Arial" w:hAnsi="Arial" w:cs="Arial"/>
                <w:color w:val="000000"/>
                <w:sz w:val="16"/>
                <w:szCs w:val="16"/>
              </w:rPr>
              <w:t>1,732</w:t>
            </w:r>
          </w:p>
        </w:tc>
        <w:tc>
          <w:tcPr>
            <w:tcW w:w="550" w:type="pct"/>
            <w:tcBorders>
              <w:top w:val="nil"/>
              <w:left w:val="nil"/>
              <w:bottom w:val="nil"/>
              <w:right w:val="nil"/>
            </w:tcBorders>
            <w:shd w:val="clear" w:color="000000" w:fill="FFFFFF"/>
            <w:noWrap/>
            <w:vAlign w:val="center"/>
            <w:hideMark/>
          </w:tcPr>
          <w:p w14:paraId="3F9F1ADE" w14:textId="77777777" w:rsidR="00885096" w:rsidRPr="00885096" w:rsidRDefault="00885096" w:rsidP="00885096">
            <w:pPr>
              <w:spacing w:before="0" w:after="0" w:line="240" w:lineRule="auto"/>
              <w:jc w:val="right"/>
              <w:rPr>
                <w:rFonts w:ascii="Arial" w:hAnsi="Arial" w:cs="Arial"/>
                <w:color w:val="000000"/>
                <w:sz w:val="16"/>
                <w:szCs w:val="16"/>
              </w:rPr>
            </w:pPr>
            <w:r w:rsidRPr="00885096">
              <w:rPr>
                <w:rFonts w:ascii="Arial" w:hAnsi="Arial" w:cs="Arial"/>
                <w:color w:val="000000"/>
                <w:sz w:val="16"/>
                <w:szCs w:val="16"/>
              </w:rPr>
              <w:t>1,417</w:t>
            </w:r>
          </w:p>
        </w:tc>
        <w:tc>
          <w:tcPr>
            <w:tcW w:w="550" w:type="pct"/>
            <w:tcBorders>
              <w:top w:val="nil"/>
              <w:left w:val="nil"/>
              <w:bottom w:val="nil"/>
              <w:right w:val="nil"/>
            </w:tcBorders>
            <w:shd w:val="clear" w:color="000000" w:fill="FFFFFF"/>
            <w:noWrap/>
            <w:vAlign w:val="center"/>
            <w:hideMark/>
          </w:tcPr>
          <w:p w14:paraId="55D699C7" w14:textId="77777777" w:rsidR="00885096" w:rsidRPr="00885096" w:rsidRDefault="00885096" w:rsidP="00885096">
            <w:pPr>
              <w:spacing w:before="0" w:after="0" w:line="240" w:lineRule="auto"/>
              <w:jc w:val="right"/>
              <w:rPr>
                <w:rFonts w:ascii="Arial" w:hAnsi="Arial" w:cs="Arial"/>
                <w:color w:val="000000"/>
                <w:sz w:val="16"/>
                <w:szCs w:val="16"/>
              </w:rPr>
            </w:pPr>
            <w:r w:rsidRPr="00885096">
              <w:rPr>
                <w:rFonts w:ascii="Arial" w:hAnsi="Arial" w:cs="Arial"/>
                <w:color w:val="000000"/>
                <w:sz w:val="16"/>
                <w:szCs w:val="16"/>
              </w:rPr>
              <w:t>1,455</w:t>
            </w:r>
          </w:p>
        </w:tc>
        <w:tc>
          <w:tcPr>
            <w:tcW w:w="550" w:type="pct"/>
            <w:tcBorders>
              <w:top w:val="nil"/>
              <w:left w:val="nil"/>
              <w:bottom w:val="nil"/>
              <w:right w:val="nil"/>
            </w:tcBorders>
            <w:shd w:val="clear" w:color="000000" w:fill="FFFFFF"/>
            <w:noWrap/>
            <w:vAlign w:val="center"/>
            <w:hideMark/>
          </w:tcPr>
          <w:p w14:paraId="24D64D0C" w14:textId="77777777" w:rsidR="00885096" w:rsidRPr="00885096" w:rsidRDefault="00885096" w:rsidP="00885096">
            <w:pPr>
              <w:spacing w:before="0" w:after="0" w:line="240" w:lineRule="auto"/>
              <w:jc w:val="right"/>
              <w:rPr>
                <w:rFonts w:ascii="Arial" w:hAnsi="Arial" w:cs="Arial"/>
                <w:color w:val="000000"/>
                <w:sz w:val="16"/>
                <w:szCs w:val="16"/>
              </w:rPr>
            </w:pPr>
            <w:r w:rsidRPr="00885096">
              <w:rPr>
                <w:rFonts w:ascii="Arial" w:hAnsi="Arial" w:cs="Arial"/>
                <w:color w:val="000000"/>
                <w:sz w:val="16"/>
                <w:szCs w:val="16"/>
              </w:rPr>
              <w:t>1,472</w:t>
            </w:r>
          </w:p>
        </w:tc>
      </w:tr>
      <w:tr w:rsidR="00885096" w:rsidRPr="00885096" w14:paraId="5EE251DE" w14:textId="77777777" w:rsidTr="00885096">
        <w:trPr>
          <w:trHeight w:hRule="exact" w:val="224"/>
        </w:trPr>
        <w:tc>
          <w:tcPr>
            <w:tcW w:w="2183" w:type="pct"/>
            <w:tcBorders>
              <w:top w:val="nil"/>
              <w:left w:val="nil"/>
              <w:bottom w:val="nil"/>
              <w:right w:val="nil"/>
            </w:tcBorders>
            <w:shd w:val="clear" w:color="000000" w:fill="FFFFFF"/>
            <w:noWrap/>
            <w:vAlign w:val="center"/>
            <w:hideMark/>
          </w:tcPr>
          <w:p w14:paraId="303D8F30" w14:textId="77777777" w:rsidR="00885096" w:rsidRPr="00885096" w:rsidRDefault="00885096" w:rsidP="00885096">
            <w:pPr>
              <w:spacing w:before="0" w:after="0" w:line="240" w:lineRule="auto"/>
              <w:rPr>
                <w:rFonts w:ascii="Arial" w:hAnsi="Arial" w:cs="Arial"/>
                <w:color w:val="000000"/>
                <w:sz w:val="16"/>
                <w:szCs w:val="16"/>
              </w:rPr>
            </w:pPr>
            <w:r w:rsidRPr="00885096">
              <w:rPr>
                <w:rFonts w:ascii="Arial" w:hAnsi="Arial" w:cs="Arial"/>
                <w:color w:val="000000"/>
                <w:sz w:val="16"/>
                <w:szCs w:val="16"/>
              </w:rPr>
              <w:t>Citizenship, visas and migration</w:t>
            </w:r>
          </w:p>
        </w:tc>
        <w:tc>
          <w:tcPr>
            <w:tcW w:w="68" w:type="pct"/>
            <w:tcBorders>
              <w:top w:val="nil"/>
              <w:left w:val="nil"/>
              <w:bottom w:val="nil"/>
              <w:right w:val="nil"/>
            </w:tcBorders>
            <w:shd w:val="clear" w:color="000000" w:fill="FFFFFF"/>
            <w:noWrap/>
            <w:vAlign w:val="center"/>
            <w:hideMark/>
          </w:tcPr>
          <w:p w14:paraId="44AAE181" w14:textId="77777777" w:rsidR="00885096" w:rsidRPr="00885096" w:rsidRDefault="00885096" w:rsidP="00885096">
            <w:pPr>
              <w:spacing w:before="0" w:after="0" w:line="240" w:lineRule="auto"/>
              <w:rPr>
                <w:rFonts w:ascii="Arial" w:hAnsi="Arial" w:cs="Arial"/>
                <w:color w:val="000000"/>
                <w:sz w:val="16"/>
                <w:szCs w:val="16"/>
              </w:rPr>
            </w:pPr>
            <w:r w:rsidRPr="00885096">
              <w:rPr>
                <w:rFonts w:ascii="Arial" w:hAnsi="Arial" w:cs="Arial"/>
                <w:color w:val="000000"/>
                <w:sz w:val="16"/>
                <w:szCs w:val="16"/>
              </w:rPr>
              <w:t> </w:t>
            </w:r>
          </w:p>
        </w:tc>
        <w:tc>
          <w:tcPr>
            <w:tcW w:w="550" w:type="pct"/>
            <w:tcBorders>
              <w:top w:val="nil"/>
              <w:left w:val="nil"/>
              <w:bottom w:val="nil"/>
              <w:right w:val="nil"/>
            </w:tcBorders>
            <w:shd w:val="clear" w:color="000000" w:fill="FFFFFF"/>
            <w:noWrap/>
            <w:vAlign w:val="center"/>
            <w:hideMark/>
          </w:tcPr>
          <w:p w14:paraId="6A99ED20" w14:textId="77777777" w:rsidR="00885096" w:rsidRPr="00885096" w:rsidRDefault="00885096" w:rsidP="00885096">
            <w:pPr>
              <w:spacing w:before="0" w:after="0" w:line="240" w:lineRule="auto"/>
              <w:jc w:val="right"/>
              <w:rPr>
                <w:rFonts w:ascii="Arial" w:hAnsi="Arial" w:cs="Arial"/>
                <w:color w:val="000000"/>
                <w:sz w:val="16"/>
                <w:szCs w:val="16"/>
              </w:rPr>
            </w:pPr>
            <w:r w:rsidRPr="00885096">
              <w:rPr>
                <w:rFonts w:ascii="Arial" w:hAnsi="Arial" w:cs="Arial"/>
                <w:color w:val="000000"/>
                <w:sz w:val="16"/>
                <w:szCs w:val="16"/>
              </w:rPr>
              <w:t>975</w:t>
            </w:r>
          </w:p>
        </w:tc>
        <w:tc>
          <w:tcPr>
            <w:tcW w:w="550" w:type="pct"/>
            <w:tcBorders>
              <w:top w:val="nil"/>
              <w:left w:val="nil"/>
              <w:bottom w:val="nil"/>
              <w:right w:val="nil"/>
            </w:tcBorders>
            <w:shd w:val="clear" w:color="000000" w:fill="E6F2FF"/>
            <w:noWrap/>
            <w:vAlign w:val="center"/>
            <w:hideMark/>
          </w:tcPr>
          <w:p w14:paraId="2E2AC79B" w14:textId="77777777" w:rsidR="00885096" w:rsidRPr="00885096" w:rsidRDefault="00885096" w:rsidP="00885096">
            <w:pPr>
              <w:spacing w:before="0" w:after="0" w:line="240" w:lineRule="auto"/>
              <w:jc w:val="right"/>
              <w:rPr>
                <w:rFonts w:ascii="Arial" w:hAnsi="Arial" w:cs="Arial"/>
                <w:color w:val="000000"/>
                <w:sz w:val="16"/>
                <w:szCs w:val="16"/>
              </w:rPr>
            </w:pPr>
            <w:r w:rsidRPr="00885096">
              <w:rPr>
                <w:rFonts w:ascii="Arial" w:hAnsi="Arial" w:cs="Arial"/>
                <w:color w:val="000000"/>
                <w:sz w:val="16"/>
                <w:szCs w:val="16"/>
              </w:rPr>
              <w:t>945</w:t>
            </w:r>
          </w:p>
        </w:tc>
        <w:tc>
          <w:tcPr>
            <w:tcW w:w="550" w:type="pct"/>
            <w:tcBorders>
              <w:top w:val="nil"/>
              <w:left w:val="nil"/>
              <w:bottom w:val="nil"/>
              <w:right w:val="nil"/>
            </w:tcBorders>
            <w:shd w:val="clear" w:color="000000" w:fill="FFFFFF"/>
            <w:noWrap/>
            <w:vAlign w:val="center"/>
            <w:hideMark/>
          </w:tcPr>
          <w:p w14:paraId="3A385D20" w14:textId="77777777" w:rsidR="00885096" w:rsidRPr="00885096" w:rsidRDefault="00885096" w:rsidP="00885096">
            <w:pPr>
              <w:spacing w:before="0" w:after="0" w:line="240" w:lineRule="auto"/>
              <w:jc w:val="right"/>
              <w:rPr>
                <w:rFonts w:ascii="Arial" w:hAnsi="Arial" w:cs="Arial"/>
                <w:color w:val="000000"/>
                <w:sz w:val="16"/>
                <w:szCs w:val="16"/>
              </w:rPr>
            </w:pPr>
            <w:r w:rsidRPr="00885096">
              <w:rPr>
                <w:rFonts w:ascii="Arial" w:hAnsi="Arial" w:cs="Arial"/>
                <w:color w:val="000000"/>
                <w:sz w:val="16"/>
                <w:szCs w:val="16"/>
              </w:rPr>
              <w:t>818</w:t>
            </w:r>
          </w:p>
        </w:tc>
        <w:tc>
          <w:tcPr>
            <w:tcW w:w="550" w:type="pct"/>
            <w:tcBorders>
              <w:top w:val="nil"/>
              <w:left w:val="nil"/>
              <w:bottom w:val="nil"/>
              <w:right w:val="nil"/>
            </w:tcBorders>
            <w:shd w:val="clear" w:color="000000" w:fill="FFFFFF"/>
            <w:noWrap/>
            <w:vAlign w:val="center"/>
            <w:hideMark/>
          </w:tcPr>
          <w:p w14:paraId="1F5969F8" w14:textId="77777777" w:rsidR="00885096" w:rsidRPr="00885096" w:rsidRDefault="00885096" w:rsidP="00885096">
            <w:pPr>
              <w:spacing w:before="0" w:after="0" w:line="240" w:lineRule="auto"/>
              <w:jc w:val="right"/>
              <w:rPr>
                <w:rFonts w:ascii="Arial" w:hAnsi="Arial" w:cs="Arial"/>
                <w:color w:val="000000"/>
                <w:sz w:val="16"/>
                <w:szCs w:val="16"/>
              </w:rPr>
            </w:pPr>
            <w:r w:rsidRPr="00885096">
              <w:rPr>
                <w:rFonts w:ascii="Arial" w:hAnsi="Arial" w:cs="Arial"/>
                <w:color w:val="000000"/>
                <w:sz w:val="16"/>
                <w:szCs w:val="16"/>
              </w:rPr>
              <w:t>809</w:t>
            </w:r>
          </w:p>
        </w:tc>
        <w:tc>
          <w:tcPr>
            <w:tcW w:w="550" w:type="pct"/>
            <w:tcBorders>
              <w:top w:val="nil"/>
              <w:left w:val="nil"/>
              <w:bottom w:val="nil"/>
              <w:right w:val="nil"/>
            </w:tcBorders>
            <w:shd w:val="clear" w:color="000000" w:fill="FFFFFF"/>
            <w:noWrap/>
            <w:vAlign w:val="center"/>
            <w:hideMark/>
          </w:tcPr>
          <w:p w14:paraId="444324A9" w14:textId="77777777" w:rsidR="00885096" w:rsidRPr="00885096" w:rsidRDefault="00885096" w:rsidP="00885096">
            <w:pPr>
              <w:spacing w:before="0" w:after="0" w:line="240" w:lineRule="auto"/>
              <w:jc w:val="right"/>
              <w:rPr>
                <w:rFonts w:ascii="Arial" w:hAnsi="Arial" w:cs="Arial"/>
                <w:color w:val="000000"/>
                <w:sz w:val="16"/>
                <w:szCs w:val="16"/>
              </w:rPr>
            </w:pPr>
            <w:r w:rsidRPr="00885096">
              <w:rPr>
                <w:rFonts w:ascii="Arial" w:hAnsi="Arial" w:cs="Arial"/>
                <w:color w:val="000000"/>
                <w:sz w:val="16"/>
                <w:szCs w:val="16"/>
              </w:rPr>
              <w:t>816</w:t>
            </w:r>
          </w:p>
        </w:tc>
      </w:tr>
      <w:tr w:rsidR="00885096" w:rsidRPr="00885096" w14:paraId="13CBB248" w14:textId="77777777" w:rsidTr="00885096">
        <w:trPr>
          <w:trHeight w:hRule="exact" w:val="224"/>
        </w:trPr>
        <w:tc>
          <w:tcPr>
            <w:tcW w:w="2183" w:type="pct"/>
            <w:tcBorders>
              <w:top w:val="nil"/>
              <w:left w:val="nil"/>
              <w:bottom w:val="nil"/>
              <w:right w:val="nil"/>
            </w:tcBorders>
            <w:shd w:val="clear" w:color="000000" w:fill="FFFFFF"/>
            <w:noWrap/>
            <w:vAlign w:val="center"/>
            <w:hideMark/>
          </w:tcPr>
          <w:p w14:paraId="2B6B8FC3" w14:textId="4A741822" w:rsidR="00885096" w:rsidRPr="00885096" w:rsidRDefault="00885096" w:rsidP="00885096">
            <w:pPr>
              <w:spacing w:before="0" w:after="0" w:line="240" w:lineRule="auto"/>
              <w:rPr>
                <w:rFonts w:ascii="Arial" w:hAnsi="Arial" w:cs="Arial"/>
                <w:color w:val="000000"/>
                <w:sz w:val="16"/>
                <w:szCs w:val="16"/>
              </w:rPr>
            </w:pPr>
            <w:r w:rsidRPr="00885096">
              <w:rPr>
                <w:rFonts w:ascii="Arial" w:hAnsi="Arial" w:cs="Arial"/>
                <w:color w:val="000000"/>
                <w:sz w:val="16"/>
                <w:szCs w:val="16"/>
              </w:rPr>
              <w:t>Regional co</w:t>
            </w:r>
            <w:r w:rsidR="008D4F6B">
              <w:rPr>
                <w:rFonts w:ascii="Arial" w:hAnsi="Arial" w:cs="Arial"/>
                <w:color w:val="000000"/>
                <w:sz w:val="16"/>
                <w:szCs w:val="16"/>
              </w:rPr>
              <w:noBreakHyphen/>
            </w:r>
            <w:r w:rsidRPr="00885096">
              <w:rPr>
                <w:rFonts w:ascii="Arial" w:hAnsi="Arial" w:cs="Arial"/>
                <w:color w:val="000000"/>
                <w:sz w:val="16"/>
                <w:szCs w:val="16"/>
              </w:rPr>
              <w:t>operation and refugee and</w:t>
            </w:r>
          </w:p>
        </w:tc>
        <w:tc>
          <w:tcPr>
            <w:tcW w:w="68" w:type="pct"/>
            <w:tcBorders>
              <w:top w:val="nil"/>
              <w:left w:val="nil"/>
              <w:bottom w:val="nil"/>
              <w:right w:val="nil"/>
            </w:tcBorders>
            <w:shd w:val="clear" w:color="000000" w:fill="FFFFFF"/>
            <w:noWrap/>
            <w:vAlign w:val="center"/>
            <w:hideMark/>
          </w:tcPr>
          <w:p w14:paraId="5876E4B6" w14:textId="77777777" w:rsidR="00885096" w:rsidRPr="00885096" w:rsidRDefault="00885096" w:rsidP="00885096">
            <w:pPr>
              <w:spacing w:before="0" w:after="0" w:line="240" w:lineRule="auto"/>
              <w:rPr>
                <w:rFonts w:ascii="Arial" w:hAnsi="Arial" w:cs="Arial"/>
                <w:color w:val="000000"/>
                <w:sz w:val="16"/>
                <w:szCs w:val="16"/>
              </w:rPr>
            </w:pPr>
            <w:r w:rsidRPr="00885096">
              <w:rPr>
                <w:rFonts w:ascii="Arial" w:hAnsi="Arial" w:cs="Arial"/>
                <w:color w:val="000000"/>
                <w:sz w:val="16"/>
                <w:szCs w:val="16"/>
              </w:rPr>
              <w:t> </w:t>
            </w:r>
          </w:p>
        </w:tc>
        <w:tc>
          <w:tcPr>
            <w:tcW w:w="550" w:type="pct"/>
            <w:tcBorders>
              <w:top w:val="nil"/>
              <w:left w:val="nil"/>
              <w:bottom w:val="nil"/>
              <w:right w:val="nil"/>
            </w:tcBorders>
            <w:shd w:val="clear" w:color="000000" w:fill="FFFFFF"/>
            <w:noWrap/>
            <w:vAlign w:val="center"/>
            <w:hideMark/>
          </w:tcPr>
          <w:p w14:paraId="6430EEC9" w14:textId="77777777" w:rsidR="00885096" w:rsidRPr="00885096" w:rsidRDefault="00885096" w:rsidP="00885096">
            <w:pPr>
              <w:spacing w:before="0" w:after="0" w:line="240" w:lineRule="auto"/>
              <w:rPr>
                <w:rFonts w:ascii="Arial" w:hAnsi="Arial" w:cs="Arial"/>
                <w:color w:val="000000"/>
                <w:sz w:val="16"/>
                <w:szCs w:val="16"/>
              </w:rPr>
            </w:pPr>
            <w:r w:rsidRPr="00885096">
              <w:rPr>
                <w:rFonts w:ascii="Arial" w:hAnsi="Arial" w:cs="Arial"/>
                <w:color w:val="000000"/>
                <w:sz w:val="16"/>
                <w:szCs w:val="16"/>
              </w:rPr>
              <w:t> </w:t>
            </w:r>
          </w:p>
        </w:tc>
        <w:tc>
          <w:tcPr>
            <w:tcW w:w="550" w:type="pct"/>
            <w:tcBorders>
              <w:top w:val="nil"/>
              <w:left w:val="nil"/>
              <w:bottom w:val="nil"/>
              <w:right w:val="nil"/>
            </w:tcBorders>
            <w:shd w:val="clear" w:color="000000" w:fill="E6F2FF"/>
            <w:noWrap/>
            <w:vAlign w:val="center"/>
            <w:hideMark/>
          </w:tcPr>
          <w:p w14:paraId="44457899" w14:textId="77777777" w:rsidR="00885096" w:rsidRPr="00885096" w:rsidRDefault="00885096" w:rsidP="00885096">
            <w:pPr>
              <w:spacing w:before="0" w:after="0" w:line="240" w:lineRule="auto"/>
              <w:rPr>
                <w:rFonts w:ascii="Arial" w:hAnsi="Arial" w:cs="Arial"/>
                <w:color w:val="000000"/>
                <w:sz w:val="16"/>
                <w:szCs w:val="16"/>
              </w:rPr>
            </w:pPr>
            <w:r w:rsidRPr="00885096">
              <w:rPr>
                <w:rFonts w:ascii="Arial" w:hAnsi="Arial" w:cs="Arial"/>
                <w:color w:val="000000"/>
                <w:sz w:val="16"/>
                <w:szCs w:val="16"/>
              </w:rPr>
              <w:t> </w:t>
            </w:r>
          </w:p>
        </w:tc>
        <w:tc>
          <w:tcPr>
            <w:tcW w:w="550" w:type="pct"/>
            <w:tcBorders>
              <w:top w:val="nil"/>
              <w:left w:val="nil"/>
              <w:bottom w:val="nil"/>
              <w:right w:val="nil"/>
            </w:tcBorders>
            <w:shd w:val="clear" w:color="000000" w:fill="FFFFFF"/>
            <w:noWrap/>
            <w:vAlign w:val="center"/>
            <w:hideMark/>
          </w:tcPr>
          <w:p w14:paraId="38306EC8" w14:textId="77777777" w:rsidR="00885096" w:rsidRPr="00885096" w:rsidRDefault="00885096" w:rsidP="00885096">
            <w:pPr>
              <w:spacing w:before="0" w:after="0" w:line="240" w:lineRule="auto"/>
              <w:rPr>
                <w:rFonts w:ascii="Arial" w:hAnsi="Arial" w:cs="Arial"/>
                <w:color w:val="000000"/>
                <w:sz w:val="16"/>
                <w:szCs w:val="16"/>
              </w:rPr>
            </w:pPr>
            <w:r w:rsidRPr="00885096">
              <w:rPr>
                <w:rFonts w:ascii="Arial" w:hAnsi="Arial" w:cs="Arial"/>
                <w:color w:val="000000"/>
                <w:sz w:val="16"/>
                <w:szCs w:val="16"/>
              </w:rPr>
              <w:t> </w:t>
            </w:r>
          </w:p>
        </w:tc>
        <w:tc>
          <w:tcPr>
            <w:tcW w:w="550" w:type="pct"/>
            <w:tcBorders>
              <w:top w:val="nil"/>
              <w:left w:val="nil"/>
              <w:bottom w:val="nil"/>
              <w:right w:val="nil"/>
            </w:tcBorders>
            <w:shd w:val="clear" w:color="000000" w:fill="FFFFFF"/>
            <w:noWrap/>
            <w:vAlign w:val="center"/>
            <w:hideMark/>
          </w:tcPr>
          <w:p w14:paraId="3516C965" w14:textId="77777777" w:rsidR="00885096" w:rsidRPr="00885096" w:rsidRDefault="00885096" w:rsidP="00885096">
            <w:pPr>
              <w:spacing w:before="0" w:after="0" w:line="240" w:lineRule="auto"/>
              <w:rPr>
                <w:rFonts w:ascii="Arial" w:hAnsi="Arial" w:cs="Arial"/>
                <w:color w:val="000000"/>
                <w:sz w:val="16"/>
                <w:szCs w:val="16"/>
              </w:rPr>
            </w:pPr>
            <w:r w:rsidRPr="00885096">
              <w:rPr>
                <w:rFonts w:ascii="Arial" w:hAnsi="Arial" w:cs="Arial"/>
                <w:color w:val="000000"/>
                <w:sz w:val="16"/>
                <w:szCs w:val="16"/>
              </w:rPr>
              <w:t> </w:t>
            </w:r>
          </w:p>
        </w:tc>
        <w:tc>
          <w:tcPr>
            <w:tcW w:w="550" w:type="pct"/>
            <w:tcBorders>
              <w:top w:val="nil"/>
              <w:left w:val="nil"/>
              <w:bottom w:val="nil"/>
              <w:right w:val="nil"/>
            </w:tcBorders>
            <w:shd w:val="clear" w:color="000000" w:fill="FFFFFF"/>
            <w:noWrap/>
            <w:vAlign w:val="center"/>
            <w:hideMark/>
          </w:tcPr>
          <w:p w14:paraId="46390042" w14:textId="77777777" w:rsidR="00885096" w:rsidRPr="00885096" w:rsidRDefault="00885096" w:rsidP="00885096">
            <w:pPr>
              <w:spacing w:before="0" w:after="0" w:line="240" w:lineRule="auto"/>
              <w:rPr>
                <w:rFonts w:ascii="Arial" w:hAnsi="Arial" w:cs="Arial"/>
                <w:color w:val="000000"/>
                <w:sz w:val="16"/>
                <w:szCs w:val="16"/>
              </w:rPr>
            </w:pPr>
            <w:r w:rsidRPr="00885096">
              <w:rPr>
                <w:rFonts w:ascii="Arial" w:hAnsi="Arial" w:cs="Arial"/>
                <w:color w:val="000000"/>
                <w:sz w:val="16"/>
                <w:szCs w:val="16"/>
              </w:rPr>
              <w:t> </w:t>
            </w:r>
          </w:p>
        </w:tc>
      </w:tr>
      <w:tr w:rsidR="00885096" w:rsidRPr="00885096" w14:paraId="6FD40C36" w14:textId="77777777" w:rsidTr="00885096">
        <w:trPr>
          <w:trHeight w:hRule="exact" w:val="226"/>
        </w:trPr>
        <w:tc>
          <w:tcPr>
            <w:tcW w:w="2183" w:type="pct"/>
            <w:tcBorders>
              <w:top w:val="nil"/>
              <w:left w:val="nil"/>
              <w:bottom w:val="nil"/>
              <w:right w:val="nil"/>
            </w:tcBorders>
            <w:shd w:val="clear" w:color="000000" w:fill="FFFFFF"/>
            <w:noWrap/>
            <w:vAlign w:val="center"/>
            <w:hideMark/>
          </w:tcPr>
          <w:p w14:paraId="08832084" w14:textId="77777777" w:rsidR="00885096" w:rsidRPr="00885096" w:rsidRDefault="00885096" w:rsidP="00885096">
            <w:pPr>
              <w:spacing w:before="0" w:after="0" w:line="240" w:lineRule="auto"/>
              <w:ind w:left="170"/>
              <w:rPr>
                <w:rFonts w:ascii="Arial" w:hAnsi="Arial" w:cs="Arial"/>
                <w:color w:val="000000"/>
                <w:sz w:val="16"/>
                <w:szCs w:val="16"/>
              </w:rPr>
            </w:pPr>
            <w:r w:rsidRPr="00885096">
              <w:rPr>
                <w:rFonts w:ascii="Arial" w:hAnsi="Arial" w:cs="Arial"/>
                <w:color w:val="000000"/>
                <w:sz w:val="16"/>
                <w:szCs w:val="16"/>
              </w:rPr>
              <w:t>humanitarian assistance</w:t>
            </w:r>
          </w:p>
        </w:tc>
        <w:tc>
          <w:tcPr>
            <w:tcW w:w="68" w:type="pct"/>
            <w:tcBorders>
              <w:top w:val="nil"/>
              <w:left w:val="nil"/>
              <w:bottom w:val="nil"/>
              <w:right w:val="nil"/>
            </w:tcBorders>
            <w:shd w:val="clear" w:color="000000" w:fill="FFFFFF"/>
            <w:noWrap/>
            <w:vAlign w:val="center"/>
            <w:hideMark/>
          </w:tcPr>
          <w:p w14:paraId="29832FD0" w14:textId="77777777" w:rsidR="00885096" w:rsidRPr="00885096" w:rsidRDefault="00885096" w:rsidP="00885096">
            <w:pPr>
              <w:spacing w:before="0" w:after="0" w:line="240" w:lineRule="auto"/>
              <w:rPr>
                <w:rFonts w:ascii="Arial" w:hAnsi="Arial" w:cs="Arial"/>
                <w:color w:val="000000"/>
                <w:sz w:val="16"/>
                <w:szCs w:val="16"/>
              </w:rPr>
            </w:pPr>
            <w:r w:rsidRPr="00885096">
              <w:rPr>
                <w:rFonts w:ascii="Arial" w:hAnsi="Arial" w:cs="Arial"/>
                <w:color w:val="000000"/>
                <w:sz w:val="16"/>
                <w:szCs w:val="16"/>
              </w:rPr>
              <w:t> </w:t>
            </w:r>
          </w:p>
        </w:tc>
        <w:tc>
          <w:tcPr>
            <w:tcW w:w="550" w:type="pct"/>
            <w:tcBorders>
              <w:top w:val="nil"/>
              <w:left w:val="nil"/>
              <w:bottom w:val="single" w:sz="4" w:space="0" w:color="293F5B"/>
              <w:right w:val="nil"/>
            </w:tcBorders>
            <w:shd w:val="clear" w:color="000000" w:fill="FFFFFF"/>
            <w:noWrap/>
            <w:vAlign w:val="center"/>
            <w:hideMark/>
          </w:tcPr>
          <w:p w14:paraId="28CDF975" w14:textId="77777777" w:rsidR="00885096" w:rsidRPr="00885096" w:rsidRDefault="00885096" w:rsidP="00885096">
            <w:pPr>
              <w:spacing w:before="0" w:after="0" w:line="240" w:lineRule="auto"/>
              <w:jc w:val="right"/>
              <w:rPr>
                <w:rFonts w:ascii="Arial" w:hAnsi="Arial" w:cs="Arial"/>
                <w:color w:val="000000"/>
                <w:sz w:val="16"/>
                <w:szCs w:val="16"/>
              </w:rPr>
            </w:pPr>
            <w:r w:rsidRPr="00885096">
              <w:rPr>
                <w:rFonts w:ascii="Arial" w:hAnsi="Arial" w:cs="Arial"/>
                <w:color w:val="000000"/>
                <w:sz w:val="16"/>
                <w:szCs w:val="16"/>
              </w:rPr>
              <w:t>1,082</w:t>
            </w:r>
          </w:p>
        </w:tc>
        <w:tc>
          <w:tcPr>
            <w:tcW w:w="550" w:type="pct"/>
            <w:tcBorders>
              <w:top w:val="nil"/>
              <w:left w:val="nil"/>
              <w:bottom w:val="single" w:sz="4" w:space="0" w:color="293F5B"/>
              <w:right w:val="nil"/>
            </w:tcBorders>
            <w:shd w:val="clear" w:color="000000" w:fill="E6F2FF"/>
            <w:noWrap/>
            <w:vAlign w:val="center"/>
            <w:hideMark/>
          </w:tcPr>
          <w:p w14:paraId="00E7CE81" w14:textId="77777777" w:rsidR="00885096" w:rsidRPr="00885096" w:rsidRDefault="00885096" w:rsidP="00885096">
            <w:pPr>
              <w:spacing w:before="0" w:after="0" w:line="240" w:lineRule="auto"/>
              <w:jc w:val="right"/>
              <w:rPr>
                <w:rFonts w:ascii="Arial" w:hAnsi="Arial" w:cs="Arial"/>
                <w:color w:val="000000"/>
                <w:sz w:val="16"/>
                <w:szCs w:val="16"/>
              </w:rPr>
            </w:pPr>
            <w:r w:rsidRPr="00885096">
              <w:rPr>
                <w:rFonts w:ascii="Arial" w:hAnsi="Arial" w:cs="Arial"/>
                <w:color w:val="000000"/>
                <w:sz w:val="16"/>
                <w:szCs w:val="16"/>
              </w:rPr>
              <w:t>1,022</w:t>
            </w:r>
          </w:p>
        </w:tc>
        <w:tc>
          <w:tcPr>
            <w:tcW w:w="550" w:type="pct"/>
            <w:tcBorders>
              <w:top w:val="nil"/>
              <w:left w:val="nil"/>
              <w:bottom w:val="single" w:sz="4" w:space="0" w:color="293F5B"/>
              <w:right w:val="nil"/>
            </w:tcBorders>
            <w:shd w:val="clear" w:color="000000" w:fill="FFFFFF"/>
            <w:noWrap/>
            <w:vAlign w:val="center"/>
            <w:hideMark/>
          </w:tcPr>
          <w:p w14:paraId="57E9EBE6" w14:textId="77777777" w:rsidR="00885096" w:rsidRPr="00885096" w:rsidRDefault="00885096" w:rsidP="00885096">
            <w:pPr>
              <w:spacing w:before="0" w:after="0" w:line="240" w:lineRule="auto"/>
              <w:jc w:val="right"/>
              <w:rPr>
                <w:rFonts w:ascii="Arial" w:hAnsi="Arial" w:cs="Arial"/>
                <w:color w:val="000000"/>
                <w:sz w:val="16"/>
                <w:szCs w:val="16"/>
              </w:rPr>
            </w:pPr>
            <w:r w:rsidRPr="00885096">
              <w:rPr>
                <w:rFonts w:ascii="Arial" w:hAnsi="Arial" w:cs="Arial"/>
                <w:color w:val="000000"/>
                <w:sz w:val="16"/>
                <w:szCs w:val="16"/>
              </w:rPr>
              <w:t>912</w:t>
            </w:r>
          </w:p>
        </w:tc>
        <w:tc>
          <w:tcPr>
            <w:tcW w:w="550" w:type="pct"/>
            <w:tcBorders>
              <w:top w:val="nil"/>
              <w:left w:val="nil"/>
              <w:bottom w:val="single" w:sz="4" w:space="0" w:color="293F5B"/>
              <w:right w:val="nil"/>
            </w:tcBorders>
            <w:shd w:val="clear" w:color="000000" w:fill="FFFFFF"/>
            <w:noWrap/>
            <w:vAlign w:val="center"/>
            <w:hideMark/>
          </w:tcPr>
          <w:p w14:paraId="440BC9DF" w14:textId="77777777" w:rsidR="00885096" w:rsidRPr="00885096" w:rsidRDefault="00885096" w:rsidP="00885096">
            <w:pPr>
              <w:spacing w:before="0" w:after="0" w:line="240" w:lineRule="auto"/>
              <w:jc w:val="right"/>
              <w:rPr>
                <w:rFonts w:ascii="Arial" w:hAnsi="Arial" w:cs="Arial"/>
                <w:color w:val="000000"/>
                <w:sz w:val="16"/>
                <w:szCs w:val="16"/>
              </w:rPr>
            </w:pPr>
            <w:r w:rsidRPr="00885096">
              <w:rPr>
                <w:rFonts w:ascii="Arial" w:hAnsi="Arial" w:cs="Arial"/>
                <w:color w:val="000000"/>
                <w:sz w:val="16"/>
                <w:szCs w:val="16"/>
              </w:rPr>
              <w:t>892</w:t>
            </w:r>
          </w:p>
        </w:tc>
        <w:tc>
          <w:tcPr>
            <w:tcW w:w="550" w:type="pct"/>
            <w:tcBorders>
              <w:top w:val="nil"/>
              <w:left w:val="nil"/>
              <w:bottom w:val="single" w:sz="4" w:space="0" w:color="293F5B"/>
              <w:right w:val="nil"/>
            </w:tcBorders>
            <w:shd w:val="clear" w:color="000000" w:fill="FFFFFF"/>
            <w:noWrap/>
            <w:vAlign w:val="center"/>
            <w:hideMark/>
          </w:tcPr>
          <w:p w14:paraId="134C43DC" w14:textId="77777777" w:rsidR="00885096" w:rsidRPr="00885096" w:rsidRDefault="00885096" w:rsidP="00885096">
            <w:pPr>
              <w:spacing w:before="0" w:after="0" w:line="240" w:lineRule="auto"/>
              <w:jc w:val="right"/>
              <w:rPr>
                <w:rFonts w:ascii="Arial" w:hAnsi="Arial" w:cs="Arial"/>
                <w:color w:val="000000"/>
                <w:sz w:val="16"/>
                <w:szCs w:val="16"/>
              </w:rPr>
            </w:pPr>
            <w:r w:rsidRPr="00885096">
              <w:rPr>
                <w:rFonts w:ascii="Arial" w:hAnsi="Arial" w:cs="Arial"/>
                <w:color w:val="000000"/>
                <w:sz w:val="16"/>
                <w:szCs w:val="16"/>
              </w:rPr>
              <w:t>800</w:t>
            </w:r>
          </w:p>
        </w:tc>
      </w:tr>
      <w:tr w:rsidR="00885096" w:rsidRPr="00885096" w14:paraId="467AAE3E" w14:textId="77777777" w:rsidTr="00236E34">
        <w:trPr>
          <w:trHeight w:hRule="exact" w:val="226"/>
        </w:trPr>
        <w:tc>
          <w:tcPr>
            <w:tcW w:w="2183" w:type="pct"/>
            <w:tcBorders>
              <w:top w:val="nil"/>
              <w:left w:val="nil"/>
              <w:bottom w:val="single" w:sz="4" w:space="0" w:color="293F5B"/>
              <w:right w:val="nil"/>
            </w:tcBorders>
            <w:shd w:val="clear" w:color="000000" w:fill="FFFFFF"/>
            <w:noWrap/>
            <w:vAlign w:val="center"/>
            <w:hideMark/>
          </w:tcPr>
          <w:p w14:paraId="34E563C9" w14:textId="77777777" w:rsidR="00885096" w:rsidRPr="00885096" w:rsidRDefault="00885096" w:rsidP="00885096">
            <w:pPr>
              <w:spacing w:before="0" w:after="0" w:line="240" w:lineRule="auto"/>
              <w:rPr>
                <w:rFonts w:ascii="Arial" w:hAnsi="Arial" w:cs="Arial"/>
                <w:b/>
                <w:bCs/>
                <w:color w:val="000000"/>
                <w:sz w:val="16"/>
                <w:szCs w:val="16"/>
              </w:rPr>
            </w:pPr>
            <w:r w:rsidRPr="00885096">
              <w:rPr>
                <w:rFonts w:ascii="Arial" w:hAnsi="Arial" w:cs="Arial"/>
                <w:b/>
                <w:bCs/>
                <w:color w:val="000000"/>
                <w:sz w:val="16"/>
                <w:szCs w:val="16"/>
              </w:rPr>
              <w:t>Total</w:t>
            </w:r>
          </w:p>
        </w:tc>
        <w:tc>
          <w:tcPr>
            <w:tcW w:w="68" w:type="pct"/>
            <w:tcBorders>
              <w:top w:val="nil"/>
              <w:left w:val="nil"/>
              <w:bottom w:val="single" w:sz="4" w:space="0" w:color="293F5B"/>
              <w:right w:val="nil"/>
            </w:tcBorders>
            <w:shd w:val="clear" w:color="000000" w:fill="FFFFFF"/>
            <w:noWrap/>
            <w:vAlign w:val="center"/>
            <w:hideMark/>
          </w:tcPr>
          <w:p w14:paraId="5F31ECB6" w14:textId="77777777" w:rsidR="00885096" w:rsidRPr="00885096" w:rsidRDefault="00885096" w:rsidP="00885096">
            <w:pPr>
              <w:spacing w:before="0" w:after="0" w:line="240" w:lineRule="auto"/>
              <w:rPr>
                <w:rFonts w:ascii="Arial" w:hAnsi="Arial" w:cs="Arial"/>
                <w:b/>
                <w:bCs/>
                <w:color w:val="000000"/>
                <w:sz w:val="16"/>
                <w:szCs w:val="16"/>
              </w:rPr>
            </w:pPr>
            <w:r w:rsidRPr="00885096">
              <w:rPr>
                <w:rFonts w:ascii="Arial" w:hAnsi="Arial" w:cs="Arial"/>
                <w:b/>
                <w:bCs/>
                <w:color w:val="000000"/>
                <w:sz w:val="16"/>
                <w:szCs w:val="16"/>
              </w:rPr>
              <w:t> </w:t>
            </w:r>
          </w:p>
        </w:tc>
        <w:tc>
          <w:tcPr>
            <w:tcW w:w="550" w:type="pct"/>
            <w:tcBorders>
              <w:top w:val="single" w:sz="4" w:space="0" w:color="293F5B"/>
              <w:left w:val="nil"/>
              <w:bottom w:val="single" w:sz="4" w:space="0" w:color="293F5B"/>
              <w:right w:val="nil"/>
            </w:tcBorders>
            <w:shd w:val="clear" w:color="000000" w:fill="FFFFFF"/>
            <w:noWrap/>
            <w:vAlign w:val="center"/>
            <w:hideMark/>
          </w:tcPr>
          <w:p w14:paraId="1952E207" w14:textId="77777777" w:rsidR="00885096" w:rsidRPr="00885096" w:rsidRDefault="00885096" w:rsidP="00885096">
            <w:pPr>
              <w:spacing w:before="0" w:after="0" w:line="240" w:lineRule="auto"/>
              <w:jc w:val="right"/>
              <w:rPr>
                <w:rFonts w:ascii="Arial" w:hAnsi="Arial" w:cs="Arial"/>
                <w:b/>
                <w:bCs/>
                <w:color w:val="000000"/>
                <w:sz w:val="16"/>
                <w:szCs w:val="16"/>
              </w:rPr>
            </w:pPr>
            <w:r w:rsidRPr="00885096">
              <w:rPr>
                <w:rFonts w:ascii="Arial" w:hAnsi="Arial" w:cs="Arial"/>
                <w:b/>
                <w:bCs/>
                <w:color w:val="000000"/>
                <w:sz w:val="16"/>
                <w:szCs w:val="16"/>
              </w:rPr>
              <w:t>3,836</w:t>
            </w:r>
          </w:p>
        </w:tc>
        <w:tc>
          <w:tcPr>
            <w:tcW w:w="550" w:type="pct"/>
            <w:tcBorders>
              <w:top w:val="single" w:sz="4" w:space="0" w:color="293F5B"/>
              <w:left w:val="nil"/>
              <w:bottom w:val="single" w:sz="4" w:space="0" w:color="293F5B"/>
              <w:right w:val="nil"/>
            </w:tcBorders>
            <w:shd w:val="clear" w:color="000000" w:fill="E6F2FF"/>
            <w:noWrap/>
            <w:vAlign w:val="center"/>
            <w:hideMark/>
          </w:tcPr>
          <w:p w14:paraId="1BB5ED34" w14:textId="77777777" w:rsidR="00885096" w:rsidRPr="00885096" w:rsidRDefault="00885096" w:rsidP="00885096">
            <w:pPr>
              <w:spacing w:before="0" w:after="0" w:line="240" w:lineRule="auto"/>
              <w:jc w:val="right"/>
              <w:rPr>
                <w:rFonts w:ascii="Arial" w:hAnsi="Arial" w:cs="Arial"/>
                <w:b/>
                <w:bCs/>
                <w:color w:val="000000"/>
                <w:sz w:val="16"/>
                <w:szCs w:val="16"/>
              </w:rPr>
            </w:pPr>
            <w:r w:rsidRPr="00885096">
              <w:rPr>
                <w:rFonts w:ascii="Arial" w:hAnsi="Arial" w:cs="Arial"/>
                <w:b/>
                <w:bCs/>
                <w:color w:val="000000"/>
                <w:sz w:val="16"/>
                <w:szCs w:val="16"/>
              </w:rPr>
              <w:t>3,699</w:t>
            </w:r>
          </w:p>
        </w:tc>
        <w:tc>
          <w:tcPr>
            <w:tcW w:w="550" w:type="pct"/>
            <w:tcBorders>
              <w:top w:val="single" w:sz="4" w:space="0" w:color="293F5B"/>
              <w:left w:val="nil"/>
              <w:bottom w:val="single" w:sz="4" w:space="0" w:color="293F5B"/>
              <w:right w:val="nil"/>
            </w:tcBorders>
            <w:shd w:val="clear" w:color="000000" w:fill="FFFFFF"/>
            <w:noWrap/>
            <w:vAlign w:val="center"/>
            <w:hideMark/>
          </w:tcPr>
          <w:p w14:paraId="2D59A262" w14:textId="77777777" w:rsidR="00885096" w:rsidRPr="00885096" w:rsidRDefault="00885096" w:rsidP="00885096">
            <w:pPr>
              <w:spacing w:before="0" w:after="0" w:line="240" w:lineRule="auto"/>
              <w:jc w:val="right"/>
              <w:rPr>
                <w:rFonts w:ascii="Arial" w:hAnsi="Arial" w:cs="Arial"/>
                <w:b/>
                <w:bCs/>
                <w:color w:val="000000"/>
                <w:sz w:val="16"/>
                <w:szCs w:val="16"/>
              </w:rPr>
            </w:pPr>
            <w:r w:rsidRPr="00885096">
              <w:rPr>
                <w:rFonts w:ascii="Arial" w:hAnsi="Arial" w:cs="Arial"/>
                <w:b/>
                <w:bCs/>
                <w:color w:val="000000"/>
                <w:sz w:val="16"/>
                <w:szCs w:val="16"/>
              </w:rPr>
              <w:t>3,147</w:t>
            </w:r>
          </w:p>
        </w:tc>
        <w:tc>
          <w:tcPr>
            <w:tcW w:w="550" w:type="pct"/>
            <w:tcBorders>
              <w:top w:val="single" w:sz="4" w:space="0" w:color="293F5B"/>
              <w:left w:val="nil"/>
              <w:bottom w:val="single" w:sz="4" w:space="0" w:color="293F5B"/>
              <w:right w:val="nil"/>
            </w:tcBorders>
            <w:shd w:val="clear" w:color="000000" w:fill="FFFFFF"/>
            <w:noWrap/>
            <w:vAlign w:val="center"/>
            <w:hideMark/>
          </w:tcPr>
          <w:p w14:paraId="62B74FCF" w14:textId="77777777" w:rsidR="00885096" w:rsidRPr="00885096" w:rsidRDefault="00885096" w:rsidP="00885096">
            <w:pPr>
              <w:spacing w:before="0" w:after="0" w:line="240" w:lineRule="auto"/>
              <w:jc w:val="right"/>
              <w:rPr>
                <w:rFonts w:ascii="Arial" w:hAnsi="Arial" w:cs="Arial"/>
                <w:b/>
                <w:bCs/>
                <w:color w:val="000000"/>
                <w:sz w:val="16"/>
                <w:szCs w:val="16"/>
              </w:rPr>
            </w:pPr>
            <w:r w:rsidRPr="00885096">
              <w:rPr>
                <w:rFonts w:ascii="Arial" w:hAnsi="Arial" w:cs="Arial"/>
                <w:b/>
                <w:bCs/>
                <w:color w:val="000000"/>
                <w:sz w:val="16"/>
                <w:szCs w:val="16"/>
              </w:rPr>
              <w:t>3,156</w:t>
            </w:r>
          </w:p>
        </w:tc>
        <w:tc>
          <w:tcPr>
            <w:tcW w:w="550" w:type="pct"/>
            <w:tcBorders>
              <w:top w:val="single" w:sz="4" w:space="0" w:color="293F5B"/>
              <w:left w:val="nil"/>
              <w:bottom w:val="single" w:sz="4" w:space="0" w:color="293F5B"/>
              <w:right w:val="nil"/>
            </w:tcBorders>
            <w:shd w:val="clear" w:color="000000" w:fill="FFFFFF"/>
            <w:noWrap/>
            <w:vAlign w:val="center"/>
            <w:hideMark/>
          </w:tcPr>
          <w:p w14:paraId="2D7D999C" w14:textId="77777777" w:rsidR="00885096" w:rsidRPr="00885096" w:rsidRDefault="00885096" w:rsidP="00885096">
            <w:pPr>
              <w:spacing w:before="0" w:after="0" w:line="240" w:lineRule="auto"/>
              <w:jc w:val="right"/>
              <w:rPr>
                <w:rFonts w:ascii="Arial" w:hAnsi="Arial" w:cs="Arial"/>
                <w:b/>
                <w:bCs/>
                <w:color w:val="000000"/>
                <w:sz w:val="16"/>
                <w:szCs w:val="16"/>
              </w:rPr>
            </w:pPr>
            <w:r w:rsidRPr="00885096">
              <w:rPr>
                <w:rFonts w:ascii="Arial" w:hAnsi="Arial" w:cs="Arial"/>
                <w:b/>
                <w:bCs/>
                <w:color w:val="000000"/>
                <w:sz w:val="16"/>
                <w:szCs w:val="16"/>
              </w:rPr>
              <w:t>3,088</w:t>
            </w:r>
          </w:p>
        </w:tc>
      </w:tr>
    </w:tbl>
    <w:p w14:paraId="7B4DF8AE" w14:textId="521FD4DC" w:rsidR="00E32E1B" w:rsidRPr="000177D7" w:rsidRDefault="00E32E1B" w:rsidP="00E87DDC">
      <w:pPr>
        <w:pStyle w:val="ChartandTableFootnoteAlpha"/>
        <w:numPr>
          <w:ilvl w:val="0"/>
          <w:numId w:val="19"/>
        </w:numPr>
      </w:pPr>
      <w:r w:rsidRPr="000177D7">
        <w:t>The entry for each component includes eliminations for inter</w:t>
      </w:r>
      <w:r w:rsidR="008D4F6B">
        <w:noBreakHyphen/>
      </w:r>
      <w:r w:rsidRPr="000177D7">
        <w:t>agency transactions within that component.</w:t>
      </w:r>
    </w:p>
    <w:p w14:paraId="794A36CD" w14:textId="77777777" w:rsidR="00E32E1B" w:rsidRPr="000177D7" w:rsidRDefault="00E32E1B" w:rsidP="00D91079">
      <w:pPr>
        <w:pStyle w:val="TableLine"/>
      </w:pPr>
    </w:p>
    <w:p w14:paraId="3146DBD5" w14:textId="76C4D2E4" w:rsidR="007D7259" w:rsidRDefault="007D7259" w:rsidP="007D7259">
      <w:pPr>
        <w:rPr>
          <w:highlight w:val="cyan"/>
        </w:rPr>
      </w:pPr>
      <w:bookmarkStart w:id="171" w:name="_Hlk165646271"/>
      <w:r w:rsidRPr="00002DB4">
        <w:t xml:space="preserve">Expenses </w:t>
      </w:r>
      <w:r w:rsidR="00046A8F">
        <w:t xml:space="preserve">for </w:t>
      </w:r>
      <w:r w:rsidRPr="00CD394B">
        <w:rPr>
          <w:rStyle w:val="Strong"/>
        </w:rPr>
        <w:t>other economic affairs nec</w:t>
      </w:r>
      <w:r w:rsidRPr="00002DB4">
        <w:t xml:space="preserve"> are expected to decrease</w:t>
      </w:r>
      <w:r w:rsidR="00F97EEC">
        <w:t xml:space="preserve"> over </w:t>
      </w:r>
      <w:r w:rsidR="008E4D45">
        <w:t>the period 2024–25 to 202</w:t>
      </w:r>
      <w:r w:rsidR="00182803">
        <w:t>7</w:t>
      </w:r>
      <w:r w:rsidR="008E4D45">
        <w:t>–2</w:t>
      </w:r>
      <w:r w:rsidR="00182803">
        <w:t>8</w:t>
      </w:r>
      <w:r w:rsidR="008E4D45">
        <w:t>.</w:t>
      </w:r>
      <w:r w:rsidRPr="00002DB4">
        <w:t xml:space="preserve"> This </w:t>
      </w:r>
      <w:r>
        <w:t xml:space="preserve">reflects a </w:t>
      </w:r>
      <w:r w:rsidRPr="00002DB4">
        <w:t xml:space="preserve">decrease in departmental expenses for the Department of Industry, Science, and Resources </w:t>
      </w:r>
      <w:r>
        <w:t>and the Australian Securities and Investments Commission.</w:t>
      </w:r>
    </w:p>
    <w:p w14:paraId="066C48C2" w14:textId="16BCF276" w:rsidR="007D7259" w:rsidRDefault="007D7259" w:rsidP="00A4389A">
      <w:r>
        <w:t xml:space="preserve">The decrease in departmental expenses for the Department of Industry, Science, and Resources over the </w:t>
      </w:r>
      <w:r w:rsidR="003860AE">
        <w:t>period 2024–25 to 2027–28</w:t>
      </w:r>
      <w:r>
        <w:t xml:space="preserve">, is driven by a range of terminating </w:t>
      </w:r>
      <w:r w:rsidR="00981A3C">
        <w:t xml:space="preserve">measures </w:t>
      </w:r>
      <w:r w:rsidR="002954DB">
        <w:t>and</w:t>
      </w:r>
      <w:r w:rsidR="002954DB" w:rsidRPr="0520C95C">
        <w:rPr>
          <w:rFonts w:eastAsia="Book Antiqua" w:cs="Book Antiqua"/>
          <w:color w:val="000000" w:themeColor="text1"/>
          <w:szCs w:val="19"/>
        </w:rPr>
        <w:t xml:space="preserve"> the provision of terminating departmental funding in elements of the</w:t>
      </w:r>
      <w:r w:rsidR="002954DB">
        <w:t xml:space="preserve"> 2024–25 Budget </w:t>
      </w:r>
      <w:r w:rsidR="00E70969" w:rsidRPr="008E4D45">
        <w:rPr>
          <w:szCs w:val="19"/>
        </w:rPr>
        <w:t>measure</w:t>
      </w:r>
      <w:r w:rsidR="00E70969" w:rsidRPr="008E4D45">
        <w:rPr>
          <w:sz w:val="18"/>
          <w:szCs w:val="18"/>
        </w:rPr>
        <w:t xml:space="preserve"> </w:t>
      </w:r>
      <w:r w:rsidR="00E70969" w:rsidRPr="00CD394B">
        <w:rPr>
          <w:rStyle w:val="Emphasis"/>
          <w:rFonts w:eastAsia="Calibri"/>
        </w:rPr>
        <w:t>Future Made in Australia</w:t>
      </w:r>
      <w:r w:rsidR="008D4F6B" w:rsidRPr="00CD394B">
        <w:rPr>
          <w:rStyle w:val="Emphasis"/>
          <w:rFonts w:eastAsia="Calibri"/>
        </w:rPr>
        <w:t xml:space="preserve"> – </w:t>
      </w:r>
      <w:r w:rsidR="00E70969" w:rsidRPr="00CD394B">
        <w:rPr>
          <w:rStyle w:val="Emphasis"/>
          <w:rFonts w:eastAsia="Calibri"/>
        </w:rPr>
        <w:t>Investing in Innovation, Science and Digital Capabilities</w:t>
      </w:r>
      <w:r w:rsidR="00E70969" w:rsidRPr="00CD394B">
        <w:rPr>
          <w:rStyle w:val="Emphasis"/>
        </w:rPr>
        <w:t xml:space="preserve"> </w:t>
      </w:r>
      <w:r>
        <w:t>which provides funding to the National Measurement Institute to ensure sophisticated and reliable Australian measurement capability to underpin the Government</w:t>
      </w:r>
      <w:r w:rsidR="008D4F6B">
        <w:t>’</w:t>
      </w:r>
      <w:r>
        <w:t xml:space="preserve">s </w:t>
      </w:r>
      <w:r w:rsidRPr="00CD394B">
        <w:rPr>
          <w:rStyle w:val="Emphasis"/>
        </w:rPr>
        <w:t>Future Made in Australia</w:t>
      </w:r>
      <w:r>
        <w:t xml:space="preserve"> agenda.</w:t>
      </w:r>
    </w:p>
    <w:p w14:paraId="67FA4C53" w14:textId="5E7773B3" w:rsidR="00C81CBC" w:rsidRDefault="007D7259" w:rsidP="007D7259">
      <w:r>
        <w:t xml:space="preserve">Expenses for </w:t>
      </w:r>
      <w:r w:rsidRPr="00CD394B">
        <w:rPr>
          <w:rStyle w:val="Strong"/>
        </w:rPr>
        <w:t>other economic affairs nec</w:t>
      </w:r>
      <w:r>
        <w:rPr>
          <w:b/>
          <w:bCs/>
        </w:rPr>
        <w:t xml:space="preserve"> </w:t>
      </w:r>
      <w:r w:rsidR="00046A8F" w:rsidRPr="00046A8F">
        <w:t>also</w:t>
      </w:r>
      <w:r w:rsidR="00046A8F">
        <w:rPr>
          <w:b/>
          <w:bCs/>
        </w:rPr>
        <w:t xml:space="preserve"> </w:t>
      </w:r>
      <w:r>
        <w:t>include</w:t>
      </w:r>
      <w:r w:rsidR="00362471">
        <w:t>s</w:t>
      </w:r>
      <w:r>
        <w:t xml:space="preserve"> funding for the Australian Competition and Consumer Commission </w:t>
      </w:r>
      <w:r w:rsidR="003860AE">
        <w:t xml:space="preserve">provided </w:t>
      </w:r>
      <w:r>
        <w:t xml:space="preserve">through </w:t>
      </w:r>
      <w:r w:rsidR="002311AF">
        <w:t xml:space="preserve">the </w:t>
      </w:r>
      <w:r>
        <w:t xml:space="preserve">2024–25 </w:t>
      </w:r>
      <w:r w:rsidRPr="00CA36F6">
        <w:t xml:space="preserve">Budget </w:t>
      </w:r>
      <w:r w:rsidR="002311AF" w:rsidRPr="00A4389A">
        <w:t>m</w:t>
      </w:r>
      <w:r w:rsidRPr="00A4389A">
        <w:t>easure</w:t>
      </w:r>
      <w:r w:rsidRPr="00A4389A">
        <w:rPr>
          <w:i/>
          <w:iCs/>
        </w:rPr>
        <w:t xml:space="preserve"> </w:t>
      </w:r>
      <w:r w:rsidRPr="00CD394B">
        <w:rPr>
          <w:rStyle w:val="Emphasis"/>
        </w:rPr>
        <w:t>Competition Reform</w:t>
      </w:r>
      <w:r w:rsidRPr="00A4389A">
        <w:t>. This measure will provide funding to implement a mandatory and suspensory administrative merger control system to prevent harmful mergers, maintain competition, and increase transparency.</w:t>
      </w:r>
      <w:bookmarkEnd w:id="171"/>
    </w:p>
    <w:p w14:paraId="75D6D660" w14:textId="5265D487" w:rsidR="00BE2599" w:rsidRPr="00C81CBC" w:rsidRDefault="007D7259" w:rsidP="00C81CBC">
      <w:r>
        <w:lastRenderedPageBreak/>
        <w:t>Table </w:t>
      </w:r>
      <w:r w:rsidRPr="000177D7">
        <w:t>6.1</w:t>
      </w:r>
      <w:r>
        <w:t>6</w:t>
      </w:r>
      <w:r w:rsidRPr="000177D7">
        <w:t>.</w:t>
      </w:r>
      <w:r>
        <w:t>2</w:t>
      </w:r>
      <w:r w:rsidRPr="000177D7">
        <w:t xml:space="preserve"> sets out the major components of the </w:t>
      </w:r>
      <w:r w:rsidRPr="00CD394B">
        <w:rPr>
          <w:rStyle w:val="Strong"/>
        </w:rPr>
        <w:t>other</w:t>
      </w:r>
      <w:r>
        <w:rPr>
          <w:b/>
          <w:bCs/>
          <w:lang w:val="en-US"/>
        </w:rPr>
        <w:t xml:space="preserve"> </w:t>
      </w:r>
      <w:r w:rsidRPr="00CD394B">
        <w:rPr>
          <w:rStyle w:val="Strong"/>
        </w:rPr>
        <w:t>economic affairs nec</w:t>
      </w:r>
      <w:r w:rsidRPr="000177D7">
        <w:t xml:space="preserve"> sub</w:t>
      </w:r>
      <w:r w:rsidR="008D4F6B">
        <w:noBreakHyphen/>
      </w:r>
      <w:r w:rsidRPr="000177D7">
        <w:t>functio</w:t>
      </w:r>
      <w:r>
        <w:t>n</w:t>
      </w:r>
      <w:r w:rsidRPr="00C81CBC">
        <w:t>.</w:t>
      </w:r>
    </w:p>
    <w:p w14:paraId="1BBE8416" w14:textId="7ED87C27" w:rsidR="0021003E" w:rsidRDefault="00E32E1B" w:rsidP="0021003E">
      <w:pPr>
        <w:pStyle w:val="TableHeading"/>
        <w:rPr>
          <w:rFonts w:asciiTheme="minorHAnsi" w:eastAsiaTheme="minorHAnsi" w:hAnsiTheme="minorHAnsi" w:cstheme="minorBidi"/>
          <w:sz w:val="22"/>
          <w:szCs w:val="22"/>
          <w:lang w:eastAsia="en-US"/>
        </w:rPr>
      </w:pPr>
      <w:r>
        <w:t>Table </w:t>
      </w:r>
      <w:r w:rsidRPr="000177D7">
        <w:t>6.16.2: Trends in the major components of</w:t>
      </w:r>
      <w:r>
        <w:t xml:space="preserve"> the</w:t>
      </w:r>
      <w:r w:rsidRPr="000177D7">
        <w:t xml:space="preserve"> other economic affairs nec sub</w:t>
      </w:r>
      <w:r w:rsidR="008D4F6B">
        <w:noBreakHyphen/>
      </w:r>
      <w:r w:rsidRPr="000177D7">
        <w:t xml:space="preserve">function </w:t>
      </w:r>
      <w:r w:rsidRPr="00B965A6">
        <w:t>expens</w:t>
      </w:r>
      <w:bookmarkStart w:id="172" w:name="_1727953915"/>
      <w:bookmarkStart w:id="173" w:name="_1727955092"/>
      <w:bookmarkEnd w:id="172"/>
      <w:bookmarkEnd w:id="173"/>
      <w:r w:rsidRPr="00B965A6">
        <w:t>e</w:t>
      </w:r>
    </w:p>
    <w:tbl>
      <w:tblPr>
        <w:tblW w:w="5000" w:type="pct"/>
        <w:tblCellMar>
          <w:left w:w="0" w:type="dxa"/>
          <w:right w:w="28" w:type="dxa"/>
        </w:tblCellMar>
        <w:tblLook w:val="04A0" w:firstRow="1" w:lastRow="0" w:firstColumn="1" w:lastColumn="0" w:noHBand="0" w:noVBand="1"/>
      </w:tblPr>
      <w:tblGrid>
        <w:gridCol w:w="3366"/>
        <w:gridCol w:w="105"/>
        <w:gridCol w:w="848"/>
        <w:gridCol w:w="848"/>
        <w:gridCol w:w="848"/>
        <w:gridCol w:w="848"/>
        <w:gridCol w:w="847"/>
      </w:tblGrid>
      <w:tr w:rsidR="0021003E" w:rsidRPr="0021003E" w14:paraId="6A33F854" w14:textId="77777777" w:rsidTr="0021003E">
        <w:trPr>
          <w:trHeight w:hRule="exact" w:val="20"/>
        </w:trPr>
        <w:tc>
          <w:tcPr>
            <w:tcW w:w="2183" w:type="pct"/>
            <w:tcBorders>
              <w:top w:val="nil"/>
              <w:left w:val="nil"/>
              <w:bottom w:val="single" w:sz="4" w:space="0" w:color="293F5B"/>
              <w:right w:val="nil"/>
            </w:tcBorders>
            <w:shd w:val="clear" w:color="000000" w:fill="FFFFFF"/>
            <w:noWrap/>
            <w:vAlign w:val="center"/>
            <w:hideMark/>
          </w:tcPr>
          <w:p w14:paraId="0591B3E1" w14:textId="078F33AF" w:rsidR="0021003E" w:rsidRPr="0021003E" w:rsidRDefault="0021003E" w:rsidP="0021003E">
            <w:pPr>
              <w:spacing w:before="0" w:after="0" w:line="240" w:lineRule="auto"/>
              <w:rPr>
                <w:rFonts w:ascii="Arial" w:hAnsi="Arial" w:cs="Arial"/>
                <w:b/>
                <w:bCs/>
                <w:color w:val="000000"/>
                <w:sz w:val="16"/>
                <w:szCs w:val="16"/>
              </w:rPr>
            </w:pPr>
            <w:r w:rsidRPr="0021003E">
              <w:rPr>
                <w:rFonts w:ascii="Arial" w:hAnsi="Arial" w:cs="Arial"/>
                <w:b/>
                <w:bCs/>
                <w:color w:val="000000"/>
                <w:sz w:val="16"/>
                <w:szCs w:val="16"/>
              </w:rPr>
              <w:t> </w:t>
            </w:r>
          </w:p>
        </w:tc>
        <w:tc>
          <w:tcPr>
            <w:tcW w:w="68" w:type="pct"/>
            <w:tcBorders>
              <w:top w:val="nil"/>
              <w:left w:val="nil"/>
              <w:bottom w:val="single" w:sz="4" w:space="0" w:color="293F5B"/>
              <w:right w:val="nil"/>
            </w:tcBorders>
            <w:shd w:val="clear" w:color="000000" w:fill="FFFFFF"/>
            <w:noWrap/>
            <w:vAlign w:val="center"/>
            <w:hideMark/>
          </w:tcPr>
          <w:p w14:paraId="41AE7E34" w14:textId="77777777" w:rsidR="0021003E" w:rsidRPr="0021003E" w:rsidRDefault="0021003E" w:rsidP="0021003E">
            <w:pPr>
              <w:spacing w:before="0" w:after="0" w:line="240" w:lineRule="auto"/>
              <w:rPr>
                <w:rFonts w:ascii="Arial" w:hAnsi="Arial" w:cs="Arial"/>
                <w:b/>
                <w:bCs/>
                <w:color w:val="000000"/>
                <w:sz w:val="16"/>
                <w:szCs w:val="16"/>
              </w:rPr>
            </w:pPr>
            <w:r w:rsidRPr="0021003E">
              <w:rPr>
                <w:rFonts w:ascii="Arial" w:hAnsi="Arial" w:cs="Arial"/>
                <w:b/>
                <w:bCs/>
                <w:color w:val="000000"/>
                <w:sz w:val="16"/>
                <w:szCs w:val="16"/>
              </w:rPr>
              <w:t> </w:t>
            </w:r>
          </w:p>
        </w:tc>
        <w:tc>
          <w:tcPr>
            <w:tcW w:w="550" w:type="pct"/>
            <w:tcBorders>
              <w:top w:val="nil"/>
              <w:left w:val="nil"/>
              <w:bottom w:val="single" w:sz="4" w:space="0" w:color="293F5B"/>
              <w:right w:val="nil"/>
            </w:tcBorders>
            <w:shd w:val="clear" w:color="000000" w:fill="FFFFFF"/>
            <w:noWrap/>
            <w:vAlign w:val="center"/>
            <w:hideMark/>
          </w:tcPr>
          <w:p w14:paraId="5E2C64F5" w14:textId="77777777" w:rsidR="0021003E" w:rsidRPr="0021003E" w:rsidRDefault="0021003E" w:rsidP="0021003E">
            <w:pPr>
              <w:spacing w:before="0" w:after="0" w:line="240" w:lineRule="auto"/>
              <w:rPr>
                <w:rFonts w:ascii="Arial" w:hAnsi="Arial" w:cs="Arial"/>
                <w:color w:val="000000"/>
                <w:sz w:val="16"/>
                <w:szCs w:val="16"/>
              </w:rPr>
            </w:pPr>
            <w:r w:rsidRPr="0021003E">
              <w:rPr>
                <w:rFonts w:ascii="Arial" w:hAnsi="Arial" w:cs="Arial"/>
                <w:color w:val="000000"/>
                <w:sz w:val="16"/>
                <w:szCs w:val="16"/>
              </w:rPr>
              <w:t> </w:t>
            </w:r>
          </w:p>
        </w:tc>
        <w:tc>
          <w:tcPr>
            <w:tcW w:w="550" w:type="pct"/>
            <w:tcBorders>
              <w:top w:val="nil"/>
              <w:left w:val="nil"/>
              <w:bottom w:val="single" w:sz="4" w:space="0" w:color="293F5B"/>
              <w:right w:val="nil"/>
            </w:tcBorders>
            <w:shd w:val="clear" w:color="000000" w:fill="FFFFFF"/>
            <w:noWrap/>
            <w:vAlign w:val="center"/>
            <w:hideMark/>
          </w:tcPr>
          <w:p w14:paraId="682A0390" w14:textId="77777777" w:rsidR="0021003E" w:rsidRPr="0021003E" w:rsidRDefault="0021003E" w:rsidP="0021003E">
            <w:pPr>
              <w:spacing w:before="0" w:after="0" w:line="240" w:lineRule="auto"/>
              <w:rPr>
                <w:rFonts w:ascii="Arial" w:hAnsi="Arial" w:cs="Arial"/>
                <w:color w:val="000000"/>
                <w:sz w:val="16"/>
                <w:szCs w:val="16"/>
              </w:rPr>
            </w:pPr>
            <w:r w:rsidRPr="0021003E">
              <w:rPr>
                <w:rFonts w:ascii="Arial" w:hAnsi="Arial" w:cs="Arial"/>
                <w:color w:val="000000"/>
                <w:sz w:val="16"/>
                <w:szCs w:val="16"/>
              </w:rPr>
              <w:t> </w:t>
            </w:r>
          </w:p>
        </w:tc>
        <w:tc>
          <w:tcPr>
            <w:tcW w:w="550" w:type="pct"/>
            <w:tcBorders>
              <w:top w:val="nil"/>
              <w:left w:val="nil"/>
              <w:bottom w:val="single" w:sz="4" w:space="0" w:color="293F5B"/>
              <w:right w:val="nil"/>
            </w:tcBorders>
            <w:shd w:val="clear" w:color="000000" w:fill="FFFFFF"/>
            <w:noWrap/>
            <w:vAlign w:val="center"/>
            <w:hideMark/>
          </w:tcPr>
          <w:p w14:paraId="2ED78F1E" w14:textId="77777777" w:rsidR="0021003E" w:rsidRPr="0021003E" w:rsidRDefault="0021003E" w:rsidP="0021003E">
            <w:pPr>
              <w:spacing w:before="0" w:after="0" w:line="240" w:lineRule="auto"/>
              <w:rPr>
                <w:rFonts w:ascii="Arial" w:hAnsi="Arial" w:cs="Arial"/>
                <w:color w:val="000000"/>
                <w:sz w:val="16"/>
                <w:szCs w:val="16"/>
              </w:rPr>
            </w:pPr>
            <w:r w:rsidRPr="0021003E">
              <w:rPr>
                <w:rFonts w:ascii="Arial" w:hAnsi="Arial" w:cs="Arial"/>
                <w:color w:val="000000"/>
                <w:sz w:val="16"/>
                <w:szCs w:val="16"/>
              </w:rPr>
              <w:t> </w:t>
            </w:r>
          </w:p>
        </w:tc>
        <w:tc>
          <w:tcPr>
            <w:tcW w:w="550" w:type="pct"/>
            <w:tcBorders>
              <w:top w:val="nil"/>
              <w:left w:val="nil"/>
              <w:bottom w:val="single" w:sz="4" w:space="0" w:color="293F5B"/>
              <w:right w:val="nil"/>
            </w:tcBorders>
            <w:shd w:val="clear" w:color="000000" w:fill="FFFFFF"/>
            <w:noWrap/>
            <w:vAlign w:val="center"/>
            <w:hideMark/>
          </w:tcPr>
          <w:p w14:paraId="1E9A49A4" w14:textId="77777777" w:rsidR="0021003E" w:rsidRPr="0021003E" w:rsidRDefault="0021003E" w:rsidP="0021003E">
            <w:pPr>
              <w:spacing w:before="0" w:after="0" w:line="240" w:lineRule="auto"/>
              <w:rPr>
                <w:rFonts w:ascii="Arial" w:hAnsi="Arial" w:cs="Arial"/>
                <w:color w:val="000000"/>
                <w:sz w:val="16"/>
                <w:szCs w:val="16"/>
              </w:rPr>
            </w:pPr>
            <w:r w:rsidRPr="0021003E">
              <w:rPr>
                <w:rFonts w:ascii="Arial" w:hAnsi="Arial" w:cs="Arial"/>
                <w:color w:val="000000"/>
                <w:sz w:val="16"/>
                <w:szCs w:val="16"/>
              </w:rPr>
              <w:t> </w:t>
            </w:r>
          </w:p>
        </w:tc>
        <w:tc>
          <w:tcPr>
            <w:tcW w:w="550" w:type="pct"/>
            <w:tcBorders>
              <w:top w:val="nil"/>
              <w:left w:val="nil"/>
              <w:bottom w:val="single" w:sz="4" w:space="0" w:color="293F5B"/>
              <w:right w:val="nil"/>
            </w:tcBorders>
            <w:shd w:val="clear" w:color="000000" w:fill="FFFFFF"/>
            <w:noWrap/>
            <w:vAlign w:val="center"/>
            <w:hideMark/>
          </w:tcPr>
          <w:p w14:paraId="2007E6F5" w14:textId="77777777" w:rsidR="0021003E" w:rsidRPr="0021003E" w:rsidRDefault="0021003E" w:rsidP="0021003E">
            <w:pPr>
              <w:spacing w:before="0" w:after="0" w:line="240" w:lineRule="auto"/>
              <w:rPr>
                <w:rFonts w:ascii="Arial" w:hAnsi="Arial" w:cs="Arial"/>
                <w:color w:val="000000"/>
                <w:sz w:val="16"/>
                <w:szCs w:val="16"/>
              </w:rPr>
            </w:pPr>
            <w:r w:rsidRPr="0021003E">
              <w:rPr>
                <w:rFonts w:ascii="Arial" w:hAnsi="Arial" w:cs="Arial"/>
                <w:color w:val="000000"/>
                <w:sz w:val="16"/>
                <w:szCs w:val="16"/>
              </w:rPr>
              <w:t> </w:t>
            </w:r>
          </w:p>
        </w:tc>
      </w:tr>
      <w:tr w:rsidR="0021003E" w:rsidRPr="0021003E" w14:paraId="0559F962" w14:textId="77777777" w:rsidTr="00236E34">
        <w:trPr>
          <w:trHeight w:hRule="exact" w:val="226"/>
        </w:trPr>
        <w:tc>
          <w:tcPr>
            <w:tcW w:w="2183" w:type="pct"/>
            <w:tcBorders>
              <w:top w:val="nil"/>
              <w:left w:val="nil"/>
              <w:bottom w:val="nil"/>
              <w:right w:val="nil"/>
            </w:tcBorders>
            <w:shd w:val="clear" w:color="000000" w:fill="FFFFFF"/>
            <w:noWrap/>
            <w:vAlign w:val="center"/>
            <w:hideMark/>
          </w:tcPr>
          <w:p w14:paraId="66CA989D" w14:textId="77777777" w:rsidR="0021003E" w:rsidRPr="0021003E" w:rsidRDefault="0021003E" w:rsidP="0021003E">
            <w:pPr>
              <w:spacing w:before="0" w:after="0" w:line="240" w:lineRule="auto"/>
              <w:rPr>
                <w:rFonts w:ascii="Arial" w:hAnsi="Arial" w:cs="Arial"/>
                <w:b/>
                <w:bCs/>
                <w:color w:val="000000"/>
                <w:sz w:val="16"/>
                <w:szCs w:val="16"/>
              </w:rPr>
            </w:pPr>
            <w:r w:rsidRPr="0021003E">
              <w:rPr>
                <w:rFonts w:ascii="Arial" w:hAnsi="Arial" w:cs="Arial"/>
                <w:b/>
                <w:bCs/>
                <w:color w:val="000000"/>
                <w:sz w:val="16"/>
                <w:szCs w:val="16"/>
              </w:rPr>
              <w:t>Component(a)</w:t>
            </w:r>
          </w:p>
        </w:tc>
        <w:tc>
          <w:tcPr>
            <w:tcW w:w="68" w:type="pct"/>
            <w:tcBorders>
              <w:top w:val="nil"/>
              <w:left w:val="nil"/>
              <w:bottom w:val="nil"/>
              <w:right w:val="nil"/>
            </w:tcBorders>
            <w:shd w:val="clear" w:color="000000" w:fill="FFFFFF"/>
            <w:noWrap/>
            <w:vAlign w:val="center"/>
            <w:hideMark/>
          </w:tcPr>
          <w:p w14:paraId="054DA0AC" w14:textId="77777777" w:rsidR="0021003E" w:rsidRPr="0021003E" w:rsidRDefault="0021003E" w:rsidP="0021003E">
            <w:pPr>
              <w:spacing w:before="0" w:after="0" w:line="240" w:lineRule="auto"/>
              <w:rPr>
                <w:rFonts w:ascii="Arial" w:hAnsi="Arial" w:cs="Arial"/>
                <w:color w:val="000000"/>
                <w:sz w:val="16"/>
                <w:szCs w:val="16"/>
              </w:rPr>
            </w:pPr>
            <w:r w:rsidRPr="0021003E">
              <w:rPr>
                <w:rFonts w:ascii="Arial" w:hAnsi="Arial" w:cs="Arial"/>
                <w:color w:val="000000"/>
                <w:sz w:val="16"/>
                <w:szCs w:val="16"/>
              </w:rPr>
              <w:t> </w:t>
            </w:r>
          </w:p>
        </w:tc>
        <w:tc>
          <w:tcPr>
            <w:tcW w:w="2748" w:type="pct"/>
            <w:gridSpan w:val="5"/>
            <w:tcBorders>
              <w:top w:val="single" w:sz="4" w:space="0" w:color="293F5B"/>
              <w:left w:val="nil"/>
              <w:bottom w:val="single" w:sz="4" w:space="0" w:color="293F5B"/>
              <w:right w:val="nil"/>
            </w:tcBorders>
            <w:shd w:val="clear" w:color="000000" w:fill="FFFFFF"/>
            <w:noWrap/>
            <w:vAlign w:val="center"/>
            <w:hideMark/>
          </w:tcPr>
          <w:p w14:paraId="0E198D9A" w14:textId="77777777" w:rsidR="0021003E" w:rsidRPr="0021003E" w:rsidRDefault="0021003E" w:rsidP="0021003E">
            <w:pPr>
              <w:spacing w:before="0" w:after="0" w:line="240" w:lineRule="auto"/>
              <w:jc w:val="center"/>
              <w:rPr>
                <w:rFonts w:ascii="Arial" w:hAnsi="Arial" w:cs="Arial"/>
                <w:color w:val="000000"/>
                <w:sz w:val="16"/>
                <w:szCs w:val="16"/>
              </w:rPr>
            </w:pPr>
            <w:r w:rsidRPr="0021003E">
              <w:rPr>
                <w:rFonts w:ascii="Arial" w:hAnsi="Arial" w:cs="Arial"/>
                <w:color w:val="000000"/>
                <w:sz w:val="16"/>
                <w:szCs w:val="16"/>
              </w:rPr>
              <w:t>Estimates</w:t>
            </w:r>
          </w:p>
        </w:tc>
      </w:tr>
      <w:tr w:rsidR="0021003E" w:rsidRPr="0021003E" w14:paraId="06BC178F" w14:textId="77777777" w:rsidTr="0021003E">
        <w:trPr>
          <w:trHeight w:hRule="exact" w:val="226"/>
        </w:trPr>
        <w:tc>
          <w:tcPr>
            <w:tcW w:w="2183" w:type="pct"/>
            <w:tcBorders>
              <w:top w:val="nil"/>
              <w:left w:val="nil"/>
              <w:bottom w:val="nil"/>
              <w:right w:val="nil"/>
            </w:tcBorders>
            <w:shd w:val="clear" w:color="000000" w:fill="FFFFFF"/>
            <w:noWrap/>
            <w:vAlign w:val="bottom"/>
            <w:hideMark/>
          </w:tcPr>
          <w:p w14:paraId="67C0CD10" w14:textId="77777777" w:rsidR="0021003E" w:rsidRPr="0021003E" w:rsidRDefault="0021003E" w:rsidP="0021003E">
            <w:pPr>
              <w:spacing w:before="0" w:after="0" w:line="240" w:lineRule="auto"/>
              <w:rPr>
                <w:rFonts w:ascii="Arial" w:hAnsi="Arial" w:cs="Arial"/>
                <w:color w:val="000000"/>
                <w:sz w:val="16"/>
                <w:szCs w:val="16"/>
              </w:rPr>
            </w:pPr>
            <w:r w:rsidRPr="0021003E">
              <w:rPr>
                <w:rFonts w:ascii="Arial" w:hAnsi="Arial" w:cs="Arial"/>
                <w:color w:val="000000"/>
                <w:sz w:val="16"/>
                <w:szCs w:val="16"/>
              </w:rPr>
              <w:t> </w:t>
            </w:r>
          </w:p>
        </w:tc>
        <w:tc>
          <w:tcPr>
            <w:tcW w:w="68" w:type="pct"/>
            <w:tcBorders>
              <w:top w:val="nil"/>
              <w:left w:val="nil"/>
              <w:bottom w:val="nil"/>
              <w:right w:val="nil"/>
            </w:tcBorders>
            <w:shd w:val="clear" w:color="000000" w:fill="FFFFFF"/>
            <w:noWrap/>
            <w:vAlign w:val="center"/>
            <w:hideMark/>
          </w:tcPr>
          <w:p w14:paraId="6A87BBF2" w14:textId="77777777" w:rsidR="0021003E" w:rsidRPr="0021003E" w:rsidRDefault="0021003E" w:rsidP="0021003E">
            <w:pPr>
              <w:spacing w:before="0" w:after="0" w:line="240" w:lineRule="auto"/>
              <w:jc w:val="right"/>
              <w:rPr>
                <w:rFonts w:ascii="Arial" w:hAnsi="Arial" w:cs="Arial"/>
                <w:sz w:val="16"/>
                <w:szCs w:val="16"/>
              </w:rPr>
            </w:pPr>
            <w:r w:rsidRPr="0021003E">
              <w:rPr>
                <w:rFonts w:ascii="Arial" w:hAnsi="Arial" w:cs="Arial"/>
                <w:sz w:val="16"/>
                <w:szCs w:val="16"/>
              </w:rPr>
              <w:t> </w:t>
            </w:r>
          </w:p>
        </w:tc>
        <w:tc>
          <w:tcPr>
            <w:tcW w:w="550" w:type="pct"/>
            <w:tcBorders>
              <w:top w:val="single" w:sz="4" w:space="0" w:color="293F5B"/>
              <w:left w:val="nil"/>
              <w:bottom w:val="nil"/>
              <w:right w:val="nil"/>
            </w:tcBorders>
            <w:shd w:val="clear" w:color="000000" w:fill="FFFFFF"/>
            <w:noWrap/>
            <w:vAlign w:val="center"/>
            <w:hideMark/>
          </w:tcPr>
          <w:p w14:paraId="74422AA6" w14:textId="7EF43C46" w:rsidR="0021003E" w:rsidRPr="0021003E" w:rsidRDefault="0021003E" w:rsidP="0021003E">
            <w:pPr>
              <w:spacing w:before="0" w:after="0" w:line="240" w:lineRule="auto"/>
              <w:jc w:val="right"/>
              <w:rPr>
                <w:rFonts w:ascii="Arial" w:hAnsi="Arial" w:cs="Arial"/>
                <w:sz w:val="16"/>
                <w:szCs w:val="16"/>
              </w:rPr>
            </w:pPr>
            <w:r w:rsidRPr="0021003E">
              <w:rPr>
                <w:rFonts w:ascii="Arial" w:hAnsi="Arial" w:cs="Arial"/>
                <w:sz w:val="16"/>
                <w:szCs w:val="16"/>
              </w:rPr>
              <w:t>2023</w:t>
            </w:r>
            <w:r w:rsidR="008D4F6B">
              <w:rPr>
                <w:rFonts w:ascii="Arial" w:hAnsi="Arial" w:cs="Arial"/>
                <w:sz w:val="16"/>
                <w:szCs w:val="16"/>
              </w:rPr>
              <w:noBreakHyphen/>
            </w:r>
            <w:r w:rsidRPr="0021003E">
              <w:rPr>
                <w:rFonts w:ascii="Arial" w:hAnsi="Arial" w:cs="Arial"/>
                <w:sz w:val="16"/>
                <w:szCs w:val="16"/>
              </w:rPr>
              <w:t>24</w:t>
            </w:r>
          </w:p>
        </w:tc>
        <w:tc>
          <w:tcPr>
            <w:tcW w:w="550" w:type="pct"/>
            <w:tcBorders>
              <w:top w:val="single" w:sz="4" w:space="0" w:color="293F5B"/>
              <w:left w:val="nil"/>
              <w:bottom w:val="nil"/>
              <w:right w:val="nil"/>
            </w:tcBorders>
            <w:shd w:val="clear" w:color="000000" w:fill="E6F2FF"/>
            <w:noWrap/>
            <w:vAlign w:val="center"/>
            <w:hideMark/>
          </w:tcPr>
          <w:p w14:paraId="296B0630" w14:textId="32E2CB3C" w:rsidR="0021003E" w:rsidRPr="0021003E" w:rsidRDefault="0021003E" w:rsidP="0021003E">
            <w:pPr>
              <w:spacing w:before="0" w:after="0" w:line="240" w:lineRule="auto"/>
              <w:jc w:val="right"/>
              <w:rPr>
                <w:rFonts w:ascii="Arial" w:hAnsi="Arial" w:cs="Arial"/>
                <w:sz w:val="16"/>
                <w:szCs w:val="16"/>
              </w:rPr>
            </w:pPr>
            <w:r w:rsidRPr="0021003E">
              <w:rPr>
                <w:rFonts w:ascii="Arial" w:hAnsi="Arial" w:cs="Arial"/>
                <w:sz w:val="16"/>
                <w:szCs w:val="16"/>
              </w:rPr>
              <w:t>2024</w:t>
            </w:r>
            <w:r w:rsidR="008D4F6B">
              <w:rPr>
                <w:rFonts w:ascii="Arial" w:hAnsi="Arial" w:cs="Arial"/>
                <w:sz w:val="16"/>
                <w:szCs w:val="16"/>
              </w:rPr>
              <w:noBreakHyphen/>
            </w:r>
            <w:r w:rsidRPr="0021003E">
              <w:rPr>
                <w:rFonts w:ascii="Arial" w:hAnsi="Arial" w:cs="Arial"/>
                <w:sz w:val="16"/>
                <w:szCs w:val="16"/>
              </w:rPr>
              <w:t>25</w:t>
            </w:r>
          </w:p>
        </w:tc>
        <w:tc>
          <w:tcPr>
            <w:tcW w:w="550" w:type="pct"/>
            <w:tcBorders>
              <w:top w:val="single" w:sz="4" w:space="0" w:color="293F5B"/>
              <w:left w:val="nil"/>
              <w:bottom w:val="nil"/>
              <w:right w:val="nil"/>
            </w:tcBorders>
            <w:shd w:val="clear" w:color="000000" w:fill="FFFFFF"/>
            <w:noWrap/>
            <w:vAlign w:val="center"/>
            <w:hideMark/>
          </w:tcPr>
          <w:p w14:paraId="09D917DD" w14:textId="08760252" w:rsidR="0021003E" w:rsidRPr="0021003E" w:rsidRDefault="0021003E" w:rsidP="0021003E">
            <w:pPr>
              <w:spacing w:before="0" w:after="0" w:line="240" w:lineRule="auto"/>
              <w:jc w:val="right"/>
              <w:rPr>
                <w:rFonts w:ascii="Arial" w:hAnsi="Arial" w:cs="Arial"/>
                <w:sz w:val="16"/>
                <w:szCs w:val="16"/>
              </w:rPr>
            </w:pPr>
            <w:r w:rsidRPr="0021003E">
              <w:rPr>
                <w:rFonts w:ascii="Arial" w:hAnsi="Arial" w:cs="Arial"/>
                <w:sz w:val="16"/>
                <w:szCs w:val="16"/>
              </w:rPr>
              <w:t>2025</w:t>
            </w:r>
            <w:r w:rsidR="008D4F6B">
              <w:rPr>
                <w:rFonts w:ascii="Arial" w:hAnsi="Arial" w:cs="Arial"/>
                <w:sz w:val="16"/>
                <w:szCs w:val="16"/>
              </w:rPr>
              <w:noBreakHyphen/>
            </w:r>
            <w:r w:rsidRPr="0021003E">
              <w:rPr>
                <w:rFonts w:ascii="Arial" w:hAnsi="Arial" w:cs="Arial"/>
                <w:sz w:val="16"/>
                <w:szCs w:val="16"/>
              </w:rPr>
              <w:t>26</w:t>
            </w:r>
          </w:p>
        </w:tc>
        <w:tc>
          <w:tcPr>
            <w:tcW w:w="550" w:type="pct"/>
            <w:tcBorders>
              <w:top w:val="single" w:sz="4" w:space="0" w:color="293F5B"/>
              <w:left w:val="nil"/>
              <w:bottom w:val="nil"/>
              <w:right w:val="nil"/>
            </w:tcBorders>
            <w:shd w:val="clear" w:color="000000" w:fill="FFFFFF"/>
            <w:noWrap/>
            <w:vAlign w:val="center"/>
            <w:hideMark/>
          </w:tcPr>
          <w:p w14:paraId="68752424" w14:textId="6DBA5C44" w:rsidR="0021003E" w:rsidRPr="0021003E" w:rsidRDefault="0021003E" w:rsidP="0021003E">
            <w:pPr>
              <w:spacing w:before="0" w:after="0" w:line="240" w:lineRule="auto"/>
              <w:jc w:val="right"/>
              <w:rPr>
                <w:rFonts w:ascii="Arial" w:hAnsi="Arial" w:cs="Arial"/>
                <w:sz w:val="16"/>
                <w:szCs w:val="16"/>
              </w:rPr>
            </w:pPr>
            <w:r w:rsidRPr="0021003E">
              <w:rPr>
                <w:rFonts w:ascii="Arial" w:hAnsi="Arial" w:cs="Arial"/>
                <w:sz w:val="16"/>
                <w:szCs w:val="16"/>
              </w:rPr>
              <w:t>2026</w:t>
            </w:r>
            <w:r w:rsidR="008D4F6B">
              <w:rPr>
                <w:rFonts w:ascii="Arial" w:hAnsi="Arial" w:cs="Arial"/>
                <w:sz w:val="16"/>
                <w:szCs w:val="16"/>
              </w:rPr>
              <w:noBreakHyphen/>
            </w:r>
            <w:r w:rsidRPr="0021003E">
              <w:rPr>
                <w:rFonts w:ascii="Arial" w:hAnsi="Arial" w:cs="Arial"/>
                <w:sz w:val="16"/>
                <w:szCs w:val="16"/>
              </w:rPr>
              <w:t>27</w:t>
            </w:r>
          </w:p>
        </w:tc>
        <w:tc>
          <w:tcPr>
            <w:tcW w:w="550" w:type="pct"/>
            <w:tcBorders>
              <w:top w:val="single" w:sz="4" w:space="0" w:color="293F5B"/>
              <w:left w:val="nil"/>
              <w:bottom w:val="nil"/>
              <w:right w:val="nil"/>
            </w:tcBorders>
            <w:shd w:val="clear" w:color="000000" w:fill="FFFFFF"/>
            <w:noWrap/>
            <w:vAlign w:val="center"/>
            <w:hideMark/>
          </w:tcPr>
          <w:p w14:paraId="70F87562" w14:textId="420923E9" w:rsidR="0021003E" w:rsidRPr="0021003E" w:rsidRDefault="0021003E" w:rsidP="0021003E">
            <w:pPr>
              <w:spacing w:before="0" w:after="0" w:line="240" w:lineRule="auto"/>
              <w:jc w:val="right"/>
              <w:rPr>
                <w:rFonts w:ascii="Arial" w:hAnsi="Arial" w:cs="Arial"/>
                <w:color w:val="000000"/>
                <w:sz w:val="16"/>
                <w:szCs w:val="16"/>
              </w:rPr>
            </w:pPr>
            <w:r w:rsidRPr="0021003E">
              <w:rPr>
                <w:rFonts w:ascii="Arial" w:hAnsi="Arial" w:cs="Arial"/>
                <w:color w:val="000000"/>
                <w:sz w:val="16"/>
                <w:szCs w:val="16"/>
              </w:rPr>
              <w:t>2027</w:t>
            </w:r>
            <w:r w:rsidR="008D4F6B">
              <w:rPr>
                <w:rFonts w:ascii="Arial" w:hAnsi="Arial" w:cs="Arial"/>
                <w:color w:val="000000"/>
                <w:sz w:val="16"/>
                <w:szCs w:val="16"/>
              </w:rPr>
              <w:noBreakHyphen/>
            </w:r>
            <w:r w:rsidRPr="0021003E">
              <w:rPr>
                <w:rFonts w:ascii="Arial" w:hAnsi="Arial" w:cs="Arial"/>
                <w:color w:val="000000"/>
                <w:sz w:val="16"/>
                <w:szCs w:val="16"/>
              </w:rPr>
              <w:t>28</w:t>
            </w:r>
          </w:p>
        </w:tc>
      </w:tr>
      <w:tr w:rsidR="0021003E" w:rsidRPr="0021003E" w14:paraId="60190DA9" w14:textId="77777777" w:rsidTr="0021003E">
        <w:trPr>
          <w:trHeight w:hRule="exact" w:val="226"/>
        </w:trPr>
        <w:tc>
          <w:tcPr>
            <w:tcW w:w="2183" w:type="pct"/>
            <w:tcBorders>
              <w:top w:val="nil"/>
              <w:left w:val="nil"/>
              <w:bottom w:val="nil"/>
              <w:right w:val="nil"/>
            </w:tcBorders>
            <w:shd w:val="clear" w:color="000000" w:fill="FFFFFF"/>
            <w:noWrap/>
            <w:vAlign w:val="center"/>
            <w:hideMark/>
          </w:tcPr>
          <w:p w14:paraId="78E06C3D" w14:textId="77777777" w:rsidR="0021003E" w:rsidRPr="0021003E" w:rsidRDefault="0021003E" w:rsidP="0021003E">
            <w:pPr>
              <w:spacing w:before="0" w:after="0" w:line="240" w:lineRule="auto"/>
              <w:rPr>
                <w:rFonts w:ascii="Arial" w:hAnsi="Arial" w:cs="Arial"/>
                <w:color w:val="000000"/>
                <w:sz w:val="16"/>
                <w:szCs w:val="16"/>
              </w:rPr>
            </w:pPr>
            <w:r w:rsidRPr="0021003E">
              <w:rPr>
                <w:rFonts w:ascii="Arial" w:hAnsi="Arial" w:cs="Arial"/>
                <w:color w:val="000000"/>
                <w:sz w:val="16"/>
                <w:szCs w:val="16"/>
              </w:rPr>
              <w:t> </w:t>
            </w:r>
          </w:p>
        </w:tc>
        <w:tc>
          <w:tcPr>
            <w:tcW w:w="68" w:type="pct"/>
            <w:tcBorders>
              <w:top w:val="nil"/>
              <w:left w:val="nil"/>
              <w:bottom w:val="nil"/>
              <w:right w:val="nil"/>
            </w:tcBorders>
            <w:shd w:val="clear" w:color="000000" w:fill="FFFFFF"/>
            <w:noWrap/>
            <w:vAlign w:val="center"/>
            <w:hideMark/>
          </w:tcPr>
          <w:p w14:paraId="54A54F34" w14:textId="77777777" w:rsidR="0021003E" w:rsidRPr="0021003E" w:rsidRDefault="0021003E" w:rsidP="0021003E">
            <w:pPr>
              <w:spacing w:before="0" w:after="0" w:line="240" w:lineRule="auto"/>
              <w:jc w:val="right"/>
              <w:rPr>
                <w:rFonts w:ascii="Arial" w:hAnsi="Arial" w:cs="Arial"/>
                <w:color w:val="000000"/>
                <w:sz w:val="16"/>
                <w:szCs w:val="16"/>
              </w:rPr>
            </w:pPr>
            <w:r w:rsidRPr="0021003E">
              <w:rPr>
                <w:rFonts w:ascii="Arial" w:hAnsi="Arial" w:cs="Arial"/>
                <w:color w:val="000000"/>
                <w:sz w:val="16"/>
                <w:szCs w:val="16"/>
              </w:rPr>
              <w:t> </w:t>
            </w:r>
          </w:p>
        </w:tc>
        <w:tc>
          <w:tcPr>
            <w:tcW w:w="550" w:type="pct"/>
            <w:tcBorders>
              <w:top w:val="nil"/>
              <w:left w:val="nil"/>
              <w:bottom w:val="single" w:sz="4" w:space="0" w:color="293F5B"/>
              <w:right w:val="nil"/>
            </w:tcBorders>
            <w:shd w:val="clear" w:color="000000" w:fill="FFFFFF"/>
            <w:noWrap/>
            <w:vAlign w:val="center"/>
            <w:hideMark/>
          </w:tcPr>
          <w:p w14:paraId="64DC5F38" w14:textId="77777777" w:rsidR="0021003E" w:rsidRPr="0021003E" w:rsidRDefault="0021003E" w:rsidP="0021003E">
            <w:pPr>
              <w:spacing w:before="0" w:after="0" w:line="240" w:lineRule="auto"/>
              <w:jc w:val="right"/>
              <w:rPr>
                <w:rFonts w:ascii="Arial" w:hAnsi="Arial" w:cs="Arial"/>
                <w:color w:val="000000"/>
                <w:sz w:val="16"/>
                <w:szCs w:val="16"/>
              </w:rPr>
            </w:pPr>
            <w:r w:rsidRPr="0021003E">
              <w:rPr>
                <w:rFonts w:ascii="Arial" w:hAnsi="Arial" w:cs="Arial"/>
                <w:color w:val="000000"/>
                <w:sz w:val="16"/>
                <w:szCs w:val="16"/>
              </w:rPr>
              <w:t>$m</w:t>
            </w:r>
          </w:p>
        </w:tc>
        <w:tc>
          <w:tcPr>
            <w:tcW w:w="550" w:type="pct"/>
            <w:tcBorders>
              <w:top w:val="nil"/>
              <w:left w:val="nil"/>
              <w:bottom w:val="single" w:sz="4" w:space="0" w:color="293F5B"/>
              <w:right w:val="nil"/>
            </w:tcBorders>
            <w:shd w:val="clear" w:color="000000" w:fill="E6F2FF"/>
            <w:noWrap/>
            <w:vAlign w:val="center"/>
            <w:hideMark/>
          </w:tcPr>
          <w:p w14:paraId="753DE5AC" w14:textId="77777777" w:rsidR="0021003E" w:rsidRPr="0021003E" w:rsidRDefault="0021003E" w:rsidP="0021003E">
            <w:pPr>
              <w:spacing w:before="0" w:after="0" w:line="240" w:lineRule="auto"/>
              <w:jc w:val="right"/>
              <w:rPr>
                <w:rFonts w:ascii="Arial" w:hAnsi="Arial" w:cs="Arial"/>
                <w:color w:val="000000"/>
                <w:sz w:val="16"/>
                <w:szCs w:val="16"/>
              </w:rPr>
            </w:pPr>
            <w:r w:rsidRPr="0021003E">
              <w:rPr>
                <w:rFonts w:ascii="Arial" w:hAnsi="Arial" w:cs="Arial"/>
                <w:color w:val="000000"/>
                <w:sz w:val="16"/>
                <w:szCs w:val="16"/>
              </w:rPr>
              <w:t>$m</w:t>
            </w:r>
          </w:p>
        </w:tc>
        <w:tc>
          <w:tcPr>
            <w:tcW w:w="550" w:type="pct"/>
            <w:tcBorders>
              <w:top w:val="nil"/>
              <w:left w:val="nil"/>
              <w:bottom w:val="single" w:sz="4" w:space="0" w:color="293F5B"/>
              <w:right w:val="nil"/>
            </w:tcBorders>
            <w:shd w:val="clear" w:color="000000" w:fill="FFFFFF"/>
            <w:noWrap/>
            <w:vAlign w:val="center"/>
            <w:hideMark/>
          </w:tcPr>
          <w:p w14:paraId="62A0DAC3" w14:textId="77777777" w:rsidR="0021003E" w:rsidRPr="0021003E" w:rsidRDefault="0021003E" w:rsidP="0021003E">
            <w:pPr>
              <w:spacing w:before="0" w:after="0" w:line="240" w:lineRule="auto"/>
              <w:jc w:val="right"/>
              <w:rPr>
                <w:rFonts w:ascii="Arial" w:hAnsi="Arial" w:cs="Arial"/>
                <w:color w:val="000000"/>
                <w:sz w:val="16"/>
                <w:szCs w:val="16"/>
              </w:rPr>
            </w:pPr>
            <w:r w:rsidRPr="0021003E">
              <w:rPr>
                <w:rFonts w:ascii="Arial" w:hAnsi="Arial" w:cs="Arial"/>
                <w:color w:val="000000"/>
                <w:sz w:val="16"/>
                <w:szCs w:val="16"/>
              </w:rPr>
              <w:t>$m</w:t>
            </w:r>
          </w:p>
        </w:tc>
        <w:tc>
          <w:tcPr>
            <w:tcW w:w="550" w:type="pct"/>
            <w:tcBorders>
              <w:top w:val="nil"/>
              <w:left w:val="nil"/>
              <w:bottom w:val="single" w:sz="4" w:space="0" w:color="293F5B"/>
              <w:right w:val="nil"/>
            </w:tcBorders>
            <w:shd w:val="clear" w:color="000000" w:fill="FFFFFF"/>
            <w:noWrap/>
            <w:vAlign w:val="center"/>
            <w:hideMark/>
          </w:tcPr>
          <w:p w14:paraId="4FF55E9A" w14:textId="77777777" w:rsidR="0021003E" w:rsidRPr="0021003E" w:rsidRDefault="0021003E" w:rsidP="0021003E">
            <w:pPr>
              <w:spacing w:before="0" w:after="0" w:line="240" w:lineRule="auto"/>
              <w:jc w:val="right"/>
              <w:rPr>
                <w:rFonts w:ascii="Arial" w:hAnsi="Arial" w:cs="Arial"/>
                <w:color w:val="000000"/>
                <w:sz w:val="16"/>
                <w:szCs w:val="16"/>
              </w:rPr>
            </w:pPr>
            <w:r w:rsidRPr="0021003E">
              <w:rPr>
                <w:rFonts w:ascii="Arial" w:hAnsi="Arial" w:cs="Arial"/>
                <w:color w:val="000000"/>
                <w:sz w:val="16"/>
                <w:szCs w:val="16"/>
              </w:rPr>
              <w:t>$m</w:t>
            </w:r>
          </w:p>
        </w:tc>
        <w:tc>
          <w:tcPr>
            <w:tcW w:w="550" w:type="pct"/>
            <w:tcBorders>
              <w:top w:val="nil"/>
              <w:left w:val="nil"/>
              <w:bottom w:val="single" w:sz="4" w:space="0" w:color="293F5B"/>
              <w:right w:val="nil"/>
            </w:tcBorders>
            <w:shd w:val="clear" w:color="000000" w:fill="FFFFFF"/>
            <w:noWrap/>
            <w:vAlign w:val="center"/>
            <w:hideMark/>
          </w:tcPr>
          <w:p w14:paraId="133B2C24" w14:textId="77777777" w:rsidR="0021003E" w:rsidRPr="0021003E" w:rsidRDefault="0021003E" w:rsidP="0021003E">
            <w:pPr>
              <w:spacing w:before="0" w:after="0" w:line="240" w:lineRule="auto"/>
              <w:jc w:val="right"/>
              <w:rPr>
                <w:rFonts w:ascii="Arial" w:hAnsi="Arial" w:cs="Arial"/>
                <w:color w:val="000000"/>
                <w:sz w:val="16"/>
                <w:szCs w:val="16"/>
              </w:rPr>
            </w:pPr>
            <w:r w:rsidRPr="0021003E">
              <w:rPr>
                <w:rFonts w:ascii="Arial" w:hAnsi="Arial" w:cs="Arial"/>
                <w:color w:val="000000"/>
                <w:sz w:val="16"/>
                <w:szCs w:val="16"/>
              </w:rPr>
              <w:t>$m</w:t>
            </w:r>
          </w:p>
        </w:tc>
      </w:tr>
      <w:tr w:rsidR="0021003E" w:rsidRPr="0021003E" w14:paraId="79B0C01B" w14:textId="77777777" w:rsidTr="00236E34">
        <w:trPr>
          <w:trHeight w:hRule="exact" w:val="224"/>
        </w:trPr>
        <w:tc>
          <w:tcPr>
            <w:tcW w:w="2183" w:type="pct"/>
            <w:tcBorders>
              <w:top w:val="nil"/>
              <w:left w:val="nil"/>
              <w:bottom w:val="nil"/>
              <w:right w:val="nil"/>
            </w:tcBorders>
            <w:shd w:val="clear" w:color="000000" w:fill="FFFFFF"/>
            <w:noWrap/>
            <w:vAlign w:val="center"/>
            <w:hideMark/>
          </w:tcPr>
          <w:p w14:paraId="3C2DE928" w14:textId="77777777" w:rsidR="0021003E" w:rsidRPr="0021003E" w:rsidRDefault="0021003E" w:rsidP="0021003E">
            <w:pPr>
              <w:spacing w:before="0" w:after="0" w:line="240" w:lineRule="auto"/>
              <w:rPr>
                <w:rFonts w:ascii="Arial" w:hAnsi="Arial" w:cs="Arial"/>
                <w:color w:val="000000"/>
                <w:sz w:val="16"/>
                <w:szCs w:val="16"/>
              </w:rPr>
            </w:pPr>
            <w:r w:rsidRPr="0021003E">
              <w:rPr>
                <w:rFonts w:ascii="Arial" w:hAnsi="Arial" w:cs="Arial"/>
                <w:color w:val="000000"/>
                <w:sz w:val="16"/>
                <w:szCs w:val="16"/>
              </w:rPr>
              <w:t>Economic Response to the Coronavirus</w:t>
            </w:r>
          </w:p>
        </w:tc>
        <w:tc>
          <w:tcPr>
            <w:tcW w:w="68" w:type="pct"/>
            <w:tcBorders>
              <w:top w:val="nil"/>
              <w:left w:val="nil"/>
              <w:bottom w:val="nil"/>
              <w:right w:val="nil"/>
            </w:tcBorders>
            <w:shd w:val="clear" w:color="000000" w:fill="FFFFFF"/>
            <w:noWrap/>
            <w:vAlign w:val="center"/>
            <w:hideMark/>
          </w:tcPr>
          <w:p w14:paraId="4856786D" w14:textId="77777777" w:rsidR="0021003E" w:rsidRPr="0021003E" w:rsidRDefault="0021003E" w:rsidP="0021003E">
            <w:pPr>
              <w:spacing w:before="0" w:after="0" w:line="240" w:lineRule="auto"/>
              <w:rPr>
                <w:rFonts w:ascii="Arial" w:hAnsi="Arial" w:cs="Arial"/>
                <w:color w:val="000000"/>
                <w:sz w:val="16"/>
                <w:szCs w:val="16"/>
              </w:rPr>
            </w:pPr>
            <w:r w:rsidRPr="0021003E">
              <w:rPr>
                <w:rFonts w:ascii="Arial" w:hAnsi="Arial" w:cs="Arial"/>
                <w:color w:val="000000"/>
                <w:sz w:val="16"/>
                <w:szCs w:val="16"/>
              </w:rPr>
              <w:t> </w:t>
            </w:r>
          </w:p>
        </w:tc>
        <w:tc>
          <w:tcPr>
            <w:tcW w:w="550" w:type="pct"/>
            <w:tcBorders>
              <w:top w:val="single" w:sz="4" w:space="0" w:color="293F5B"/>
              <w:left w:val="nil"/>
              <w:bottom w:val="nil"/>
              <w:right w:val="nil"/>
            </w:tcBorders>
            <w:shd w:val="clear" w:color="000000" w:fill="FFFFFF"/>
            <w:noWrap/>
            <w:vAlign w:val="center"/>
            <w:hideMark/>
          </w:tcPr>
          <w:p w14:paraId="3856BFB8" w14:textId="77777777" w:rsidR="0021003E" w:rsidRPr="0021003E" w:rsidRDefault="0021003E" w:rsidP="0021003E">
            <w:pPr>
              <w:spacing w:before="0" w:after="0" w:line="240" w:lineRule="auto"/>
              <w:jc w:val="right"/>
              <w:rPr>
                <w:rFonts w:ascii="Arial" w:hAnsi="Arial" w:cs="Arial"/>
                <w:color w:val="000000"/>
                <w:sz w:val="16"/>
                <w:szCs w:val="16"/>
              </w:rPr>
            </w:pPr>
            <w:r w:rsidRPr="0021003E">
              <w:rPr>
                <w:rFonts w:ascii="Arial" w:hAnsi="Arial" w:cs="Arial"/>
                <w:color w:val="000000"/>
                <w:sz w:val="16"/>
                <w:szCs w:val="16"/>
              </w:rPr>
              <w:t>228</w:t>
            </w:r>
          </w:p>
        </w:tc>
        <w:tc>
          <w:tcPr>
            <w:tcW w:w="550" w:type="pct"/>
            <w:tcBorders>
              <w:top w:val="single" w:sz="4" w:space="0" w:color="293F5B"/>
              <w:left w:val="nil"/>
              <w:bottom w:val="nil"/>
              <w:right w:val="nil"/>
            </w:tcBorders>
            <w:shd w:val="clear" w:color="000000" w:fill="E6F2FF"/>
            <w:noWrap/>
            <w:vAlign w:val="center"/>
            <w:hideMark/>
          </w:tcPr>
          <w:p w14:paraId="7305D2AD" w14:textId="77777777" w:rsidR="0021003E" w:rsidRPr="0021003E" w:rsidRDefault="0021003E" w:rsidP="0021003E">
            <w:pPr>
              <w:spacing w:before="0" w:after="0" w:line="240" w:lineRule="auto"/>
              <w:jc w:val="right"/>
              <w:rPr>
                <w:rFonts w:ascii="Arial" w:hAnsi="Arial" w:cs="Arial"/>
                <w:color w:val="000000"/>
                <w:sz w:val="16"/>
                <w:szCs w:val="16"/>
              </w:rPr>
            </w:pPr>
            <w:r w:rsidRPr="0021003E">
              <w:rPr>
                <w:rFonts w:ascii="Arial" w:hAnsi="Arial" w:cs="Arial"/>
                <w:color w:val="000000"/>
                <w:sz w:val="16"/>
                <w:szCs w:val="16"/>
              </w:rPr>
              <w:t>0</w:t>
            </w:r>
          </w:p>
        </w:tc>
        <w:tc>
          <w:tcPr>
            <w:tcW w:w="550" w:type="pct"/>
            <w:tcBorders>
              <w:top w:val="single" w:sz="4" w:space="0" w:color="293F5B"/>
              <w:left w:val="nil"/>
              <w:bottom w:val="nil"/>
              <w:right w:val="nil"/>
            </w:tcBorders>
            <w:shd w:val="clear" w:color="000000" w:fill="FFFFFF"/>
            <w:noWrap/>
            <w:vAlign w:val="center"/>
            <w:hideMark/>
          </w:tcPr>
          <w:p w14:paraId="41703913" w14:textId="77777777" w:rsidR="0021003E" w:rsidRPr="0021003E" w:rsidRDefault="0021003E" w:rsidP="0021003E">
            <w:pPr>
              <w:spacing w:before="0" w:after="0" w:line="240" w:lineRule="auto"/>
              <w:jc w:val="right"/>
              <w:rPr>
                <w:rFonts w:ascii="Arial" w:hAnsi="Arial" w:cs="Arial"/>
                <w:color w:val="000000"/>
                <w:sz w:val="16"/>
                <w:szCs w:val="16"/>
              </w:rPr>
            </w:pPr>
            <w:r w:rsidRPr="0021003E">
              <w:rPr>
                <w:rFonts w:ascii="Arial" w:hAnsi="Arial" w:cs="Arial"/>
                <w:color w:val="000000"/>
                <w:sz w:val="16"/>
                <w:szCs w:val="16"/>
              </w:rPr>
              <w:t>0</w:t>
            </w:r>
          </w:p>
        </w:tc>
        <w:tc>
          <w:tcPr>
            <w:tcW w:w="550" w:type="pct"/>
            <w:tcBorders>
              <w:top w:val="single" w:sz="4" w:space="0" w:color="293F5B"/>
              <w:left w:val="nil"/>
              <w:bottom w:val="nil"/>
              <w:right w:val="nil"/>
            </w:tcBorders>
            <w:shd w:val="clear" w:color="000000" w:fill="FFFFFF"/>
            <w:noWrap/>
            <w:vAlign w:val="center"/>
            <w:hideMark/>
          </w:tcPr>
          <w:p w14:paraId="094A5C0E" w14:textId="77777777" w:rsidR="0021003E" w:rsidRPr="0021003E" w:rsidRDefault="0021003E" w:rsidP="0021003E">
            <w:pPr>
              <w:spacing w:before="0" w:after="0" w:line="240" w:lineRule="auto"/>
              <w:jc w:val="right"/>
              <w:rPr>
                <w:rFonts w:ascii="Arial" w:hAnsi="Arial" w:cs="Arial"/>
                <w:color w:val="000000"/>
                <w:sz w:val="16"/>
                <w:szCs w:val="16"/>
              </w:rPr>
            </w:pPr>
            <w:r w:rsidRPr="0021003E">
              <w:rPr>
                <w:rFonts w:ascii="Arial" w:hAnsi="Arial" w:cs="Arial"/>
                <w:color w:val="000000"/>
                <w:sz w:val="16"/>
                <w:szCs w:val="16"/>
              </w:rPr>
              <w:t>0</w:t>
            </w:r>
          </w:p>
        </w:tc>
        <w:tc>
          <w:tcPr>
            <w:tcW w:w="550" w:type="pct"/>
            <w:tcBorders>
              <w:top w:val="single" w:sz="4" w:space="0" w:color="293F5B"/>
              <w:left w:val="nil"/>
              <w:bottom w:val="nil"/>
              <w:right w:val="nil"/>
            </w:tcBorders>
            <w:shd w:val="clear" w:color="000000" w:fill="FFFFFF"/>
            <w:noWrap/>
            <w:vAlign w:val="center"/>
            <w:hideMark/>
          </w:tcPr>
          <w:p w14:paraId="04BA49E0" w14:textId="77777777" w:rsidR="0021003E" w:rsidRPr="0021003E" w:rsidRDefault="0021003E" w:rsidP="0021003E">
            <w:pPr>
              <w:spacing w:before="0" w:after="0" w:line="240" w:lineRule="auto"/>
              <w:jc w:val="right"/>
              <w:rPr>
                <w:rFonts w:ascii="Arial" w:hAnsi="Arial" w:cs="Arial"/>
                <w:color w:val="000000"/>
                <w:sz w:val="16"/>
                <w:szCs w:val="16"/>
              </w:rPr>
            </w:pPr>
            <w:r w:rsidRPr="0021003E">
              <w:rPr>
                <w:rFonts w:ascii="Arial" w:hAnsi="Arial" w:cs="Arial"/>
                <w:color w:val="000000"/>
                <w:sz w:val="16"/>
                <w:szCs w:val="16"/>
              </w:rPr>
              <w:t>0</w:t>
            </w:r>
          </w:p>
        </w:tc>
      </w:tr>
      <w:tr w:rsidR="0021003E" w:rsidRPr="0021003E" w14:paraId="5426F4CF" w14:textId="77777777" w:rsidTr="0021003E">
        <w:trPr>
          <w:trHeight w:hRule="exact" w:val="224"/>
        </w:trPr>
        <w:tc>
          <w:tcPr>
            <w:tcW w:w="2183" w:type="pct"/>
            <w:tcBorders>
              <w:top w:val="nil"/>
              <w:left w:val="nil"/>
              <w:bottom w:val="nil"/>
              <w:right w:val="nil"/>
            </w:tcBorders>
            <w:shd w:val="clear" w:color="000000" w:fill="FFFFFF"/>
            <w:noWrap/>
            <w:vAlign w:val="center"/>
            <w:hideMark/>
          </w:tcPr>
          <w:p w14:paraId="0CC6D2AF" w14:textId="5EBF1D1F" w:rsidR="0021003E" w:rsidRPr="0021003E" w:rsidRDefault="0021003E" w:rsidP="0021003E">
            <w:pPr>
              <w:spacing w:before="0" w:after="0" w:line="240" w:lineRule="auto"/>
              <w:rPr>
                <w:rFonts w:ascii="Arial" w:hAnsi="Arial" w:cs="Arial"/>
                <w:color w:val="000000"/>
                <w:sz w:val="16"/>
                <w:szCs w:val="16"/>
              </w:rPr>
            </w:pPr>
            <w:r w:rsidRPr="0021003E">
              <w:rPr>
                <w:rFonts w:ascii="Arial" w:hAnsi="Arial" w:cs="Arial"/>
                <w:color w:val="000000"/>
                <w:sz w:val="16"/>
                <w:szCs w:val="16"/>
              </w:rPr>
              <w:t>Promotion of Australia</w:t>
            </w:r>
            <w:r w:rsidR="008D4F6B">
              <w:rPr>
                <w:rFonts w:ascii="Arial" w:hAnsi="Arial" w:cs="Arial"/>
                <w:color w:val="000000"/>
                <w:sz w:val="16"/>
                <w:szCs w:val="16"/>
              </w:rPr>
              <w:t>’</w:t>
            </w:r>
            <w:r w:rsidRPr="0021003E">
              <w:rPr>
                <w:rFonts w:ascii="Arial" w:hAnsi="Arial" w:cs="Arial"/>
                <w:color w:val="000000"/>
                <w:sz w:val="16"/>
                <w:szCs w:val="16"/>
              </w:rPr>
              <w:t>s export and</w:t>
            </w:r>
          </w:p>
        </w:tc>
        <w:tc>
          <w:tcPr>
            <w:tcW w:w="68" w:type="pct"/>
            <w:tcBorders>
              <w:top w:val="nil"/>
              <w:left w:val="nil"/>
              <w:bottom w:val="nil"/>
              <w:right w:val="nil"/>
            </w:tcBorders>
            <w:shd w:val="clear" w:color="000000" w:fill="FFFFFF"/>
            <w:noWrap/>
            <w:vAlign w:val="center"/>
            <w:hideMark/>
          </w:tcPr>
          <w:p w14:paraId="428D3540" w14:textId="77777777" w:rsidR="0021003E" w:rsidRPr="0021003E" w:rsidRDefault="0021003E" w:rsidP="0021003E">
            <w:pPr>
              <w:spacing w:before="0" w:after="0" w:line="240" w:lineRule="auto"/>
              <w:rPr>
                <w:rFonts w:ascii="Arial" w:hAnsi="Arial" w:cs="Arial"/>
                <w:color w:val="000000"/>
                <w:sz w:val="16"/>
                <w:szCs w:val="16"/>
              </w:rPr>
            </w:pPr>
            <w:r w:rsidRPr="0021003E">
              <w:rPr>
                <w:rFonts w:ascii="Arial" w:hAnsi="Arial" w:cs="Arial"/>
                <w:color w:val="000000"/>
                <w:sz w:val="16"/>
                <w:szCs w:val="16"/>
              </w:rPr>
              <w:t> </w:t>
            </w:r>
          </w:p>
        </w:tc>
        <w:tc>
          <w:tcPr>
            <w:tcW w:w="550" w:type="pct"/>
            <w:tcBorders>
              <w:top w:val="nil"/>
              <w:left w:val="nil"/>
              <w:bottom w:val="nil"/>
              <w:right w:val="nil"/>
            </w:tcBorders>
            <w:shd w:val="clear" w:color="000000" w:fill="FFFFFF"/>
            <w:noWrap/>
            <w:vAlign w:val="center"/>
            <w:hideMark/>
          </w:tcPr>
          <w:p w14:paraId="3E40C280" w14:textId="77777777" w:rsidR="0021003E" w:rsidRPr="0021003E" w:rsidRDefault="0021003E" w:rsidP="0021003E">
            <w:pPr>
              <w:spacing w:before="0" w:after="0" w:line="240" w:lineRule="auto"/>
              <w:rPr>
                <w:rFonts w:ascii="Arial" w:hAnsi="Arial" w:cs="Arial"/>
                <w:color w:val="000000"/>
                <w:sz w:val="16"/>
                <w:szCs w:val="16"/>
              </w:rPr>
            </w:pPr>
            <w:r w:rsidRPr="0021003E">
              <w:rPr>
                <w:rFonts w:ascii="Arial" w:hAnsi="Arial" w:cs="Arial"/>
                <w:color w:val="000000"/>
                <w:sz w:val="16"/>
                <w:szCs w:val="16"/>
              </w:rPr>
              <w:t> </w:t>
            </w:r>
          </w:p>
        </w:tc>
        <w:tc>
          <w:tcPr>
            <w:tcW w:w="550" w:type="pct"/>
            <w:tcBorders>
              <w:top w:val="nil"/>
              <w:left w:val="nil"/>
              <w:bottom w:val="nil"/>
              <w:right w:val="nil"/>
            </w:tcBorders>
            <w:shd w:val="clear" w:color="000000" w:fill="E6F2FF"/>
            <w:noWrap/>
            <w:vAlign w:val="center"/>
            <w:hideMark/>
          </w:tcPr>
          <w:p w14:paraId="557271B4" w14:textId="77777777" w:rsidR="0021003E" w:rsidRPr="0021003E" w:rsidRDefault="0021003E" w:rsidP="0021003E">
            <w:pPr>
              <w:spacing w:before="0" w:after="0" w:line="240" w:lineRule="auto"/>
              <w:rPr>
                <w:rFonts w:ascii="Arial" w:hAnsi="Arial" w:cs="Arial"/>
                <w:color w:val="000000"/>
                <w:sz w:val="16"/>
                <w:szCs w:val="16"/>
              </w:rPr>
            </w:pPr>
            <w:r w:rsidRPr="0021003E">
              <w:rPr>
                <w:rFonts w:ascii="Arial" w:hAnsi="Arial" w:cs="Arial"/>
                <w:color w:val="000000"/>
                <w:sz w:val="16"/>
                <w:szCs w:val="16"/>
              </w:rPr>
              <w:t> </w:t>
            </w:r>
          </w:p>
        </w:tc>
        <w:tc>
          <w:tcPr>
            <w:tcW w:w="550" w:type="pct"/>
            <w:tcBorders>
              <w:top w:val="nil"/>
              <w:left w:val="nil"/>
              <w:bottom w:val="nil"/>
              <w:right w:val="nil"/>
            </w:tcBorders>
            <w:shd w:val="clear" w:color="000000" w:fill="FFFFFF"/>
            <w:noWrap/>
            <w:vAlign w:val="center"/>
            <w:hideMark/>
          </w:tcPr>
          <w:p w14:paraId="2280F1FD" w14:textId="77777777" w:rsidR="0021003E" w:rsidRPr="0021003E" w:rsidRDefault="0021003E" w:rsidP="0021003E">
            <w:pPr>
              <w:spacing w:before="0" w:after="0" w:line="240" w:lineRule="auto"/>
              <w:rPr>
                <w:rFonts w:ascii="Arial" w:hAnsi="Arial" w:cs="Arial"/>
                <w:color w:val="000000"/>
                <w:sz w:val="16"/>
                <w:szCs w:val="16"/>
              </w:rPr>
            </w:pPr>
            <w:r w:rsidRPr="0021003E">
              <w:rPr>
                <w:rFonts w:ascii="Arial" w:hAnsi="Arial" w:cs="Arial"/>
                <w:color w:val="000000"/>
                <w:sz w:val="16"/>
                <w:szCs w:val="16"/>
              </w:rPr>
              <w:t> </w:t>
            </w:r>
          </w:p>
        </w:tc>
        <w:tc>
          <w:tcPr>
            <w:tcW w:w="550" w:type="pct"/>
            <w:tcBorders>
              <w:top w:val="nil"/>
              <w:left w:val="nil"/>
              <w:bottom w:val="nil"/>
              <w:right w:val="nil"/>
            </w:tcBorders>
            <w:shd w:val="clear" w:color="000000" w:fill="FFFFFF"/>
            <w:noWrap/>
            <w:vAlign w:val="center"/>
            <w:hideMark/>
          </w:tcPr>
          <w:p w14:paraId="47D04A74" w14:textId="77777777" w:rsidR="0021003E" w:rsidRPr="0021003E" w:rsidRDefault="0021003E" w:rsidP="0021003E">
            <w:pPr>
              <w:spacing w:before="0" w:after="0" w:line="240" w:lineRule="auto"/>
              <w:rPr>
                <w:rFonts w:ascii="Arial" w:hAnsi="Arial" w:cs="Arial"/>
                <w:color w:val="000000"/>
                <w:sz w:val="16"/>
                <w:szCs w:val="16"/>
              </w:rPr>
            </w:pPr>
            <w:r w:rsidRPr="0021003E">
              <w:rPr>
                <w:rFonts w:ascii="Arial" w:hAnsi="Arial" w:cs="Arial"/>
                <w:color w:val="000000"/>
                <w:sz w:val="16"/>
                <w:szCs w:val="16"/>
              </w:rPr>
              <w:t> </w:t>
            </w:r>
          </w:p>
        </w:tc>
        <w:tc>
          <w:tcPr>
            <w:tcW w:w="550" w:type="pct"/>
            <w:tcBorders>
              <w:top w:val="nil"/>
              <w:left w:val="nil"/>
              <w:bottom w:val="nil"/>
              <w:right w:val="nil"/>
            </w:tcBorders>
            <w:shd w:val="clear" w:color="000000" w:fill="FFFFFF"/>
            <w:noWrap/>
            <w:vAlign w:val="center"/>
            <w:hideMark/>
          </w:tcPr>
          <w:p w14:paraId="1CC5324A" w14:textId="77777777" w:rsidR="0021003E" w:rsidRPr="0021003E" w:rsidRDefault="0021003E" w:rsidP="0021003E">
            <w:pPr>
              <w:spacing w:before="0" w:after="0" w:line="240" w:lineRule="auto"/>
              <w:rPr>
                <w:rFonts w:ascii="Arial" w:hAnsi="Arial" w:cs="Arial"/>
                <w:color w:val="000000"/>
                <w:sz w:val="16"/>
                <w:szCs w:val="16"/>
              </w:rPr>
            </w:pPr>
            <w:r w:rsidRPr="0021003E">
              <w:rPr>
                <w:rFonts w:ascii="Arial" w:hAnsi="Arial" w:cs="Arial"/>
                <w:color w:val="000000"/>
                <w:sz w:val="16"/>
                <w:szCs w:val="16"/>
              </w:rPr>
              <w:t> </w:t>
            </w:r>
          </w:p>
        </w:tc>
      </w:tr>
      <w:tr w:rsidR="0021003E" w:rsidRPr="0021003E" w14:paraId="2EBD1025" w14:textId="77777777" w:rsidTr="0021003E">
        <w:trPr>
          <w:trHeight w:hRule="exact" w:val="224"/>
        </w:trPr>
        <w:tc>
          <w:tcPr>
            <w:tcW w:w="2183" w:type="pct"/>
            <w:tcBorders>
              <w:top w:val="nil"/>
              <w:left w:val="nil"/>
              <w:bottom w:val="nil"/>
              <w:right w:val="nil"/>
            </w:tcBorders>
            <w:shd w:val="clear" w:color="000000" w:fill="FFFFFF"/>
            <w:noWrap/>
            <w:vAlign w:val="center"/>
            <w:hideMark/>
          </w:tcPr>
          <w:p w14:paraId="758A7E51" w14:textId="77777777" w:rsidR="0021003E" w:rsidRPr="0021003E" w:rsidRDefault="0021003E" w:rsidP="0021003E">
            <w:pPr>
              <w:spacing w:before="0" w:after="0" w:line="240" w:lineRule="auto"/>
              <w:ind w:left="170"/>
              <w:rPr>
                <w:rFonts w:ascii="Arial" w:hAnsi="Arial" w:cs="Arial"/>
                <w:color w:val="000000"/>
                <w:sz w:val="16"/>
                <w:szCs w:val="16"/>
              </w:rPr>
            </w:pPr>
            <w:r w:rsidRPr="0021003E">
              <w:rPr>
                <w:rFonts w:ascii="Arial" w:hAnsi="Arial" w:cs="Arial"/>
                <w:color w:val="000000"/>
                <w:sz w:val="16"/>
                <w:szCs w:val="16"/>
              </w:rPr>
              <w:t>other international economic interests</w:t>
            </w:r>
          </w:p>
        </w:tc>
        <w:tc>
          <w:tcPr>
            <w:tcW w:w="68" w:type="pct"/>
            <w:tcBorders>
              <w:top w:val="nil"/>
              <w:left w:val="nil"/>
              <w:bottom w:val="nil"/>
              <w:right w:val="nil"/>
            </w:tcBorders>
            <w:shd w:val="clear" w:color="000000" w:fill="FFFFFF"/>
            <w:noWrap/>
            <w:vAlign w:val="center"/>
            <w:hideMark/>
          </w:tcPr>
          <w:p w14:paraId="5D1CD073" w14:textId="77777777" w:rsidR="0021003E" w:rsidRPr="0021003E" w:rsidRDefault="0021003E" w:rsidP="0021003E">
            <w:pPr>
              <w:spacing w:before="0" w:after="0" w:line="240" w:lineRule="auto"/>
              <w:rPr>
                <w:rFonts w:ascii="Arial" w:hAnsi="Arial" w:cs="Arial"/>
                <w:color w:val="000000"/>
                <w:sz w:val="16"/>
                <w:szCs w:val="16"/>
              </w:rPr>
            </w:pPr>
            <w:r w:rsidRPr="0021003E">
              <w:rPr>
                <w:rFonts w:ascii="Arial" w:hAnsi="Arial" w:cs="Arial"/>
                <w:color w:val="000000"/>
                <w:sz w:val="16"/>
                <w:szCs w:val="16"/>
              </w:rPr>
              <w:t> </w:t>
            </w:r>
          </w:p>
        </w:tc>
        <w:tc>
          <w:tcPr>
            <w:tcW w:w="550" w:type="pct"/>
            <w:tcBorders>
              <w:top w:val="nil"/>
              <w:left w:val="nil"/>
              <w:bottom w:val="nil"/>
              <w:right w:val="nil"/>
            </w:tcBorders>
            <w:shd w:val="clear" w:color="000000" w:fill="FFFFFF"/>
            <w:noWrap/>
            <w:vAlign w:val="center"/>
            <w:hideMark/>
          </w:tcPr>
          <w:p w14:paraId="3575C2B1" w14:textId="77777777" w:rsidR="0021003E" w:rsidRPr="0021003E" w:rsidRDefault="0021003E" w:rsidP="0021003E">
            <w:pPr>
              <w:spacing w:before="0" w:after="0" w:line="240" w:lineRule="auto"/>
              <w:jc w:val="right"/>
              <w:rPr>
                <w:rFonts w:ascii="Arial" w:hAnsi="Arial" w:cs="Arial"/>
                <w:color w:val="000000"/>
                <w:sz w:val="16"/>
                <w:szCs w:val="16"/>
              </w:rPr>
            </w:pPr>
            <w:r w:rsidRPr="0021003E">
              <w:rPr>
                <w:rFonts w:ascii="Arial" w:hAnsi="Arial" w:cs="Arial"/>
                <w:color w:val="000000"/>
                <w:sz w:val="16"/>
                <w:szCs w:val="16"/>
              </w:rPr>
              <w:t>486</w:t>
            </w:r>
          </w:p>
        </w:tc>
        <w:tc>
          <w:tcPr>
            <w:tcW w:w="550" w:type="pct"/>
            <w:tcBorders>
              <w:top w:val="nil"/>
              <w:left w:val="nil"/>
              <w:bottom w:val="nil"/>
              <w:right w:val="nil"/>
            </w:tcBorders>
            <w:shd w:val="clear" w:color="000000" w:fill="E6F2FF"/>
            <w:noWrap/>
            <w:vAlign w:val="center"/>
            <w:hideMark/>
          </w:tcPr>
          <w:p w14:paraId="01BABDE5" w14:textId="77777777" w:rsidR="0021003E" w:rsidRPr="0021003E" w:rsidRDefault="0021003E" w:rsidP="0021003E">
            <w:pPr>
              <w:spacing w:before="0" w:after="0" w:line="240" w:lineRule="auto"/>
              <w:jc w:val="right"/>
              <w:rPr>
                <w:rFonts w:ascii="Arial" w:hAnsi="Arial" w:cs="Arial"/>
                <w:color w:val="000000"/>
                <w:sz w:val="16"/>
                <w:szCs w:val="16"/>
              </w:rPr>
            </w:pPr>
            <w:r w:rsidRPr="0021003E">
              <w:rPr>
                <w:rFonts w:ascii="Arial" w:hAnsi="Arial" w:cs="Arial"/>
                <w:color w:val="000000"/>
                <w:sz w:val="16"/>
                <w:szCs w:val="16"/>
              </w:rPr>
              <w:t>456</w:t>
            </w:r>
          </w:p>
        </w:tc>
        <w:tc>
          <w:tcPr>
            <w:tcW w:w="550" w:type="pct"/>
            <w:tcBorders>
              <w:top w:val="nil"/>
              <w:left w:val="nil"/>
              <w:bottom w:val="nil"/>
              <w:right w:val="nil"/>
            </w:tcBorders>
            <w:shd w:val="clear" w:color="000000" w:fill="FFFFFF"/>
            <w:noWrap/>
            <w:vAlign w:val="center"/>
            <w:hideMark/>
          </w:tcPr>
          <w:p w14:paraId="7413B981" w14:textId="77777777" w:rsidR="0021003E" w:rsidRPr="0021003E" w:rsidRDefault="0021003E" w:rsidP="0021003E">
            <w:pPr>
              <w:spacing w:before="0" w:after="0" w:line="240" w:lineRule="auto"/>
              <w:jc w:val="right"/>
              <w:rPr>
                <w:rFonts w:ascii="Arial" w:hAnsi="Arial" w:cs="Arial"/>
                <w:color w:val="000000"/>
                <w:sz w:val="16"/>
                <w:szCs w:val="16"/>
              </w:rPr>
            </w:pPr>
            <w:r w:rsidRPr="0021003E">
              <w:rPr>
                <w:rFonts w:ascii="Arial" w:hAnsi="Arial" w:cs="Arial"/>
                <w:color w:val="000000"/>
                <w:sz w:val="16"/>
                <w:szCs w:val="16"/>
              </w:rPr>
              <w:t>390</w:t>
            </w:r>
          </w:p>
        </w:tc>
        <w:tc>
          <w:tcPr>
            <w:tcW w:w="550" w:type="pct"/>
            <w:tcBorders>
              <w:top w:val="nil"/>
              <w:left w:val="nil"/>
              <w:bottom w:val="nil"/>
              <w:right w:val="nil"/>
            </w:tcBorders>
            <w:shd w:val="clear" w:color="000000" w:fill="FFFFFF"/>
            <w:noWrap/>
            <w:vAlign w:val="center"/>
            <w:hideMark/>
          </w:tcPr>
          <w:p w14:paraId="33C0765D" w14:textId="77777777" w:rsidR="0021003E" w:rsidRPr="0021003E" w:rsidRDefault="0021003E" w:rsidP="0021003E">
            <w:pPr>
              <w:spacing w:before="0" w:after="0" w:line="240" w:lineRule="auto"/>
              <w:jc w:val="right"/>
              <w:rPr>
                <w:rFonts w:ascii="Arial" w:hAnsi="Arial" w:cs="Arial"/>
                <w:color w:val="000000"/>
                <w:sz w:val="16"/>
                <w:szCs w:val="16"/>
              </w:rPr>
            </w:pPr>
            <w:r w:rsidRPr="0021003E">
              <w:rPr>
                <w:rFonts w:ascii="Arial" w:hAnsi="Arial" w:cs="Arial"/>
                <w:color w:val="000000"/>
                <w:sz w:val="16"/>
                <w:szCs w:val="16"/>
              </w:rPr>
              <w:t>380</w:t>
            </w:r>
          </w:p>
        </w:tc>
        <w:tc>
          <w:tcPr>
            <w:tcW w:w="550" w:type="pct"/>
            <w:tcBorders>
              <w:top w:val="nil"/>
              <w:left w:val="nil"/>
              <w:bottom w:val="nil"/>
              <w:right w:val="nil"/>
            </w:tcBorders>
            <w:shd w:val="clear" w:color="000000" w:fill="FFFFFF"/>
            <w:noWrap/>
            <w:vAlign w:val="center"/>
            <w:hideMark/>
          </w:tcPr>
          <w:p w14:paraId="798998EF" w14:textId="77777777" w:rsidR="0021003E" w:rsidRPr="0021003E" w:rsidRDefault="0021003E" w:rsidP="0021003E">
            <w:pPr>
              <w:spacing w:before="0" w:after="0" w:line="240" w:lineRule="auto"/>
              <w:jc w:val="right"/>
              <w:rPr>
                <w:rFonts w:ascii="Arial" w:hAnsi="Arial" w:cs="Arial"/>
                <w:color w:val="000000"/>
                <w:sz w:val="16"/>
                <w:szCs w:val="16"/>
              </w:rPr>
            </w:pPr>
            <w:r w:rsidRPr="0021003E">
              <w:rPr>
                <w:rFonts w:ascii="Arial" w:hAnsi="Arial" w:cs="Arial"/>
                <w:color w:val="000000"/>
                <w:sz w:val="16"/>
                <w:szCs w:val="16"/>
              </w:rPr>
              <w:t>372</w:t>
            </w:r>
          </w:p>
        </w:tc>
      </w:tr>
      <w:tr w:rsidR="0021003E" w:rsidRPr="0021003E" w14:paraId="6F92FA77" w14:textId="77777777" w:rsidTr="0021003E">
        <w:trPr>
          <w:trHeight w:hRule="exact" w:val="224"/>
        </w:trPr>
        <w:tc>
          <w:tcPr>
            <w:tcW w:w="2183" w:type="pct"/>
            <w:tcBorders>
              <w:top w:val="nil"/>
              <w:left w:val="nil"/>
              <w:bottom w:val="nil"/>
              <w:right w:val="nil"/>
            </w:tcBorders>
            <w:shd w:val="clear" w:color="000000" w:fill="FFFFFF"/>
            <w:noWrap/>
            <w:vAlign w:val="center"/>
            <w:hideMark/>
          </w:tcPr>
          <w:p w14:paraId="26213715" w14:textId="77777777" w:rsidR="0021003E" w:rsidRPr="0021003E" w:rsidRDefault="0021003E" w:rsidP="0021003E">
            <w:pPr>
              <w:spacing w:before="0" w:after="0" w:line="240" w:lineRule="auto"/>
              <w:rPr>
                <w:rFonts w:ascii="Arial" w:hAnsi="Arial" w:cs="Arial"/>
                <w:b/>
                <w:bCs/>
                <w:color w:val="000000"/>
                <w:sz w:val="16"/>
                <w:szCs w:val="16"/>
              </w:rPr>
            </w:pPr>
            <w:r w:rsidRPr="0021003E">
              <w:rPr>
                <w:rFonts w:ascii="Arial" w:hAnsi="Arial" w:cs="Arial"/>
                <w:b/>
                <w:bCs/>
                <w:color w:val="000000"/>
                <w:sz w:val="16"/>
                <w:szCs w:val="16"/>
              </w:rPr>
              <w:t>Operating costs for:</w:t>
            </w:r>
          </w:p>
        </w:tc>
        <w:tc>
          <w:tcPr>
            <w:tcW w:w="68" w:type="pct"/>
            <w:tcBorders>
              <w:top w:val="nil"/>
              <w:left w:val="nil"/>
              <w:bottom w:val="nil"/>
              <w:right w:val="nil"/>
            </w:tcBorders>
            <w:shd w:val="clear" w:color="000000" w:fill="FFFFFF"/>
            <w:noWrap/>
            <w:vAlign w:val="center"/>
            <w:hideMark/>
          </w:tcPr>
          <w:p w14:paraId="634AD9B9" w14:textId="77777777" w:rsidR="0021003E" w:rsidRPr="0021003E" w:rsidRDefault="0021003E" w:rsidP="0021003E">
            <w:pPr>
              <w:spacing w:before="0" w:after="0" w:line="240" w:lineRule="auto"/>
              <w:rPr>
                <w:rFonts w:ascii="Arial" w:hAnsi="Arial" w:cs="Arial"/>
                <w:color w:val="000000"/>
                <w:sz w:val="16"/>
                <w:szCs w:val="16"/>
              </w:rPr>
            </w:pPr>
            <w:r w:rsidRPr="0021003E">
              <w:rPr>
                <w:rFonts w:ascii="Arial" w:hAnsi="Arial" w:cs="Arial"/>
                <w:color w:val="000000"/>
                <w:sz w:val="16"/>
                <w:szCs w:val="16"/>
              </w:rPr>
              <w:t> </w:t>
            </w:r>
          </w:p>
        </w:tc>
        <w:tc>
          <w:tcPr>
            <w:tcW w:w="550" w:type="pct"/>
            <w:tcBorders>
              <w:top w:val="nil"/>
              <w:left w:val="nil"/>
              <w:bottom w:val="nil"/>
              <w:right w:val="nil"/>
            </w:tcBorders>
            <w:shd w:val="clear" w:color="000000" w:fill="FFFFFF"/>
            <w:noWrap/>
            <w:vAlign w:val="center"/>
            <w:hideMark/>
          </w:tcPr>
          <w:p w14:paraId="498F77C8" w14:textId="77777777" w:rsidR="0021003E" w:rsidRPr="0021003E" w:rsidRDefault="0021003E" w:rsidP="0021003E">
            <w:pPr>
              <w:spacing w:before="0" w:after="0" w:line="240" w:lineRule="auto"/>
              <w:rPr>
                <w:rFonts w:ascii="Arial" w:hAnsi="Arial" w:cs="Arial"/>
                <w:color w:val="000000"/>
                <w:sz w:val="16"/>
                <w:szCs w:val="16"/>
              </w:rPr>
            </w:pPr>
            <w:r w:rsidRPr="0021003E">
              <w:rPr>
                <w:rFonts w:ascii="Arial" w:hAnsi="Arial" w:cs="Arial"/>
                <w:color w:val="000000"/>
                <w:sz w:val="16"/>
                <w:szCs w:val="16"/>
              </w:rPr>
              <w:t> </w:t>
            </w:r>
          </w:p>
        </w:tc>
        <w:tc>
          <w:tcPr>
            <w:tcW w:w="550" w:type="pct"/>
            <w:tcBorders>
              <w:top w:val="nil"/>
              <w:left w:val="nil"/>
              <w:bottom w:val="nil"/>
              <w:right w:val="nil"/>
            </w:tcBorders>
            <w:shd w:val="clear" w:color="000000" w:fill="E6F2FF"/>
            <w:noWrap/>
            <w:vAlign w:val="center"/>
            <w:hideMark/>
          </w:tcPr>
          <w:p w14:paraId="1FF30AE0" w14:textId="77777777" w:rsidR="0021003E" w:rsidRPr="0021003E" w:rsidRDefault="0021003E" w:rsidP="0021003E">
            <w:pPr>
              <w:spacing w:before="0" w:after="0" w:line="240" w:lineRule="auto"/>
              <w:rPr>
                <w:rFonts w:ascii="Arial" w:hAnsi="Arial" w:cs="Arial"/>
                <w:color w:val="000000"/>
                <w:sz w:val="16"/>
                <w:szCs w:val="16"/>
              </w:rPr>
            </w:pPr>
            <w:r w:rsidRPr="0021003E">
              <w:rPr>
                <w:rFonts w:ascii="Arial" w:hAnsi="Arial" w:cs="Arial"/>
                <w:color w:val="000000"/>
                <w:sz w:val="16"/>
                <w:szCs w:val="16"/>
              </w:rPr>
              <w:t> </w:t>
            </w:r>
          </w:p>
        </w:tc>
        <w:tc>
          <w:tcPr>
            <w:tcW w:w="550" w:type="pct"/>
            <w:tcBorders>
              <w:top w:val="nil"/>
              <w:left w:val="nil"/>
              <w:bottom w:val="nil"/>
              <w:right w:val="nil"/>
            </w:tcBorders>
            <w:shd w:val="clear" w:color="000000" w:fill="FFFFFF"/>
            <w:noWrap/>
            <w:vAlign w:val="center"/>
            <w:hideMark/>
          </w:tcPr>
          <w:p w14:paraId="49F4F756" w14:textId="77777777" w:rsidR="0021003E" w:rsidRPr="0021003E" w:rsidRDefault="0021003E" w:rsidP="0021003E">
            <w:pPr>
              <w:spacing w:before="0" w:after="0" w:line="240" w:lineRule="auto"/>
              <w:rPr>
                <w:rFonts w:ascii="Arial" w:hAnsi="Arial" w:cs="Arial"/>
                <w:color w:val="000000"/>
                <w:sz w:val="16"/>
                <w:szCs w:val="16"/>
              </w:rPr>
            </w:pPr>
            <w:r w:rsidRPr="0021003E">
              <w:rPr>
                <w:rFonts w:ascii="Arial" w:hAnsi="Arial" w:cs="Arial"/>
                <w:color w:val="000000"/>
                <w:sz w:val="16"/>
                <w:szCs w:val="16"/>
              </w:rPr>
              <w:t> </w:t>
            </w:r>
          </w:p>
        </w:tc>
        <w:tc>
          <w:tcPr>
            <w:tcW w:w="550" w:type="pct"/>
            <w:tcBorders>
              <w:top w:val="nil"/>
              <w:left w:val="nil"/>
              <w:bottom w:val="nil"/>
              <w:right w:val="nil"/>
            </w:tcBorders>
            <w:shd w:val="clear" w:color="000000" w:fill="FFFFFF"/>
            <w:noWrap/>
            <w:vAlign w:val="center"/>
            <w:hideMark/>
          </w:tcPr>
          <w:p w14:paraId="55C16E6A" w14:textId="77777777" w:rsidR="0021003E" w:rsidRPr="0021003E" w:rsidRDefault="0021003E" w:rsidP="0021003E">
            <w:pPr>
              <w:spacing w:before="0" w:after="0" w:line="240" w:lineRule="auto"/>
              <w:rPr>
                <w:rFonts w:ascii="Arial" w:hAnsi="Arial" w:cs="Arial"/>
                <w:color w:val="000000"/>
                <w:sz w:val="16"/>
                <w:szCs w:val="16"/>
              </w:rPr>
            </w:pPr>
            <w:r w:rsidRPr="0021003E">
              <w:rPr>
                <w:rFonts w:ascii="Arial" w:hAnsi="Arial" w:cs="Arial"/>
                <w:color w:val="000000"/>
                <w:sz w:val="16"/>
                <w:szCs w:val="16"/>
              </w:rPr>
              <w:t> </w:t>
            </w:r>
          </w:p>
        </w:tc>
        <w:tc>
          <w:tcPr>
            <w:tcW w:w="550" w:type="pct"/>
            <w:tcBorders>
              <w:top w:val="nil"/>
              <w:left w:val="nil"/>
              <w:bottom w:val="nil"/>
              <w:right w:val="nil"/>
            </w:tcBorders>
            <w:shd w:val="clear" w:color="000000" w:fill="FFFFFF"/>
            <w:noWrap/>
            <w:vAlign w:val="center"/>
            <w:hideMark/>
          </w:tcPr>
          <w:p w14:paraId="78B5BFFB" w14:textId="77777777" w:rsidR="0021003E" w:rsidRPr="0021003E" w:rsidRDefault="0021003E" w:rsidP="0021003E">
            <w:pPr>
              <w:spacing w:before="0" w:after="0" w:line="240" w:lineRule="auto"/>
              <w:rPr>
                <w:rFonts w:ascii="Arial" w:hAnsi="Arial" w:cs="Arial"/>
                <w:color w:val="000000"/>
                <w:sz w:val="16"/>
                <w:szCs w:val="16"/>
              </w:rPr>
            </w:pPr>
            <w:r w:rsidRPr="0021003E">
              <w:rPr>
                <w:rFonts w:ascii="Arial" w:hAnsi="Arial" w:cs="Arial"/>
                <w:color w:val="000000"/>
                <w:sz w:val="16"/>
                <w:szCs w:val="16"/>
              </w:rPr>
              <w:t> </w:t>
            </w:r>
          </w:p>
        </w:tc>
      </w:tr>
      <w:tr w:rsidR="0021003E" w:rsidRPr="0021003E" w14:paraId="000CA3B9" w14:textId="77777777" w:rsidTr="0021003E">
        <w:trPr>
          <w:trHeight w:hRule="exact" w:val="224"/>
        </w:trPr>
        <w:tc>
          <w:tcPr>
            <w:tcW w:w="2183" w:type="pct"/>
            <w:tcBorders>
              <w:top w:val="nil"/>
              <w:left w:val="nil"/>
              <w:bottom w:val="nil"/>
              <w:right w:val="nil"/>
            </w:tcBorders>
            <w:shd w:val="clear" w:color="000000" w:fill="FFFFFF"/>
            <w:noWrap/>
            <w:vAlign w:val="center"/>
            <w:hideMark/>
          </w:tcPr>
          <w:p w14:paraId="749F91DA" w14:textId="77777777" w:rsidR="0021003E" w:rsidRPr="0021003E" w:rsidRDefault="0021003E" w:rsidP="0021003E">
            <w:pPr>
              <w:spacing w:before="0" w:after="0" w:line="240" w:lineRule="auto"/>
              <w:ind w:left="170"/>
              <w:rPr>
                <w:rFonts w:ascii="Arial" w:hAnsi="Arial" w:cs="Arial"/>
                <w:color w:val="000000"/>
                <w:sz w:val="16"/>
                <w:szCs w:val="16"/>
              </w:rPr>
            </w:pPr>
            <w:r w:rsidRPr="0021003E">
              <w:rPr>
                <w:rFonts w:ascii="Arial" w:hAnsi="Arial" w:cs="Arial"/>
                <w:color w:val="000000"/>
                <w:sz w:val="16"/>
                <w:szCs w:val="16"/>
              </w:rPr>
              <w:t>Department of Industry, Science and</w:t>
            </w:r>
          </w:p>
        </w:tc>
        <w:tc>
          <w:tcPr>
            <w:tcW w:w="68" w:type="pct"/>
            <w:tcBorders>
              <w:top w:val="nil"/>
              <w:left w:val="nil"/>
              <w:bottom w:val="nil"/>
              <w:right w:val="nil"/>
            </w:tcBorders>
            <w:shd w:val="clear" w:color="000000" w:fill="FFFFFF"/>
            <w:noWrap/>
            <w:vAlign w:val="center"/>
            <w:hideMark/>
          </w:tcPr>
          <w:p w14:paraId="28AB4452" w14:textId="77777777" w:rsidR="0021003E" w:rsidRPr="0021003E" w:rsidRDefault="0021003E" w:rsidP="0021003E">
            <w:pPr>
              <w:spacing w:before="0" w:after="0" w:line="240" w:lineRule="auto"/>
              <w:rPr>
                <w:rFonts w:ascii="Arial" w:hAnsi="Arial" w:cs="Arial"/>
                <w:color w:val="000000"/>
                <w:sz w:val="16"/>
                <w:szCs w:val="16"/>
              </w:rPr>
            </w:pPr>
            <w:r w:rsidRPr="0021003E">
              <w:rPr>
                <w:rFonts w:ascii="Arial" w:hAnsi="Arial" w:cs="Arial"/>
                <w:color w:val="000000"/>
                <w:sz w:val="16"/>
                <w:szCs w:val="16"/>
              </w:rPr>
              <w:t> </w:t>
            </w:r>
          </w:p>
        </w:tc>
        <w:tc>
          <w:tcPr>
            <w:tcW w:w="550" w:type="pct"/>
            <w:tcBorders>
              <w:top w:val="nil"/>
              <w:left w:val="nil"/>
              <w:bottom w:val="nil"/>
              <w:right w:val="nil"/>
            </w:tcBorders>
            <w:shd w:val="clear" w:color="000000" w:fill="FFFFFF"/>
            <w:noWrap/>
            <w:vAlign w:val="center"/>
            <w:hideMark/>
          </w:tcPr>
          <w:p w14:paraId="4D68B576" w14:textId="77777777" w:rsidR="0021003E" w:rsidRPr="0021003E" w:rsidRDefault="0021003E" w:rsidP="0021003E">
            <w:pPr>
              <w:spacing w:before="0" w:after="0" w:line="240" w:lineRule="auto"/>
              <w:rPr>
                <w:rFonts w:ascii="Arial" w:hAnsi="Arial" w:cs="Arial"/>
                <w:color w:val="000000"/>
                <w:sz w:val="16"/>
                <w:szCs w:val="16"/>
              </w:rPr>
            </w:pPr>
            <w:r w:rsidRPr="0021003E">
              <w:rPr>
                <w:rFonts w:ascii="Arial" w:hAnsi="Arial" w:cs="Arial"/>
                <w:color w:val="000000"/>
                <w:sz w:val="16"/>
                <w:szCs w:val="16"/>
              </w:rPr>
              <w:t> </w:t>
            </w:r>
          </w:p>
        </w:tc>
        <w:tc>
          <w:tcPr>
            <w:tcW w:w="550" w:type="pct"/>
            <w:tcBorders>
              <w:top w:val="nil"/>
              <w:left w:val="nil"/>
              <w:bottom w:val="nil"/>
              <w:right w:val="nil"/>
            </w:tcBorders>
            <w:shd w:val="clear" w:color="000000" w:fill="E6F2FF"/>
            <w:noWrap/>
            <w:vAlign w:val="center"/>
            <w:hideMark/>
          </w:tcPr>
          <w:p w14:paraId="45064822" w14:textId="77777777" w:rsidR="0021003E" w:rsidRPr="0021003E" w:rsidRDefault="0021003E" w:rsidP="0021003E">
            <w:pPr>
              <w:spacing w:before="0" w:after="0" w:line="240" w:lineRule="auto"/>
              <w:rPr>
                <w:rFonts w:ascii="Arial" w:hAnsi="Arial" w:cs="Arial"/>
                <w:color w:val="000000"/>
                <w:sz w:val="16"/>
                <w:szCs w:val="16"/>
              </w:rPr>
            </w:pPr>
            <w:r w:rsidRPr="0021003E">
              <w:rPr>
                <w:rFonts w:ascii="Arial" w:hAnsi="Arial" w:cs="Arial"/>
                <w:color w:val="000000"/>
                <w:sz w:val="16"/>
                <w:szCs w:val="16"/>
              </w:rPr>
              <w:t> </w:t>
            </w:r>
          </w:p>
        </w:tc>
        <w:tc>
          <w:tcPr>
            <w:tcW w:w="550" w:type="pct"/>
            <w:tcBorders>
              <w:top w:val="nil"/>
              <w:left w:val="nil"/>
              <w:bottom w:val="nil"/>
              <w:right w:val="nil"/>
            </w:tcBorders>
            <w:shd w:val="clear" w:color="000000" w:fill="FFFFFF"/>
            <w:noWrap/>
            <w:vAlign w:val="center"/>
            <w:hideMark/>
          </w:tcPr>
          <w:p w14:paraId="1D0A1925" w14:textId="77777777" w:rsidR="0021003E" w:rsidRPr="0021003E" w:rsidRDefault="0021003E" w:rsidP="0021003E">
            <w:pPr>
              <w:spacing w:before="0" w:after="0" w:line="240" w:lineRule="auto"/>
              <w:rPr>
                <w:rFonts w:ascii="Arial" w:hAnsi="Arial" w:cs="Arial"/>
                <w:color w:val="000000"/>
                <w:sz w:val="16"/>
                <w:szCs w:val="16"/>
              </w:rPr>
            </w:pPr>
            <w:r w:rsidRPr="0021003E">
              <w:rPr>
                <w:rFonts w:ascii="Arial" w:hAnsi="Arial" w:cs="Arial"/>
                <w:color w:val="000000"/>
                <w:sz w:val="16"/>
                <w:szCs w:val="16"/>
              </w:rPr>
              <w:t> </w:t>
            </w:r>
          </w:p>
        </w:tc>
        <w:tc>
          <w:tcPr>
            <w:tcW w:w="550" w:type="pct"/>
            <w:tcBorders>
              <w:top w:val="nil"/>
              <w:left w:val="nil"/>
              <w:bottom w:val="nil"/>
              <w:right w:val="nil"/>
            </w:tcBorders>
            <w:shd w:val="clear" w:color="000000" w:fill="FFFFFF"/>
            <w:noWrap/>
            <w:vAlign w:val="center"/>
            <w:hideMark/>
          </w:tcPr>
          <w:p w14:paraId="27735D49" w14:textId="77777777" w:rsidR="0021003E" w:rsidRPr="0021003E" w:rsidRDefault="0021003E" w:rsidP="0021003E">
            <w:pPr>
              <w:spacing w:before="0" w:after="0" w:line="240" w:lineRule="auto"/>
              <w:rPr>
                <w:rFonts w:ascii="Arial" w:hAnsi="Arial" w:cs="Arial"/>
                <w:color w:val="000000"/>
                <w:sz w:val="16"/>
                <w:szCs w:val="16"/>
              </w:rPr>
            </w:pPr>
            <w:r w:rsidRPr="0021003E">
              <w:rPr>
                <w:rFonts w:ascii="Arial" w:hAnsi="Arial" w:cs="Arial"/>
                <w:color w:val="000000"/>
                <w:sz w:val="16"/>
                <w:szCs w:val="16"/>
              </w:rPr>
              <w:t> </w:t>
            </w:r>
          </w:p>
        </w:tc>
        <w:tc>
          <w:tcPr>
            <w:tcW w:w="550" w:type="pct"/>
            <w:tcBorders>
              <w:top w:val="nil"/>
              <w:left w:val="nil"/>
              <w:bottom w:val="nil"/>
              <w:right w:val="nil"/>
            </w:tcBorders>
            <w:shd w:val="clear" w:color="000000" w:fill="FFFFFF"/>
            <w:noWrap/>
            <w:vAlign w:val="center"/>
            <w:hideMark/>
          </w:tcPr>
          <w:p w14:paraId="0FCE7FE1" w14:textId="77777777" w:rsidR="0021003E" w:rsidRPr="0021003E" w:rsidRDefault="0021003E" w:rsidP="0021003E">
            <w:pPr>
              <w:spacing w:before="0" w:after="0" w:line="240" w:lineRule="auto"/>
              <w:rPr>
                <w:rFonts w:ascii="Arial" w:hAnsi="Arial" w:cs="Arial"/>
                <w:color w:val="000000"/>
                <w:sz w:val="16"/>
                <w:szCs w:val="16"/>
              </w:rPr>
            </w:pPr>
            <w:r w:rsidRPr="0021003E">
              <w:rPr>
                <w:rFonts w:ascii="Arial" w:hAnsi="Arial" w:cs="Arial"/>
                <w:color w:val="000000"/>
                <w:sz w:val="16"/>
                <w:szCs w:val="16"/>
              </w:rPr>
              <w:t> </w:t>
            </w:r>
          </w:p>
        </w:tc>
      </w:tr>
      <w:tr w:rsidR="0021003E" w:rsidRPr="0021003E" w14:paraId="08542B26" w14:textId="77777777" w:rsidTr="0021003E">
        <w:trPr>
          <w:trHeight w:hRule="exact" w:val="224"/>
        </w:trPr>
        <w:tc>
          <w:tcPr>
            <w:tcW w:w="2183" w:type="pct"/>
            <w:tcBorders>
              <w:top w:val="nil"/>
              <w:left w:val="nil"/>
              <w:bottom w:val="nil"/>
              <w:right w:val="nil"/>
            </w:tcBorders>
            <w:shd w:val="clear" w:color="000000" w:fill="FFFFFF"/>
            <w:noWrap/>
            <w:vAlign w:val="center"/>
            <w:hideMark/>
          </w:tcPr>
          <w:p w14:paraId="7FF1A088" w14:textId="77777777" w:rsidR="0021003E" w:rsidRPr="0021003E" w:rsidRDefault="0021003E" w:rsidP="0021003E">
            <w:pPr>
              <w:spacing w:before="0" w:after="0" w:line="240" w:lineRule="auto"/>
              <w:ind w:left="340"/>
              <w:rPr>
                <w:rFonts w:ascii="Arial" w:hAnsi="Arial" w:cs="Arial"/>
                <w:color w:val="000000"/>
                <w:sz w:val="16"/>
                <w:szCs w:val="16"/>
              </w:rPr>
            </w:pPr>
            <w:r w:rsidRPr="0021003E">
              <w:rPr>
                <w:rFonts w:ascii="Arial" w:hAnsi="Arial" w:cs="Arial"/>
                <w:color w:val="000000"/>
                <w:sz w:val="16"/>
                <w:szCs w:val="16"/>
              </w:rPr>
              <w:t>Resources</w:t>
            </w:r>
          </w:p>
        </w:tc>
        <w:tc>
          <w:tcPr>
            <w:tcW w:w="68" w:type="pct"/>
            <w:tcBorders>
              <w:top w:val="nil"/>
              <w:left w:val="nil"/>
              <w:bottom w:val="nil"/>
              <w:right w:val="nil"/>
            </w:tcBorders>
            <w:shd w:val="clear" w:color="000000" w:fill="FFFFFF"/>
            <w:noWrap/>
            <w:vAlign w:val="center"/>
            <w:hideMark/>
          </w:tcPr>
          <w:p w14:paraId="73A887AD" w14:textId="77777777" w:rsidR="0021003E" w:rsidRPr="0021003E" w:rsidRDefault="0021003E" w:rsidP="0021003E">
            <w:pPr>
              <w:spacing w:before="0" w:after="0" w:line="240" w:lineRule="auto"/>
              <w:rPr>
                <w:rFonts w:ascii="Arial" w:hAnsi="Arial" w:cs="Arial"/>
                <w:color w:val="000000"/>
                <w:sz w:val="16"/>
                <w:szCs w:val="16"/>
              </w:rPr>
            </w:pPr>
            <w:r w:rsidRPr="0021003E">
              <w:rPr>
                <w:rFonts w:ascii="Arial" w:hAnsi="Arial" w:cs="Arial"/>
                <w:color w:val="000000"/>
                <w:sz w:val="16"/>
                <w:szCs w:val="16"/>
              </w:rPr>
              <w:t> </w:t>
            </w:r>
          </w:p>
        </w:tc>
        <w:tc>
          <w:tcPr>
            <w:tcW w:w="550" w:type="pct"/>
            <w:tcBorders>
              <w:top w:val="nil"/>
              <w:left w:val="nil"/>
              <w:bottom w:val="nil"/>
              <w:right w:val="nil"/>
            </w:tcBorders>
            <w:shd w:val="clear" w:color="000000" w:fill="FFFFFF"/>
            <w:noWrap/>
            <w:vAlign w:val="center"/>
            <w:hideMark/>
          </w:tcPr>
          <w:p w14:paraId="2369F2A8" w14:textId="77777777" w:rsidR="0021003E" w:rsidRPr="0021003E" w:rsidRDefault="0021003E" w:rsidP="0021003E">
            <w:pPr>
              <w:spacing w:before="0" w:after="0" w:line="240" w:lineRule="auto"/>
              <w:jc w:val="right"/>
              <w:rPr>
                <w:rFonts w:ascii="Arial" w:hAnsi="Arial" w:cs="Arial"/>
                <w:color w:val="000000"/>
                <w:sz w:val="16"/>
                <w:szCs w:val="16"/>
              </w:rPr>
            </w:pPr>
            <w:r w:rsidRPr="0021003E">
              <w:rPr>
                <w:rFonts w:ascii="Arial" w:hAnsi="Arial" w:cs="Arial"/>
                <w:color w:val="000000"/>
                <w:sz w:val="16"/>
                <w:szCs w:val="16"/>
              </w:rPr>
              <w:t>755</w:t>
            </w:r>
          </w:p>
        </w:tc>
        <w:tc>
          <w:tcPr>
            <w:tcW w:w="550" w:type="pct"/>
            <w:tcBorders>
              <w:top w:val="nil"/>
              <w:left w:val="nil"/>
              <w:bottom w:val="nil"/>
              <w:right w:val="nil"/>
            </w:tcBorders>
            <w:shd w:val="clear" w:color="000000" w:fill="E6F2FF"/>
            <w:noWrap/>
            <w:vAlign w:val="center"/>
            <w:hideMark/>
          </w:tcPr>
          <w:p w14:paraId="328EE5C8" w14:textId="77777777" w:rsidR="0021003E" w:rsidRPr="0021003E" w:rsidRDefault="0021003E" w:rsidP="0021003E">
            <w:pPr>
              <w:spacing w:before="0" w:after="0" w:line="240" w:lineRule="auto"/>
              <w:jc w:val="right"/>
              <w:rPr>
                <w:rFonts w:ascii="Arial" w:hAnsi="Arial" w:cs="Arial"/>
                <w:color w:val="000000"/>
                <w:sz w:val="16"/>
                <w:szCs w:val="16"/>
              </w:rPr>
            </w:pPr>
            <w:r w:rsidRPr="0021003E">
              <w:rPr>
                <w:rFonts w:ascii="Arial" w:hAnsi="Arial" w:cs="Arial"/>
                <w:color w:val="000000"/>
                <w:sz w:val="16"/>
                <w:szCs w:val="16"/>
              </w:rPr>
              <w:t>775</w:t>
            </w:r>
          </w:p>
        </w:tc>
        <w:tc>
          <w:tcPr>
            <w:tcW w:w="550" w:type="pct"/>
            <w:tcBorders>
              <w:top w:val="nil"/>
              <w:left w:val="nil"/>
              <w:bottom w:val="nil"/>
              <w:right w:val="nil"/>
            </w:tcBorders>
            <w:shd w:val="clear" w:color="000000" w:fill="FFFFFF"/>
            <w:noWrap/>
            <w:vAlign w:val="center"/>
            <w:hideMark/>
          </w:tcPr>
          <w:p w14:paraId="2F11FFD3" w14:textId="77777777" w:rsidR="0021003E" w:rsidRPr="0021003E" w:rsidRDefault="0021003E" w:rsidP="0021003E">
            <w:pPr>
              <w:spacing w:before="0" w:after="0" w:line="240" w:lineRule="auto"/>
              <w:jc w:val="right"/>
              <w:rPr>
                <w:rFonts w:ascii="Arial" w:hAnsi="Arial" w:cs="Arial"/>
                <w:color w:val="000000"/>
                <w:sz w:val="16"/>
                <w:szCs w:val="16"/>
              </w:rPr>
            </w:pPr>
            <w:r w:rsidRPr="0021003E">
              <w:rPr>
                <w:rFonts w:ascii="Arial" w:hAnsi="Arial" w:cs="Arial"/>
                <w:color w:val="000000"/>
                <w:sz w:val="16"/>
                <w:szCs w:val="16"/>
              </w:rPr>
              <w:t>706</w:t>
            </w:r>
          </w:p>
        </w:tc>
        <w:tc>
          <w:tcPr>
            <w:tcW w:w="550" w:type="pct"/>
            <w:tcBorders>
              <w:top w:val="nil"/>
              <w:left w:val="nil"/>
              <w:bottom w:val="nil"/>
              <w:right w:val="nil"/>
            </w:tcBorders>
            <w:shd w:val="clear" w:color="000000" w:fill="FFFFFF"/>
            <w:noWrap/>
            <w:vAlign w:val="center"/>
            <w:hideMark/>
          </w:tcPr>
          <w:p w14:paraId="60901725" w14:textId="77777777" w:rsidR="0021003E" w:rsidRPr="0021003E" w:rsidRDefault="0021003E" w:rsidP="0021003E">
            <w:pPr>
              <w:spacing w:before="0" w:after="0" w:line="240" w:lineRule="auto"/>
              <w:jc w:val="right"/>
              <w:rPr>
                <w:rFonts w:ascii="Arial" w:hAnsi="Arial" w:cs="Arial"/>
                <w:color w:val="000000"/>
                <w:sz w:val="16"/>
                <w:szCs w:val="16"/>
              </w:rPr>
            </w:pPr>
            <w:r w:rsidRPr="0021003E">
              <w:rPr>
                <w:rFonts w:ascii="Arial" w:hAnsi="Arial" w:cs="Arial"/>
                <w:color w:val="000000"/>
                <w:sz w:val="16"/>
                <w:szCs w:val="16"/>
              </w:rPr>
              <w:t>624</w:t>
            </w:r>
          </w:p>
        </w:tc>
        <w:tc>
          <w:tcPr>
            <w:tcW w:w="550" w:type="pct"/>
            <w:tcBorders>
              <w:top w:val="nil"/>
              <w:left w:val="nil"/>
              <w:bottom w:val="nil"/>
              <w:right w:val="nil"/>
            </w:tcBorders>
            <w:shd w:val="clear" w:color="000000" w:fill="FFFFFF"/>
            <w:noWrap/>
            <w:vAlign w:val="center"/>
            <w:hideMark/>
          </w:tcPr>
          <w:p w14:paraId="12D4C9F3" w14:textId="77777777" w:rsidR="0021003E" w:rsidRPr="0021003E" w:rsidRDefault="0021003E" w:rsidP="0021003E">
            <w:pPr>
              <w:spacing w:before="0" w:after="0" w:line="240" w:lineRule="auto"/>
              <w:jc w:val="right"/>
              <w:rPr>
                <w:rFonts w:ascii="Arial" w:hAnsi="Arial" w:cs="Arial"/>
                <w:color w:val="000000"/>
                <w:sz w:val="16"/>
                <w:szCs w:val="16"/>
              </w:rPr>
            </w:pPr>
            <w:r w:rsidRPr="0021003E">
              <w:rPr>
                <w:rFonts w:ascii="Arial" w:hAnsi="Arial" w:cs="Arial"/>
                <w:color w:val="000000"/>
                <w:sz w:val="16"/>
                <w:szCs w:val="16"/>
              </w:rPr>
              <w:t>603</w:t>
            </w:r>
          </w:p>
        </w:tc>
      </w:tr>
      <w:tr w:rsidR="0021003E" w:rsidRPr="0021003E" w14:paraId="2191D4F2" w14:textId="77777777" w:rsidTr="0021003E">
        <w:trPr>
          <w:trHeight w:hRule="exact" w:val="224"/>
        </w:trPr>
        <w:tc>
          <w:tcPr>
            <w:tcW w:w="2183" w:type="pct"/>
            <w:tcBorders>
              <w:top w:val="nil"/>
              <w:left w:val="nil"/>
              <w:bottom w:val="nil"/>
              <w:right w:val="nil"/>
            </w:tcBorders>
            <w:shd w:val="clear" w:color="000000" w:fill="FFFFFF"/>
            <w:noWrap/>
            <w:vAlign w:val="center"/>
            <w:hideMark/>
          </w:tcPr>
          <w:p w14:paraId="2008094E" w14:textId="77777777" w:rsidR="0021003E" w:rsidRPr="0021003E" w:rsidRDefault="0021003E" w:rsidP="0021003E">
            <w:pPr>
              <w:spacing w:before="0" w:after="0" w:line="240" w:lineRule="auto"/>
              <w:ind w:left="170"/>
              <w:rPr>
                <w:rFonts w:ascii="Arial" w:hAnsi="Arial" w:cs="Arial"/>
                <w:color w:val="000000"/>
                <w:sz w:val="16"/>
                <w:szCs w:val="16"/>
              </w:rPr>
            </w:pPr>
            <w:r w:rsidRPr="0021003E">
              <w:rPr>
                <w:rFonts w:ascii="Arial" w:hAnsi="Arial" w:cs="Arial"/>
                <w:color w:val="000000"/>
                <w:sz w:val="16"/>
                <w:szCs w:val="16"/>
              </w:rPr>
              <w:t>Australian Securities and Investments</w:t>
            </w:r>
          </w:p>
        </w:tc>
        <w:tc>
          <w:tcPr>
            <w:tcW w:w="68" w:type="pct"/>
            <w:tcBorders>
              <w:top w:val="nil"/>
              <w:left w:val="nil"/>
              <w:bottom w:val="nil"/>
              <w:right w:val="nil"/>
            </w:tcBorders>
            <w:shd w:val="clear" w:color="000000" w:fill="FFFFFF"/>
            <w:noWrap/>
            <w:vAlign w:val="center"/>
            <w:hideMark/>
          </w:tcPr>
          <w:p w14:paraId="6F59A729" w14:textId="77777777" w:rsidR="0021003E" w:rsidRPr="0021003E" w:rsidRDefault="0021003E" w:rsidP="0021003E">
            <w:pPr>
              <w:spacing w:before="0" w:after="0" w:line="240" w:lineRule="auto"/>
              <w:rPr>
                <w:rFonts w:ascii="Arial" w:hAnsi="Arial" w:cs="Arial"/>
                <w:color w:val="000000"/>
                <w:sz w:val="16"/>
                <w:szCs w:val="16"/>
              </w:rPr>
            </w:pPr>
            <w:r w:rsidRPr="0021003E">
              <w:rPr>
                <w:rFonts w:ascii="Arial" w:hAnsi="Arial" w:cs="Arial"/>
                <w:color w:val="000000"/>
                <w:sz w:val="16"/>
                <w:szCs w:val="16"/>
              </w:rPr>
              <w:t> </w:t>
            </w:r>
          </w:p>
        </w:tc>
        <w:tc>
          <w:tcPr>
            <w:tcW w:w="550" w:type="pct"/>
            <w:tcBorders>
              <w:top w:val="nil"/>
              <w:left w:val="nil"/>
              <w:bottom w:val="nil"/>
              <w:right w:val="nil"/>
            </w:tcBorders>
            <w:shd w:val="clear" w:color="000000" w:fill="FFFFFF"/>
            <w:noWrap/>
            <w:vAlign w:val="center"/>
            <w:hideMark/>
          </w:tcPr>
          <w:p w14:paraId="5D6EC814" w14:textId="77777777" w:rsidR="0021003E" w:rsidRPr="0021003E" w:rsidRDefault="0021003E" w:rsidP="0021003E">
            <w:pPr>
              <w:spacing w:before="0" w:after="0" w:line="240" w:lineRule="auto"/>
              <w:rPr>
                <w:rFonts w:ascii="Arial" w:hAnsi="Arial" w:cs="Arial"/>
                <w:color w:val="000000"/>
                <w:sz w:val="16"/>
                <w:szCs w:val="16"/>
              </w:rPr>
            </w:pPr>
            <w:r w:rsidRPr="0021003E">
              <w:rPr>
                <w:rFonts w:ascii="Arial" w:hAnsi="Arial" w:cs="Arial"/>
                <w:color w:val="000000"/>
                <w:sz w:val="16"/>
                <w:szCs w:val="16"/>
              </w:rPr>
              <w:t> </w:t>
            </w:r>
          </w:p>
        </w:tc>
        <w:tc>
          <w:tcPr>
            <w:tcW w:w="550" w:type="pct"/>
            <w:tcBorders>
              <w:top w:val="nil"/>
              <w:left w:val="nil"/>
              <w:bottom w:val="nil"/>
              <w:right w:val="nil"/>
            </w:tcBorders>
            <w:shd w:val="clear" w:color="000000" w:fill="E6F2FF"/>
            <w:noWrap/>
            <w:vAlign w:val="center"/>
            <w:hideMark/>
          </w:tcPr>
          <w:p w14:paraId="7DFE8E97" w14:textId="77777777" w:rsidR="0021003E" w:rsidRPr="0021003E" w:rsidRDefault="0021003E" w:rsidP="0021003E">
            <w:pPr>
              <w:spacing w:before="0" w:after="0" w:line="240" w:lineRule="auto"/>
              <w:rPr>
                <w:rFonts w:ascii="Arial" w:hAnsi="Arial" w:cs="Arial"/>
                <w:color w:val="000000"/>
                <w:sz w:val="16"/>
                <w:szCs w:val="16"/>
              </w:rPr>
            </w:pPr>
            <w:r w:rsidRPr="0021003E">
              <w:rPr>
                <w:rFonts w:ascii="Arial" w:hAnsi="Arial" w:cs="Arial"/>
                <w:color w:val="000000"/>
                <w:sz w:val="16"/>
                <w:szCs w:val="16"/>
              </w:rPr>
              <w:t> </w:t>
            </w:r>
          </w:p>
        </w:tc>
        <w:tc>
          <w:tcPr>
            <w:tcW w:w="550" w:type="pct"/>
            <w:tcBorders>
              <w:top w:val="nil"/>
              <w:left w:val="nil"/>
              <w:bottom w:val="nil"/>
              <w:right w:val="nil"/>
            </w:tcBorders>
            <w:shd w:val="clear" w:color="000000" w:fill="FFFFFF"/>
            <w:noWrap/>
            <w:vAlign w:val="center"/>
            <w:hideMark/>
          </w:tcPr>
          <w:p w14:paraId="29B12334" w14:textId="77777777" w:rsidR="0021003E" w:rsidRPr="0021003E" w:rsidRDefault="0021003E" w:rsidP="0021003E">
            <w:pPr>
              <w:spacing w:before="0" w:after="0" w:line="240" w:lineRule="auto"/>
              <w:rPr>
                <w:rFonts w:ascii="Arial" w:hAnsi="Arial" w:cs="Arial"/>
                <w:color w:val="000000"/>
                <w:sz w:val="16"/>
                <w:szCs w:val="16"/>
              </w:rPr>
            </w:pPr>
            <w:r w:rsidRPr="0021003E">
              <w:rPr>
                <w:rFonts w:ascii="Arial" w:hAnsi="Arial" w:cs="Arial"/>
                <w:color w:val="000000"/>
                <w:sz w:val="16"/>
                <w:szCs w:val="16"/>
              </w:rPr>
              <w:t> </w:t>
            </w:r>
          </w:p>
        </w:tc>
        <w:tc>
          <w:tcPr>
            <w:tcW w:w="550" w:type="pct"/>
            <w:tcBorders>
              <w:top w:val="nil"/>
              <w:left w:val="nil"/>
              <w:bottom w:val="nil"/>
              <w:right w:val="nil"/>
            </w:tcBorders>
            <w:shd w:val="clear" w:color="000000" w:fill="FFFFFF"/>
            <w:noWrap/>
            <w:vAlign w:val="center"/>
            <w:hideMark/>
          </w:tcPr>
          <w:p w14:paraId="0BA04E8C" w14:textId="77777777" w:rsidR="0021003E" w:rsidRPr="0021003E" w:rsidRDefault="0021003E" w:rsidP="0021003E">
            <w:pPr>
              <w:spacing w:before="0" w:after="0" w:line="240" w:lineRule="auto"/>
              <w:rPr>
                <w:rFonts w:ascii="Arial" w:hAnsi="Arial" w:cs="Arial"/>
                <w:color w:val="000000"/>
                <w:sz w:val="16"/>
                <w:szCs w:val="16"/>
              </w:rPr>
            </w:pPr>
            <w:r w:rsidRPr="0021003E">
              <w:rPr>
                <w:rFonts w:ascii="Arial" w:hAnsi="Arial" w:cs="Arial"/>
                <w:color w:val="000000"/>
                <w:sz w:val="16"/>
                <w:szCs w:val="16"/>
              </w:rPr>
              <w:t> </w:t>
            </w:r>
          </w:p>
        </w:tc>
        <w:tc>
          <w:tcPr>
            <w:tcW w:w="550" w:type="pct"/>
            <w:tcBorders>
              <w:top w:val="nil"/>
              <w:left w:val="nil"/>
              <w:bottom w:val="nil"/>
              <w:right w:val="nil"/>
            </w:tcBorders>
            <w:shd w:val="clear" w:color="000000" w:fill="FFFFFF"/>
            <w:noWrap/>
            <w:vAlign w:val="center"/>
            <w:hideMark/>
          </w:tcPr>
          <w:p w14:paraId="1FF1FD5E" w14:textId="77777777" w:rsidR="0021003E" w:rsidRPr="0021003E" w:rsidRDefault="0021003E" w:rsidP="0021003E">
            <w:pPr>
              <w:spacing w:before="0" w:after="0" w:line="240" w:lineRule="auto"/>
              <w:rPr>
                <w:rFonts w:ascii="Arial" w:hAnsi="Arial" w:cs="Arial"/>
                <w:color w:val="000000"/>
                <w:sz w:val="16"/>
                <w:szCs w:val="16"/>
              </w:rPr>
            </w:pPr>
            <w:r w:rsidRPr="0021003E">
              <w:rPr>
                <w:rFonts w:ascii="Arial" w:hAnsi="Arial" w:cs="Arial"/>
                <w:color w:val="000000"/>
                <w:sz w:val="16"/>
                <w:szCs w:val="16"/>
              </w:rPr>
              <w:t> </w:t>
            </w:r>
          </w:p>
        </w:tc>
      </w:tr>
      <w:tr w:rsidR="0021003E" w:rsidRPr="0021003E" w14:paraId="5B8F64AC" w14:textId="77777777" w:rsidTr="0021003E">
        <w:trPr>
          <w:trHeight w:hRule="exact" w:val="224"/>
        </w:trPr>
        <w:tc>
          <w:tcPr>
            <w:tcW w:w="2183" w:type="pct"/>
            <w:tcBorders>
              <w:top w:val="nil"/>
              <w:left w:val="nil"/>
              <w:bottom w:val="nil"/>
              <w:right w:val="nil"/>
            </w:tcBorders>
            <w:shd w:val="clear" w:color="000000" w:fill="FFFFFF"/>
            <w:noWrap/>
            <w:vAlign w:val="center"/>
            <w:hideMark/>
          </w:tcPr>
          <w:p w14:paraId="72A2FA90" w14:textId="77777777" w:rsidR="0021003E" w:rsidRPr="0021003E" w:rsidRDefault="0021003E" w:rsidP="0021003E">
            <w:pPr>
              <w:spacing w:before="0" w:after="0" w:line="240" w:lineRule="auto"/>
              <w:ind w:left="340"/>
              <w:rPr>
                <w:rFonts w:ascii="Arial" w:hAnsi="Arial" w:cs="Arial"/>
                <w:color w:val="000000"/>
                <w:sz w:val="16"/>
                <w:szCs w:val="16"/>
              </w:rPr>
            </w:pPr>
            <w:r w:rsidRPr="0021003E">
              <w:rPr>
                <w:rFonts w:ascii="Arial" w:hAnsi="Arial" w:cs="Arial"/>
                <w:color w:val="000000"/>
                <w:sz w:val="16"/>
                <w:szCs w:val="16"/>
              </w:rPr>
              <w:t>Commission</w:t>
            </w:r>
          </w:p>
        </w:tc>
        <w:tc>
          <w:tcPr>
            <w:tcW w:w="68" w:type="pct"/>
            <w:tcBorders>
              <w:top w:val="nil"/>
              <w:left w:val="nil"/>
              <w:bottom w:val="nil"/>
              <w:right w:val="nil"/>
            </w:tcBorders>
            <w:shd w:val="clear" w:color="000000" w:fill="FFFFFF"/>
            <w:noWrap/>
            <w:vAlign w:val="center"/>
            <w:hideMark/>
          </w:tcPr>
          <w:p w14:paraId="71735E6B" w14:textId="77777777" w:rsidR="0021003E" w:rsidRPr="0021003E" w:rsidRDefault="0021003E" w:rsidP="0021003E">
            <w:pPr>
              <w:spacing w:before="0" w:after="0" w:line="240" w:lineRule="auto"/>
              <w:rPr>
                <w:rFonts w:ascii="Arial" w:hAnsi="Arial" w:cs="Arial"/>
                <w:color w:val="000000"/>
                <w:sz w:val="16"/>
                <w:szCs w:val="16"/>
              </w:rPr>
            </w:pPr>
            <w:r w:rsidRPr="0021003E">
              <w:rPr>
                <w:rFonts w:ascii="Arial" w:hAnsi="Arial" w:cs="Arial"/>
                <w:color w:val="000000"/>
                <w:sz w:val="16"/>
                <w:szCs w:val="16"/>
              </w:rPr>
              <w:t> </w:t>
            </w:r>
          </w:p>
        </w:tc>
        <w:tc>
          <w:tcPr>
            <w:tcW w:w="550" w:type="pct"/>
            <w:tcBorders>
              <w:top w:val="nil"/>
              <w:left w:val="nil"/>
              <w:bottom w:val="nil"/>
              <w:right w:val="nil"/>
            </w:tcBorders>
            <w:shd w:val="clear" w:color="000000" w:fill="FFFFFF"/>
            <w:noWrap/>
            <w:vAlign w:val="center"/>
            <w:hideMark/>
          </w:tcPr>
          <w:p w14:paraId="71FA35AA" w14:textId="77777777" w:rsidR="0021003E" w:rsidRPr="0021003E" w:rsidRDefault="0021003E" w:rsidP="0021003E">
            <w:pPr>
              <w:spacing w:before="0" w:after="0" w:line="240" w:lineRule="auto"/>
              <w:jc w:val="right"/>
              <w:rPr>
                <w:rFonts w:ascii="Arial" w:hAnsi="Arial" w:cs="Arial"/>
                <w:color w:val="000000"/>
                <w:sz w:val="16"/>
                <w:szCs w:val="16"/>
              </w:rPr>
            </w:pPr>
            <w:r w:rsidRPr="0021003E">
              <w:rPr>
                <w:rFonts w:ascii="Arial" w:hAnsi="Arial" w:cs="Arial"/>
                <w:color w:val="000000"/>
                <w:sz w:val="16"/>
                <w:szCs w:val="16"/>
              </w:rPr>
              <w:t>714</w:t>
            </w:r>
          </w:p>
        </w:tc>
        <w:tc>
          <w:tcPr>
            <w:tcW w:w="550" w:type="pct"/>
            <w:tcBorders>
              <w:top w:val="nil"/>
              <w:left w:val="nil"/>
              <w:bottom w:val="nil"/>
              <w:right w:val="nil"/>
            </w:tcBorders>
            <w:shd w:val="clear" w:color="000000" w:fill="E6F2FF"/>
            <w:noWrap/>
            <w:vAlign w:val="center"/>
            <w:hideMark/>
          </w:tcPr>
          <w:p w14:paraId="26E9B245" w14:textId="77777777" w:rsidR="0021003E" w:rsidRPr="0021003E" w:rsidRDefault="0021003E" w:rsidP="0021003E">
            <w:pPr>
              <w:spacing w:before="0" w:after="0" w:line="240" w:lineRule="auto"/>
              <w:jc w:val="right"/>
              <w:rPr>
                <w:rFonts w:ascii="Arial" w:hAnsi="Arial" w:cs="Arial"/>
                <w:color w:val="000000"/>
                <w:sz w:val="16"/>
                <w:szCs w:val="16"/>
              </w:rPr>
            </w:pPr>
            <w:r w:rsidRPr="0021003E">
              <w:rPr>
                <w:rFonts w:ascii="Arial" w:hAnsi="Arial" w:cs="Arial"/>
                <w:color w:val="000000"/>
                <w:sz w:val="16"/>
                <w:szCs w:val="16"/>
              </w:rPr>
              <w:t>849</w:t>
            </w:r>
          </w:p>
        </w:tc>
        <w:tc>
          <w:tcPr>
            <w:tcW w:w="550" w:type="pct"/>
            <w:tcBorders>
              <w:top w:val="nil"/>
              <w:left w:val="nil"/>
              <w:bottom w:val="nil"/>
              <w:right w:val="nil"/>
            </w:tcBorders>
            <w:shd w:val="clear" w:color="000000" w:fill="FFFFFF"/>
            <w:noWrap/>
            <w:vAlign w:val="center"/>
            <w:hideMark/>
          </w:tcPr>
          <w:p w14:paraId="6E68D01D" w14:textId="77777777" w:rsidR="0021003E" w:rsidRPr="0021003E" w:rsidRDefault="0021003E" w:rsidP="0021003E">
            <w:pPr>
              <w:spacing w:before="0" w:after="0" w:line="240" w:lineRule="auto"/>
              <w:jc w:val="right"/>
              <w:rPr>
                <w:rFonts w:ascii="Arial" w:hAnsi="Arial" w:cs="Arial"/>
                <w:color w:val="000000"/>
                <w:sz w:val="16"/>
                <w:szCs w:val="16"/>
              </w:rPr>
            </w:pPr>
            <w:r w:rsidRPr="0021003E">
              <w:rPr>
                <w:rFonts w:ascii="Arial" w:hAnsi="Arial" w:cs="Arial"/>
                <w:color w:val="000000"/>
                <w:sz w:val="16"/>
                <w:szCs w:val="16"/>
              </w:rPr>
              <w:t>728</w:t>
            </w:r>
          </w:p>
        </w:tc>
        <w:tc>
          <w:tcPr>
            <w:tcW w:w="550" w:type="pct"/>
            <w:tcBorders>
              <w:top w:val="nil"/>
              <w:left w:val="nil"/>
              <w:bottom w:val="nil"/>
              <w:right w:val="nil"/>
            </w:tcBorders>
            <w:shd w:val="clear" w:color="000000" w:fill="FFFFFF"/>
            <w:noWrap/>
            <w:vAlign w:val="center"/>
            <w:hideMark/>
          </w:tcPr>
          <w:p w14:paraId="4604DA93" w14:textId="77777777" w:rsidR="0021003E" w:rsidRPr="0021003E" w:rsidRDefault="0021003E" w:rsidP="0021003E">
            <w:pPr>
              <w:spacing w:before="0" w:after="0" w:line="240" w:lineRule="auto"/>
              <w:jc w:val="right"/>
              <w:rPr>
                <w:rFonts w:ascii="Arial" w:hAnsi="Arial" w:cs="Arial"/>
                <w:color w:val="000000"/>
                <w:sz w:val="16"/>
                <w:szCs w:val="16"/>
              </w:rPr>
            </w:pPr>
            <w:r w:rsidRPr="0021003E">
              <w:rPr>
                <w:rFonts w:ascii="Arial" w:hAnsi="Arial" w:cs="Arial"/>
                <w:color w:val="000000"/>
                <w:sz w:val="16"/>
                <w:szCs w:val="16"/>
              </w:rPr>
              <w:t>730</w:t>
            </w:r>
          </w:p>
        </w:tc>
        <w:tc>
          <w:tcPr>
            <w:tcW w:w="550" w:type="pct"/>
            <w:tcBorders>
              <w:top w:val="nil"/>
              <w:left w:val="nil"/>
              <w:bottom w:val="nil"/>
              <w:right w:val="nil"/>
            </w:tcBorders>
            <w:shd w:val="clear" w:color="000000" w:fill="FFFFFF"/>
            <w:noWrap/>
            <w:vAlign w:val="center"/>
            <w:hideMark/>
          </w:tcPr>
          <w:p w14:paraId="434224ED" w14:textId="77777777" w:rsidR="0021003E" w:rsidRPr="0021003E" w:rsidRDefault="0021003E" w:rsidP="0021003E">
            <w:pPr>
              <w:spacing w:before="0" w:after="0" w:line="240" w:lineRule="auto"/>
              <w:jc w:val="right"/>
              <w:rPr>
                <w:rFonts w:ascii="Arial" w:hAnsi="Arial" w:cs="Arial"/>
                <w:color w:val="000000"/>
                <w:sz w:val="16"/>
                <w:szCs w:val="16"/>
              </w:rPr>
            </w:pPr>
            <w:r w:rsidRPr="0021003E">
              <w:rPr>
                <w:rFonts w:ascii="Arial" w:hAnsi="Arial" w:cs="Arial"/>
                <w:color w:val="000000"/>
                <w:sz w:val="16"/>
                <w:szCs w:val="16"/>
              </w:rPr>
              <w:t>709</w:t>
            </w:r>
          </w:p>
        </w:tc>
      </w:tr>
      <w:tr w:rsidR="0021003E" w:rsidRPr="0021003E" w14:paraId="5F990A26" w14:textId="77777777" w:rsidTr="0021003E">
        <w:trPr>
          <w:trHeight w:hRule="exact" w:val="224"/>
        </w:trPr>
        <w:tc>
          <w:tcPr>
            <w:tcW w:w="2183" w:type="pct"/>
            <w:tcBorders>
              <w:top w:val="nil"/>
              <w:left w:val="nil"/>
              <w:bottom w:val="nil"/>
              <w:right w:val="nil"/>
            </w:tcBorders>
            <w:shd w:val="clear" w:color="000000" w:fill="FFFFFF"/>
            <w:noWrap/>
            <w:vAlign w:val="center"/>
            <w:hideMark/>
          </w:tcPr>
          <w:p w14:paraId="27160CC0" w14:textId="77777777" w:rsidR="0021003E" w:rsidRPr="0021003E" w:rsidRDefault="0021003E" w:rsidP="0021003E">
            <w:pPr>
              <w:spacing w:before="0" w:after="0" w:line="240" w:lineRule="auto"/>
              <w:ind w:left="170"/>
              <w:rPr>
                <w:rFonts w:ascii="Arial" w:hAnsi="Arial" w:cs="Arial"/>
                <w:color w:val="000000"/>
                <w:sz w:val="16"/>
                <w:szCs w:val="16"/>
              </w:rPr>
            </w:pPr>
            <w:r w:rsidRPr="0021003E">
              <w:rPr>
                <w:rFonts w:ascii="Arial" w:hAnsi="Arial" w:cs="Arial"/>
                <w:color w:val="000000"/>
                <w:sz w:val="16"/>
                <w:szCs w:val="16"/>
              </w:rPr>
              <w:t>Bureau of Meteorology</w:t>
            </w:r>
          </w:p>
        </w:tc>
        <w:tc>
          <w:tcPr>
            <w:tcW w:w="68" w:type="pct"/>
            <w:tcBorders>
              <w:top w:val="nil"/>
              <w:left w:val="nil"/>
              <w:bottom w:val="nil"/>
              <w:right w:val="nil"/>
            </w:tcBorders>
            <w:shd w:val="clear" w:color="000000" w:fill="FFFFFF"/>
            <w:noWrap/>
            <w:vAlign w:val="center"/>
            <w:hideMark/>
          </w:tcPr>
          <w:p w14:paraId="13F3FBAB" w14:textId="77777777" w:rsidR="0021003E" w:rsidRPr="0021003E" w:rsidRDefault="0021003E" w:rsidP="0021003E">
            <w:pPr>
              <w:spacing w:before="0" w:after="0" w:line="240" w:lineRule="auto"/>
              <w:rPr>
                <w:rFonts w:ascii="Arial" w:hAnsi="Arial" w:cs="Arial"/>
                <w:color w:val="000000"/>
                <w:sz w:val="16"/>
                <w:szCs w:val="16"/>
              </w:rPr>
            </w:pPr>
            <w:r w:rsidRPr="0021003E">
              <w:rPr>
                <w:rFonts w:ascii="Arial" w:hAnsi="Arial" w:cs="Arial"/>
                <w:color w:val="000000"/>
                <w:sz w:val="16"/>
                <w:szCs w:val="16"/>
              </w:rPr>
              <w:t> </w:t>
            </w:r>
          </w:p>
        </w:tc>
        <w:tc>
          <w:tcPr>
            <w:tcW w:w="550" w:type="pct"/>
            <w:tcBorders>
              <w:top w:val="nil"/>
              <w:left w:val="nil"/>
              <w:bottom w:val="nil"/>
              <w:right w:val="nil"/>
            </w:tcBorders>
            <w:shd w:val="clear" w:color="000000" w:fill="FFFFFF"/>
            <w:noWrap/>
            <w:vAlign w:val="center"/>
            <w:hideMark/>
          </w:tcPr>
          <w:p w14:paraId="120A8167" w14:textId="77777777" w:rsidR="0021003E" w:rsidRPr="0021003E" w:rsidRDefault="0021003E" w:rsidP="0021003E">
            <w:pPr>
              <w:spacing w:before="0" w:after="0" w:line="240" w:lineRule="auto"/>
              <w:jc w:val="right"/>
              <w:rPr>
                <w:rFonts w:ascii="Arial" w:hAnsi="Arial" w:cs="Arial"/>
                <w:color w:val="000000"/>
                <w:sz w:val="16"/>
                <w:szCs w:val="16"/>
              </w:rPr>
            </w:pPr>
            <w:r w:rsidRPr="0021003E">
              <w:rPr>
                <w:rFonts w:ascii="Arial" w:hAnsi="Arial" w:cs="Arial"/>
                <w:color w:val="000000"/>
                <w:sz w:val="16"/>
                <w:szCs w:val="16"/>
              </w:rPr>
              <w:t>561</w:t>
            </w:r>
          </w:p>
        </w:tc>
        <w:tc>
          <w:tcPr>
            <w:tcW w:w="550" w:type="pct"/>
            <w:tcBorders>
              <w:top w:val="nil"/>
              <w:left w:val="nil"/>
              <w:bottom w:val="nil"/>
              <w:right w:val="nil"/>
            </w:tcBorders>
            <w:shd w:val="clear" w:color="000000" w:fill="E6F2FF"/>
            <w:noWrap/>
            <w:vAlign w:val="center"/>
            <w:hideMark/>
          </w:tcPr>
          <w:p w14:paraId="3812FB53" w14:textId="77777777" w:rsidR="0021003E" w:rsidRPr="0021003E" w:rsidRDefault="0021003E" w:rsidP="0021003E">
            <w:pPr>
              <w:spacing w:before="0" w:after="0" w:line="240" w:lineRule="auto"/>
              <w:jc w:val="right"/>
              <w:rPr>
                <w:rFonts w:ascii="Arial" w:hAnsi="Arial" w:cs="Arial"/>
                <w:color w:val="000000"/>
                <w:sz w:val="16"/>
                <w:szCs w:val="16"/>
              </w:rPr>
            </w:pPr>
            <w:r w:rsidRPr="0021003E">
              <w:rPr>
                <w:rFonts w:ascii="Arial" w:hAnsi="Arial" w:cs="Arial"/>
                <w:color w:val="000000"/>
                <w:sz w:val="16"/>
                <w:szCs w:val="16"/>
              </w:rPr>
              <w:t>522</w:t>
            </w:r>
          </w:p>
        </w:tc>
        <w:tc>
          <w:tcPr>
            <w:tcW w:w="550" w:type="pct"/>
            <w:tcBorders>
              <w:top w:val="nil"/>
              <w:left w:val="nil"/>
              <w:bottom w:val="nil"/>
              <w:right w:val="nil"/>
            </w:tcBorders>
            <w:shd w:val="clear" w:color="000000" w:fill="FFFFFF"/>
            <w:noWrap/>
            <w:vAlign w:val="center"/>
            <w:hideMark/>
          </w:tcPr>
          <w:p w14:paraId="4B406DC0" w14:textId="77777777" w:rsidR="0021003E" w:rsidRPr="0021003E" w:rsidRDefault="0021003E" w:rsidP="0021003E">
            <w:pPr>
              <w:spacing w:before="0" w:after="0" w:line="240" w:lineRule="auto"/>
              <w:jc w:val="right"/>
              <w:rPr>
                <w:rFonts w:ascii="Arial" w:hAnsi="Arial" w:cs="Arial"/>
                <w:color w:val="000000"/>
                <w:sz w:val="16"/>
                <w:szCs w:val="16"/>
              </w:rPr>
            </w:pPr>
            <w:r w:rsidRPr="0021003E">
              <w:rPr>
                <w:rFonts w:ascii="Arial" w:hAnsi="Arial" w:cs="Arial"/>
                <w:color w:val="000000"/>
                <w:sz w:val="16"/>
                <w:szCs w:val="16"/>
              </w:rPr>
              <w:t>523</w:t>
            </w:r>
          </w:p>
        </w:tc>
        <w:tc>
          <w:tcPr>
            <w:tcW w:w="550" w:type="pct"/>
            <w:tcBorders>
              <w:top w:val="nil"/>
              <w:left w:val="nil"/>
              <w:bottom w:val="nil"/>
              <w:right w:val="nil"/>
            </w:tcBorders>
            <w:shd w:val="clear" w:color="000000" w:fill="FFFFFF"/>
            <w:noWrap/>
            <w:vAlign w:val="center"/>
            <w:hideMark/>
          </w:tcPr>
          <w:p w14:paraId="01BF4D59" w14:textId="77777777" w:rsidR="0021003E" w:rsidRPr="0021003E" w:rsidRDefault="0021003E" w:rsidP="0021003E">
            <w:pPr>
              <w:spacing w:before="0" w:after="0" w:line="240" w:lineRule="auto"/>
              <w:jc w:val="right"/>
              <w:rPr>
                <w:rFonts w:ascii="Arial" w:hAnsi="Arial" w:cs="Arial"/>
                <w:color w:val="000000"/>
                <w:sz w:val="16"/>
                <w:szCs w:val="16"/>
              </w:rPr>
            </w:pPr>
            <w:r w:rsidRPr="0021003E">
              <w:rPr>
                <w:rFonts w:ascii="Arial" w:hAnsi="Arial" w:cs="Arial"/>
                <w:color w:val="000000"/>
                <w:sz w:val="16"/>
                <w:szCs w:val="16"/>
              </w:rPr>
              <w:t>539</w:t>
            </w:r>
          </w:p>
        </w:tc>
        <w:tc>
          <w:tcPr>
            <w:tcW w:w="550" w:type="pct"/>
            <w:tcBorders>
              <w:top w:val="nil"/>
              <w:left w:val="nil"/>
              <w:bottom w:val="nil"/>
              <w:right w:val="nil"/>
            </w:tcBorders>
            <w:shd w:val="clear" w:color="000000" w:fill="FFFFFF"/>
            <w:noWrap/>
            <w:vAlign w:val="center"/>
            <w:hideMark/>
          </w:tcPr>
          <w:p w14:paraId="230706B5" w14:textId="77777777" w:rsidR="0021003E" w:rsidRPr="0021003E" w:rsidRDefault="0021003E" w:rsidP="0021003E">
            <w:pPr>
              <w:spacing w:before="0" w:after="0" w:line="240" w:lineRule="auto"/>
              <w:jc w:val="right"/>
              <w:rPr>
                <w:rFonts w:ascii="Arial" w:hAnsi="Arial" w:cs="Arial"/>
                <w:color w:val="000000"/>
                <w:sz w:val="16"/>
                <w:szCs w:val="16"/>
              </w:rPr>
            </w:pPr>
            <w:r w:rsidRPr="0021003E">
              <w:rPr>
                <w:rFonts w:ascii="Arial" w:hAnsi="Arial" w:cs="Arial"/>
                <w:color w:val="000000"/>
                <w:sz w:val="16"/>
                <w:szCs w:val="16"/>
              </w:rPr>
              <w:t>542</w:t>
            </w:r>
          </w:p>
        </w:tc>
      </w:tr>
      <w:tr w:rsidR="0021003E" w:rsidRPr="0021003E" w14:paraId="0FCC83DE" w14:textId="77777777" w:rsidTr="0021003E">
        <w:trPr>
          <w:trHeight w:hRule="exact" w:val="224"/>
        </w:trPr>
        <w:tc>
          <w:tcPr>
            <w:tcW w:w="2183" w:type="pct"/>
            <w:tcBorders>
              <w:top w:val="nil"/>
              <w:left w:val="nil"/>
              <w:bottom w:val="nil"/>
              <w:right w:val="nil"/>
            </w:tcBorders>
            <w:shd w:val="clear" w:color="000000" w:fill="FFFFFF"/>
            <w:noWrap/>
            <w:vAlign w:val="center"/>
            <w:hideMark/>
          </w:tcPr>
          <w:p w14:paraId="0D272DB9" w14:textId="77777777" w:rsidR="0021003E" w:rsidRPr="0021003E" w:rsidRDefault="0021003E" w:rsidP="0021003E">
            <w:pPr>
              <w:spacing w:before="0" w:after="0" w:line="240" w:lineRule="auto"/>
              <w:ind w:left="170"/>
              <w:rPr>
                <w:rFonts w:ascii="Arial" w:hAnsi="Arial" w:cs="Arial"/>
                <w:color w:val="000000"/>
                <w:sz w:val="16"/>
                <w:szCs w:val="16"/>
              </w:rPr>
            </w:pPr>
            <w:r w:rsidRPr="0021003E">
              <w:rPr>
                <w:rFonts w:ascii="Arial" w:hAnsi="Arial" w:cs="Arial"/>
                <w:color w:val="000000"/>
                <w:sz w:val="16"/>
                <w:szCs w:val="16"/>
              </w:rPr>
              <w:t>IP Australia</w:t>
            </w:r>
          </w:p>
        </w:tc>
        <w:tc>
          <w:tcPr>
            <w:tcW w:w="68" w:type="pct"/>
            <w:tcBorders>
              <w:top w:val="nil"/>
              <w:left w:val="nil"/>
              <w:bottom w:val="nil"/>
              <w:right w:val="nil"/>
            </w:tcBorders>
            <w:shd w:val="clear" w:color="000000" w:fill="FFFFFF"/>
            <w:noWrap/>
            <w:vAlign w:val="center"/>
            <w:hideMark/>
          </w:tcPr>
          <w:p w14:paraId="3311C47C" w14:textId="77777777" w:rsidR="0021003E" w:rsidRPr="0021003E" w:rsidRDefault="0021003E" w:rsidP="0021003E">
            <w:pPr>
              <w:spacing w:before="0" w:after="0" w:line="240" w:lineRule="auto"/>
              <w:rPr>
                <w:rFonts w:ascii="Arial" w:hAnsi="Arial" w:cs="Arial"/>
                <w:color w:val="000000"/>
                <w:sz w:val="16"/>
                <w:szCs w:val="16"/>
              </w:rPr>
            </w:pPr>
            <w:r w:rsidRPr="0021003E">
              <w:rPr>
                <w:rFonts w:ascii="Arial" w:hAnsi="Arial" w:cs="Arial"/>
                <w:color w:val="000000"/>
                <w:sz w:val="16"/>
                <w:szCs w:val="16"/>
              </w:rPr>
              <w:t> </w:t>
            </w:r>
          </w:p>
        </w:tc>
        <w:tc>
          <w:tcPr>
            <w:tcW w:w="550" w:type="pct"/>
            <w:tcBorders>
              <w:top w:val="nil"/>
              <w:left w:val="nil"/>
              <w:bottom w:val="nil"/>
              <w:right w:val="nil"/>
            </w:tcBorders>
            <w:shd w:val="clear" w:color="000000" w:fill="FFFFFF"/>
            <w:noWrap/>
            <w:vAlign w:val="center"/>
            <w:hideMark/>
          </w:tcPr>
          <w:p w14:paraId="4BAB9E51" w14:textId="77777777" w:rsidR="0021003E" w:rsidRPr="0021003E" w:rsidRDefault="0021003E" w:rsidP="0021003E">
            <w:pPr>
              <w:spacing w:before="0" w:after="0" w:line="240" w:lineRule="auto"/>
              <w:jc w:val="right"/>
              <w:rPr>
                <w:rFonts w:ascii="Arial" w:hAnsi="Arial" w:cs="Arial"/>
                <w:color w:val="000000"/>
                <w:sz w:val="16"/>
                <w:szCs w:val="16"/>
              </w:rPr>
            </w:pPr>
            <w:r w:rsidRPr="0021003E">
              <w:rPr>
                <w:rFonts w:ascii="Arial" w:hAnsi="Arial" w:cs="Arial"/>
                <w:color w:val="000000"/>
                <w:sz w:val="16"/>
                <w:szCs w:val="16"/>
              </w:rPr>
              <w:t>255</w:t>
            </w:r>
          </w:p>
        </w:tc>
        <w:tc>
          <w:tcPr>
            <w:tcW w:w="550" w:type="pct"/>
            <w:tcBorders>
              <w:top w:val="nil"/>
              <w:left w:val="nil"/>
              <w:bottom w:val="nil"/>
              <w:right w:val="nil"/>
            </w:tcBorders>
            <w:shd w:val="clear" w:color="000000" w:fill="E6F2FF"/>
            <w:noWrap/>
            <w:vAlign w:val="center"/>
            <w:hideMark/>
          </w:tcPr>
          <w:p w14:paraId="11E55807" w14:textId="77777777" w:rsidR="0021003E" w:rsidRPr="0021003E" w:rsidRDefault="0021003E" w:rsidP="0021003E">
            <w:pPr>
              <w:spacing w:before="0" w:after="0" w:line="240" w:lineRule="auto"/>
              <w:jc w:val="right"/>
              <w:rPr>
                <w:rFonts w:ascii="Arial" w:hAnsi="Arial" w:cs="Arial"/>
                <w:color w:val="000000"/>
                <w:sz w:val="16"/>
                <w:szCs w:val="16"/>
              </w:rPr>
            </w:pPr>
            <w:r w:rsidRPr="0021003E">
              <w:rPr>
                <w:rFonts w:ascii="Arial" w:hAnsi="Arial" w:cs="Arial"/>
                <w:color w:val="000000"/>
                <w:sz w:val="16"/>
                <w:szCs w:val="16"/>
              </w:rPr>
              <w:t>269</w:t>
            </w:r>
          </w:p>
        </w:tc>
        <w:tc>
          <w:tcPr>
            <w:tcW w:w="550" w:type="pct"/>
            <w:tcBorders>
              <w:top w:val="nil"/>
              <w:left w:val="nil"/>
              <w:bottom w:val="nil"/>
              <w:right w:val="nil"/>
            </w:tcBorders>
            <w:shd w:val="clear" w:color="000000" w:fill="FFFFFF"/>
            <w:noWrap/>
            <w:vAlign w:val="center"/>
            <w:hideMark/>
          </w:tcPr>
          <w:p w14:paraId="266ECCC7" w14:textId="77777777" w:rsidR="0021003E" w:rsidRPr="0021003E" w:rsidRDefault="0021003E" w:rsidP="0021003E">
            <w:pPr>
              <w:spacing w:before="0" w:after="0" w:line="240" w:lineRule="auto"/>
              <w:jc w:val="right"/>
              <w:rPr>
                <w:rFonts w:ascii="Arial" w:hAnsi="Arial" w:cs="Arial"/>
                <w:color w:val="000000"/>
                <w:sz w:val="16"/>
                <w:szCs w:val="16"/>
              </w:rPr>
            </w:pPr>
            <w:r w:rsidRPr="0021003E">
              <w:rPr>
                <w:rFonts w:ascii="Arial" w:hAnsi="Arial" w:cs="Arial"/>
                <w:color w:val="000000"/>
                <w:sz w:val="16"/>
                <w:szCs w:val="16"/>
              </w:rPr>
              <w:t>278</w:t>
            </w:r>
          </w:p>
        </w:tc>
        <w:tc>
          <w:tcPr>
            <w:tcW w:w="550" w:type="pct"/>
            <w:tcBorders>
              <w:top w:val="nil"/>
              <w:left w:val="nil"/>
              <w:bottom w:val="nil"/>
              <w:right w:val="nil"/>
            </w:tcBorders>
            <w:shd w:val="clear" w:color="000000" w:fill="FFFFFF"/>
            <w:noWrap/>
            <w:vAlign w:val="center"/>
            <w:hideMark/>
          </w:tcPr>
          <w:p w14:paraId="03B2A5AB" w14:textId="77777777" w:rsidR="0021003E" w:rsidRPr="0021003E" w:rsidRDefault="0021003E" w:rsidP="0021003E">
            <w:pPr>
              <w:spacing w:before="0" w:after="0" w:line="240" w:lineRule="auto"/>
              <w:jc w:val="right"/>
              <w:rPr>
                <w:rFonts w:ascii="Arial" w:hAnsi="Arial" w:cs="Arial"/>
                <w:color w:val="000000"/>
                <w:sz w:val="16"/>
                <w:szCs w:val="16"/>
              </w:rPr>
            </w:pPr>
            <w:r w:rsidRPr="0021003E">
              <w:rPr>
                <w:rFonts w:ascii="Arial" w:hAnsi="Arial" w:cs="Arial"/>
                <w:color w:val="000000"/>
                <w:sz w:val="16"/>
                <w:szCs w:val="16"/>
              </w:rPr>
              <w:t>288</w:t>
            </w:r>
          </w:p>
        </w:tc>
        <w:tc>
          <w:tcPr>
            <w:tcW w:w="550" w:type="pct"/>
            <w:tcBorders>
              <w:top w:val="nil"/>
              <w:left w:val="nil"/>
              <w:bottom w:val="nil"/>
              <w:right w:val="nil"/>
            </w:tcBorders>
            <w:shd w:val="clear" w:color="000000" w:fill="FFFFFF"/>
            <w:noWrap/>
            <w:vAlign w:val="center"/>
            <w:hideMark/>
          </w:tcPr>
          <w:p w14:paraId="778A4D83" w14:textId="77777777" w:rsidR="0021003E" w:rsidRPr="0021003E" w:rsidRDefault="0021003E" w:rsidP="0021003E">
            <w:pPr>
              <w:spacing w:before="0" w:after="0" w:line="240" w:lineRule="auto"/>
              <w:jc w:val="right"/>
              <w:rPr>
                <w:rFonts w:ascii="Arial" w:hAnsi="Arial" w:cs="Arial"/>
                <w:color w:val="000000"/>
                <w:sz w:val="16"/>
                <w:szCs w:val="16"/>
              </w:rPr>
            </w:pPr>
            <w:r w:rsidRPr="0021003E">
              <w:rPr>
                <w:rFonts w:ascii="Arial" w:hAnsi="Arial" w:cs="Arial"/>
                <w:color w:val="000000"/>
                <w:sz w:val="16"/>
                <w:szCs w:val="16"/>
              </w:rPr>
              <w:t>299</w:t>
            </w:r>
          </w:p>
        </w:tc>
      </w:tr>
      <w:tr w:rsidR="0021003E" w:rsidRPr="0021003E" w14:paraId="188F1C1F" w14:textId="77777777" w:rsidTr="0021003E">
        <w:trPr>
          <w:trHeight w:hRule="exact" w:val="224"/>
        </w:trPr>
        <w:tc>
          <w:tcPr>
            <w:tcW w:w="2183" w:type="pct"/>
            <w:tcBorders>
              <w:top w:val="nil"/>
              <w:left w:val="nil"/>
              <w:bottom w:val="nil"/>
              <w:right w:val="nil"/>
            </w:tcBorders>
            <w:shd w:val="clear" w:color="000000" w:fill="FFFFFF"/>
            <w:noWrap/>
            <w:vAlign w:val="center"/>
            <w:hideMark/>
          </w:tcPr>
          <w:p w14:paraId="33EB9711" w14:textId="77777777" w:rsidR="0021003E" w:rsidRPr="0021003E" w:rsidRDefault="0021003E" w:rsidP="0021003E">
            <w:pPr>
              <w:spacing w:before="0" w:after="0" w:line="240" w:lineRule="auto"/>
              <w:ind w:left="170"/>
              <w:rPr>
                <w:rFonts w:ascii="Arial" w:hAnsi="Arial" w:cs="Arial"/>
                <w:color w:val="000000"/>
                <w:sz w:val="16"/>
                <w:szCs w:val="16"/>
              </w:rPr>
            </w:pPr>
            <w:r w:rsidRPr="0021003E">
              <w:rPr>
                <w:rFonts w:ascii="Arial" w:hAnsi="Arial" w:cs="Arial"/>
                <w:color w:val="000000"/>
                <w:sz w:val="16"/>
                <w:szCs w:val="16"/>
              </w:rPr>
              <w:t>Australian Competition and</w:t>
            </w:r>
          </w:p>
        </w:tc>
        <w:tc>
          <w:tcPr>
            <w:tcW w:w="68" w:type="pct"/>
            <w:tcBorders>
              <w:top w:val="nil"/>
              <w:left w:val="nil"/>
              <w:bottom w:val="nil"/>
              <w:right w:val="nil"/>
            </w:tcBorders>
            <w:shd w:val="clear" w:color="000000" w:fill="FFFFFF"/>
            <w:noWrap/>
            <w:vAlign w:val="center"/>
            <w:hideMark/>
          </w:tcPr>
          <w:p w14:paraId="700F4296" w14:textId="77777777" w:rsidR="0021003E" w:rsidRPr="0021003E" w:rsidRDefault="0021003E" w:rsidP="0021003E">
            <w:pPr>
              <w:spacing w:before="0" w:after="0" w:line="240" w:lineRule="auto"/>
              <w:rPr>
                <w:rFonts w:ascii="Arial" w:hAnsi="Arial" w:cs="Arial"/>
                <w:color w:val="000000"/>
                <w:sz w:val="16"/>
                <w:szCs w:val="16"/>
              </w:rPr>
            </w:pPr>
            <w:r w:rsidRPr="0021003E">
              <w:rPr>
                <w:rFonts w:ascii="Arial" w:hAnsi="Arial" w:cs="Arial"/>
                <w:color w:val="000000"/>
                <w:sz w:val="16"/>
                <w:szCs w:val="16"/>
              </w:rPr>
              <w:t> </w:t>
            </w:r>
          </w:p>
        </w:tc>
        <w:tc>
          <w:tcPr>
            <w:tcW w:w="550" w:type="pct"/>
            <w:tcBorders>
              <w:top w:val="nil"/>
              <w:left w:val="nil"/>
              <w:bottom w:val="nil"/>
              <w:right w:val="nil"/>
            </w:tcBorders>
            <w:shd w:val="clear" w:color="000000" w:fill="FFFFFF"/>
            <w:noWrap/>
            <w:vAlign w:val="center"/>
            <w:hideMark/>
          </w:tcPr>
          <w:p w14:paraId="147A656A" w14:textId="77777777" w:rsidR="0021003E" w:rsidRPr="0021003E" w:rsidRDefault="0021003E" w:rsidP="0021003E">
            <w:pPr>
              <w:spacing w:before="0" w:after="0" w:line="240" w:lineRule="auto"/>
              <w:rPr>
                <w:rFonts w:ascii="Arial" w:hAnsi="Arial" w:cs="Arial"/>
                <w:color w:val="000000"/>
                <w:sz w:val="16"/>
                <w:szCs w:val="16"/>
              </w:rPr>
            </w:pPr>
            <w:r w:rsidRPr="0021003E">
              <w:rPr>
                <w:rFonts w:ascii="Arial" w:hAnsi="Arial" w:cs="Arial"/>
                <w:color w:val="000000"/>
                <w:sz w:val="16"/>
                <w:szCs w:val="16"/>
              </w:rPr>
              <w:t> </w:t>
            </w:r>
          </w:p>
        </w:tc>
        <w:tc>
          <w:tcPr>
            <w:tcW w:w="550" w:type="pct"/>
            <w:tcBorders>
              <w:top w:val="nil"/>
              <w:left w:val="nil"/>
              <w:bottom w:val="nil"/>
              <w:right w:val="nil"/>
            </w:tcBorders>
            <w:shd w:val="clear" w:color="000000" w:fill="E6F2FF"/>
            <w:noWrap/>
            <w:vAlign w:val="center"/>
            <w:hideMark/>
          </w:tcPr>
          <w:p w14:paraId="36913CCB" w14:textId="77777777" w:rsidR="0021003E" w:rsidRPr="0021003E" w:rsidRDefault="0021003E" w:rsidP="0021003E">
            <w:pPr>
              <w:spacing w:before="0" w:after="0" w:line="240" w:lineRule="auto"/>
              <w:rPr>
                <w:rFonts w:ascii="Arial" w:hAnsi="Arial" w:cs="Arial"/>
                <w:color w:val="000000"/>
                <w:sz w:val="16"/>
                <w:szCs w:val="16"/>
              </w:rPr>
            </w:pPr>
            <w:r w:rsidRPr="0021003E">
              <w:rPr>
                <w:rFonts w:ascii="Arial" w:hAnsi="Arial" w:cs="Arial"/>
                <w:color w:val="000000"/>
                <w:sz w:val="16"/>
                <w:szCs w:val="16"/>
              </w:rPr>
              <w:t> </w:t>
            </w:r>
          </w:p>
        </w:tc>
        <w:tc>
          <w:tcPr>
            <w:tcW w:w="550" w:type="pct"/>
            <w:tcBorders>
              <w:top w:val="nil"/>
              <w:left w:val="nil"/>
              <w:bottom w:val="nil"/>
              <w:right w:val="nil"/>
            </w:tcBorders>
            <w:shd w:val="clear" w:color="000000" w:fill="FFFFFF"/>
            <w:noWrap/>
            <w:vAlign w:val="center"/>
            <w:hideMark/>
          </w:tcPr>
          <w:p w14:paraId="7CD614CE" w14:textId="77777777" w:rsidR="0021003E" w:rsidRPr="0021003E" w:rsidRDefault="0021003E" w:rsidP="0021003E">
            <w:pPr>
              <w:spacing w:before="0" w:after="0" w:line="240" w:lineRule="auto"/>
              <w:rPr>
                <w:rFonts w:ascii="Arial" w:hAnsi="Arial" w:cs="Arial"/>
                <w:color w:val="000000"/>
                <w:sz w:val="16"/>
                <w:szCs w:val="16"/>
              </w:rPr>
            </w:pPr>
            <w:r w:rsidRPr="0021003E">
              <w:rPr>
                <w:rFonts w:ascii="Arial" w:hAnsi="Arial" w:cs="Arial"/>
                <w:color w:val="000000"/>
                <w:sz w:val="16"/>
                <w:szCs w:val="16"/>
              </w:rPr>
              <w:t> </w:t>
            </w:r>
          </w:p>
        </w:tc>
        <w:tc>
          <w:tcPr>
            <w:tcW w:w="550" w:type="pct"/>
            <w:tcBorders>
              <w:top w:val="nil"/>
              <w:left w:val="nil"/>
              <w:bottom w:val="nil"/>
              <w:right w:val="nil"/>
            </w:tcBorders>
            <w:shd w:val="clear" w:color="000000" w:fill="FFFFFF"/>
            <w:noWrap/>
            <w:vAlign w:val="center"/>
            <w:hideMark/>
          </w:tcPr>
          <w:p w14:paraId="3BE9139B" w14:textId="77777777" w:rsidR="0021003E" w:rsidRPr="0021003E" w:rsidRDefault="0021003E" w:rsidP="0021003E">
            <w:pPr>
              <w:spacing w:before="0" w:after="0" w:line="240" w:lineRule="auto"/>
              <w:rPr>
                <w:rFonts w:ascii="Arial" w:hAnsi="Arial" w:cs="Arial"/>
                <w:color w:val="000000"/>
                <w:sz w:val="16"/>
                <w:szCs w:val="16"/>
              </w:rPr>
            </w:pPr>
            <w:r w:rsidRPr="0021003E">
              <w:rPr>
                <w:rFonts w:ascii="Arial" w:hAnsi="Arial" w:cs="Arial"/>
                <w:color w:val="000000"/>
                <w:sz w:val="16"/>
                <w:szCs w:val="16"/>
              </w:rPr>
              <w:t> </w:t>
            </w:r>
          </w:p>
        </w:tc>
        <w:tc>
          <w:tcPr>
            <w:tcW w:w="550" w:type="pct"/>
            <w:tcBorders>
              <w:top w:val="nil"/>
              <w:left w:val="nil"/>
              <w:bottom w:val="nil"/>
              <w:right w:val="nil"/>
            </w:tcBorders>
            <w:shd w:val="clear" w:color="000000" w:fill="FFFFFF"/>
            <w:noWrap/>
            <w:vAlign w:val="center"/>
            <w:hideMark/>
          </w:tcPr>
          <w:p w14:paraId="77A1E305" w14:textId="77777777" w:rsidR="0021003E" w:rsidRPr="0021003E" w:rsidRDefault="0021003E" w:rsidP="0021003E">
            <w:pPr>
              <w:spacing w:before="0" w:after="0" w:line="240" w:lineRule="auto"/>
              <w:rPr>
                <w:rFonts w:ascii="Arial" w:hAnsi="Arial" w:cs="Arial"/>
                <w:color w:val="000000"/>
                <w:sz w:val="16"/>
                <w:szCs w:val="16"/>
              </w:rPr>
            </w:pPr>
            <w:r w:rsidRPr="0021003E">
              <w:rPr>
                <w:rFonts w:ascii="Arial" w:hAnsi="Arial" w:cs="Arial"/>
                <w:color w:val="000000"/>
                <w:sz w:val="16"/>
                <w:szCs w:val="16"/>
              </w:rPr>
              <w:t> </w:t>
            </w:r>
          </w:p>
        </w:tc>
      </w:tr>
      <w:tr w:rsidR="0021003E" w:rsidRPr="0021003E" w14:paraId="47FF5526" w14:textId="77777777" w:rsidTr="0021003E">
        <w:trPr>
          <w:trHeight w:hRule="exact" w:val="224"/>
        </w:trPr>
        <w:tc>
          <w:tcPr>
            <w:tcW w:w="2183" w:type="pct"/>
            <w:tcBorders>
              <w:top w:val="nil"/>
              <w:left w:val="nil"/>
              <w:bottom w:val="nil"/>
              <w:right w:val="nil"/>
            </w:tcBorders>
            <w:shd w:val="clear" w:color="000000" w:fill="FFFFFF"/>
            <w:noWrap/>
            <w:vAlign w:val="center"/>
            <w:hideMark/>
          </w:tcPr>
          <w:p w14:paraId="45369AEB" w14:textId="77777777" w:rsidR="0021003E" w:rsidRPr="0021003E" w:rsidRDefault="0021003E" w:rsidP="0021003E">
            <w:pPr>
              <w:spacing w:before="0" w:after="0" w:line="240" w:lineRule="auto"/>
              <w:ind w:left="340"/>
              <w:rPr>
                <w:rFonts w:ascii="Arial" w:hAnsi="Arial" w:cs="Arial"/>
                <w:color w:val="000000"/>
                <w:sz w:val="16"/>
                <w:szCs w:val="16"/>
              </w:rPr>
            </w:pPr>
            <w:r w:rsidRPr="0021003E">
              <w:rPr>
                <w:rFonts w:ascii="Arial" w:hAnsi="Arial" w:cs="Arial"/>
                <w:color w:val="000000"/>
                <w:sz w:val="16"/>
                <w:szCs w:val="16"/>
              </w:rPr>
              <w:t>Consumer Commission</w:t>
            </w:r>
          </w:p>
        </w:tc>
        <w:tc>
          <w:tcPr>
            <w:tcW w:w="68" w:type="pct"/>
            <w:tcBorders>
              <w:top w:val="nil"/>
              <w:left w:val="nil"/>
              <w:bottom w:val="nil"/>
              <w:right w:val="nil"/>
            </w:tcBorders>
            <w:shd w:val="clear" w:color="000000" w:fill="FFFFFF"/>
            <w:noWrap/>
            <w:vAlign w:val="center"/>
            <w:hideMark/>
          </w:tcPr>
          <w:p w14:paraId="5AE1F20D" w14:textId="77777777" w:rsidR="0021003E" w:rsidRPr="0021003E" w:rsidRDefault="0021003E" w:rsidP="0021003E">
            <w:pPr>
              <w:spacing w:before="0" w:after="0" w:line="240" w:lineRule="auto"/>
              <w:rPr>
                <w:rFonts w:ascii="Arial" w:hAnsi="Arial" w:cs="Arial"/>
                <w:color w:val="000000"/>
                <w:sz w:val="16"/>
                <w:szCs w:val="16"/>
              </w:rPr>
            </w:pPr>
            <w:r w:rsidRPr="0021003E">
              <w:rPr>
                <w:rFonts w:ascii="Arial" w:hAnsi="Arial" w:cs="Arial"/>
                <w:color w:val="000000"/>
                <w:sz w:val="16"/>
                <w:szCs w:val="16"/>
              </w:rPr>
              <w:t> </w:t>
            </w:r>
          </w:p>
        </w:tc>
        <w:tc>
          <w:tcPr>
            <w:tcW w:w="550" w:type="pct"/>
            <w:tcBorders>
              <w:top w:val="nil"/>
              <w:left w:val="nil"/>
              <w:bottom w:val="nil"/>
              <w:right w:val="nil"/>
            </w:tcBorders>
            <w:shd w:val="clear" w:color="000000" w:fill="FFFFFF"/>
            <w:noWrap/>
            <w:vAlign w:val="center"/>
            <w:hideMark/>
          </w:tcPr>
          <w:p w14:paraId="290FBDE8" w14:textId="77777777" w:rsidR="0021003E" w:rsidRPr="0021003E" w:rsidRDefault="0021003E" w:rsidP="0021003E">
            <w:pPr>
              <w:spacing w:before="0" w:after="0" w:line="240" w:lineRule="auto"/>
              <w:jc w:val="right"/>
              <w:rPr>
                <w:rFonts w:ascii="Arial" w:hAnsi="Arial" w:cs="Arial"/>
                <w:color w:val="000000"/>
                <w:sz w:val="16"/>
                <w:szCs w:val="16"/>
              </w:rPr>
            </w:pPr>
            <w:r w:rsidRPr="0021003E">
              <w:rPr>
                <w:rFonts w:ascii="Arial" w:hAnsi="Arial" w:cs="Arial"/>
                <w:color w:val="000000"/>
                <w:sz w:val="16"/>
                <w:szCs w:val="16"/>
              </w:rPr>
              <w:t>266</w:t>
            </w:r>
          </w:p>
        </w:tc>
        <w:tc>
          <w:tcPr>
            <w:tcW w:w="550" w:type="pct"/>
            <w:tcBorders>
              <w:top w:val="nil"/>
              <w:left w:val="nil"/>
              <w:bottom w:val="nil"/>
              <w:right w:val="nil"/>
            </w:tcBorders>
            <w:shd w:val="clear" w:color="000000" w:fill="E6F2FF"/>
            <w:noWrap/>
            <w:vAlign w:val="center"/>
            <w:hideMark/>
          </w:tcPr>
          <w:p w14:paraId="5BF5374F" w14:textId="77777777" w:rsidR="0021003E" w:rsidRPr="0021003E" w:rsidRDefault="0021003E" w:rsidP="0021003E">
            <w:pPr>
              <w:spacing w:before="0" w:after="0" w:line="240" w:lineRule="auto"/>
              <w:jc w:val="right"/>
              <w:rPr>
                <w:rFonts w:ascii="Arial" w:hAnsi="Arial" w:cs="Arial"/>
                <w:color w:val="000000"/>
                <w:sz w:val="16"/>
                <w:szCs w:val="16"/>
              </w:rPr>
            </w:pPr>
            <w:r w:rsidRPr="0021003E">
              <w:rPr>
                <w:rFonts w:ascii="Arial" w:hAnsi="Arial" w:cs="Arial"/>
                <w:color w:val="000000"/>
                <w:sz w:val="16"/>
                <w:szCs w:val="16"/>
              </w:rPr>
              <w:t>301</w:t>
            </w:r>
          </w:p>
        </w:tc>
        <w:tc>
          <w:tcPr>
            <w:tcW w:w="550" w:type="pct"/>
            <w:tcBorders>
              <w:top w:val="nil"/>
              <w:left w:val="nil"/>
              <w:bottom w:val="nil"/>
              <w:right w:val="nil"/>
            </w:tcBorders>
            <w:shd w:val="clear" w:color="000000" w:fill="FFFFFF"/>
            <w:noWrap/>
            <w:vAlign w:val="center"/>
            <w:hideMark/>
          </w:tcPr>
          <w:p w14:paraId="6957BD38" w14:textId="77777777" w:rsidR="0021003E" w:rsidRPr="0021003E" w:rsidRDefault="0021003E" w:rsidP="0021003E">
            <w:pPr>
              <w:spacing w:before="0" w:after="0" w:line="240" w:lineRule="auto"/>
              <w:jc w:val="right"/>
              <w:rPr>
                <w:rFonts w:ascii="Arial" w:hAnsi="Arial" w:cs="Arial"/>
                <w:color w:val="000000"/>
                <w:sz w:val="16"/>
                <w:szCs w:val="16"/>
              </w:rPr>
            </w:pPr>
            <w:r w:rsidRPr="0021003E">
              <w:rPr>
                <w:rFonts w:ascii="Arial" w:hAnsi="Arial" w:cs="Arial"/>
                <w:color w:val="000000"/>
                <w:sz w:val="16"/>
                <w:szCs w:val="16"/>
              </w:rPr>
              <w:t>250</w:t>
            </w:r>
          </w:p>
        </w:tc>
        <w:tc>
          <w:tcPr>
            <w:tcW w:w="550" w:type="pct"/>
            <w:tcBorders>
              <w:top w:val="nil"/>
              <w:left w:val="nil"/>
              <w:bottom w:val="nil"/>
              <w:right w:val="nil"/>
            </w:tcBorders>
            <w:shd w:val="clear" w:color="000000" w:fill="FFFFFF"/>
            <w:noWrap/>
            <w:vAlign w:val="center"/>
            <w:hideMark/>
          </w:tcPr>
          <w:p w14:paraId="66030048" w14:textId="77777777" w:rsidR="0021003E" w:rsidRPr="0021003E" w:rsidRDefault="0021003E" w:rsidP="0021003E">
            <w:pPr>
              <w:spacing w:before="0" w:after="0" w:line="240" w:lineRule="auto"/>
              <w:jc w:val="right"/>
              <w:rPr>
                <w:rFonts w:ascii="Arial" w:hAnsi="Arial" w:cs="Arial"/>
                <w:color w:val="000000"/>
                <w:sz w:val="16"/>
                <w:szCs w:val="16"/>
              </w:rPr>
            </w:pPr>
            <w:r w:rsidRPr="0021003E">
              <w:rPr>
                <w:rFonts w:ascii="Arial" w:hAnsi="Arial" w:cs="Arial"/>
                <w:color w:val="000000"/>
                <w:sz w:val="16"/>
                <w:szCs w:val="16"/>
              </w:rPr>
              <w:t>212</w:t>
            </w:r>
          </w:p>
        </w:tc>
        <w:tc>
          <w:tcPr>
            <w:tcW w:w="550" w:type="pct"/>
            <w:tcBorders>
              <w:top w:val="nil"/>
              <w:left w:val="nil"/>
              <w:bottom w:val="nil"/>
              <w:right w:val="nil"/>
            </w:tcBorders>
            <w:shd w:val="clear" w:color="000000" w:fill="FFFFFF"/>
            <w:noWrap/>
            <w:vAlign w:val="center"/>
            <w:hideMark/>
          </w:tcPr>
          <w:p w14:paraId="1C2EBC6D" w14:textId="77777777" w:rsidR="0021003E" w:rsidRPr="0021003E" w:rsidRDefault="0021003E" w:rsidP="0021003E">
            <w:pPr>
              <w:spacing w:before="0" w:after="0" w:line="240" w:lineRule="auto"/>
              <w:jc w:val="right"/>
              <w:rPr>
                <w:rFonts w:ascii="Arial" w:hAnsi="Arial" w:cs="Arial"/>
                <w:color w:val="000000"/>
                <w:sz w:val="16"/>
                <w:szCs w:val="16"/>
              </w:rPr>
            </w:pPr>
            <w:r w:rsidRPr="0021003E">
              <w:rPr>
                <w:rFonts w:ascii="Arial" w:hAnsi="Arial" w:cs="Arial"/>
                <w:color w:val="000000"/>
                <w:sz w:val="16"/>
                <w:szCs w:val="16"/>
              </w:rPr>
              <w:t>210</w:t>
            </w:r>
          </w:p>
        </w:tc>
      </w:tr>
      <w:tr w:rsidR="0021003E" w:rsidRPr="0021003E" w14:paraId="1E64F2FD" w14:textId="77777777" w:rsidTr="0021003E">
        <w:trPr>
          <w:trHeight w:hRule="exact" w:val="224"/>
        </w:trPr>
        <w:tc>
          <w:tcPr>
            <w:tcW w:w="2183" w:type="pct"/>
            <w:tcBorders>
              <w:top w:val="nil"/>
              <w:left w:val="nil"/>
              <w:bottom w:val="nil"/>
              <w:right w:val="nil"/>
            </w:tcBorders>
            <w:shd w:val="clear" w:color="000000" w:fill="FFFFFF"/>
            <w:noWrap/>
            <w:vAlign w:val="center"/>
            <w:hideMark/>
          </w:tcPr>
          <w:p w14:paraId="29726B72" w14:textId="77777777" w:rsidR="0021003E" w:rsidRPr="0021003E" w:rsidRDefault="0021003E" w:rsidP="0021003E">
            <w:pPr>
              <w:spacing w:before="0" w:after="0" w:line="240" w:lineRule="auto"/>
              <w:ind w:left="170"/>
              <w:rPr>
                <w:rFonts w:ascii="Arial" w:hAnsi="Arial" w:cs="Arial"/>
                <w:color w:val="000000"/>
                <w:sz w:val="16"/>
                <w:szCs w:val="16"/>
              </w:rPr>
            </w:pPr>
            <w:r w:rsidRPr="0021003E">
              <w:rPr>
                <w:rFonts w:ascii="Arial" w:hAnsi="Arial" w:cs="Arial"/>
                <w:color w:val="000000"/>
                <w:sz w:val="16"/>
                <w:szCs w:val="16"/>
              </w:rPr>
              <w:t>Australian Prudential Regulation</w:t>
            </w:r>
          </w:p>
        </w:tc>
        <w:tc>
          <w:tcPr>
            <w:tcW w:w="68" w:type="pct"/>
            <w:tcBorders>
              <w:top w:val="nil"/>
              <w:left w:val="nil"/>
              <w:bottom w:val="nil"/>
              <w:right w:val="nil"/>
            </w:tcBorders>
            <w:shd w:val="clear" w:color="000000" w:fill="FFFFFF"/>
            <w:noWrap/>
            <w:vAlign w:val="center"/>
            <w:hideMark/>
          </w:tcPr>
          <w:p w14:paraId="2590C9AF" w14:textId="77777777" w:rsidR="0021003E" w:rsidRPr="0021003E" w:rsidRDefault="0021003E" w:rsidP="0021003E">
            <w:pPr>
              <w:spacing w:before="0" w:after="0" w:line="240" w:lineRule="auto"/>
              <w:rPr>
                <w:rFonts w:ascii="Arial" w:hAnsi="Arial" w:cs="Arial"/>
                <w:color w:val="000000"/>
                <w:sz w:val="16"/>
                <w:szCs w:val="16"/>
              </w:rPr>
            </w:pPr>
            <w:r w:rsidRPr="0021003E">
              <w:rPr>
                <w:rFonts w:ascii="Arial" w:hAnsi="Arial" w:cs="Arial"/>
                <w:color w:val="000000"/>
                <w:sz w:val="16"/>
                <w:szCs w:val="16"/>
              </w:rPr>
              <w:t> </w:t>
            </w:r>
          </w:p>
        </w:tc>
        <w:tc>
          <w:tcPr>
            <w:tcW w:w="550" w:type="pct"/>
            <w:tcBorders>
              <w:top w:val="nil"/>
              <w:left w:val="nil"/>
              <w:bottom w:val="nil"/>
              <w:right w:val="nil"/>
            </w:tcBorders>
            <w:shd w:val="clear" w:color="000000" w:fill="FFFFFF"/>
            <w:noWrap/>
            <w:vAlign w:val="center"/>
            <w:hideMark/>
          </w:tcPr>
          <w:p w14:paraId="3E960D2D" w14:textId="77777777" w:rsidR="0021003E" w:rsidRPr="0021003E" w:rsidRDefault="0021003E" w:rsidP="0021003E">
            <w:pPr>
              <w:spacing w:before="0" w:after="0" w:line="240" w:lineRule="auto"/>
              <w:rPr>
                <w:rFonts w:ascii="Arial" w:hAnsi="Arial" w:cs="Arial"/>
                <w:color w:val="000000"/>
                <w:sz w:val="16"/>
                <w:szCs w:val="16"/>
              </w:rPr>
            </w:pPr>
            <w:r w:rsidRPr="0021003E">
              <w:rPr>
                <w:rFonts w:ascii="Arial" w:hAnsi="Arial" w:cs="Arial"/>
                <w:color w:val="000000"/>
                <w:sz w:val="16"/>
                <w:szCs w:val="16"/>
              </w:rPr>
              <w:t> </w:t>
            </w:r>
          </w:p>
        </w:tc>
        <w:tc>
          <w:tcPr>
            <w:tcW w:w="550" w:type="pct"/>
            <w:tcBorders>
              <w:top w:val="nil"/>
              <w:left w:val="nil"/>
              <w:bottom w:val="nil"/>
              <w:right w:val="nil"/>
            </w:tcBorders>
            <w:shd w:val="clear" w:color="000000" w:fill="E6F2FF"/>
            <w:noWrap/>
            <w:vAlign w:val="center"/>
            <w:hideMark/>
          </w:tcPr>
          <w:p w14:paraId="1D843F95" w14:textId="77777777" w:rsidR="0021003E" w:rsidRPr="0021003E" w:rsidRDefault="0021003E" w:rsidP="0021003E">
            <w:pPr>
              <w:spacing w:before="0" w:after="0" w:line="240" w:lineRule="auto"/>
              <w:rPr>
                <w:rFonts w:ascii="Arial" w:hAnsi="Arial" w:cs="Arial"/>
                <w:color w:val="000000"/>
                <w:sz w:val="16"/>
                <w:szCs w:val="16"/>
              </w:rPr>
            </w:pPr>
            <w:r w:rsidRPr="0021003E">
              <w:rPr>
                <w:rFonts w:ascii="Arial" w:hAnsi="Arial" w:cs="Arial"/>
                <w:color w:val="000000"/>
                <w:sz w:val="16"/>
                <w:szCs w:val="16"/>
              </w:rPr>
              <w:t> </w:t>
            </w:r>
          </w:p>
        </w:tc>
        <w:tc>
          <w:tcPr>
            <w:tcW w:w="550" w:type="pct"/>
            <w:tcBorders>
              <w:top w:val="nil"/>
              <w:left w:val="nil"/>
              <w:bottom w:val="nil"/>
              <w:right w:val="nil"/>
            </w:tcBorders>
            <w:shd w:val="clear" w:color="000000" w:fill="FFFFFF"/>
            <w:noWrap/>
            <w:vAlign w:val="center"/>
            <w:hideMark/>
          </w:tcPr>
          <w:p w14:paraId="7587EE7F" w14:textId="77777777" w:rsidR="0021003E" w:rsidRPr="0021003E" w:rsidRDefault="0021003E" w:rsidP="0021003E">
            <w:pPr>
              <w:spacing w:before="0" w:after="0" w:line="240" w:lineRule="auto"/>
              <w:rPr>
                <w:rFonts w:ascii="Arial" w:hAnsi="Arial" w:cs="Arial"/>
                <w:color w:val="000000"/>
                <w:sz w:val="16"/>
                <w:szCs w:val="16"/>
              </w:rPr>
            </w:pPr>
            <w:r w:rsidRPr="0021003E">
              <w:rPr>
                <w:rFonts w:ascii="Arial" w:hAnsi="Arial" w:cs="Arial"/>
                <w:color w:val="000000"/>
                <w:sz w:val="16"/>
                <w:szCs w:val="16"/>
              </w:rPr>
              <w:t> </w:t>
            </w:r>
          </w:p>
        </w:tc>
        <w:tc>
          <w:tcPr>
            <w:tcW w:w="550" w:type="pct"/>
            <w:tcBorders>
              <w:top w:val="nil"/>
              <w:left w:val="nil"/>
              <w:bottom w:val="nil"/>
              <w:right w:val="nil"/>
            </w:tcBorders>
            <w:shd w:val="clear" w:color="000000" w:fill="FFFFFF"/>
            <w:noWrap/>
            <w:vAlign w:val="center"/>
            <w:hideMark/>
          </w:tcPr>
          <w:p w14:paraId="7AD58741" w14:textId="77777777" w:rsidR="0021003E" w:rsidRPr="0021003E" w:rsidRDefault="0021003E" w:rsidP="0021003E">
            <w:pPr>
              <w:spacing w:before="0" w:after="0" w:line="240" w:lineRule="auto"/>
              <w:rPr>
                <w:rFonts w:ascii="Arial" w:hAnsi="Arial" w:cs="Arial"/>
                <w:color w:val="000000"/>
                <w:sz w:val="16"/>
                <w:szCs w:val="16"/>
              </w:rPr>
            </w:pPr>
            <w:r w:rsidRPr="0021003E">
              <w:rPr>
                <w:rFonts w:ascii="Arial" w:hAnsi="Arial" w:cs="Arial"/>
                <w:color w:val="000000"/>
                <w:sz w:val="16"/>
                <w:szCs w:val="16"/>
              </w:rPr>
              <w:t> </w:t>
            </w:r>
          </w:p>
        </w:tc>
        <w:tc>
          <w:tcPr>
            <w:tcW w:w="550" w:type="pct"/>
            <w:tcBorders>
              <w:top w:val="nil"/>
              <w:left w:val="nil"/>
              <w:bottom w:val="nil"/>
              <w:right w:val="nil"/>
            </w:tcBorders>
            <w:shd w:val="clear" w:color="000000" w:fill="FFFFFF"/>
            <w:noWrap/>
            <w:vAlign w:val="center"/>
            <w:hideMark/>
          </w:tcPr>
          <w:p w14:paraId="6CB2B209" w14:textId="77777777" w:rsidR="0021003E" w:rsidRPr="0021003E" w:rsidRDefault="0021003E" w:rsidP="0021003E">
            <w:pPr>
              <w:spacing w:before="0" w:after="0" w:line="240" w:lineRule="auto"/>
              <w:rPr>
                <w:rFonts w:ascii="Arial" w:hAnsi="Arial" w:cs="Arial"/>
                <w:color w:val="000000"/>
                <w:sz w:val="16"/>
                <w:szCs w:val="16"/>
              </w:rPr>
            </w:pPr>
            <w:r w:rsidRPr="0021003E">
              <w:rPr>
                <w:rFonts w:ascii="Arial" w:hAnsi="Arial" w:cs="Arial"/>
                <w:color w:val="000000"/>
                <w:sz w:val="16"/>
                <w:szCs w:val="16"/>
              </w:rPr>
              <w:t> </w:t>
            </w:r>
          </w:p>
        </w:tc>
      </w:tr>
      <w:tr w:rsidR="0021003E" w:rsidRPr="0021003E" w14:paraId="07B86480" w14:textId="77777777" w:rsidTr="0021003E">
        <w:trPr>
          <w:trHeight w:hRule="exact" w:val="224"/>
        </w:trPr>
        <w:tc>
          <w:tcPr>
            <w:tcW w:w="2183" w:type="pct"/>
            <w:tcBorders>
              <w:top w:val="nil"/>
              <w:left w:val="nil"/>
              <w:bottom w:val="nil"/>
              <w:right w:val="nil"/>
            </w:tcBorders>
            <w:shd w:val="clear" w:color="000000" w:fill="FFFFFF"/>
            <w:noWrap/>
            <w:vAlign w:val="center"/>
            <w:hideMark/>
          </w:tcPr>
          <w:p w14:paraId="21CAA728" w14:textId="77777777" w:rsidR="0021003E" w:rsidRPr="0021003E" w:rsidRDefault="0021003E" w:rsidP="0021003E">
            <w:pPr>
              <w:spacing w:before="0" w:after="0" w:line="240" w:lineRule="auto"/>
              <w:ind w:left="340"/>
              <w:rPr>
                <w:rFonts w:ascii="Arial" w:hAnsi="Arial" w:cs="Arial"/>
                <w:color w:val="000000"/>
                <w:sz w:val="16"/>
                <w:szCs w:val="16"/>
              </w:rPr>
            </w:pPr>
            <w:r w:rsidRPr="0021003E">
              <w:rPr>
                <w:rFonts w:ascii="Arial" w:hAnsi="Arial" w:cs="Arial"/>
                <w:color w:val="000000"/>
                <w:sz w:val="16"/>
                <w:szCs w:val="16"/>
              </w:rPr>
              <w:t>Authority</w:t>
            </w:r>
          </w:p>
        </w:tc>
        <w:tc>
          <w:tcPr>
            <w:tcW w:w="68" w:type="pct"/>
            <w:tcBorders>
              <w:top w:val="nil"/>
              <w:left w:val="nil"/>
              <w:bottom w:val="nil"/>
              <w:right w:val="nil"/>
            </w:tcBorders>
            <w:shd w:val="clear" w:color="000000" w:fill="FFFFFF"/>
            <w:noWrap/>
            <w:vAlign w:val="center"/>
            <w:hideMark/>
          </w:tcPr>
          <w:p w14:paraId="767B7BCD" w14:textId="77777777" w:rsidR="0021003E" w:rsidRPr="0021003E" w:rsidRDefault="0021003E" w:rsidP="0021003E">
            <w:pPr>
              <w:spacing w:before="0" w:after="0" w:line="240" w:lineRule="auto"/>
              <w:rPr>
                <w:rFonts w:ascii="Arial" w:hAnsi="Arial" w:cs="Arial"/>
                <w:color w:val="000000"/>
                <w:sz w:val="16"/>
                <w:szCs w:val="16"/>
              </w:rPr>
            </w:pPr>
            <w:r w:rsidRPr="0021003E">
              <w:rPr>
                <w:rFonts w:ascii="Arial" w:hAnsi="Arial" w:cs="Arial"/>
                <w:color w:val="000000"/>
                <w:sz w:val="16"/>
                <w:szCs w:val="16"/>
              </w:rPr>
              <w:t> </w:t>
            </w:r>
          </w:p>
        </w:tc>
        <w:tc>
          <w:tcPr>
            <w:tcW w:w="550" w:type="pct"/>
            <w:tcBorders>
              <w:top w:val="nil"/>
              <w:left w:val="nil"/>
              <w:bottom w:val="nil"/>
              <w:right w:val="nil"/>
            </w:tcBorders>
            <w:shd w:val="clear" w:color="000000" w:fill="FFFFFF"/>
            <w:noWrap/>
            <w:vAlign w:val="center"/>
            <w:hideMark/>
          </w:tcPr>
          <w:p w14:paraId="7A49523E" w14:textId="77777777" w:rsidR="0021003E" w:rsidRPr="0021003E" w:rsidRDefault="0021003E" w:rsidP="0021003E">
            <w:pPr>
              <w:spacing w:before="0" w:after="0" w:line="240" w:lineRule="auto"/>
              <w:jc w:val="right"/>
              <w:rPr>
                <w:rFonts w:ascii="Arial" w:hAnsi="Arial" w:cs="Arial"/>
                <w:color w:val="000000"/>
                <w:sz w:val="16"/>
                <w:szCs w:val="16"/>
              </w:rPr>
            </w:pPr>
            <w:r w:rsidRPr="0021003E">
              <w:rPr>
                <w:rFonts w:ascii="Arial" w:hAnsi="Arial" w:cs="Arial"/>
                <w:color w:val="000000"/>
                <w:sz w:val="16"/>
                <w:szCs w:val="16"/>
              </w:rPr>
              <w:t>239</w:t>
            </w:r>
          </w:p>
        </w:tc>
        <w:tc>
          <w:tcPr>
            <w:tcW w:w="550" w:type="pct"/>
            <w:tcBorders>
              <w:top w:val="nil"/>
              <w:left w:val="nil"/>
              <w:bottom w:val="nil"/>
              <w:right w:val="nil"/>
            </w:tcBorders>
            <w:shd w:val="clear" w:color="000000" w:fill="E6F2FF"/>
            <w:noWrap/>
            <w:vAlign w:val="center"/>
            <w:hideMark/>
          </w:tcPr>
          <w:p w14:paraId="69E50E94" w14:textId="77777777" w:rsidR="0021003E" w:rsidRPr="0021003E" w:rsidRDefault="0021003E" w:rsidP="0021003E">
            <w:pPr>
              <w:spacing w:before="0" w:after="0" w:line="240" w:lineRule="auto"/>
              <w:jc w:val="right"/>
              <w:rPr>
                <w:rFonts w:ascii="Arial" w:hAnsi="Arial" w:cs="Arial"/>
                <w:color w:val="000000"/>
                <w:sz w:val="16"/>
                <w:szCs w:val="16"/>
              </w:rPr>
            </w:pPr>
            <w:r w:rsidRPr="0021003E">
              <w:rPr>
                <w:rFonts w:ascii="Arial" w:hAnsi="Arial" w:cs="Arial"/>
                <w:color w:val="000000"/>
                <w:sz w:val="16"/>
                <w:szCs w:val="16"/>
              </w:rPr>
              <w:t>269</w:t>
            </w:r>
          </w:p>
        </w:tc>
        <w:tc>
          <w:tcPr>
            <w:tcW w:w="550" w:type="pct"/>
            <w:tcBorders>
              <w:top w:val="nil"/>
              <w:left w:val="nil"/>
              <w:bottom w:val="nil"/>
              <w:right w:val="nil"/>
            </w:tcBorders>
            <w:shd w:val="clear" w:color="000000" w:fill="FFFFFF"/>
            <w:noWrap/>
            <w:vAlign w:val="center"/>
            <w:hideMark/>
          </w:tcPr>
          <w:p w14:paraId="136D3FED" w14:textId="77777777" w:rsidR="0021003E" w:rsidRPr="0021003E" w:rsidRDefault="0021003E" w:rsidP="0021003E">
            <w:pPr>
              <w:spacing w:before="0" w:after="0" w:line="240" w:lineRule="auto"/>
              <w:jc w:val="right"/>
              <w:rPr>
                <w:rFonts w:ascii="Arial" w:hAnsi="Arial" w:cs="Arial"/>
                <w:color w:val="000000"/>
                <w:sz w:val="16"/>
                <w:szCs w:val="16"/>
              </w:rPr>
            </w:pPr>
            <w:r w:rsidRPr="0021003E">
              <w:rPr>
                <w:rFonts w:ascii="Arial" w:hAnsi="Arial" w:cs="Arial"/>
                <w:color w:val="000000"/>
                <w:sz w:val="16"/>
                <w:szCs w:val="16"/>
              </w:rPr>
              <w:t>265</w:t>
            </w:r>
          </w:p>
        </w:tc>
        <w:tc>
          <w:tcPr>
            <w:tcW w:w="550" w:type="pct"/>
            <w:tcBorders>
              <w:top w:val="nil"/>
              <w:left w:val="nil"/>
              <w:bottom w:val="nil"/>
              <w:right w:val="nil"/>
            </w:tcBorders>
            <w:shd w:val="clear" w:color="000000" w:fill="FFFFFF"/>
            <w:noWrap/>
            <w:vAlign w:val="center"/>
            <w:hideMark/>
          </w:tcPr>
          <w:p w14:paraId="613A19BF" w14:textId="77777777" w:rsidR="0021003E" w:rsidRPr="0021003E" w:rsidRDefault="0021003E" w:rsidP="0021003E">
            <w:pPr>
              <w:spacing w:before="0" w:after="0" w:line="240" w:lineRule="auto"/>
              <w:jc w:val="right"/>
              <w:rPr>
                <w:rFonts w:ascii="Arial" w:hAnsi="Arial" w:cs="Arial"/>
                <w:color w:val="000000"/>
                <w:sz w:val="16"/>
                <w:szCs w:val="16"/>
              </w:rPr>
            </w:pPr>
            <w:r w:rsidRPr="0021003E">
              <w:rPr>
                <w:rFonts w:ascii="Arial" w:hAnsi="Arial" w:cs="Arial"/>
                <w:color w:val="000000"/>
                <w:sz w:val="16"/>
                <w:szCs w:val="16"/>
              </w:rPr>
              <w:t>255</w:t>
            </w:r>
          </w:p>
        </w:tc>
        <w:tc>
          <w:tcPr>
            <w:tcW w:w="550" w:type="pct"/>
            <w:tcBorders>
              <w:top w:val="nil"/>
              <w:left w:val="nil"/>
              <w:bottom w:val="nil"/>
              <w:right w:val="nil"/>
            </w:tcBorders>
            <w:shd w:val="clear" w:color="000000" w:fill="FFFFFF"/>
            <w:noWrap/>
            <w:vAlign w:val="center"/>
            <w:hideMark/>
          </w:tcPr>
          <w:p w14:paraId="0CFAAC80" w14:textId="77777777" w:rsidR="0021003E" w:rsidRPr="0021003E" w:rsidRDefault="0021003E" w:rsidP="0021003E">
            <w:pPr>
              <w:spacing w:before="0" w:after="0" w:line="240" w:lineRule="auto"/>
              <w:jc w:val="right"/>
              <w:rPr>
                <w:rFonts w:ascii="Arial" w:hAnsi="Arial" w:cs="Arial"/>
                <w:color w:val="000000"/>
                <w:sz w:val="16"/>
                <w:szCs w:val="16"/>
              </w:rPr>
            </w:pPr>
            <w:r w:rsidRPr="0021003E">
              <w:rPr>
                <w:rFonts w:ascii="Arial" w:hAnsi="Arial" w:cs="Arial"/>
                <w:color w:val="000000"/>
                <w:sz w:val="16"/>
                <w:szCs w:val="16"/>
              </w:rPr>
              <w:t>256</w:t>
            </w:r>
          </w:p>
        </w:tc>
      </w:tr>
      <w:tr w:rsidR="0021003E" w:rsidRPr="0021003E" w14:paraId="1865BE6F" w14:textId="77777777" w:rsidTr="0021003E">
        <w:trPr>
          <w:trHeight w:hRule="exact" w:val="226"/>
        </w:trPr>
        <w:tc>
          <w:tcPr>
            <w:tcW w:w="2183" w:type="pct"/>
            <w:tcBorders>
              <w:top w:val="nil"/>
              <w:left w:val="nil"/>
              <w:bottom w:val="nil"/>
              <w:right w:val="nil"/>
            </w:tcBorders>
            <w:shd w:val="clear" w:color="000000" w:fill="FFFFFF"/>
            <w:noWrap/>
            <w:vAlign w:val="center"/>
            <w:hideMark/>
          </w:tcPr>
          <w:p w14:paraId="47F4263E" w14:textId="77777777" w:rsidR="0021003E" w:rsidRPr="0021003E" w:rsidRDefault="0021003E" w:rsidP="0021003E">
            <w:pPr>
              <w:spacing w:before="0" w:after="0" w:line="240" w:lineRule="auto"/>
              <w:rPr>
                <w:rFonts w:ascii="Arial" w:hAnsi="Arial" w:cs="Arial"/>
                <w:color w:val="000000"/>
                <w:sz w:val="16"/>
                <w:szCs w:val="16"/>
              </w:rPr>
            </w:pPr>
            <w:r w:rsidRPr="0021003E">
              <w:rPr>
                <w:rFonts w:ascii="Arial" w:hAnsi="Arial" w:cs="Arial"/>
                <w:color w:val="000000"/>
                <w:sz w:val="16"/>
                <w:szCs w:val="16"/>
              </w:rPr>
              <w:t>Other</w:t>
            </w:r>
          </w:p>
        </w:tc>
        <w:tc>
          <w:tcPr>
            <w:tcW w:w="68" w:type="pct"/>
            <w:tcBorders>
              <w:top w:val="nil"/>
              <w:left w:val="nil"/>
              <w:bottom w:val="nil"/>
              <w:right w:val="nil"/>
            </w:tcBorders>
            <w:shd w:val="clear" w:color="000000" w:fill="FFFFFF"/>
            <w:noWrap/>
            <w:vAlign w:val="center"/>
            <w:hideMark/>
          </w:tcPr>
          <w:p w14:paraId="7C6BE4A6" w14:textId="77777777" w:rsidR="0021003E" w:rsidRPr="0021003E" w:rsidRDefault="0021003E" w:rsidP="0021003E">
            <w:pPr>
              <w:spacing w:before="0" w:after="0" w:line="240" w:lineRule="auto"/>
              <w:rPr>
                <w:rFonts w:ascii="Arial" w:hAnsi="Arial" w:cs="Arial"/>
                <w:color w:val="000000"/>
                <w:sz w:val="16"/>
                <w:szCs w:val="16"/>
              </w:rPr>
            </w:pPr>
            <w:r w:rsidRPr="0021003E">
              <w:rPr>
                <w:rFonts w:ascii="Arial" w:hAnsi="Arial" w:cs="Arial"/>
                <w:color w:val="000000"/>
                <w:sz w:val="16"/>
                <w:szCs w:val="16"/>
              </w:rPr>
              <w:t> </w:t>
            </w:r>
          </w:p>
        </w:tc>
        <w:tc>
          <w:tcPr>
            <w:tcW w:w="550" w:type="pct"/>
            <w:tcBorders>
              <w:top w:val="nil"/>
              <w:left w:val="nil"/>
              <w:bottom w:val="single" w:sz="4" w:space="0" w:color="293F5B"/>
              <w:right w:val="nil"/>
            </w:tcBorders>
            <w:shd w:val="clear" w:color="000000" w:fill="FFFFFF"/>
            <w:noWrap/>
            <w:vAlign w:val="center"/>
            <w:hideMark/>
          </w:tcPr>
          <w:p w14:paraId="522FA31F" w14:textId="77777777" w:rsidR="0021003E" w:rsidRPr="0021003E" w:rsidRDefault="0021003E" w:rsidP="0021003E">
            <w:pPr>
              <w:spacing w:before="0" w:after="0" w:line="240" w:lineRule="auto"/>
              <w:jc w:val="right"/>
              <w:rPr>
                <w:rFonts w:ascii="Arial" w:hAnsi="Arial" w:cs="Arial"/>
                <w:color w:val="000000"/>
                <w:sz w:val="16"/>
                <w:szCs w:val="16"/>
              </w:rPr>
            </w:pPr>
            <w:r w:rsidRPr="0021003E">
              <w:rPr>
                <w:rFonts w:ascii="Arial" w:hAnsi="Arial" w:cs="Arial"/>
                <w:color w:val="000000"/>
                <w:sz w:val="16"/>
                <w:szCs w:val="16"/>
              </w:rPr>
              <w:t>164</w:t>
            </w:r>
          </w:p>
        </w:tc>
        <w:tc>
          <w:tcPr>
            <w:tcW w:w="550" w:type="pct"/>
            <w:tcBorders>
              <w:top w:val="nil"/>
              <w:left w:val="nil"/>
              <w:bottom w:val="single" w:sz="4" w:space="0" w:color="293F5B"/>
              <w:right w:val="nil"/>
            </w:tcBorders>
            <w:shd w:val="clear" w:color="000000" w:fill="E6F2FF"/>
            <w:noWrap/>
            <w:vAlign w:val="center"/>
            <w:hideMark/>
          </w:tcPr>
          <w:p w14:paraId="0891CEFB" w14:textId="77777777" w:rsidR="0021003E" w:rsidRPr="0021003E" w:rsidRDefault="0021003E" w:rsidP="0021003E">
            <w:pPr>
              <w:spacing w:before="0" w:after="0" w:line="240" w:lineRule="auto"/>
              <w:jc w:val="right"/>
              <w:rPr>
                <w:rFonts w:ascii="Arial" w:hAnsi="Arial" w:cs="Arial"/>
                <w:color w:val="000000"/>
                <w:sz w:val="16"/>
                <w:szCs w:val="16"/>
              </w:rPr>
            </w:pPr>
            <w:r w:rsidRPr="0021003E">
              <w:rPr>
                <w:rFonts w:ascii="Arial" w:hAnsi="Arial" w:cs="Arial"/>
                <w:color w:val="000000"/>
                <w:sz w:val="16"/>
                <w:szCs w:val="16"/>
              </w:rPr>
              <w:t>174</w:t>
            </w:r>
          </w:p>
        </w:tc>
        <w:tc>
          <w:tcPr>
            <w:tcW w:w="550" w:type="pct"/>
            <w:tcBorders>
              <w:top w:val="nil"/>
              <w:left w:val="nil"/>
              <w:bottom w:val="single" w:sz="4" w:space="0" w:color="293F5B"/>
              <w:right w:val="nil"/>
            </w:tcBorders>
            <w:shd w:val="clear" w:color="000000" w:fill="FFFFFF"/>
            <w:noWrap/>
            <w:vAlign w:val="center"/>
            <w:hideMark/>
          </w:tcPr>
          <w:p w14:paraId="5CBE2A2E" w14:textId="77777777" w:rsidR="0021003E" w:rsidRPr="0021003E" w:rsidRDefault="0021003E" w:rsidP="0021003E">
            <w:pPr>
              <w:spacing w:before="0" w:after="0" w:line="240" w:lineRule="auto"/>
              <w:jc w:val="right"/>
              <w:rPr>
                <w:rFonts w:ascii="Arial" w:hAnsi="Arial" w:cs="Arial"/>
                <w:color w:val="000000"/>
                <w:sz w:val="16"/>
                <w:szCs w:val="16"/>
              </w:rPr>
            </w:pPr>
            <w:r w:rsidRPr="0021003E">
              <w:rPr>
                <w:rFonts w:ascii="Arial" w:hAnsi="Arial" w:cs="Arial"/>
                <w:color w:val="000000"/>
                <w:sz w:val="16"/>
                <w:szCs w:val="16"/>
              </w:rPr>
              <w:t>160</w:t>
            </w:r>
          </w:p>
        </w:tc>
        <w:tc>
          <w:tcPr>
            <w:tcW w:w="550" w:type="pct"/>
            <w:tcBorders>
              <w:top w:val="nil"/>
              <w:left w:val="nil"/>
              <w:bottom w:val="single" w:sz="4" w:space="0" w:color="293F5B"/>
              <w:right w:val="nil"/>
            </w:tcBorders>
            <w:shd w:val="clear" w:color="000000" w:fill="FFFFFF"/>
            <w:noWrap/>
            <w:vAlign w:val="center"/>
            <w:hideMark/>
          </w:tcPr>
          <w:p w14:paraId="06650CFE" w14:textId="77777777" w:rsidR="0021003E" w:rsidRPr="0021003E" w:rsidRDefault="0021003E" w:rsidP="0021003E">
            <w:pPr>
              <w:spacing w:before="0" w:after="0" w:line="240" w:lineRule="auto"/>
              <w:jc w:val="right"/>
              <w:rPr>
                <w:rFonts w:ascii="Arial" w:hAnsi="Arial" w:cs="Arial"/>
                <w:color w:val="000000"/>
                <w:sz w:val="16"/>
                <w:szCs w:val="16"/>
              </w:rPr>
            </w:pPr>
            <w:r w:rsidRPr="0021003E">
              <w:rPr>
                <w:rFonts w:ascii="Arial" w:hAnsi="Arial" w:cs="Arial"/>
                <w:color w:val="000000"/>
                <w:sz w:val="16"/>
                <w:szCs w:val="16"/>
              </w:rPr>
              <w:t>158</w:t>
            </w:r>
          </w:p>
        </w:tc>
        <w:tc>
          <w:tcPr>
            <w:tcW w:w="550" w:type="pct"/>
            <w:tcBorders>
              <w:top w:val="nil"/>
              <w:left w:val="nil"/>
              <w:bottom w:val="single" w:sz="4" w:space="0" w:color="293F5B"/>
              <w:right w:val="nil"/>
            </w:tcBorders>
            <w:shd w:val="clear" w:color="000000" w:fill="FFFFFF"/>
            <w:noWrap/>
            <w:vAlign w:val="center"/>
            <w:hideMark/>
          </w:tcPr>
          <w:p w14:paraId="6DB01D6D" w14:textId="77777777" w:rsidR="0021003E" w:rsidRPr="0021003E" w:rsidRDefault="0021003E" w:rsidP="0021003E">
            <w:pPr>
              <w:spacing w:before="0" w:after="0" w:line="240" w:lineRule="auto"/>
              <w:jc w:val="right"/>
              <w:rPr>
                <w:rFonts w:ascii="Arial" w:hAnsi="Arial" w:cs="Arial"/>
                <w:color w:val="000000"/>
                <w:sz w:val="16"/>
                <w:szCs w:val="16"/>
              </w:rPr>
            </w:pPr>
            <w:r w:rsidRPr="0021003E">
              <w:rPr>
                <w:rFonts w:ascii="Arial" w:hAnsi="Arial" w:cs="Arial"/>
                <w:color w:val="000000"/>
                <w:sz w:val="16"/>
                <w:szCs w:val="16"/>
              </w:rPr>
              <w:t>160</w:t>
            </w:r>
          </w:p>
        </w:tc>
      </w:tr>
      <w:tr w:rsidR="0021003E" w:rsidRPr="0021003E" w14:paraId="6F1ABC0B" w14:textId="77777777" w:rsidTr="00236E34">
        <w:trPr>
          <w:trHeight w:hRule="exact" w:val="226"/>
        </w:trPr>
        <w:tc>
          <w:tcPr>
            <w:tcW w:w="2183" w:type="pct"/>
            <w:tcBorders>
              <w:top w:val="nil"/>
              <w:left w:val="nil"/>
              <w:bottom w:val="single" w:sz="4" w:space="0" w:color="293F5B"/>
              <w:right w:val="nil"/>
            </w:tcBorders>
            <w:shd w:val="clear" w:color="000000" w:fill="FFFFFF"/>
            <w:noWrap/>
            <w:vAlign w:val="center"/>
            <w:hideMark/>
          </w:tcPr>
          <w:p w14:paraId="12476817" w14:textId="77777777" w:rsidR="0021003E" w:rsidRPr="0021003E" w:rsidRDefault="0021003E" w:rsidP="0021003E">
            <w:pPr>
              <w:spacing w:before="0" w:after="0" w:line="240" w:lineRule="auto"/>
              <w:rPr>
                <w:rFonts w:ascii="Arial" w:hAnsi="Arial" w:cs="Arial"/>
                <w:b/>
                <w:bCs/>
                <w:color w:val="000000"/>
                <w:sz w:val="16"/>
                <w:szCs w:val="16"/>
              </w:rPr>
            </w:pPr>
            <w:r w:rsidRPr="0021003E">
              <w:rPr>
                <w:rFonts w:ascii="Arial" w:hAnsi="Arial" w:cs="Arial"/>
                <w:b/>
                <w:bCs/>
                <w:color w:val="000000"/>
                <w:sz w:val="16"/>
                <w:szCs w:val="16"/>
              </w:rPr>
              <w:t>Total</w:t>
            </w:r>
          </w:p>
        </w:tc>
        <w:tc>
          <w:tcPr>
            <w:tcW w:w="68" w:type="pct"/>
            <w:tcBorders>
              <w:top w:val="nil"/>
              <w:left w:val="nil"/>
              <w:bottom w:val="single" w:sz="4" w:space="0" w:color="293F5B"/>
              <w:right w:val="nil"/>
            </w:tcBorders>
            <w:shd w:val="clear" w:color="000000" w:fill="FFFFFF"/>
            <w:noWrap/>
            <w:vAlign w:val="center"/>
            <w:hideMark/>
          </w:tcPr>
          <w:p w14:paraId="587103EF" w14:textId="77777777" w:rsidR="0021003E" w:rsidRPr="0021003E" w:rsidRDefault="0021003E" w:rsidP="0021003E">
            <w:pPr>
              <w:spacing w:before="0" w:after="0" w:line="240" w:lineRule="auto"/>
              <w:rPr>
                <w:rFonts w:ascii="Arial" w:hAnsi="Arial" w:cs="Arial"/>
                <w:b/>
                <w:bCs/>
                <w:color w:val="000000"/>
                <w:sz w:val="16"/>
                <w:szCs w:val="16"/>
              </w:rPr>
            </w:pPr>
            <w:r w:rsidRPr="0021003E">
              <w:rPr>
                <w:rFonts w:ascii="Arial" w:hAnsi="Arial" w:cs="Arial"/>
                <w:b/>
                <w:bCs/>
                <w:color w:val="000000"/>
                <w:sz w:val="16"/>
                <w:szCs w:val="16"/>
              </w:rPr>
              <w:t> </w:t>
            </w:r>
          </w:p>
        </w:tc>
        <w:tc>
          <w:tcPr>
            <w:tcW w:w="550" w:type="pct"/>
            <w:tcBorders>
              <w:top w:val="single" w:sz="4" w:space="0" w:color="293F5B"/>
              <w:left w:val="nil"/>
              <w:bottom w:val="single" w:sz="4" w:space="0" w:color="293F5B"/>
              <w:right w:val="nil"/>
            </w:tcBorders>
            <w:shd w:val="clear" w:color="000000" w:fill="FFFFFF"/>
            <w:noWrap/>
            <w:vAlign w:val="center"/>
            <w:hideMark/>
          </w:tcPr>
          <w:p w14:paraId="02B0CFE7" w14:textId="77777777" w:rsidR="0021003E" w:rsidRPr="0021003E" w:rsidRDefault="0021003E" w:rsidP="0021003E">
            <w:pPr>
              <w:spacing w:before="0" w:after="0" w:line="240" w:lineRule="auto"/>
              <w:jc w:val="right"/>
              <w:rPr>
                <w:rFonts w:ascii="Arial" w:hAnsi="Arial" w:cs="Arial"/>
                <w:b/>
                <w:bCs/>
                <w:color w:val="000000"/>
                <w:sz w:val="16"/>
                <w:szCs w:val="16"/>
              </w:rPr>
            </w:pPr>
            <w:r w:rsidRPr="0021003E">
              <w:rPr>
                <w:rFonts w:ascii="Arial" w:hAnsi="Arial" w:cs="Arial"/>
                <w:b/>
                <w:bCs/>
                <w:color w:val="000000"/>
                <w:sz w:val="16"/>
                <w:szCs w:val="16"/>
              </w:rPr>
              <w:t>3,669</w:t>
            </w:r>
          </w:p>
        </w:tc>
        <w:tc>
          <w:tcPr>
            <w:tcW w:w="550" w:type="pct"/>
            <w:tcBorders>
              <w:top w:val="single" w:sz="4" w:space="0" w:color="293F5B"/>
              <w:left w:val="nil"/>
              <w:bottom w:val="single" w:sz="4" w:space="0" w:color="293F5B"/>
              <w:right w:val="nil"/>
            </w:tcBorders>
            <w:shd w:val="clear" w:color="000000" w:fill="E6F2FF"/>
            <w:noWrap/>
            <w:vAlign w:val="center"/>
            <w:hideMark/>
          </w:tcPr>
          <w:p w14:paraId="54248FDB" w14:textId="77777777" w:rsidR="0021003E" w:rsidRPr="0021003E" w:rsidRDefault="0021003E" w:rsidP="0021003E">
            <w:pPr>
              <w:spacing w:before="0" w:after="0" w:line="240" w:lineRule="auto"/>
              <w:jc w:val="right"/>
              <w:rPr>
                <w:rFonts w:ascii="Arial" w:hAnsi="Arial" w:cs="Arial"/>
                <w:b/>
                <w:bCs/>
                <w:color w:val="000000"/>
                <w:sz w:val="16"/>
                <w:szCs w:val="16"/>
              </w:rPr>
            </w:pPr>
            <w:r w:rsidRPr="0021003E">
              <w:rPr>
                <w:rFonts w:ascii="Arial" w:hAnsi="Arial" w:cs="Arial"/>
                <w:b/>
                <w:bCs/>
                <w:color w:val="000000"/>
                <w:sz w:val="16"/>
                <w:szCs w:val="16"/>
              </w:rPr>
              <w:t>3,614</w:t>
            </w:r>
          </w:p>
        </w:tc>
        <w:tc>
          <w:tcPr>
            <w:tcW w:w="550" w:type="pct"/>
            <w:tcBorders>
              <w:top w:val="single" w:sz="4" w:space="0" w:color="293F5B"/>
              <w:left w:val="nil"/>
              <w:bottom w:val="single" w:sz="4" w:space="0" w:color="293F5B"/>
              <w:right w:val="nil"/>
            </w:tcBorders>
            <w:shd w:val="clear" w:color="000000" w:fill="FFFFFF"/>
            <w:noWrap/>
            <w:vAlign w:val="center"/>
            <w:hideMark/>
          </w:tcPr>
          <w:p w14:paraId="19AFB495" w14:textId="77777777" w:rsidR="0021003E" w:rsidRPr="0021003E" w:rsidRDefault="0021003E" w:rsidP="0021003E">
            <w:pPr>
              <w:spacing w:before="0" w:after="0" w:line="240" w:lineRule="auto"/>
              <w:jc w:val="right"/>
              <w:rPr>
                <w:rFonts w:ascii="Arial" w:hAnsi="Arial" w:cs="Arial"/>
                <w:b/>
                <w:bCs/>
                <w:color w:val="000000"/>
                <w:sz w:val="16"/>
                <w:szCs w:val="16"/>
              </w:rPr>
            </w:pPr>
            <w:r w:rsidRPr="0021003E">
              <w:rPr>
                <w:rFonts w:ascii="Arial" w:hAnsi="Arial" w:cs="Arial"/>
                <w:b/>
                <w:bCs/>
                <w:color w:val="000000"/>
                <w:sz w:val="16"/>
                <w:szCs w:val="16"/>
              </w:rPr>
              <w:t>3,300</w:t>
            </w:r>
          </w:p>
        </w:tc>
        <w:tc>
          <w:tcPr>
            <w:tcW w:w="550" w:type="pct"/>
            <w:tcBorders>
              <w:top w:val="single" w:sz="4" w:space="0" w:color="293F5B"/>
              <w:left w:val="nil"/>
              <w:bottom w:val="single" w:sz="4" w:space="0" w:color="293F5B"/>
              <w:right w:val="nil"/>
            </w:tcBorders>
            <w:shd w:val="clear" w:color="000000" w:fill="FFFFFF"/>
            <w:noWrap/>
            <w:vAlign w:val="center"/>
            <w:hideMark/>
          </w:tcPr>
          <w:p w14:paraId="04AF7174" w14:textId="77777777" w:rsidR="0021003E" w:rsidRPr="0021003E" w:rsidRDefault="0021003E" w:rsidP="0021003E">
            <w:pPr>
              <w:spacing w:before="0" w:after="0" w:line="240" w:lineRule="auto"/>
              <w:jc w:val="right"/>
              <w:rPr>
                <w:rFonts w:ascii="Arial" w:hAnsi="Arial" w:cs="Arial"/>
                <w:b/>
                <w:bCs/>
                <w:color w:val="000000"/>
                <w:sz w:val="16"/>
                <w:szCs w:val="16"/>
              </w:rPr>
            </w:pPr>
            <w:r w:rsidRPr="0021003E">
              <w:rPr>
                <w:rFonts w:ascii="Arial" w:hAnsi="Arial" w:cs="Arial"/>
                <w:b/>
                <w:bCs/>
                <w:color w:val="000000"/>
                <w:sz w:val="16"/>
                <w:szCs w:val="16"/>
              </w:rPr>
              <w:t>3,187</w:t>
            </w:r>
          </w:p>
        </w:tc>
        <w:tc>
          <w:tcPr>
            <w:tcW w:w="550" w:type="pct"/>
            <w:tcBorders>
              <w:top w:val="single" w:sz="4" w:space="0" w:color="293F5B"/>
              <w:left w:val="nil"/>
              <w:bottom w:val="single" w:sz="4" w:space="0" w:color="293F5B"/>
              <w:right w:val="nil"/>
            </w:tcBorders>
            <w:shd w:val="clear" w:color="000000" w:fill="FFFFFF"/>
            <w:noWrap/>
            <w:vAlign w:val="center"/>
            <w:hideMark/>
          </w:tcPr>
          <w:p w14:paraId="59A020E4" w14:textId="77777777" w:rsidR="0021003E" w:rsidRPr="0021003E" w:rsidRDefault="0021003E" w:rsidP="0021003E">
            <w:pPr>
              <w:spacing w:before="0" w:after="0" w:line="240" w:lineRule="auto"/>
              <w:jc w:val="right"/>
              <w:rPr>
                <w:rFonts w:ascii="Arial" w:hAnsi="Arial" w:cs="Arial"/>
                <w:b/>
                <w:bCs/>
                <w:color w:val="000000"/>
                <w:sz w:val="16"/>
                <w:szCs w:val="16"/>
              </w:rPr>
            </w:pPr>
            <w:r w:rsidRPr="0021003E">
              <w:rPr>
                <w:rFonts w:ascii="Arial" w:hAnsi="Arial" w:cs="Arial"/>
                <w:b/>
                <w:bCs/>
                <w:color w:val="000000"/>
                <w:sz w:val="16"/>
                <w:szCs w:val="16"/>
              </w:rPr>
              <w:t>3,151</w:t>
            </w:r>
          </w:p>
        </w:tc>
      </w:tr>
    </w:tbl>
    <w:p w14:paraId="2C399F82" w14:textId="43250909" w:rsidR="00E32E1B" w:rsidRPr="00F322B2" w:rsidRDefault="00E32E1B" w:rsidP="00E87DDC">
      <w:pPr>
        <w:pStyle w:val="ChartandTableFootnoteAlpha"/>
        <w:numPr>
          <w:ilvl w:val="0"/>
          <w:numId w:val="20"/>
        </w:numPr>
      </w:pPr>
      <w:r w:rsidRPr="000177D7">
        <w:t>The entry for each component includes eliminations for inter</w:t>
      </w:r>
      <w:r w:rsidR="008D4F6B">
        <w:noBreakHyphen/>
      </w:r>
      <w:r w:rsidRPr="000177D7">
        <w:t>agency transactions within that component.</w:t>
      </w:r>
    </w:p>
    <w:p w14:paraId="39A91658" w14:textId="77777777" w:rsidR="00E32E1B" w:rsidRPr="000177D7" w:rsidRDefault="00E32E1B" w:rsidP="00D91079">
      <w:pPr>
        <w:pStyle w:val="TableLine"/>
      </w:pPr>
    </w:p>
    <w:p w14:paraId="4A94D404" w14:textId="59C49394" w:rsidR="00ED485A" w:rsidRPr="000177D7" w:rsidRDefault="00ED485A" w:rsidP="00ED485A">
      <w:pPr>
        <w:pStyle w:val="Heading3"/>
      </w:pPr>
      <w:bookmarkStart w:id="174" w:name="_Toc166369431"/>
      <w:r w:rsidRPr="000177D7">
        <w:t>Other purposes</w:t>
      </w:r>
      <w:bookmarkEnd w:id="155"/>
      <w:bookmarkEnd w:id="156"/>
      <w:bookmarkEnd w:id="164"/>
      <w:bookmarkEnd w:id="165"/>
      <w:bookmarkEnd w:id="174"/>
    </w:p>
    <w:p w14:paraId="68C75210" w14:textId="77777777" w:rsidR="00E32E1B" w:rsidRDefault="00E32E1B" w:rsidP="00E32E1B">
      <w:bookmarkStart w:id="175" w:name="_Toc99203693"/>
      <w:bookmarkStart w:id="176" w:name="_Toc117358186"/>
      <w:r w:rsidRPr="000177D7">
        <w:t>The other purposes function includes expenses incurred in the servicing of public debt interest, and assistance to state, territory and local governments. This function also includes items classified as natural disaster relief, the Contingency Reserve</w:t>
      </w:r>
      <w:r>
        <w:t>,</w:t>
      </w:r>
      <w:r w:rsidRPr="000177D7">
        <w:t xml:space="preserve"> and expenses related to the nominal interest on unfunded liabilities for government superannuation benefits.</w:t>
      </w:r>
      <w:bookmarkStart w:id="177" w:name="_Hlk134083645"/>
    </w:p>
    <w:p w14:paraId="6D1F89C8" w14:textId="293DCE6E" w:rsidR="00296248" w:rsidRDefault="00E32E1B" w:rsidP="00296248">
      <w:pPr>
        <w:pStyle w:val="TableHeading"/>
        <w:rPr>
          <w:rFonts w:asciiTheme="minorHAnsi" w:eastAsiaTheme="minorHAnsi" w:hAnsiTheme="minorHAnsi" w:cstheme="minorBidi"/>
          <w:sz w:val="22"/>
          <w:szCs w:val="22"/>
          <w:lang w:eastAsia="en-US"/>
        </w:rPr>
      </w:pPr>
      <w:r>
        <w:t>Table </w:t>
      </w:r>
      <w:r w:rsidRPr="000177D7">
        <w:t>6.17: Summary of expenses</w:t>
      </w:r>
      <w:r>
        <w:t xml:space="preserve"> – </w:t>
      </w:r>
      <w:r w:rsidRPr="000177D7">
        <w:t>other purposes</w:t>
      </w:r>
    </w:p>
    <w:tbl>
      <w:tblPr>
        <w:tblW w:w="5000" w:type="pct"/>
        <w:tblCellMar>
          <w:left w:w="0" w:type="dxa"/>
          <w:right w:w="28" w:type="dxa"/>
        </w:tblCellMar>
        <w:tblLook w:val="04A0" w:firstRow="1" w:lastRow="0" w:firstColumn="1" w:lastColumn="0" w:noHBand="0" w:noVBand="1"/>
      </w:tblPr>
      <w:tblGrid>
        <w:gridCol w:w="3703"/>
        <w:gridCol w:w="802"/>
        <w:gridCol w:w="802"/>
        <w:gridCol w:w="802"/>
        <w:gridCol w:w="802"/>
        <w:gridCol w:w="799"/>
      </w:tblGrid>
      <w:tr w:rsidR="00296248" w:rsidRPr="00296248" w14:paraId="6387B28F" w14:textId="77777777" w:rsidTr="00C458F2">
        <w:trPr>
          <w:trHeight w:hRule="exact" w:val="225"/>
        </w:trPr>
        <w:tc>
          <w:tcPr>
            <w:tcW w:w="2402" w:type="pct"/>
            <w:tcBorders>
              <w:top w:val="single" w:sz="4" w:space="0" w:color="293F5B"/>
              <w:left w:val="nil"/>
              <w:bottom w:val="nil"/>
              <w:right w:val="nil"/>
            </w:tcBorders>
            <w:shd w:val="clear" w:color="000000" w:fill="FFFFFF"/>
            <w:noWrap/>
            <w:vAlign w:val="center"/>
            <w:hideMark/>
          </w:tcPr>
          <w:p w14:paraId="1FCB0959" w14:textId="1BE64CDD" w:rsidR="00296248" w:rsidRPr="00296248" w:rsidRDefault="00296248" w:rsidP="00296248">
            <w:pPr>
              <w:spacing w:before="0" w:after="0" w:line="240" w:lineRule="auto"/>
              <w:rPr>
                <w:rFonts w:ascii="Arial" w:hAnsi="Arial" w:cs="Arial"/>
                <w:b/>
                <w:bCs/>
                <w:color w:val="000000"/>
                <w:sz w:val="16"/>
                <w:szCs w:val="16"/>
              </w:rPr>
            </w:pPr>
            <w:r w:rsidRPr="00296248">
              <w:rPr>
                <w:rFonts w:ascii="Arial" w:hAnsi="Arial" w:cs="Arial"/>
                <w:b/>
                <w:bCs/>
                <w:color w:val="000000"/>
                <w:sz w:val="16"/>
                <w:szCs w:val="16"/>
              </w:rPr>
              <w:t>Sub-function</w:t>
            </w:r>
          </w:p>
        </w:tc>
        <w:tc>
          <w:tcPr>
            <w:tcW w:w="2598" w:type="pct"/>
            <w:gridSpan w:val="5"/>
            <w:tcBorders>
              <w:top w:val="single" w:sz="4" w:space="0" w:color="293F5B"/>
              <w:left w:val="nil"/>
              <w:bottom w:val="single" w:sz="4" w:space="0" w:color="293F5B"/>
              <w:right w:val="nil"/>
            </w:tcBorders>
            <w:shd w:val="clear" w:color="000000" w:fill="FFFFFF"/>
            <w:noWrap/>
            <w:vAlign w:val="center"/>
            <w:hideMark/>
          </w:tcPr>
          <w:p w14:paraId="4B324B83" w14:textId="77777777" w:rsidR="00296248" w:rsidRPr="00296248" w:rsidRDefault="00296248" w:rsidP="00296248">
            <w:pPr>
              <w:spacing w:before="0" w:after="0" w:line="240" w:lineRule="auto"/>
              <w:jc w:val="center"/>
              <w:rPr>
                <w:rFonts w:ascii="Arial" w:hAnsi="Arial" w:cs="Arial"/>
                <w:color w:val="000000"/>
                <w:sz w:val="16"/>
                <w:szCs w:val="16"/>
              </w:rPr>
            </w:pPr>
            <w:r w:rsidRPr="00296248">
              <w:rPr>
                <w:rFonts w:ascii="Arial" w:hAnsi="Arial" w:cs="Arial"/>
                <w:color w:val="000000"/>
                <w:sz w:val="16"/>
                <w:szCs w:val="16"/>
              </w:rPr>
              <w:t>Estimates</w:t>
            </w:r>
          </w:p>
        </w:tc>
      </w:tr>
      <w:tr w:rsidR="00296248" w:rsidRPr="00296248" w14:paraId="722C7D80" w14:textId="77777777" w:rsidTr="00C458F2">
        <w:trPr>
          <w:trHeight w:hRule="exact" w:val="225"/>
        </w:trPr>
        <w:tc>
          <w:tcPr>
            <w:tcW w:w="2402" w:type="pct"/>
            <w:tcBorders>
              <w:top w:val="nil"/>
              <w:left w:val="nil"/>
              <w:bottom w:val="nil"/>
              <w:right w:val="nil"/>
            </w:tcBorders>
            <w:shd w:val="clear" w:color="000000" w:fill="FFFFFF"/>
            <w:noWrap/>
            <w:vAlign w:val="bottom"/>
            <w:hideMark/>
          </w:tcPr>
          <w:p w14:paraId="67DA0D36" w14:textId="77777777" w:rsidR="00296248" w:rsidRPr="00296248" w:rsidRDefault="00296248" w:rsidP="00296248">
            <w:pPr>
              <w:spacing w:before="0" w:after="0" w:line="240" w:lineRule="auto"/>
              <w:rPr>
                <w:rFonts w:ascii="Arial" w:hAnsi="Arial" w:cs="Arial"/>
                <w:color w:val="000000"/>
                <w:sz w:val="16"/>
                <w:szCs w:val="16"/>
              </w:rPr>
            </w:pPr>
            <w:r w:rsidRPr="00296248">
              <w:rPr>
                <w:rFonts w:ascii="Arial" w:hAnsi="Arial" w:cs="Arial"/>
                <w:color w:val="000000"/>
                <w:sz w:val="16"/>
                <w:szCs w:val="16"/>
              </w:rPr>
              <w:t> </w:t>
            </w:r>
          </w:p>
        </w:tc>
        <w:tc>
          <w:tcPr>
            <w:tcW w:w="520" w:type="pct"/>
            <w:tcBorders>
              <w:top w:val="single" w:sz="4" w:space="0" w:color="293F5B"/>
              <w:left w:val="nil"/>
              <w:bottom w:val="nil"/>
              <w:right w:val="nil"/>
            </w:tcBorders>
            <w:shd w:val="clear" w:color="000000" w:fill="FFFFFF"/>
            <w:noWrap/>
            <w:vAlign w:val="center"/>
            <w:hideMark/>
          </w:tcPr>
          <w:p w14:paraId="3339B4B9" w14:textId="77777777" w:rsidR="00296248" w:rsidRPr="00296248" w:rsidRDefault="00296248" w:rsidP="00296248">
            <w:pPr>
              <w:spacing w:before="0" w:after="0" w:line="240" w:lineRule="auto"/>
              <w:jc w:val="right"/>
              <w:rPr>
                <w:rFonts w:ascii="Arial" w:hAnsi="Arial" w:cs="Arial"/>
                <w:sz w:val="16"/>
                <w:szCs w:val="16"/>
              </w:rPr>
            </w:pPr>
            <w:r w:rsidRPr="00296248">
              <w:rPr>
                <w:rFonts w:ascii="Arial" w:hAnsi="Arial" w:cs="Arial"/>
                <w:sz w:val="16"/>
                <w:szCs w:val="16"/>
              </w:rPr>
              <w:t>2023-24</w:t>
            </w:r>
          </w:p>
        </w:tc>
        <w:tc>
          <w:tcPr>
            <w:tcW w:w="520" w:type="pct"/>
            <w:tcBorders>
              <w:top w:val="single" w:sz="4" w:space="0" w:color="293F5B"/>
              <w:left w:val="nil"/>
              <w:bottom w:val="nil"/>
              <w:right w:val="nil"/>
            </w:tcBorders>
            <w:shd w:val="clear" w:color="000000" w:fill="E6F2FF"/>
            <w:noWrap/>
            <w:vAlign w:val="center"/>
            <w:hideMark/>
          </w:tcPr>
          <w:p w14:paraId="47D6EA75" w14:textId="77777777" w:rsidR="00296248" w:rsidRPr="00296248" w:rsidRDefault="00296248" w:rsidP="00296248">
            <w:pPr>
              <w:spacing w:before="0" w:after="0" w:line="240" w:lineRule="auto"/>
              <w:jc w:val="right"/>
              <w:rPr>
                <w:rFonts w:ascii="Arial" w:hAnsi="Arial" w:cs="Arial"/>
                <w:sz w:val="16"/>
                <w:szCs w:val="16"/>
              </w:rPr>
            </w:pPr>
            <w:r w:rsidRPr="00296248">
              <w:rPr>
                <w:rFonts w:ascii="Arial" w:hAnsi="Arial" w:cs="Arial"/>
                <w:sz w:val="16"/>
                <w:szCs w:val="16"/>
              </w:rPr>
              <w:t>2024-25</w:t>
            </w:r>
          </w:p>
        </w:tc>
        <w:tc>
          <w:tcPr>
            <w:tcW w:w="520" w:type="pct"/>
            <w:tcBorders>
              <w:top w:val="single" w:sz="4" w:space="0" w:color="293F5B"/>
              <w:left w:val="nil"/>
              <w:bottom w:val="nil"/>
              <w:right w:val="nil"/>
            </w:tcBorders>
            <w:shd w:val="clear" w:color="000000" w:fill="FFFFFF"/>
            <w:noWrap/>
            <w:vAlign w:val="center"/>
            <w:hideMark/>
          </w:tcPr>
          <w:p w14:paraId="1AED6EC3" w14:textId="77777777" w:rsidR="00296248" w:rsidRPr="00296248" w:rsidRDefault="00296248" w:rsidP="00296248">
            <w:pPr>
              <w:spacing w:before="0" w:after="0" w:line="240" w:lineRule="auto"/>
              <w:jc w:val="right"/>
              <w:rPr>
                <w:rFonts w:ascii="Arial" w:hAnsi="Arial" w:cs="Arial"/>
                <w:sz w:val="16"/>
                <w:szCs w:val="16"/>
              </w:rPr>
            </w:pPr>
            <w:r w:rsidRPr="00296248">
              <w:rPr>
                <w:rFonts w:ascii="Arial" w:hAnsi="Arial" w:cs="Arial"/>
                <w:sz w:val="16"/>
                <w:szCs w:val="16"/>
              </w:rPr>
              <w:t>2025-26</w:t>
            </w:r>
          </w:p>
        </w:tc>
        <w:tc>
          <w:tcPr>
            <w:tcW w:w="520" w:type="pct"/>
            <w:tcBorders>
              <w:top w:val="single" w:sz="4" w:space="0" w:color="293F5B"/>
              <w:left w:val="nil"/>
              <w:bottom w:val="nil"/>
              <w:right w:val="nil"/>
            </w:tcBorders>
            <w:shd w:val="clear" w:color="000000" w:fill="FFFFFF"/>
            <w:noWrap/>
            <w:vAlign w:val="center"/>
            <w:hideMark/>
          </w:tcPr>
          <w:p w14:paraId="21BEE3AB" w14:textId="77777777" w:rsidR="00296248" w:rsidRPr="00296248" w:rsidRDefault="00296248" w:rsidP="00296248">
            <w:pPr>
              <w:spacing w:before="0" w:after="0" w:line="240" w:lineRule="auto"/>
              <w:jc w:val="right"/>
              <w:rPr>
                <w:rFonts w:ascii="Arial" w:hAnsi="Arial" w:cs="Arial"/>
                <w:sz w:val="16"/>
                <w:szCs w:val="16"/>
              </w:rPr>
            </w:pPr>
            <w:r w:rsidRPr="00296248">
              <w:rPr>
                <w:rFonts w:ascii="Arial" w:hAnsi="Arial" w:cs="Arial"/>
                <w:sz w:val="16"/>
                <w:szCs w:val="16"/>
              </w:rPr>
              <w:t>2026-27</w:t>
            </w:r>
          </w:p>
        </w:tc>
        <w:tc>
          <w:tcPr>
            <w:tcW w:w="520" w:type="pct"/>
            <w:tcBorders>
              <w:top w:val="single" w:sz="4" w:space="0" w:color="293F5B"/>
              <w:left w:val="nil"/>
              <w:bottom w:val="nil"/>
              <w:right w:val="nil"/>
            </w:tcBorders>
            <w:shd w:val="clear" w:color="000000" w:fill="FFFFFF"/>
            <w:noWrap/>
            <w:vAlign w:val="center"/>
            <w:hideMark/>
          </w:tcPr>
          <w:p w14:paraId="3330CCC5" w14:textId="77777777" w:rsidR="00296248" w:rsidRPr="00296248" w:rsidRDefault="00296248" w:rsidP="00296248">
            <w:pPr>
              <w:spacing w:before="0" w:after="0" w:line="240" w:lineRule="auto"/>
              <w:jc w:val="right"/>
              <w:rPr>
                <w:rFonts w:ascii="Arial" w:hAnsi="Arial" w:cs="Arial"/>
                <w:color w:val="000000"/>
                <w:sz w:val="16"/>
                <w:szCs w:val="16"/>
              </w:rPr>
            </w:pPr>
            <w:r w:rsidRPr="00296248">
              <w:rPr>
                <w:rFonts w:ascii="Arial" w:hAnsi="Arial" w:cs="Arial"/>
                <w:color w:val="000000"/>
                <w:sz w:val="16"/>
                <w:szCs w:val="16"/>
              </w:rPr>
              <w:t>2027-28</w:t>
            </w:r>
          </w:p>
        </w:tc>
      </w:tr>
      <w:tr w:rsidR="00296248" w:rsidRPr="00296248" w14:paraId="1AC77514" w14:textId="77777777" w:rsidTr="00C458F2">
        <w:trPr>
          <w:trHeight w:hRule="exact" w:val="225"/>
        </w:trPr>
        <w:tc>
          <w:tcPr>
            <w:tcW w:w="2402" w:type="pct"/>
            <w:tcBorders>
              <w:top w:val="nil"/>
              <w:left w:val="nil"/>
              <w:bottom w:val="nil"/>
              <w:right w:val="nil"/>
            </w:tcBorders>
            <w:shd w:val="clear" w:color="000000" w:fill="FFFFFF"/>
            <w:noWrap/>
            <w:vAlign w:val="center"/>
            <w:hideMark/>
          </w:tcPr>
          <w:p w14:paraId="2FD792D5" w14:textId="77777777" w:rsidR="00296248" w:rsidRPr="00296248" w:rsidRDefault="00296248" w:rsidP="00296248">
            <w:pPr>
              <w:spacing w:before="0" w:after="0" w:line="240" w:lineRule="auto"/>
              <w:rPr>
                <w:rFonts w:ascii="Arial" w:hAnsi="Arial" w:cs="Arial"/>
                <w:sz w:val="16"/>
                <w:szCs w:val="16"/>
              </w:rPr>
            </w:pPr>
            <w:r w:rsidRPr="00296248">
              <w:rPr>
                <w:rFonts w:ascii="Arial" w:hAnsi="Arial" w:cs="Arial"/>
                <w:sz w:val="16"/>
                <w:szCs w:val="16"/>
              </w:rPr>
              <w:t> </w:t>
            </w:r>
          </w:p>
        </w:tc>
        <w:tc>
          <w:tcPr>
            <w:tcW w:w="520" w:type="pct"/>
            <w:tcBorders>
              <w:top w:val="nil"/>
              <w:left w:val="nil"/>
              <w:bottom w:val="single" w:sz="4" w:space="0" w:color="293F5B"/>
              <w:right w:val="nil"/>
            </w:tcBorders>
            <w:shd w:val="clear" w:color="000000" w:fill="FFFFFF"/>
            <w:noWrap/>
            <w:vAlign w:val="center"/>
            <w:hideMark/>
          </w:tcPr>
          <w:p w14:paraId="7C28CE9D" w14:textId="77777777" w:rsidR="00296248" w:rsidRPr="00296248" w:rsidRDefault="00296248" w:rsidP="00296248">
            <w:pPr>
              <w:spacing w:before="0" w:after="0" w:line="240" w:lineRule="auto"/>
              <w:jc w:val="right"/>
              <w:rPr>
                <w:rFonts w:ascii="Arial" w:hAnsi="Arial" w:cs="Arial"/>
                <w:color w:val="000000"/>
                <w:sz w:val="16"/>
                <w:szCs w:val="16"/>
              </w:rPr>
            </w:pPr>
            <w:r w:rsidRPr="00296248">
              <w:rPr>
                <w:rFonts w:ascii="Arial" w:hAnsi="Arial" w:cs="Arial"/>
                <w:color w:val="000000"/>
                <w:sz w:val="16"/>
                <w:szCs w:val="16"/>
              </w:rPr>
              <w:t>$m</w:t>
            </w:r>
          </w:p>
        </w:tc>
        <w:tc>
          <w:tcPr>
            <w:tcW w:w="520" w:type="pct"/>
            <w:tcBorders>
              <w:top w:val="nil"/>
              <w:left w:val="nil"/>
              <w:bottom w:val="single" w:sz="4" w:space="0" w:color="293F5B"/>
              <w:right w:val="nil"/>
            </w:tcBorders>
            <w:shd w:val="clear" w:color="000000" w:fill="E6F2FF"/>
            <w:noWrap/>
            <w:vAlign w:val="center"/>
            <w:hideMark/>
          </w:tcPr>
          <w:p w14:paraId="448B6A0D" w14:textId="77777777" w:rsidR="00296248" w:rsidRPr="00296248" w:rsidRDefault="00296248" w:rsidP="00296248">
            <w:pPr>
              <w:spacing w:before="0" w:after="0" w:line="240" w:lineRule="auto"/>
              <w:jc w:val="right"/>
              <w:rPr>
                <w:rFonts w:ascii="Arial" w:hAnsi="Arial" w:cs="Arial"/>
                <w:color w:val="000000"/>
                <w:sz w:val="16"/>
                <w:szCs w:val="16"/>
              </w:rPr>
            </w:pPr>
            <w:r w:rsidRPr="00296248">
              <w:rPr>
                <w:rFonts w:ascii="Arial" w:hAnsi="Arial" w:cs="Arial"/>
                <w:color w:val="000000"/>
                <w:sz w:val="16"/>
                <w:szCs w:val="16"/>
              </w:rPr>
              <w:t>$m</w:t>
            </w:r>
          </w:p>
        </w:tc>
        <w:tc>
          <w:tcPr>
            <w:tcW w:w="520" w:type="pct"/>
            <w:tcBorders>
              <w:top w:val="nil"/>
              <w:left w:val="nil"/>
              <w:bottom w:val="single" w:sz="4" w:space="0" w:color="293F5B"/>
              <w:right w:val="nil"/>
            </w:tcBorders>
            <w:shd w:val="clear" w:color="000000" w:fill="FFFFFF"/>
            <w:noWrap/>
            <w:vAlign w:val="center"/>
            <w:hideMark/>
          </w:tcPr>
          <w:p w14:paraId="337048DE" w14:textId="77777777" w:rsidR="00296248" w:rsidRPr="00296248" w:rsidRDefault="00296248" w:rsidP="00296248">
            <w:pPr>
              <w:spacing w:before="0" w:after="0" w:line="240" w:lineRule="auto"/>
              <w:jc w:val="right"/>
              <w:rPr>
                <w:rFonts w:ascii="Arial" w:hAnsi="Arial" w:cs="Arial"/>
                <w:color w:val="000000"/>
                <w:sz w:val="16"/>
                <w:szCs w:val="16"/>
              </w:rPr>
            </w:pPr>
            <w:r w:rsidRPr="00296248">
              <w:rPr>
                <w:rFonts w:ascii="Arial" w:hAnsi="Arial" w:cs="Arial"/>
                <w:color w:val="000000"/>
                <w:sz w:val="16"/>
                <w:szCs w:val="16"/>
              </w:rPr>
              <w:t>$m</w:t>
            </w:r>
          </w:p>
        </w:tc>
        <w:tc>
          <w:tcPr>
            <w:tcW w:w="520" w:type="pct"/>
            <w:tcBorders>
              <w:top w:val="nil"/>
              <w:left w:val="nil"/>
              <w:bottom w:val="single" w:sz="4" w:space="0" w:color="293F5B"/>
              <w:right w:val="nil"/>
            </w:tcBorders>
            <w:shd w:val="clear" w:color="000000" w:fill="FFFFFF"/>
            <w:noWrap/>
            <w:vAlign w:val="center"/>
            <w:hideMark/>
          </w:tcPr>
          <w:p w14:paraId="75A845CF" w14:textId="77777777" w:rsidR="00296248" w:rsidRPr="00296248" w:rsidRDefault="00296248" w:rsidP="00296248">
            <w:pPr>
              <w:spacing w:before="0" w:after="0" w:line="240" w:lineRule="auto"/>
              <w:jc w:val="right"/>
              <w:rPr>
                <w:rFonts w:ascii="Arial" w:hAnsi="Arial" w:cs="Arial"/>
                <w:color w:val="000000"/>
                <w:sz w:val="16"/>
                <w:szCs w:val="16"/>
              </w:rPr>
            </w:pPr>
            <w:r w:rsidRPr="00296248">
              <w:rPr>
                <w:rFonts w:ascii="Arial" w:hAnsi="Arial" w:cs="Arial"/>
                <w:color w:val="000000"/>
                <w:sz w:val="16"/>
                <w:szCs w:val="16"/>
              </w:rPr>
              <w:t>$m</w:t>
            </w:r>
          </w:p>
        </w:tc>
        <w:tc>
          <w:tcPr>
            <w:tcW w:w="520" w:type="pct"/>
            <w:tcBorders>
              <w:top w:val="nil"/>
              <w:left w:val="nil"/>
              <w:bottom w:val="single" w:sz="4" w:space="0" w:color="293F5B"/>
              <w:right w:val="nil"/>
            </w:tcBorders>
            <w:shd w:val="clear" w:color="000000" w:fill="FFFFFF"/>
            <w:noWrap/>
            <w:vAlign w:val="center"/>
            <w:hideMark/>
          </w:tcPr>
          <w:p w14:paraId="538B1C3F" w14:textId="77777777" w:rsidR="00296248" w:rsidRPr="00296248" w:rsidRDefault="00296248" w:rsidP="00296248">
            <w:pPr>
              <w:spacing w:before="0" w:after="0" w:line="240" w:lineRule="auto"/>
              <w:jc w:val="right"/>
              <w:rPr>
                <w:rFonts w:ascii="Arial" w:hAnsi="Arial" w:cs="Arial"/>
                <w:color w:val="000000"/>
                <w:sz w:val="16"/>
                <w:szCs w:val="16"/>
              </w:rPr>
            </w:pPr>
            <w:r w:rsidRPr="00296248">
              <w:rPr>
                <w:rFonts w:ascii="Arial" w:hAnsi="Arial" w:cs="Arial"/>
                <w:color w:val="000000"/>
                <w:sz w:val="16"/>
                <w:szCs w:val="16"/>
              </w:rPr>
              <w:t>$m</w:t>
            </w:r>
          </w:p>
        </w:tc>
      </w:tr>
      <w:tr w:rsidR="00296248" w:rsidRPr="00296248" w14:paraId="30C51F82" w14:textId="77777777" w:rsidTr="00236E34">
        <w:trPr>
          <w:trHeight w:hRule="exact" w:val="225"/>
        </w:trPr>
        <w:tc>
          <w:tcPr>
            <w:tcW w:w="2402" w:type="pct"/>
            <w:tcBorders>
              <w:top w:val="nil"/>
              <w:left w:val="nil"/>
              <w:bottom w:val="nil"/>
              <w:right w:val="nil"/>
            </w:tcBorders>
            <w:shd w:val="clear" w:color="000000" w:fill="FFFFFF"/>
            <w:noWrap/>
            <w:vAlign w:val="center"/>
            <w:hideMark/>
          </w:tcPr>
          <w:p w14:paraId="70E35216" w14:textId="77777777" w:rsidR="00296248" w:rsidRPr="00296248" w:rsidRDefault="00296248" w:rsidP="00296248">
            <w:pPr>
              <w:spacing w:before="0" w:after="0" w:line="240" w:lineRule="auto"/>
              <w:rPr>
                <w:rFonts w:ascii="Arial" w:hAnsi="Arial" w:cs="Arial"/>
                <w:sz w:val="16"/>
                <w:szCs w:val="16"/>
              </w:rPr>
            </w:pPr>
            <w:r w:rsidRPr="00296248">
              <w:rPr>
                <w:rFonts w:ascii="Arial" w:hAnsi="Arial" w:cs="Arial"/>
                <w:sz w:val="16"/>
                <w:szCs w:val="16"/>
              </w:rPr>
              <w:t>Public debt interest</w:t>
            </w:r>
          </w:p>
        </w:tc>
        <w:tc>
          <w:tcPr>
            <w:tcW w:w="520" w:type="pct"/>
            <w:tcBorders>
              <w:top w:val="single" w:sz="4" w:space="0" w:color="293F5B"/>
              <w:left w:val="nil"/>
              <w:bottom w:val="nil"/>
              <w:right w:val="nil"/>
            </w:tcBorders>
            <w:shd w:val="clear" w:color="000000" w:fill="FFFFFF"/>
            <w:noWrap/>
            <w:vAlign w:val="center"/>
            <w:hideMark/>
          </w:tcPr>
          <w:p w14:paraId="5BD0FD51" w14:textId="77777777" w:rsidR="00296248" w:rsidRPr="00296248" w:rsidRDefault="00296248" w:rsidP="00296248">
            <w:pPr>
              <w:spacing w:before="0" w:after="0" w:line="240" w:lineRule="auto"/>
              <w:jc w:val="right"/>
              <w:rPr>
                <w:rFonts w:ascii="Arial" w:hAnsi="Arial" w:cs="Arial"/>
                <w:sz w:val="16"/>
                <w:szCs w:val="16"/>
              </w:rPr>
            </w:pPr>
            <w:r w:rsidRPr="00296248">
              <w:rPr>
                <w:rFonts w:ascii="Arial" w:hAnsi="Arial" w:cs="Arial"/>
                <w:sz w:val="16"/>
                <w:szCs w:val="16"/>
              </w:rPr>
              <w:t>22,547</w:t>
            </w:r>
          </w:p>
        </w:tc>
        <w:tc>
          <w:tcPr>
            <w:tcW w:w="520" w:type="pct"/>
            <w:tcBorders>
              <w:top w:val="single" w:sz="4" w:space="0" w:color="293F5B"/>
              <w:left w:val="nil"/>
              <w:bottom w:val="nil"/>
              <w:right w:val="nil"/>
            </w:tcBorders>
            <w:shd w:val="clear" w:color="000000" w:fill="E6F2FF"/>
            <w:noWrap/>
            <w:vAlign w:val="center"/>
            <w:hideMark/>
          </w:tcPr>
          <w:p w14:paraId="7B92F8D8" w14:textId="77777777" w:rsidR="00296248" w:rsidRPr="00296248" w:rsidRDefault="00296248" w:rsidP="00296248">
            <w:pPr>
              <w:spacing w:before="0" w:after="0" w:line="240" w:lineRule="auto"/>
              <w:jc w:val="right"/>
              <w:rPr>
                <w:rFonts w:ascii="Arial" w:hAnsi="Arial" w:cs="Arial"/>
                <w:sz w:val="16"/>
                <w:szCs w:val="16"/>
              </w:rPr>
            </w:pPr>
            <w:r w:rsidRPr="00296248">
              <w:rPr>
                <w:rFonts w:ascii="Arial" w:hAnsi="Arial" w:cs="Arial"/>
                <w:sz w:val="16"/>
                <w:szCs w:val="16"/>
              </w:rPr>
              <w:t>24,107</w:t>
            </w:r>
          </w:p>
        </w:tc>
        <w:tc>
          <w:tcPr>
            <w:tcW w:w="520" w:type="pct"/>
            <w:tcBorders>
              <w:top w:val="single" w:sz="4" w:space="0" w:color="293F5B"/>
              <w:left w:val="nil"/>
              <w:bottom w:val="nil"/>
              <w:right w:val="nil"/>
            </w:tcBorders>
            <w:shd w:val="clear" w:color="000000" w:fill="FFFFFF"/>
            <w:noWrap/>
            <w:vAlign w:val="center"/>
            <w:hideMark/>
          </w:tcPr>
          <w:p w14:paraId="5061704D" w14:textId="77777777" w:rsidR="00296248" w:rsidRPr="00296248" w:rsidRDefault="00296248" w:rsidP="00296248">
            <w:pPr>
              <w:spacing w:before="0" w:after="0" w:line="240" w:lineRule="auto"/>
              <w:jc w:val="right"/>
              <w:rPr>
                <w:rFonts w:ascii="Arial" w:hAnsi="Arial" w:cs="Arial"/>
                <w:sz w:val="16"/>
                <w:szCs w:val="16"/>
              </w:rPr>
            </w:pPr>
            <w:r w:rsidRPr="00296248">
              <w:rPr>
                <w:rFonts w:ascii="Arial" w:hAnsi="Arial" w:cs="Arial"/>
                <w:sz w:val="16"/>
                <w:szCs w:val="16"/>
              </w:rPr>
              <w:t>28,269</w:t>
            </w:r>
          </w:p>
        </w:tc>
        <w:tc>
          <w:tcPr>
            <w:tcW w:w="520" w:type="pct"/>
            <w:tcBorders>
              <w:top w:val="single" w:sz="4" w:space="0" w:color="293F5B"/>
              <w:left w:val="nil"/>
              <w:bottom w:val="nil"/>
              <w:right w:val="nil"/>
            </w:tcBorders>
            <w:shd w:val="clear" w:color="000000" w:fill="FFFFFF"/>
            <w:noWrap/>
            <w:vAlign w:val="center"/>
            <w:hideMark/>
          </w:tcPr>
          <w:p w14:paraId="451E214C" w14:textId="77777777" w:rsidR="00296248" w:rsidRPr="00296248" w:rsidRDefault="00296248" w:rsidP="00296248">
            <w:pPr>
              <w:spacing w:before="0" w:after="0" w:line="240" w:lineRule="auto"/>
              <w:jc w:val="right"/>
              <w:rPr>
                <w:rFonts w:ascii="Arial" w:hAnsi="Arial" w:cs="Arial"/>
                <w:sz w:val="16"/>
                <w:szCs w:val="16"/>
              </w:rPr>
            </w:pPr>
            <w:r w:rsidRPr="00296248">
              <w:rPr>
                <w:rFonts w:ascii="Arial" w:hAnsi="Arial" w:cs="Arial"/>
                <w:sz w:val="16"/>
                <w:szCs w:val="16"/>
              </w:rPr>
              <w:t>32,432</w:t>
            </w:r>
          </w:p>
        </w:tc>
        <w:tc>
          <w:tcPr>
            <w:tcW w:w="520" w:type="pct"/>
            <w:tcBorders>
              <w:top w:val="single" w:sz="4" w:space="0" w:color="293F5B"/>
              <w:left w:val="nil"/>
              <w:bottom w:val="nil"/>
              <w:right w:val="nil"/>
            </w:tcBorders>
            <w:shd w:val="clear" w:color="000000" w:fill="FFFFFF"/>
            <w:noWrap/>
            <w:vAlign w:val="center"/>
            <w:hideMark/>
          </w:tcPr>
          <w:p w14:paraId="2FF04CF5" w14:textId="77777777" w:rsidR="00296248" w:rsidRPr="00296248" w:rsidRDefault="00296248" w:rsidP="00296248">
            <w:pPr>
              <w:spacing w:before="0" w:after="0" w:line="240" w:lineRule="auto"/>
              <w:jc w:val="right"/>
              <w:rPr>
                <w:rFonts w:ascii="Arial" w:hAnsi="Arial" w:cs="Arial"/>
                <w:sz w:val="16"/>
                <w:szCs w:val="16"/>
              </w:rPr>
            </w:pPr>
            <w:r w:rsidRPr="00296248">
              <w:rPr>
                <w:rFonts w:ascii="Arial" w:hAnsi="Arial" w:cs="Arial"/>
                <w:sz w:val="16"/>
                <w:szCs w:val="16"/>
              </w:rPr>
              <w:t>35,744</w:t>
            </w:r>
          </w:p>
        </w:tc>
      </w:tr>
      <w:tr w:rsidR="00296248" w:rsidRPr="00296248" w14:paraId="060D46D1" w14:textId="77777777" w:rsidTr="00C458F2">
        <w:trPr>
          <w:trHeight w:hRule="exact" w:val="225"/>
        </w:trPr>
        <w:tc>
          <w:tcPr>
            <w:tcW w:w="2402" w:type="pct"/>
            <w:tcBorders>
              <w:top w:val="nil"/>
              <w:left w:val="nil"/>
              <w:bottom w:val="nil"/>
              <w:right w:val="nil"/>
            </w:tcBorders>
            <w:shd w:val="clear" w:color="000000" w:fill="FFFFFF"/>
            <w:noWrap/>
            <w:vAlign w:val="center"/>
            <w:hideMark/>
          </w:tcPr>
          <w:p w14:paraId="1556832A" w14:textId="77777777" w:rsidR="00296248" w:rsidRPr="00296248" w:rsidRDefault="00296248" w:rsidP="00C458F2">
            <w:pPr>
              <w:spacing w:before="0" w:after="0" w:line="240" w:lineRule="auto"/>
              <w:ind w:left="170"/>
              <w:rPr>
                <w:rFonts w:ascii="Arial" w:hAnsi="Arial" w:cs="Arial"/>
                <w:i/>
                <w:iCs/>
                <w:sz w:val="16"/>
                <w:szCs w:val="16"/>
              </w:rPr>
            </w:pPr>
            <w:r w:rsidRPr="00296248">
              <w:rPr>
                <w:rFonts w:ascii="Arial" w:hAnsi="Arial" w:cs="Arial"/>
                <w:i/>
                <w:iCs/>
                <w:sz w:val="16"/>
                <w:szCs w:val="16"/>
              </w:rPr>
              <w:t>Interest on Commonwealth Government's</w:t>
            </w:r>
          </w:p>
        </w:tc>
        <w:tc>
          <w:tcPr>
            <w:tcW w:w="520" w:type="pct"/>
            <w:tcBorders>
              <w:top w:val="nil"/>
              <w:left w:val="nil"/>
              <w:bottom w:val="nil"/>
              <w:right w:val="nil"/>
            </w:tcBorders>
            <w:shd w:val="clear" w:color="000000" w:fill="FFFFFF"/>
            <w:noWrap/>
            <w:vAlign w:val="center"/>
            <w:hideMark/>
          </w:tcPr>
          <w:p w14:paraId="32F299EE" w14:textId="77777777" w:rsidR="00296248" w:rsidRPr="00296248" w:rsidRDefault="00296248" w:rsidP="00296248">
            <w:pPr>
              <w:spacing w:before="0" w:after="0" w:line="240" w:lineRule="auto"/>
              <w:rPr>
                <w:rFonts w:ascii="Arial" w:hAnsi="Arial" w:cs="Arial"/>
                <w:sz w:val="16"/>
                <w:szCs w:val="16"/>
              </w:rPr>
            </w:pPr>
            <w:r w:rsidRPr="00296248">
              <w:rPr>
                <w:rFonts w:ascii="Arial" w:hAnsi="Arial" w:cs="Arial"/>
                <w:sz w:val="16"/>
                <w:szCs w:val="16"/>
              </w:rPr>
              <w:t> </w:t>
            </w:r>
          </w:p>
        </w:tc>
        <w:tc>
          <w:tcPr>
            <w:tcW w:w="520" w:type="pct"/>
            <w:tcBorders>
              <w:top w:val="nil"/>
              <w:left w:val="nil"/>
              <w:bottom w:val="nil"/>
              <w:right w:val="nil"/>
            </w:tcBorders>
            <w:shd w:val="clear" w:color="000000" w:fill="E6F2FF"/>
            <w:noWrap/>
            <w:vAlign w:val="center"/>
            <w:hideMark/>
          </w:tcPr>
          <w:p w14:paraId="200817BB" w14:textId="77777777" w:rsidR="00296248" w:rsidRPr="00296248" w:rsidRDefault="00296248" w:rsidP="00296248">
            <w:pPr>
              <w:spacing w:before="0" w:after="0" w:line="240" w:lineRule="auto"/>
              <w:rPr>
                <w:rFonts w:ascii="Arial" w:hAnsi="Arial" w:cs="Arial"/>
                <w:sz w:val="16"/>
                <w:szCs w:val="16"/>
              </w:rPr>
            </w:pPr>
            <w:r w:rsidRPr="00296248">
              <w:rPr>
                <w:rFonts w:ascii="Arial" w:hAnsi="Arial" w:cs="Arial"/>
                <w:sz w:val="16"/>
                <w:szCs w:val="16"/>
              </w:rPr>
              <w:t> </w:t>
            </w:r>
          </w:p>
        </w:tc>
        <w:tc>
          <w:tcPr>
            <w:tcW w:w="520" w:type="pct"/>
            <w:tcBorders>
              <w:top w:val="nil"/>
              <w:left w:val="nil"/>
              <w:bottom w:val="nil"/>
              <w:right w:val="nil"/>
            </w:tcBorders>
            <w:shd w:val="clear" w:color="000000" w:fill="FFFFFF"/>
            <w:noWrap/>
            <w:vAlign w:val="center"/>
            <w:hideMark/>
          </w:tcPr>
          <w:p w14:paraId="7183135C" w14:textId="77777777" w:rsidR="00296248" w:rsidRPr="00296248" w:rsidRDefault="00296248" w:rsidP="00296248">
            <w:pPr>
              <w:spacing w:before="0" w:after="0" w:line="240" w:lineRule="auto"/>
              <w:rPr>
                <w:rFonts w:ascii="Arial" w:hAnsi="Arial" w:cs="Arial"/>
                <w:sz w:val="16"/>
                <w:szCs w:val="16"/>
              </w:rPr>
            </w:pPr>
            <w:r w:rsidRPr="00296248">
              <w:rPr>
                <w:rFonts w:ascii="Arial" w:hAnsi="Arial" w:cs="Arial"/>
                <w:sz w:val="16"/>
                <w:szCs w:val="16"/>
              </w:rPr>
              <w:t> </w:t>
            </w:r>
          </w:p>
        </w:tc>
        <w:tc>
          <w:tcPr>
            <w:tcW w:w="520" w:type="pct"/>
            <w:tcBorders>
              <w:top w:val="nil"/>
              <w:left w:val="nil"/>
              <w:bottom w:val="nil"/>
              <w:right w:val="nil"/>
            </w:tcBorders>
            <w:shd w:val="clear" w:color="000000" w:fill="FFFFFF"/>
            <w:noWrap/>
            <w:vAlign w:val="center"/>
            <w:hideMark/>
          </w:tcPr>
          <w:p w14:paraId="4C8A93A0" w14:textId="77777777" w:rsidR="00296248" w:rsidRPr="00296248" w:rsidRDefault="00296248" w:rsidP="00296248">
            <w:pPr>
              <w:spacing w:before="0" w:after="0" w:line="240" w:lineRule="auto"/>
              <w:rPr>
                <w:rFonts w:ascii="Arial" w:hAnsi="Arial" w:cs="Arial"/>
                <w:sz w:val="16"/>
                <w:szCs w:val="16"/>
              </w:rPr>
            </w:pPr>
            <w:r w:rsidRPr="00296248">
              <w:rPr>
                <w:rFonts w:ascii="Arial" w:hAnsi="Arial" w:cs="Arial"/>
                <w:sz w:val="16"/>
                <w:szCs w:val="16"/>
              </w:rPr>
              <w:t> </w:t>
            </w:r>
          </w:p>
        </w:tc>
        <w:tc>
          <w:tcPr>
            <w:tcW w:w="520" w:type="pct"/>
            <w:tcBorders>
              <w:top w:val="nil"/>
              <w:left w:val="nil"/>
              <w:bottom w:val="nil"/>
              <w:right w:val="nil"/>
            </w:tcBorders>
            <w:shd w:val="clear" w:color="000000" w:fill="FFFFFF"/>
            <w:noWrap/>
            <w:vAlign w:val="center"/>
            <w:hideMark/>
          </w:tcPr>
          <w:p w14:paraId="7B4E4DD8" w14:textId="77777777" w:rsidR="00296248" w:rsidRPr="00296248" w:rsidRDefault="00296248" w:rsidP="00296248">
            <w:pPr>
              <w:spacing w:before="0" w:after="0" w:line="240" w:lineRule="auto"/>
              <w:rPr>
                <w:rFonts w:ascii="Arial" w:hAnsi="Arial" w:cs="Arial"/>
                <w:sz w:val="16"/>
                <w:szCs w:val="16"/>
              </w:rPr>
            </w:pPr>
            <w:r w:rsidRPr="00296248">
              <w:rPr>
                <w:rFonts w:ascii="Arial" w:hAnsi="Arial" w:cs="Arial"/>
                <w:sz w:val="16"/>
                <w:szCs w:val="16"/>
              </w:rPr>
              <w:t> </w:t>
            </w:r>
          </w:p>
        </w:tc>
      </w:tr>
      <w:tr w:rsidR="00296248" w:rsidRPr="00296248" w14:paraId="5678F746" w14:textId="77777777" w:rsidTr="00C458F2">
        <w:trPr>
          <w:trHeight w:hRule="exact" w:val="225"/>
        </w:trPr>
        <w:tc>
          <w:tcPr>
            <w:tcW w:w="2402" w:type="pct"/>
            <w:tcBorders>
              <w:top w:val="nil"/>
              <w:left w:val="nil"/>
              <w:bottom w:val="nil"/>
              <w:right w:val="nil"/>
            </w:tcBorders>
            <w:shd w:val="clear" w:color="000000" w:fill="FFFFFF"/>
            <w:noWrap/>
            <w:vAlign w:val="center"/>
            <w:hideMark/>
          </w:tcPr>
          <w:p w14:paraId="46627068" w14:textId="77777777" w:rsidR="00296248" w:rsidRPr="00296248" w:rsidRDefault="00296248" w:rsidP="00C458F2">
            <w:pPr>
              <w:spacing w:before="0" w:after="0" w:line="240" w:lineRule="auto"/>
              <w:ind w:left="340"/>
              <w:rPr>
                <w:rFonts w:ascii="Arial" w:hAnsi="Arial" w:cs="Arial"/>
                <w:i/>
                <w:iCs/>
                <w:sz w:val="16"/>
                <w:szCs w:val="16"/>
              </w:rPr>
            </w:pPr>
            <w:r w:rsidRPr="00296248">
              <w:rPr>
                <w:rFonts w:ascii="Arial" w:hAnsi="Arial" w:cs="Arial"/>
                <w:i/>
                <w:iCs/>
                <w:sz w:val="16"/>
                <w:szCs w:val="16"/>
              </w:rPr>
              <w:t xml:space="preserve"> behalf</w:t>
            </w:r>
          </w:p>
        </w:tc>
        <w:tc>
          <w:tcPr>
            <w:tcW w:w="520" w:type="pct"/>
            <w:tcBorders>
              <w:top w:val="nil"/>
              <w:left w:val="nil"/>
              <w:bottom w:val="nil"/>
              <w:right w:val="nil"/>
            </w:tcBorders>
            <w:shd w:val="clear" w:color="000000" w:fill="FFFFFF"/>
            <w:noWrap/>
            <w:vAlign w:val="center"/>
            <w:hideMark/>
          </w:tcPr>
          <w:p w14:paraId="497F0D43" w14:textId="77777777" w:rsidR="00296248" w:rsidRPr="00296248" w:rsidRDefault="00296248" w:rsidP="00296248">
            <w:pPr>
              <w:spacing w:before="0" w:after="0" w:line="240" w:lineRule="auto"/>
              <w:jc w:val="right"/>
              <w:rPr>
                <w:rFonts w:ascii="Arial" w:hAnsi="Arial" w:cs="Arial"/>
                <w:i/>
                <w:iCs/>
                <w:sz w:val="16"/>
                <w:szCs w:val="16"/>
              </w:rPr>
            </w:pPr>
            <w:r w:rsidRPr="00296248">
              <w:rPr>
                <w:rFonts w:ascii="Arial" w:hAnsi="Arial" w:cs="Arial"/>
                <w:i/>
                <w:iCs/>
                <w:sz w:val="16"/>
                <w:szCs w:val="16"/>
              </w:rPr>
              <w:t>22,547</w:t>
            </w:r>
          </w:p>
        </w:tc>
        <w:tc>
          <w:tcPr>
            <w:tcW w:w="520" w:type="pct"/>
            <w:tcBorders>
              <w:top w:val="nil"/>
              <w:left w:val="nil"/>
              <w:bottom w:val="nil"/>
              <w:right w:val="nil"/>
            </w:tcBorders>
            <w:shd w:val="clear" w:color="000000" w:fill="E6F2FF"/>
            <w:noWrap/>
            <w:vAlign w:val="center"/>
            <w:hideMark/>
          </w:tcPr>
          <w:p w14:paraId="2A2CA81F" w14:textId="77777777" w:rsidR="00296248" w:rsidRPr="00296248" w:rsidRDefault="00296248" w:rsidP="00296248">
            <w:pPr>
              <w:spacing w:before="0" w:after="0" w:line="240" w:lineRule="auto"/>
              <w:jc w:val="right"/>
              <w:rPr>
                <w:rFonts w:ascii="Arial" w:hAnsi="Arial" w:cs="Arial"/>
                <w:i/>
                <w:iCs/>
                <w:sz w:val="16"/>
                <w:szCs w:val="16"/>
              </w:rPr>
            </w:pPr>
            <w:r w:rsidRPr="00296248">
              <w:rPr>
                <w:rFonts w:ascii="Arial" w:hAnsi="Arial" w:cs="Arial"/>
                <w:i/>
                <w:iCs/>
                <w:sz w:val="16"/>
                <w:szCs w:val="16"/>
              </w:rPr>
              <w:t>24,107</w:t>
            </w:r>
          </w:p>
        </w:tc>
        <w:tc>
          <w:tcPr>
            <w:tcW w:w="520" w:type="pct"/>
            <w:tcBorders>
              <w:top w:val="nil"/>
              <w:left w:val="nil"/>
              <w:bottom w:val="nil"/>
              <w:right w:val="nil"/>
            </w:tcBorders>
            <w:shd w:val="clear" w:color="000000" w:fill="FFFFFF"/>
            <w:noWrap/>
            <w:vAlign w:val="center"/>
            <w:hideMark/>
          </w:tcPr>
          <w:p w14:paraId="0E3A6C81" w14:textId="77777777" w:rsidR="00296248" w:rsidRPr="00296248" w:rsidRDefault="00296248" w:rsidP="00296248">
            <w:pPr>
              <w:spacing w:before="0" w:after="0" w:line="240" w:lineRule="auto"/>
              <w:jc w:val="right"/>
              <w:rPr>
                <w:rFonts w:ascii="Arial" w:hAnsi="Arial" w:cs="Arial"/>
                <w:i/>
                <w:iCs/>
                <w:sz w:val="16"/>
                <w:szCs w:val="16"/>
              </w:rPr>
            </w:pPr>
            <w:r w:rsidRPr="00296248">
              <w:rPr>
                <w:rFonts w:ascii="Arial" w:hAnsi="Arial" w:cs="Arial"/>
                <w:i/>
                <w:iCs/>
                <w:sz w:val="16"/>
                <w:szCs w:val="16"/>
              </w:rPr>
              <w:t>28,269</w:t>
            </w:r>
          </w:p>
        </w:tc>
        <w:tc>
          <w:tcPr>
            <w:tcW w:w="520" w:type="pct"/>
            <w:tcBorders>
              <w:top w:val="nil"/>
              <w:left w:val="nil"/>
              <w:bottom w:val="nil"/>
              <w:right w:val="nil"/>
            </w:tcBorders>
            <w:shd w:val="clear" w:color="000000" w:fill="FFFFFF"/>
            <w:noWrap/>
            <w:vAlign w:val="center"/>
            <w:hideMark/>
          </w:tcPr>
          <w:p w14:paraId="72615006" w14:textId="77777777" w:rsidR="00296248" w:rsidRPr="00296248" w:rsidRDefault="00296248" w:rsidP="00296248">
            <w:pPr>
              <w:spacing w:before="0" w:after="0" w:line="240" w:lineRule="auto"/>
              <w:jc w:val="right"/>
              <w:rPr>
                <w:rFonts w:ascii="Arial" w:hAnsi="Arial" w:cs="Arial"/>
                <w:i/>
                <w:iCs/>
                <w:sz w:val="16"/>
                <w:szCs w:val="16"/>
              </w:rPr>
            </w:pPr>
            <w:r w:rsidRPr="00296248">
              <w:rPr>
                <w:rFonts w:ascii="Arial" w:hAnsi="Arial" w:cs="Arial"/>
                <w:i/>
                <w:iCs/>
                <w:sz w:val="16"/>
                <w:szCs w:val="16"/>
              </w:rPr>
              <w:t>32,432</w:t>
            </w:r>
          </w:p>
        </w:tc>
        <w:tc>
          <w:tcPr>
            <w:tcW w:w="520" w:type="pct"/>
            <w:tcBorders>
              <w:top w:val="nil"/>
              <w:left w:val="nil"/>
              <w:bottom w:val="nil"/>
              <w:right w:val="nil"/>
            </w:tcBorders>
            <w:shd w:val="clear" w:color="000000" w:fill="FFFFFF"/>
            <w:noWrap/>
            <w:vAlign w:val="center"/>
            <w:hideMark/>
          </w:tcPr>
          <w:p w14:paraId="1A47FB1B" w14:textId="77777777" w:rsidR="00296248" w:rsidRPr="00296248" w:rsidRDefault="00296248" w:rsidP="00296248">
            <w:pPr>
              <w:spacing w:before="0" w:after="0" w:line="240" w:lineRule="auto"/>
              <w:jc w:val="right"/>
              <w:rPr>
                <w:rFonts w:ascii="Arial" w:hAnsi="Arial" w:cs="Arial"/>
                <w:i/>
                <w:iCs/>
                <w:sz w:val="16"/>
                <w:szCs w:val="16"/>
              </w:rPr>
            </w:pPr>
            <w:r w:rsidRPr="00296248">
              <w:rPr>
                <w:rFonts w:ascii="Arial" w:hAnsi="Arial" w:cs="Arial"/>
                <w:i/>
                <w:iCs/>
                <w:sz w:val="16"/>
                <w:szCs w:val="16"/>
              </w:rPr>
              <w:t>35,744</w:t>
            </w:r>
          </w:p>
        </w:tc>
      </w:tr>
      <w:tr w:rsidR="00296248" w:rsidRPr="00296248" w14:paraId="4EDE2689" w14:textId="77777777" w:rsidTr="00C458F2">
        <w:trPr>
          <w:trHeight w:hRule="exact" w:val="225"/>
        </w:trPr>
        <w:tc>
          <w:tcPr>
            <w:tcW w:w="2402" w:type="pct"/>
            <w:tcBorders>
              <w:top w:val="nil"/>
              <w:left w:val="nil"/>
              <w:bottom w:val="nil"/>
              <w:right w:val="nil"/>
            </w:tcBorders>
            <w:shd w:val="clear" w:color="000000" w:fill="FFFFFF"/>
            <w:noWrap/>
            <w:vAlign w:val="center"/>
            <w:hideMark/>
          </w:tcPr>
          <w:p w14:paraId="79B328AB" w14:textId="77777777" w:rsidR="00296248" w:rsidRPr="00296248" w:rsidRDefault="00296248" w:rsidP="00296248">
            <w:pPr>
              <w:spacing w:before="0" w:after="0" w:line="240" w:lineRule="auto"/>
              <w:rPr>
                <w:rFonts w:ascii="Arial" w:hAnsi="Arial" w:cs="Arial"/>
                <w:sz w:val="16"/>
                <w:szCs w:val="16"/>
              </w:rPr>
            </w:pPr>
            <w:r w:rsidRPr="00296248">
              <w:rPr>
                <w:rFonts w:ascii="Arial" w:hAnsi="Arial" w:cs="Arial"/>
                <w:sz w:val="16"/>
                <w:szCs w:val="16"/>
              </w:rPr>
              <w:t>Nominal superannuation interest</w:t>
            </w:r>
          </w:p>
        </w:tc>
        <w:tc>
          <w:tcPr>
            <w:tcW w:w="520" w:type="pct"/>
            <w:tcBorders>
              <w:top w:val="nil"/>
              <w:left w:val="nil"/>
              <w:bottom w:val="nil"/>
              <w:right w:val="nil"/>
            </w:tcBorders>
            <w:shd w:val="clear" w:color="000000" w:fill="FFFFFF"/>
            <w:noWrap/>
            <w:vAlign w:val="center"/>
            <w:hideMark/>
          </w:tcPr>
          <w:p w14:paraId="692C2C11" w14:textId="77777777" w:rsidR="00296248" w:rsidRPr="00296248" w:rsidRDefault="00296248" w:rsidP="00296248">
            <w:pPr>
              <w:spacing w:before="0" w:after="0" w:line="240" w:lineRule="auto"/>
              <w:jc w:val="right"/>
              <w:rPr>
                <w:rFonts w:ascii="Arial" w:hAnsi="Arial" w:cs="Arial"/>
                <w:sz w:val="16"/>
                <w:szCs w:val="16"/>
              </w:rPr>
            </w:pPr>
            <w:r w:rsidRPr="00296248">
              <w:rPr>
                <w:rFonts w:ascii="Arial" w:hAnsi="Arial" w:cs="Arial"/>
                <w:sz w:val="16"/>
                <w:szCs w:val="16"/>
              </w:rPr>
              <w:t>13,374</w:t>
            </w:r>
          </w:p>
        </w:tc>
        <w:tc>
          <w:tcPr>
            <w:tcW w:w="520" w:type="pct"/>
            <w:tcBorders>
              <w:top w:val="nil"/>
              <w:left w:val="nil"/>
              <w:bottom w:val="nil"/>
              <w:right w:val="nil"/>
            </w:tcBorders>
            <w:shd w:val="clear" w:color="000000" w:fill="E6F2FF"/>
            <w:noWrap/>
            <w:vAlign w:val="center"/>
            <w:hideMark/>
          </w:tcPr>
          <w:p w14:paraId="5EA3836E" w14:textId="77777777" w:rsidR="00296248" w:rsidRPr="00296248" w:rsidRDefault="00296248" w:rsidP="00296248">
            <w:pPr>
              <w:spacing w:before="0" w:after="0" w:line="240" w:lineRule="auto"/>
              <w:jc w:val="right"/>
              <w:rPr>
                <w:rFonts w:ascii="Arial" w:hAnsi="Arial" w:cs="Arial"/>
                <w:sz w:val="16"/>
                <w:szCs w:val="16"/>
              </w:rPr>
            </w:pPr>
            <w:r w:rsidRPr="00296248">
              <w:rPr>
                <w:rFonts w:ascii="Arial" w:hAnsi="Arial" w:cs="Arial"/>
                <w:sz w:val="16"/>
                <w:szCs w:val="16"/>
              </w:rPr>
              <w:t>14,620</w:t>
            </w:r>
          </w:p>
        </w:tc>
        <w:tc>
          <w:tcPr>
            <w:tcW w:w="520" w:type="pct"/>
            <w:tcBorders>
              <w:top w:val="nil"/>
              <w:left w:val="nil"/>
              <w:bottom w:val="nil"/>
              <w:right w:val="nil"/>
            </w:tcBorders>
            <w:shd w:val="clear" w:color="000000" w:fill="FFFFFF"/>
            <w:noWrap/>
            <w:vAlign w:val="center"/>
            <w:hideMark/>
          </w:tcPr>
          <w:p w14:paraId="41F60B72" w14:textId="77777777" w:rsidR="00296248" w:rsidRPr="00296248" w:rsidRDefault="00296248" w:rsidP="00296248">
            <w:pPr>
              <w:spacing w:before="0" w:after="0" w:line="240" w:lineRule="auto"/>
              <w:jc w:val="right"/>
              <w:rPr>
                <w:rFonts w:ascii="Arial" w:hAnsi="Arial" w:cs="Arial"/>
                <w:sz w:val="16"/>
                <w:szCs w:val="16"/>
              </w:rPr>
            </w:pPr>
            <w:r w:rsidRPr="00296248">
              <w:rPr>
                <w:rFonts w:ascii="Arial" w:hAnsi="Arial" w:cs="Arial"/>
                <w:sz w:val="16"/>
                <w:szCs w:val="16"/>
              </w:rPr>
              <w:t>15,126</w:t>
            </w:r>
          </w:p>
        </w:tc>
        <w:tc>
          <w:tcPr>
            <w:tcW w:w="520" w:type="pct"/>
            <w:tcBorders>
              <w:top w:val="nil"/>
              <w:left w:val="nil"/>
              <w:bottom w:val="nil"/>
              <w:right w:val="nil"/>
            </w:tcBorders>
            <w:shd w:val="clear" w:color="000000" w:fill="FFFFFF"/>
            <w:noWrap/>
            <w:vAlign w:val="center"/>
            <w:hideMark/>
          </w:tcPr>
          <w:p w14:paraId="1721F141" w14:textId="77777777" w:rsidR="00296248" w:rsidRPr="00296248" w:rsidRDefault="00296248" w:rsidP="00296248">
            <w:pPr>
              <w:spacing w:before="0" w:after="0" w:line="240" w:lineRule="auto"/>
              <w:jc w:val="right"/>
              <w:rPr>
                <w:rFonts w:ascii="Arial" w:hAnsi="Arial" w:cs="Arial"/>
                <w:color w:val="000000"/>
                <w:sz w:val="16"/>
                <w:szCs w:val="16"/>
              </w:rPr>
            </w:pPr>
            <w:r w:rsidRPr="00296248">
              <w:rPr>
                <w:rFonts w:ascii="Arial" w:hAnsi="Arial" w:cs="Arial"/>
                <w:color w:val="000000"/>
                <w:sz w:val="16"/>
                <w:szCs w:val="16"/>
              </w:rPr>
              <w:t>15,610</w:t>
            </w:r>
          </w:p>
        </w:tc>
        <w:tc>
          <w:tcPr>
            <w:tcW w:w="520" w:type="pct"/>
            <w:tcBorders>
              <w:top w:val="nil"/>
              <w:left w:val="nil"/>
              <w:bottom w:val="nil"/>
              <w:right w:val="nil"/>
            </w:tcBorders>
            <w:shd w:val="clear" w:color="000000" w:fill="FFFFFF"/>
            <w:noWrap/>
            <w:vAlign w:val="center"/>
            <w:hideMark/>
          </w:tcPr>
          <w:p w14:paraId="0C31001E" w14:textId="77777777" w:rsidR="00296248" w:rsidRPr="00296248" w:rsidRDefault="00296248" w:rsidP="00296248">
            <w:pPr>
              <w:spacing w:before="0" w:after="0" w:line="240" w:lineRule="auto"/>
              <w:jc w:val="right"/>
              <w:rPr>
                <w:rFonts w:ascii="Arial" w:hAnsi="Arial" w:cs="Arial"/>
                <w:color w:val="000000"/>
                <w:sz w:val="16"/>
                <w:szCs w:val="16"/>
              </w:rPr>
            </w:pPr>
            <w:r w:rsidRPr="00296248">
              <w:rPr>
                <w:rFonts w:ascii="Arial" w:hAnsi="Arial" w:cs="Arial"/>
                <w:color w:val="000000"/>
                <w:sz w:val="16"/>
                <w:szCs w:val="16"/>
              </w:rPr>
              <w:t>16,054</w:t>
            </w:r>
          </w:p>
        </w:tc>
      </w:tr>
      <w:tr w:rsidR="00296248" w:rsidRPr="00296248" w14:paraId="0E4F9F53" w14:textId="77777777" w:rsidTr="00C458F2">
        <w:trPr>
          <w:trHeight w:hRule="exact" w:val="225"/>
        </w:trPr>
        <w:tc>
          <w:tcPr>
            <w:tcW w:w="2402" w:type="pct"/>
            <w:tcBorders>
              <w:top w:val="nil"/>
              <w:left w:val="nil"/>
              <w:bottom w:val="nil"/>
              <w:right w:val="nil"/>
            </w:tcBorders>
            <w:shd w:val="clear" w:color="000000" w:fill="FFFFFF"/>
            <w:noWrap/>
            <w:vAlign w:val="center"/>
            <w:hideMark/>
          </w:tcPr>
          <w:p w14:paraId="3B7932FB" w14:textId="77777777" w:rsidR="00296248" w:rsidRPr="00296248" w:rsidRDefault="00296248" w:rsidP="00296248">
            <w:pPr>
              <w:spacing w:before="0" w:after="0" w:line="240" w:lineRule="auto"/>
              <w:rPr>
                <w:rFonts w:ascii="Arial" w:hAnsi="Arial" w:cs="Arial"/>
                <w:sz w:val="16"/>
                <w:szCs w:val="16"/>
              </w:rPr>
            </w:pPr>
            <w:r w:rsidRPr="00296248">
              <w:rPr>
                <w:rFonts w:ascii="Arial" w:hAnsi="Arial" w:cs="Arial"/>
                <w:sz w:val="16"/>
                <w:szCs w:val="16"/>
              </w:rPr>
              <w:t>General purpose inter-government transactions</w:t>
            </w:r>
          </w:p>
        </w:tc>
        <w:tc>
          <w:tcPr>
            <w:tcW w:w="520" w:type="pct"/>
            <w:tcBorders>
              <w:top w:val="nil"/>
              <w:left w:val="nil"/>
              <w:bottom w:val="nil"/>
              <w:right w:val="nil"/>
            </w:tcBorders>
            <w:shd w:val="clear" w:color="000000" w:fill="FFFFFF"/>
            <w:noWrap/>
            <w:vAlign w:val="center"/>
            <w:hideMark/>
          </w:tcPr>
          <w:p w14:paraId="33A59F86" w14:textId="77777777" w:rsidR="00296248" w:rsidRPr="00296248" w:rsidRDefault="00296248" w:rsidP="00296248">
            <w:pPr>
              <w:spacing w:before="0" w:after="0" w:line="240" w:lineRule="auto"/>
              <w:jc w:val="right"/>
              <w:rPr>
                <w:rFonts w:ascii="Arial" w:hAnsi="Arial" w:cs="Arial"/>
                <w:sz w:val="16"/>
                <w:szCs w:val="16"/>
              </w:rPr>
            </w:pPr>
            <w:r w:rsidRPr="00296248">
              <w:rPr>
                <w:rFonts w:ascii="Arial" w:hAnsi="Arial" w:cs="Arial"/>
                <w:sz w:val="16"/>
                <w:szCs w:val="16"/>
              </w:rPr>
              <w:t>92,917</w:t>
            </w:r>
          </w:p>
        </w:tc>
        <w:tc>
          <w:tcPr>
            <w:tcW w:w="520" w:type="pct"/>
            <w:tcBorders>
              <w:top w:val="nil"/>
              <w:left w:val="nil"/>
              <w:bottom w:val="nil"/>
              <w:right w:val="nil"/>
            </w:tcBorders>
            <w:shd w:val="clear" w:color="000000" w:fill="E6F2FF"/>
            <w:noWrap/>
            <w:vAlign w:val="center"/>
            <w:hideMark/>
          </w:tcPr>
          <w:p w14:paraId="73E5B76F" w14:textId="77777777" w:rsidR="00296248" w:rsidRPr="00296248" w:rsidRDefault="00296248" w:rsidP="00296248">
            <w:pPr>
              <w:spacing w:before="0" w:after="0" w:line="240" w:lineRule="auto"/>
              <w:jc w:val="right"/>
              <w:rPr>
                <w:rFonts w:ascii="Arial" w:hAnsi="Arial" w:cs="Arial"/>
                <w:sz w:val="16"/>
                <w:szCs w:val="16"/>
              </w:rPr>
            </w:pPr>
            <w:r w:rsidRPr="00296248">
              <w:rPr>
                <w:rFonts w:ascii="Arial" w:hAnsi="Arial" w:cs="Arial"/>
                <w:sz w:val="16"/>
                <w:szCs w:val="16"/>
              </w:rPr>
              <w:t>97,995</w:t>
            </w:r>
          </w:p>
        </w:tc>
        <w:tc>
          <w:tcPr>
            <w:tcW w:w="520" w:type="pct"/>
            <w:tcBorders>
              <w:top w:val="nil"/>
              <w:left w:val="nil"/>
              <w:bottom w:val="nil"/>
              <w:right w:val="nil"/>
            </w:tcBorders>
            <w:shd w:val="clear" w:color="000000" w:fill="FFFFFF"/>
            <w:noWrap/>
            <w:vAlign w:val="center"/>
            <w:hideMark/>
          </w:tcPr>
          <w:p w14:paraId="4EBB22C5" w14:textId="77777777" w:rsidR="00296248" w:rsidRPr="00296248" w:rsidRDefault="00296248" w:rsidP="00296248">
            <w:pPr>
              <w:spacing w:before="0" w:after="0" w:line="240" w:lineRule="auto"/>
              <w:jc w:val="right"/>
              <w:rPr>
                <w:rFonts w:ascii="Arial" w:hAnsi="Arial" w:cs="Arial"/>
                <w:sz w:val="16"/>
                <w:szCs w:val="16"/>
              </w:rPr>
            </w:pPr>
            <w:r w:rsidRPr="00296248">
              <w:rPr>
                <w:rFonts w:ascii="Arial" w:hAnsi="Arial" w:cs="Arial"/>
                <w:sz w:val="16"/>
                <w:szCs w:val="16"/>
              </w:rPr>
              <w:t>102,937</w:t>
            </w:r>
          </w:p>
        </w:tc>
        <w:tc>
          <w:tcPr>
            <w:tcW w:w="520" w:type="pct"/>
            <w:tcBorders>
              <w:top w:val="nil"/>
              <w:left w:val="nil"/>
              <w:bottom w:val="nil"/>
              <w:right w:val="nil"/>
            </w:tcBorders>
            <w:shd w:val="clear" w:color="000000" w:fill="FFFFFF"/>
            <w:noWrap/>
            <w:vAlign w:val="center"/>
            <w:hideMark/>
          </w:tcPr>
          <w:p w14:paraId="7C31CCBC" w14:textId="77777777" w:rsidR="00296248" w:rsidRPr="00296248" w:rsidRDefault="00296248" w:rsidP="00296248">
            <w:pPr>
              <w:spacing w:before="0" w:after="0" w:line="240" w:lineRule="auto"/>
              <w:jc w:val="right"/>
              <w:rPr>
                <w:rFonts w:ascii="Arial" w:hAnsi="Arial" w:cs="Arial"/>
                <w:color w:val="000000"/>
                <w:sz w:val="16"/>
                <w:szCs w:val="16"/>
              </w:rPr>
            </w:pPr>
            <w:r w:rsidRPr="00296248">
              <w:rPr>
                <w:rFonts w:ascii="Arial" w:hAnsi="Arial" w:cs="Arial"/>
                <w:color w:val="000000"/>
                <w:sz w:val="16"/>
                <w:szCs w:val="16"/>
              </w:rPr>
              <w:t>108,329</w:t>
            </w:r>
          </w:p>
        </w:tc>
        <w:tc>
          <w:tcPr>
            <w:tcW w:w="520" w:type="pct"/>
            <w:tcBorders>
              <w:top w:val="nil"/>
              <w:left w:val="nil"/>
              <w:bottom w:val="nil"/>
              <w:right w:val="nil"/>
            </w:tcBorders>
            <w:shd w:val="clear" w:color="000000" w:fill="FFFFFF"/>
            <w:noWrap/>
            <w:vAlign w:val="center"/>
            <w:hideMark/>
          </w:tcPr>
          <w:p w14:paraId="1D883B17" w14:textId="77777777" w:rsidR="00296248" w:rsidRPr="00296248" w:rsidRDefault="00296248" w:rsidP="00296248">
            <w:pPr>
              <w:spacing w:before="0" w:after="0" w:line="240" w:lineRule="auto"/>
              <w:jc w:val="right"/>
              <w:rPr>
                <w:rFonts w:ascii="Arial" w:hAnsi="Arial" w:cs="Arial"/>
                <w:color w:val="000000"/>
                <w:sz w:val="16"/>
                <w:szCs w:val="16"/>
              </w:rPr>
            </w:pPr>
            <w:r w:rsidRPr="00296248">
              <w:rPr>
                <w:rFonts w:ascii="Arial" w:hAnsi="Arial" w:cs="Arial"/>
                <w:color w:val="000000"/>
                <w:sz w:val="16"/>
                <w:szCs w:val="16"/>
              </w:rPr>
              <w:t>112,941</w:t>
            </w:r>
          </w:p>
        </w:tc>
      </w:tr>
      <w:tr w:rsidR="00296248" w:rsidRPr="00296248" w14:paraId="297D6EDB" w14:textId="77777777" w:rsidTr="00C458F2">
        <w:trPr>
          <w:trHeight w:hRule="exact" w:val="225"/>
        </w:trPr>
        <w:tc>
          <w:tcPr>
            <w:tcW w:w="2402" w:type="pct"/>
            <w:tcBorders>
              <w:top w:val="nil"/>
              <w:left w:val="nil"/>
              <w:bottom w:val="nil"/>
              <w:right w:val="nil"/>
            </w:tcBorders>
            <w:shd w:val="clear" w:color="000000" w:fill="FFFFFF"/>
            <w:noWrap/>
            <w:vAlign w:val="center"/>
            <w:hideMark/>
          </w:tcPr>
          <w:p w14:paraId="1F9FEEF3" w14:textId="77777777" w:rsidR="00296248" w:rsidRPr="00296248" w:rsidRDefault="00296248" w:rsidP="00C458F2">
            <w:pPr>
              <w:spacing w:before="0" w:after="0" w:line="240" w:lineRule="auto"/>
              <w:ind w:left="170"/>
              <w:rPr>
                <w:rFonts w:ascii="Arial" w:hAnsi="Arial" w:cs="Arial"/>
                <w:i/>
                <w:iCs/>
                <w:sz w:val="16"/>
                <w:szCs w:val="16"/>
              </w:rPr>
            </w:pPr>
            <w:r w:rsidRPr="00296248">
              <w:rPr>
                <w:rFonts w:ascii="Arial" w:hAnsi="Arial" w:cs="Arial"/>
                <w:i/>
                <w:iCs/>
                <w:sz w:val="16"/>
                <w:szCs w:val="16"/>
              </w:rPr>
              <w:t>General revenue assistance - states and</w:t>
            </w:r>
          </w:p>
        </w:tc>
        <w:tc>
          <w:tcPr>
            <w:tcW w:w="520" w:type="pct"/>
            <w:tcBorders>
              <w:top w:val="nil"/>
              <w:left w:val="nil"/>
              <w:bottom w:val="nil"/>
              <w:right w:val="nil"/>
            </w:tcBorders>
            <w:shd w:val="clear" w:color="000000" w:fill="FFFFFF"/>
            <w:noWrap/>
            <w:vAlign w:val="center"/>
            <w:hideMark/>
          </w:tcPr>
          <w:p w14:paraId="559E91CE" w14:textId="77777777" w:rsidR="00296248" w:rsidRPr="00296248" w:rsidRDefault="00296248" w:rsidP="00296248">
            <w:pPr>
              <w:spacing w:before="0" w:after="0" w:line="240" w:lineRule="auto"/>
              <w:rPr>
                <w:rFonts w:ascii="Arial" w:hAnsi="Arial" w:cs="Arial"/>
                <w:i/>
                <w:iCs/>
                <w:sz w:val="16"/>
                <w:szCs w:val="16"/>
              </w:rPr>
            </w:pPr>
            <w:r w:rsidRPr="00296248">
              <w:rPr>
                <w:rFonts w:ascii="Arial" w:hAnsi="Arial" w:cs="Arial"/>
                <w:i/>
                <w:iCs/>
                <w:sz w:val="16"/>
                <w:szCs w:val="16"/>
              </w:rPr>
              <w:t> </w:t>
            </w:r>
          </w:p>
        </w:tc>
        <w:tc>
          <w:tcPr>
            <w:tcW w:w="520" w:type="pct"/>
            <w:tcBorders>
              <w:top w:val="nil"/>
              <w:left w:val="nil"/>
              <w:bottom w:val="nil"/>
              <w:right w:val="nil"/>
            </w:tcBorders>
            <w:shd w:val="clear" w:color="000000" w:fill="E6F2FF"/>
            <w:noWrap/>
            <w:vAlign w:val="center"/>
            <w:hideMark/>
          </w:tcPr>
          <w:p w14:paraId="3F4C6826" w14:textId="77777777" w:rsidR="00296248" w:rsidRPr="00296248" w:rsidRDefault="00296248" w:rsidP="00296248">
            <w:pPr>
              <w:spacing w:before="0" w:after="0" w:line="240" w:lineRule="auto"/>
              <w:rPr>
                <w:rFonts w:ascii="Arial" w:hAnsi="Arial" w:cs="Arial"/>
                <w:i/>
                <w:iCs/>
                <w:sz w:val="16"/>
                <w:szCs w:val="16"/>
              </w:rPr>
            </w:pPr>
            <w:r w:rsidRPr="00296248">
              <w:rPr>
                <w:rFonts w:ascii="Arial" w:hAnsi="Arial" w:cs="Arial"/>
                <w:i/>
                <w:iCs/>
                <w:sz w:val="16"/>
                <w:szCs w:val="16"/>
              </w:rPr>
              <w:t> </w:t>
            </w:r>
          </w:p>
        </w:tc>
        <w:tc>
          <w:tcPr>
            <w:tcW w:w="520" w:type="pct"/>
            <w:tcBorders>
              <w:top w:val="nil"/>
              <w:left w:val="nil"/>
              <w:bottom w:val="nil"/>
              <w:right w:val="nil"/>
            </w:tcBorders>
            <w:shd w:val="clear" w:color="000000" w:fill="FFFFFF"/>
            <w:noWrap/>
            <w:vAlign w:val="center"/>
            <w:hideMark/>
          </w:tcPr>
          <w:p w14:paraId="71444B40" w14:textId="77777777" w:rsidR="00296248" w:rsidRPr="00296248" w:rsidRDefault="00296248" w:rsidP="00296248">
            <w:pPr>
              <w:spacing w:before="0" w:after="0" w:line="240" w:lineRule="auto"/>
              <w:rPr>
                <w:rFonts w:ascii="Arial" w:hAnsi="Arial" w:cs="Arial"/>
                <w:i/>
                <w:iCs/>
                <w:sz w:val="16"/>
                <w:szCs w:val="16"/>
              </w:rPr>
            </w:pPr>
            <w:r w:rsidRPr="00296248">
              <w:rPr>
                <w:rFonts w:ascii="Arial" w:hAnsi="Arial" w:cs="Arial"/>
                <w:i/>
                <w:iCs/>
                <w:sz w:val="16"/>
                <w:szCs w:val="16"/>
              </w:rPr>
              <w:t> </w:t>
            </w:r>
          </w:p>
        </w:tc>
        <w:tc>
          <w:tcPr>
            <w:tcW w:w="520" w:type="pct"/>
            <w:tcBorders>
              <w:top w:val="nil"/>
              <w:left w:val="nil"/>
              <w:bottom w:val="nil"/>
              <w:right w:val="nil"/>
            </w:tcBorders>
            <w:shd w:val="clear" w:color="000000" w:fill="FFFFFF"/>
            <w:noWrap/>
            <w:vAlign w:val="center"/>
            <w:hideMark/>
          </w:tcPr>
          <w:p w14:paraId="6407C119" w14:textId="77777777" w:rsidR="00296248" w:rsidRPr="00296248" w:rsidRDefault="00296248" w:rsidP="00296248">
            <w:pPr>
              <w:spacing w:before="0" w:after="0" w:line="240" w:lineRule="auto"/>
              <w:rPr>
                <w:rFonts w:ascii="Arial" w:hAnsi="Arial" w:cs="Arial"/>
                <w:i/>
                <w:iCs/>
                <w:sz w:val="16"/>
                <w:szCs w:val="16"/>
              </w:rPr>
            </w:pPr>
            <w:r w:rsidRPr="00296248">
              <w:rPr>
                <w:rFonts w:ascii="Arial" w:hAnsi="Arial" w:cs="Arial"/>
                <w:i/>
                <w:iCs/>
                <w:sz w:val="16"/>
                <w:szCs w:val="16"/>
              </w:rPr>
              <w:t> </w:t>
            </w:r>
          </w:p>
        </w:tc>
        <w:tc>
          <w:tcPr>
            <w:tcW w:w="520" w:type="pct"/>
            <w:tcBorders>
              <w:top w:val="nil"/>
              <w:left w:val="nil"/>
              <w:bottom w:val="nil"/>
              <w:right w:val="nil"/>
            </w:tcBorders>
            <w:shd w:val="clear" w:color="000000" w:fill="FFFFFF"/>
            <w:noWrap/>
            <w:vAlign w:val="center"/>
            <w:hideMark/>
          </w:tcPr>
          <w:p w14:paraId="1887B6D3" w14:textId="77777777" w:rsidR="00296248" w:rsidRPr="00296248" w:rsidRDefault="00296248" w:rsidP="00296248">
            <w:pPr>
              <w:spacing w:before="0" w:after="0" w:line="240" w:lineRule="auto"/>
              <w:rPr>
                <w:rFonts w:ascii="Arial" w:hAnsi="Arial" w:cs="Arial"/>
                <w:i/>
                <w:iCs/>
                <w:sz w:val="16"/>
                <w:szCs w:val="16"/>
              </w:rPr>
            </w:pPr>
            <w:r w:rsidRPr="00296248">
              <w:rPr>
                <w:rFonts w:ascii="Arial" w:hAnsi="Arial" w:cs="Arial"/>
                <w:i/>
                <w:iCs/>
                <w:sz w:val="16"/>
                <w:szCs w:val="16"/>
              </w:rPr>
              <w:t> </w:t>
            </w:r>
          </w:p>
        </w:tc>
      </w:tr>
      <w:tr w:rsidR="00296248" w:rsidRPr="00296248" w14:paraId="3A595B85" w14:textId="77777777" w:rsidTr="00C458F2">
        <w:trPr>
          <w:trHeight w:hRule="exact" w:val="225"/>
        </w:trPr>
        <w:tc>
          <w:tcPr>
            <w:tcW w:w="2402" w:type="pct"/>
            <w:tcBorders>
              <w:top w:val="nil"/>
              <w:left w:val="nil"/>
              <w:bottom w:val="nil"/>
              <w:right w:val="nil"/>
            </w:tcBorders>
            <w:shd w:val="clear" w:color="000000" w:fill="FFFFFF"/>
            <w:noWrap/>
            <w:vAlign w:val="center"/>
            <w:hideMark/>
          </w:tcPr>
          <w:p w14:paraId="4C1295DC" w14:textId="77777777" w:rsidR="00296248" w:rsidRPr="00296248" w:rsidRDefault="00296248" w:rsidP="00C458F2">
            <w:pPr>
              <w:spacing w:before="0" w:after="0" w:line="240" w:lineRule="auto"/>
              <w:ind w:left="340"/>
              <w:rPr>
                <w:rFonts w:ascii="Arial" w:hAnsi="Arial" w:cs="Arial"/>
                <w:i/>
                <w:iCs/>
                <w:sz w:val="16"/>
                <w:szCs w:val="16"/>
              </w:rPr>
            </w:pPr>
            <w:r w:rsidRPr="00296248">
              <w:rPr>
                <w:rFonts w:ascii="Arial" w:hAnsi="Arial" w:cs="Arial"/>
                <w:i/>
                <w:iCs/>
                <w:sz w:val="16"/>
                <w:szCs w:val="16"/>
              </w:rPr>
              <w:t>territories</w:t>
            </w:r>
          </w:p>
        </w:tc>
        <w:tc>
          <w:tcPr>
            <w:tcW w:w="520" w:type="pct"/>
            <w:tcBorders>
              <w:top w:val="nil"/>
              <w:left w:val="nil"/>
              <w:bottom w:val="nil"/>
              <w:right w:val="nil"/>
            </w:tcBorders>
            <w:shd w:val="clear" w:color="000000" w:fill="FFFFFF"/>
            <w:noWrap/>
            <w:vAlign w:val="center"/>
            <w:hideMark/>
          </w:tcPr>
          <w:p w14:paraId="000BEBA6" w14:textId="77777777" w:rsidR="00296248" w:rsidRPr="00296248" w:rsidRDefault="00296248" w:rsidP="00296248">
            <w:pPr>
              <w:spacing w:before="0" w:after="0" w:line="240" w:lineRule="auto"/>
              <w:jc w:val="right"/>
              <w:rPr>
                <w:rFonts w:ascii="Arial" w:hAnsi="Arial" w:cs="Arial"/>
                <w:i/>
                <w:iCs/>
                <w:sz w:val="16"/>
                <w:szCs w:val="16"/>
              </w:rPr>
            </w:pPr>
            <w:r w:rsidRPr="00296248">
              <w:rPr>
                <w:rFonts w:ascii="Arial" w:hAnsi="Arial" w:cs="Arial"/>
                <w:i/>
                <w:iCs/>
                <w:sz w:val="16"/>
                <w:szCs w:val="16"/>
              </w:rPr>
              <w:t>92,107</w:t>
            </w:r>
          </w:p>
        </w:tc>
        <w:tc>
          <w:tcPr>
            <w:tcW w:w="520" w:type="pct"/>
            <w:tcBorders>
              <w:top w:val="nil"/>
              <w:left w:val="nil"/>
              <w:bottom w:val="nil"/>
              <w:right w:val="nil"/>
            </w:tcBorders>
            <w:shd w:val="clear" w:color="000000" w:fill="E6F2FF"/>
            <w:noWrap/>
            <w:vAlign w:val="center"/>
            <w:hideMark/>
          </w:tcPr>
          <w:p w14:paraId="645BE0CC" w14:textId="77777777" w:rsidR="00296248" w:rsidRPr="00296248" w:rsidRDefault="00296248" w:rsidP="00296248">
            <w:pPr>
              <w:spacing w:before="0" w:after="0" w:line="240" w:lineRule="auto"/>
              <w:jc w:val="right"/>
              <w:rPr>
                <w:rFonts w:ascii="Arial" w:hAnsi="Arial" w:cs="Arial"/>
                <w:i/>
                <w:iCs/>
                <w:sz w:val="16"/>
                <w:szCs w:val="16"/>
              </w:rPr>
            </w:pPr>
            <w:r w:rsidRPr="00296248">
              <w:rPr>
                <w:rFonts w:ascii="Arial" w:hAnsi="Arial" w:cs="Arial"/>
                <w:i/>
                <w:iCs/>
                <w:sz w:val="16"/>
                <w:szCs w:val="16"/>
              </w:rPr>
              <w:t>94,412</w:t>
            </w:r>
          </w:p>
        </w:tc>
        <w:tc>
          <w:tcPr>
            <w:tcW w:w="520" w:type="pct"/>
            <w:tcBorders>
              <w:top w:val="nil"/>
              <w:left w:val="nil"/>
              <w:bottom w:val="nil"/>
              <w:right w:val="nil"/>
            </w:tcBorders>
            <w:shd w:val="clear" w:color="000000" w:fill="FFFFFF"/>
            <w:noWrap/>
            <w:vAlign w:val="center"/>
            <w:hideMark/>
          </w:tcPr>
          <w:p w14:paraId="33CBD35E" w14:textId="77777777" w:rsidR="00296248" w:rsidRPr="00296248" w:rsidRDefault="00296248" w:rsidP="00296248">
            <w:pPr>
              <w:spacing w:before="0" w:after="0" w:line="240" w:lineRule="auto"/>
              <w:jc w:val="right"/>
              <w:rPr>
                <w:rFonts w:ascii="Arial" w:hAnsi="Arial" w:cs="Arial"/>
                <w:i/>
                <w:iCs/>
                <w:sz w:val="16"/>
                <w:szCs w:val="16"/>
              </w:rPr>
            </w:pPr>
            <w:r w:rsidRPr="00296248">
              <w:rPr>
                <w:rFonts w:ascii="Arial" w:hAnsi="Arial" w:cs="Arial"/>
                <w:i/>
                <w:iCs/>
                <w:sz w:val="16"/>
                <w:szCs w:val="16"/>
              </w:rPr>
              <w:t>99,241</w:t>
            </w:r>
          </w:p>
        </w:tc>
        <w:tc>
          <w:tcPr>
            <w:tcW w:w="520" w:type="pct"/>
            <w:tcBorders>
              <w:top w:val="nil"/>
              <w:left w:val="nil"/>
              <w:bottom w:val="nil"/>
              <w:right w:val="nil"/>
            </w:tcBorders>
            <w:shd w:val="clear" w:color="000000" w:fill="FFFFFF"/>
            <w:noWrap/>
            <w:vAlign w:val="center"/>
            <w:hideMark/>
          </w:tcPr>
          <w:p w14:paraId="2D789BC9" w14:textId="77777777" w:rsidR="00296248" w:rsidRPr="00296248" w:rsidRDefault="00296248" w:rsidP="00296248">
            <w:pPr>
              <w:spacing w:before="0" w:after="0" w:line="240" w:lineRule="auto"/>
              <w:jc w:val="right"/>
              <w:rPr>
                <w:rFonts w:ascii="Arial" w:hAnsi="Arial" w:cs="Arial"/>
                <w:i/>
                <w:iCs/>
                <w:sz w:val="16"/>
                <w:szCs w:val="16"/>
              </w:rPr>
            </w:pPr>
            <w:r w:rsidRPr="00296248">
              <w:rPr>
                <w:rFonts w:ascii="Arial" w:hAnsi="Arial" w:cs="Arial"/>
                <w:i/>
                <w:iCs/>
                <w:sz w:val="16"/>
                <w:szCs w:val="16"/>
              </w:rPr>
              <w:t>104,771</w:t>
            </w:r>
          </w:p>
        </w:tc>
        <w:tc>
          <w:tcPr>
            <w:tcW w:w="520" w:type="pct"/>
            <w:tcBorders>
              <w:top w:val="nil"/>
              <w:left w:val="nil"/>
              <w:bottom w:val="nil"/>
              <w:right w:val="nil"/>
            </w:tcBorders>
            <w:shd w:val="clear" w:color="000000" w:fill="FFFFFF"/>
            <w:noWrap/>
            <w:vAlign w:val="center"/>
            <w:hideMark/>
          </w:tcPr>
          <w:p w14:paraId="06FD314F" w14:textId="77777777" w:rsidR="00296248" w:rsidRPr="00296248" w:rsidRDefault="00296248" w:rsidP="00296248">
            <w:pPr>
              <w:spacing w:before="0" w:after="0" w:line="240" w:lineRule="auto"/>
              <w:jc w:val="right"/>
              <w:rPr>
                <w:rFonts w:ascii="Arial" w:hAnsi="Arial" w:cs="Arial"/>
                <w:i/>
                <w:iCs/>
                <w:sz w:val="16"/>
                <w:szCs w:val="16"/>
              </w:rPr>
            </w:pPr>
            <w:r w:rsidRPr="00296248">
              <w:rPr>
                <w:rFonts w:ascii="Arial" w:hAnsi="Arial" w:cs="Arial"/>
                <w:i/>
                <w:iCs/>
                <w:sz w:val="16"/>
                <w:szCs w:val="16"/>
              </w:rPr>
              <w:t>109,243</w:t>
            </w:r>
          </w:p>
        </w:tc>
      </w:tr>
      <w:tr w:rsidR="00296248" w:rsidRPr="00296248" w14:paraId="40A96112" w14:textId="77777777" w:rsidTr="00C458F2">
        <w:trPr>
          <w:trHeight w:hRule="exact" w:val="225"/>
        </w:trPr>
        <w:tc>
          <w:tcPr>
            <w:tcW w:w="2402" w:type="pct"/>
            <w:tcBorders>
              <w:top w:val="nil"/>
              <w:left w:val="nil"/>
              <w:bottom w:val="nil"/>
              <w:right w:val="nil"/>
            </w:tcBorders>
            <w:shd w:val="clear" w:color="000000" w:fill="FFFFFF"/>
            <w:noWrap/>
            <w:vAlign w:val="center"/>
            <w:hideMark/>
          </w:tcPr>
          <w:p w14:paraId="1118E386" w14:textId="77777777" w:rsidR="00296248" w:rsidRPr="00296248" w:rsidRDefault="00296248" w:rsidP="00C458F2">
            <w:pPr>
              <w:spacing w:before="0" w:after="0" w:line="240" w:lineRule="auto"/>
              <w:ind w:left="170"/>
              <w:rPr>
                <w:rFonts w:ascii="Arial" w:hAnsi="Arial" w:cs="Arial"/>
                <w:i/>
                <w:iCs/>
                <w:sz w:val="16"/>
                <w:szCs w:val="16"/>
              </w:rPr>
            </w:pPr>
            <w:r w:rsidRPr="00296248">
              <w:rPr>
                <w:rFonts w:ascii="Arial" w:hAnsi="Arial" w:cs="Arial"/>
                <w:i/>
                <w:iCs/>
                <w:sz w:val="16"/>
                <w:szCs w:val="16"/>
              </w:rPr>
              <w:t>Local government assistance</w:t>
            </w:r>
          </w:p>
        </w:tc>
        <w:tc>
          <w:tcPr>
            <w:tcW w:w="520" w:type="pct"/>
            <w:tcBorders>
              <w:top w:val="nil"/>
              <w:left w:val="nil"/>
              <w:bottom w:val="nil"/>
              <w:right w:val="nil"/>
            </w:tcBorders>
            <w:shd w:val="clear" w:color="000000" w:fill="FFFFFF"/>
            <w:noWrap/>
            <w:vAlign w:val="center"/>
            <w:hideMark/>
          </w:tcPr>
          <w:p w14:paraId="02DD35DE" w14:textId="77777777" w:rsidR="00296248" w:rsidRPr="00296248" w:rsidRDefault="00296248" w:rsidP="00296248">
            <w:pPr>
              <w:spacing w:before="0" w:after="0" w:line="240" w:lineRule="auto"/>
              <w:jc w:val="right"/>
              <w:rPr>
                <w:rFonts w:ascii="Arial" w:hAnsi="Arial" w:cs="Arial"/>
                <w:i/>
                <w:iCs/>
                <w:sz w:val="16"/>
                <w:szCs w:val="16"/>
              </w:rPr>
            </w:pPr>
            <w:r w:rsidRPr="00296248">
              <w:rPr>
                <w:rFonts w:ascii="Arial" w:hAnsi="Arial" w:cs="Arial"/>
                <w:i/>
                <w:iCs/>
                <w:sz w:val="16"/>
                <w:szCs w:val="16"/>
              </w:rPr>
              <w:t>810</w:t>
            </w:r>
          </w:p>
        </w:tc>
        <w:tc>
          <w:tcPr>
            <w:tcW w:w="520" w:type="pct"/>
            <w:tcBorders>
              <w:top w:val="nil"/>
              <w:left w:val="nil"/>
              <w:bottom w:val="nil"/>
              <w:right w:val="nil"/>
            </w:tcBorders>
            <w:shd w:val="clear" w:color="000000" w:fill="E6F2FF"/>
            <w:noWrap/>
            <w:vAlign w:val="center"/>
            <w:hideMark/>
          </w:tcPr>
          <w:p w14:paraId="7B68433C" w14:textId="77777777" w:rsidR="00296248" w:rsidRPr="00296248" w:rsidRDefault="00296248" w:rsidP="00296248">
            <w:pPr>
              <w:spacing w:before="0" w:after="0" w:line="240" w:lineRule="auto"/>
              <w:jc w:val="right"/>
              <w:rPr>
                <w:rFonts w:ascii="Arial" w:hAnsi="Arial" w:cs="Arial"/>
                <w:i/>
                <w:iCs/>
                <w:sz w:val="16"/>
                <w:szCs w:val="16"/>
              </w:rPr>
            </w:pPr>
            <w:r w:rsidRPr="00296248">
              <w:rPr>
                <w:rFonts w:ascii="Arial" w:hAnsi="Arial" w:cs="Arial"/>
                <w:i/>
                <w:iCs/>
                <w:sz w:val="16"/>
                <w:szCs w:val="16"/>
              </w:rPr>
              <w:t>3,583</w:t>
            </w:r>
          </w:p>
        </w:tc>
        <w:tc>
          <w:tcPr>
            <w:tcW w:w="520" w:type="pct"/>
            <w:tcBorders>
              <w:top w:val="nil"/>
              <w:left w:val="nil"/>
              <w:bottom w:val="nil"/>
              <w:right w:val="nil"/>
            </w:tcBorders>
            <w:shd w:val="clear" w:color="000000" w:fill="FFFFFF"/>
            <w:noWrap/>
            <w:vAlign w:val="center"/>
            <w:hideMark/>
          </w:tcPr>
          <w:p w14:paraId="69E860D7" w14:textId="77777777" w:rsidR="00296248" w:rsidRPr="00296248" w:rsidRDefault="00296248" w:rsidP="00296248">
            <w:pPr>
              <w:spacing w:before="0" w:after="0" w:line="240" w:lineRule="auto"/>
              <w:jc w:val="right"/>
              <w:rPr>
                <w:rFonts w:ascii="Arial" w:hAnsi="Arial" w:cs="Arial"/>
                <w:i/>
                <w:iCs/>
                <w:sz w:val="16"/>
                <w:szCs w:val="16"/>
              </w:rPr>
            </w:pPr>
            <w:r w:rsidRPr="00296248">
              <w:rPr>
                <w:rFonts w:ascii="Arial" w:hAnsi="Arial" w:cs="Arial"/>
                <w:i/>
                <w:iCs/>
                <w:sz w:val="16"/>
                <w:szCs w:val="16"/>
              </w:rPr>
              <w:t>3,696</w:t>
            </w:r>
          </w:p>
        </w:tc>
        <w:tc>
          <w:tcPr>
            <w:tcW w:w="520" w:type="pct"/>
            <w:tcBorders>
              <w:top w:val="nil"/>
              <w:left w:val="nil"/>
              <w:bottom w:val="nil"/>
              <w:right w:val="nil"/>
            </w:tcBorders>
            <w:shd w:val="clear" w:color="000000" w:fill="FFFFFF"/>
            <w:noWrap/>
            <w:vAlign w:val="center"/>
            <w:hideMark/>
          </w:tcPr>
          <w:p w14:paraId="12D7F53F" w14:textId="77777777" w:rsidR="00296248" w:rsidRPr="00296248" w:rsidRDefault="00296248" w:rsidP="00296248">
            <w:pPr>
              <w:spacing w:before="0" w:after="0" w:line="240" w:lineRule="auto"/>
              <w:jc w:val="right"/>
              <w:rPr>
                <w:rFonts w:ascii="Arial" w:hAnsi="Arial" w:cs="Arial"/>
                <w:i/>
                <w:iCs/>
                <w:color w:val="000000"/>
                <w:sz w:val="16"/>
                <w:szCs w:val="16"/>
              </w:rPr>
            </w:pPr>
            <w:r w:rsidRPr="00296248">
              <w:rPr>
                <w:rFonts w:ascii="Arial" w:hAnsi="Arial" w:cs="Arial"/>
                <w:i/>
                <w:iCs/>
                <w:color w:val="000000"/>
                <w:sz w:val="16"/>
                <w:szCs w:val="16"/>
              </w:rPr>
              <w:t>3,558</w:t>
            </w:r>
          </w:p>
        </w:tc>
        <w:tc>
          <w:tcPr>
            <w:tcW w:w="520" w:type="pct"/>
            <w:tcBorders>
              <w:top w:val="nil"/>
              <w:left w:val="nil"/>
              <w:bottom w:val="nil"/>
              <w:right w:val="nil"/>
            </w:tcBorders>
            <w:shd w:val="clear" w:color="000000" w:fill="FFFFFF"/>
            <w:noWrap/>
            <w:vAlign w:val="center"/>
            <w:hideMark/>
          </w:tcPr>
          <w:p w14:paraId="01E81CE6" w14:textId="77777777" w:rsidR="00296248" w:rsidRPr="00296248" w:rsidRDefault="00296248" w:rsidP="00296248">
            <w:pPr>
              <w:spacing w:before="0" w:after="0" w:line="240" w:lineRule="auto"/>
              <w:jc w:val="right"/>
              <w:rPr>
                <w:rFonts w:ascii="Arial" w:hAnsi="Arial" w:cs="Arial"/>
                <w:i/>
                <w:iCs/>
                <w:color w:val="000000"/>
                <w:sz w:val="16"/>
                <w:szCs w:val="16"/>
              </w:rPr>
            </w:pPr>
            <w:r w:rsidRPr="00296248">
              <w:rPr>
                <w:rFonts w:ascii="Arial" w:hAnsi="Arial" w:cs="Arial"/>
                <w:i/>
                <w:iCs/>
                <w:color w:val="000000"/>
                <w:sz w:val="16"/>
                <w:szCs w:val="16"/>
              </w:rPr>
              <w:t>3,697</w:t>
            </w:r>
          </w:p>
        </w:tc>
      </w:tr>
      <w:tr w:rsidR="00296248" w:rsidRPr="00296248" w14:paraId="55D2D93D" w14:textId="77777777" w:rsidTr="00C458F2">
        <w:trPr>
          <w:trHeight w:hRule="exact" w:val="225"/>
        </w:trPr>
        <w:tc>
          <w:tcPr>
            <w:tcW w:w="2402" w:type="pct"/>
            <w:tcBorders>
              <w:top w:val="nil"/>
              <w:left w:val="nil"/>
              <w:bottom w:val="nil"/>
              <w:right w:val="nil"/>
            </w:tcBorders>
            <w:shd w:val="clear" w:color="000000" w:fill="FFFFFF"/>
            <w:noWrap/>
            <w:vAlign w:val="center"/>
            <w:hideMark/>
          </w:tcPr>
          <w:p w14:paraId="3CFDCE40" w14:textId="77777777" w:rsidR="00296248" w:rsidRPr="00296248" w:rsidRDefault="00296248" w:rsidP="00296248">
            <w:pPr>
              <w:spacing w:before="0" w:after="0" w:line="240" w:lineRule="auto"/>
              <w:rPr>
                <w:rFonts w:ascii="Arial" w:hAnsi="Arial" w:cs="Arial"/>
                <w:sz w:val="16"/>
                <w:szCs w:val="16"/>
              </w:rPr>
            </w:pPr>
            <w:r w:rsidRPr="00296248">
              <w:rPr>
                <w:rFonts w:ascii="Arial" w:hAnsi="Arial" w:cs="Arial"/>
                <w:sz w:val="16"/>
                <w:szCs w:val="16"/>
              </w:rPr>
              <w:t>Natural disaster relief</w:t>
            </w:r>
          </w:p>
        </w:tc>
        <w:tc>
          <w:tcPr>
            <w:tcW w:w="520" w:type="pct"/>
            <w:tcBorders>
              <w:top w:val="nil"/>
              <w:left w:val="nil"/>
              <w:bottom w:val="nil"/>
              <w:right w:val="nil"/>
            </w:tcBorders>
            <w:shd w:val="clear" w:color="000000" w:fill="FFFFFF"/>
            <w:noWrap/>
            <w:vAlign w:val="center"/>
            <w:hideMark/>
          </w:tcPr>
          <w:p w14:paraId="6FDE4E81" w14:textId="77777777" w:rsidR="00296248" w:rsidRPr="00296248" w:rsidRDefault="00296248" w:rsidP="00296248">
            <w:pPr>
              <w:spacing w:before="0" w:after="0" w:line="240" w:lineRule="auto"/>
              <w:jc w:val="right"/>
              <w:rPr>
                <w:rFonts w:ascii="Arial" w:hAnsi="Arial" w:cs="Arial"/>
                <w:sz w:val="16"/>
                <w:szCs w:val="16"/>
              </w:rPr>
            </w:pPr>
            <w:r w:rsidRPr="00296248">
              <w:rPr>
                <w:rFonts w:ascii="Arial" w:hAnsi="Arial" w:cs="Arial"/>
                <w:sz w:val="16"/>
                <w:szCs w:val="16"/>
              </w:rPr>
              <w:t>1,392</w:t>
            </w:r>
          </w:p>
        </w:tc>
        <w:tc>
          <w:tcPr>
            <w:tcW w:w="520" w:type="pct"/>
            <w:tcBorders>
              <w:top w:val="nil"/>
              <w:left w:val="nil"/>
              <w:bottom w:val="nil"/>
              <w:right w:val="nil"/>
            </w:tcBorders>
            <w:shd w:val="clear" w:color="000000" w:fill="E6F2FF"/>
            <w:noWrap/>
            <w:vAlign w:val="center"/>
            <w:hideMark/>
          </w:tcPr>
          <w:p w14:paraId="3E76A239" w14:textId="77777777" w:rsidR="00296248" w:rsidRPr="00296248" w:rsidRDefault="00296248" w:rsidP="00296248">
            <w:pPr>
              <w:spacing w:before="0" w:after="0" w:line="240" w:lineRule="auto"/>
              <w:jc w:val="right"/>
              <w:rPr>
                <w:rFonts w:ascii="Arial" w:hAnsi="Arial" w:cs="Arial"/>
                <w:sz w:val="16"/>
                <w:szCs w:val="16"/>
              </w:rPr>
            </w:pPr>
            <w:r w:rsidRPr="00296248">
              <w:rPr>
                <w:rFonts w:ascii="Arial" w:hAnsi="Arial" w:cs="Arial"/>
                <w:sz w:val="16"/>
                <w:szCs w:val="16"/>
              </w:rPr>
              <w:t>921</w:t>
            </w:r>
          </w:p>
        </w:tc>
        <w:tc>
          <w:tcPr>
            <w:tcW w:w="520" w:type="pct"/>
            <w:tcBorders>
              <w:top w:val="nil"/>
              <w:left w:val="nil"/>
              <w:bottom w:val="nil"/>
              <w:right w:val="nil"/>
            </w:tcBorders>
            <w:shd w:val="clear" w:color="000000" w:fill="FFFFFF"/>
            <w:noWrap/>
            <w:vAlign w:val="center"/>
            <w:hideMark/>
          </w:tcPr>
          <w:p w14:paraId="683A4C2E" w14:textId="77777777" w:rsidR="00296248" w:rsidRPr="00296248" w:rsidRDefault="00296248" w:rsidP="00296248">
            <w:pPr>
              <w:spacing w:before="0" w:after="0" w:line="240" w:lineRule="auto"/>
              <w:jc w:val="right"/>
              <w:rPr>
                <w:rFonts w:ascii="Arial" w:hAnsi="Arial" w:cs="Arial"/>
                <w:sz w:val="16"/>
                <w:szCs w:val="16"/>
              </w:rPr>
            </w:pPr>
            <w:r w:rsidRPr="00296248">
              <w:rPr>
                <w:rFonts w:ascii="Arial" w:hAnsi="Arial" w:cs="Arial"/>
                <w:sz w:val="16"/>
                <w:szCs w:val="16"/>
              </w:rPr>
              <w:t>676</w:t>
            </w:r>
          </w:p>
        </w:tc>
        <w:tc>
          <w:tcPr>
            <w:tcW w:w="520" w:type="pct"/>
            <w:tcBorders>
              <w:top w:val="nil"/>
              <w:left w:val="nil"/>
              <w:bottom w:val="nil"/>
              <w:right w:val="nil"/>
            </w:tcBorders>
            <w:shd w:val="clear" w:color="000000" w:fill="FFFFFF"/>
            <w:noWrap/>
            <w:vAlign w:val="center"/>
            <w:hideMark/>
          </w:tcPr>
          <w:p w14:paraId="1F897AFF" w14:textId="77777777" w:rsidR="00296248" w:rsidRPr="00296248" w:rsidRDefault="00296248" w:rsidP="00296248">
            <w:pPr>
              <w:spacing w:before="0" w:after="0" w:line="240" w:lineRule="auto"/>
              <w:jc w:val="right"/>
              <w:rPr>
                <w:rFonts w:ascii="Arial" w:hAnsi="Arial" w:cs="Arial"/>
                <w:color w:val="000000"/>
                <w:sz w:val="16"/>
                <w:szCs w:val="16"/>
              </w:rPr>
            </w:pPr>
            <w:r w:rsidRPr="00296248">
              <w:rPr>
                <w:rFonts w:ascii="Arial" w:hAnsi="Arial" w:cs="Arial"/>
                <w:color w:val="000000"/>
                <w:sz w:val="16"/>
                <w:szCs w:val="16"/>
              </w:rPr>
              <w:t>408</w:t>
            </w:r>
          </w:p>
        </w:tc>
        <w:tc>
          <w:tcPr>
            <w:tcW w:w="520" w:type="pct"/>
            <w:tcBorders>
              <w:top w:val="nil"/>
              <w:left w:val="nil"/>
              <w:bottom w:val="nil"/>
              <w:right w:val="nil"/>
            </w:tcBorders>
            <w:shd w:val="clear" w:color="000000" w:fill="FFFFFF"/>
            <w:noWrap/>
            <w:vAlign w:val="center"/>
            <w:hideMark/>
          </w:tcPr>
          <w:p w14:paraId="78404CE5" w14:textId="77777777" w:rsidR="00296248" w:rsidRPr="00296248" w:rsidRDefault="00296248" w:rsidP="00296248">
            <w:pPr>
              <w:spacing w:before="0" w:after="0" w:line="240" w:lineRule="auto"/>
              <w:jc w:val="right"/>
              <w:rPr>
                <w:rFonts w:ascii="Arial" w:hAnsi="Arial" w:cs="Arial"/>
                <w:color w:val="000000"/>
                <w:sz w:val="16"/>
                <w:szCs w:val="16"/>
              </w:rPr>
            </w:pPr>
            <w:r w:rsidRPr="00296248">
              <w:rPr>
                <w:rFonts w:ascii="Arial" w:hAnsi="Arial" w:cs="Arial"/>
                <w:color w:val="000000"/>
                <w:sz w:val="16"/>
                <w:szCs w:val="16"/>
              </w:rPr>
              <w:t>314</w:t>
            </w:r>
          </w:p>
        </w:tc>
      </w:tr>
      <w:tr w:rsidR="00296248" w:rsidRPr="00296248" w14:paraId="71B37D8E" w14:textId="77777777" w:rsidTr="00236E34">
        <w:trPr>
          <w:trHeight w:hRule="exact" w:val="225"/>
        </w:trPr>
        <w:tc>
          <w:tcPr>
            <w:tcW w:w="2402" w:type="pct"/>
            <w:tcBorders>
              <w:top w:val="nil"/>
              <w:left w:val="nil"/>
              <w:bottom w:val="nil"/>
              <w:right w:val="nil"/>
            </w:tcBorders>
            <w:shd w:val="clear" w:color="000000" w:fill="FFFFFF"/>
            <w:noWrap/>
            <w:vAlign w:val="center"/>
            <w:hideMark/>
          </w:tcPr>
          <w:p w14:paraId="14E4D04E" w14:textId="77777777" w:rsidR="00296248" w:rsidRPr="00296248" w:rsidRDefault="00296248" w:rsidP="00296248">
            <w:pPr>
              <w:spacing w:before="0" w:after="0" w:line="240" w:lineRule="auto"/>
              <w:rPr>
                <w:rFonts w:ascii="Arial" w:hAnsi="Arial" w:cs="Arial"/>
                <w:sz w:val="16"/>
                <w:szCs w:val="16"/>
              </w:rPr>
            </w:pPr>
            <w:r w:rsidRPr="00296248">
              <w:rPr>
                <w:rFonts w:ascii="Arial" w:hAnsi="Arial" w:cs="Arial"/>
                <w:sz w:val="16"/>
                <w:szCs w:val="16"/>
              </w:rPr>
              <w:t>Contingency reserve</w:t>
            </w:r>
          </w:p>
        </w:tc>
        <w:tc>
          <w:tcPr>
            <w:tcW w:w="520" w:type="pct"/>
            <w:tcBorders>
              <w:top w:val="nil"/>
              <w:left w:val="nil"/>
              <w:bottom w:val="single" w:sz="4" w:space="0" w:color="293F5B"/>
              <w:right w:val="nil"/>
            </w:tcBorders>
            <w:shd w:val="clear" w:color="000000" w:fill="FFFFFF"/>
            <w:noWrap/>
            <w:vAlign w:val="center"/>
            <w:hideMark/>
          </w:tcPr>
          <w:p w14:paraId="2917FD54" w14:textId="77777777" w:rsidR="00296248" w:rsidRPr="00296248" w:rsidRDefault="00296248" w:rsidP="00296248">
            <w:pPr>
              <w:spacing w:before="0" w:after="0" w:line="240" w:lineRule="auto"/>
              <w:jc w:val="right"/>
              <w:rPr>
                <w:rFonts w:ascii="Arial" w:hAnsi="Arial" w:cs="Arial"/>
                <w:sz w:val="16"/>
                <w:szCs w:val="16"/>
              </w:rPr>
            </w:pPr>
            <w:r w:rsidRPr="00296248">
              <w:rPr>
                <w:rFonts w:ascii="Arial" w:hAnsi="Arial" w:cs="Arial"/>
                <w:sz w:val="16"/>
                <w:szCs w:val="16"/>
              </w:rPr>
              <w:t>2,200</w:t>
            </w:r>
          </w:p>
        </w:tc>
        <w:tc>
          <w:tcPr>
            <w:tcW w:w="520" w:type="pct"/>
            <w:tcBorders>
              <w:top w:val="nil"/>
              <w:left w:val="nil"/>
              <w:bottom w:val="single" w:sz="4" w:space="0" w:color="293F5B"/>
              <w:right w:val="nil"/>
            </w:tcBorders>
            <w:shd w:val="clear" w:color="000000" w:fill="E6F2FF"/>
            <w:noWrap/>
            <w:vAlign w:val="center"/>
            <w:hideMark/>
          </w:tcPr>
          <w:p w14:paraId="185E53D0" w14:textId="77777777" w:rsidR="00296248" w:rsidRPr="00296248" w:rsidRDefault="00296248" w:rsidP="00296248">
            <w:pPr>
              <w:spacing w:before="0" w:after="0" w:line="240" w:lineRule="auto"/>
              <w:jc w:val="right"/>
              <w:rPr>
                <w:rFonts w:ascii="Arial" w:hAnsi="Arial" w:cs="Arial"/>
                <w:sz w:val="16"/>
                <w:szCs w:val="16"/>
              </w:rPr>
            </w:pPr>
            <w:r w:rsidRPr="00296248">
              <w:rPr>
                <w:rFonts w:ascii="Arial" w:hAnsi="Arial" w:cs="Arial"/>
                <w:sz w:val="16"/>
                <w:szCs w:val="16"/>
              </w:rPr>
              <w:t>167</w:t>
            </w:r>
          </w:p>
        </w:tc>
        <w:tc>
          <w:tcPr>
            <w:tcW w:w="520" w:type="pct"/>
            <w:tcBorders>
              <w:top w:val="nil"/>
              <w:left w:val="nil"/>
              <w:bottom w:val="single" w:sz="4" w:space="0" w:color="293F5B"/>
              <w:right w:val="nil"/>
            </w:tcBorders>
            <w:shd w:val="clear" w:color="000000" w:fill="FFFFFF"/>
            <w:noWrap/>
            <w:vAlign w:val="center"/>
            <w:hideMark/>
          </w:tcPr>
          <w:p w14:paraId="75C2134C" w14:textId="77777777" w:rsidR="00296248" w:rsidRPr="00296248" w:rsidRDefault="00296248" w:rsidP="00296248">
            <w:pPr>
              <w:spacing w:before="0" w:after="0" w:line="240" w:lineRule="auto"/>
              <w:jc w:val="right"/>
              <w:rPr>
                <w:rFonts w:ascii="Arial" w:hAnsi="Arial" w:cs="Arial"/>
                <w:sz w:val="16"/>
                <w:szCs w:val="16"/>
              </w:rPr>
            </w:pPr>
            <w:r w:rsidRPr="00296248">
              <w:rPr>
                <w:rFonts w:ascii="Arial" w:hAnsi="Arial" w:cs="Arial"/>
                <w:sz w:val="16"/>
                <w:szCs w:val="16"/>
              </w:rPr>
              <w:t>14,674</w:t>
            </w:r>
          </w:p>
        </w:tc>
        <w:tc>
          <w:tcPr>
            <w:tcW w:w="520" w:type="pct"/>
            <w:tcBorders>
              <w:top w:val="nil"/>
              <w:left w:val="nil"/>
              <w:bottom w:val="single" w:sz="4" w:space="0" w:color="293F5B"/>
              <w:right w:val="nil"/>
            </w:tcBorders>
            <w:shd w:val="clear" w:color="000000" w:fill="FFFFFF"/>
            <w:noWrap/>
            <w:vAlign w:val="center"/>
            <w:hideMark/>
          </w:tcPr>
          <w:p w14:paraId="316B486A" w14:textId="77777777" w:rsidR="00296248" w:rsidRPr="00296248" w:rsidRDefault="00296248" w:rsidP="00296248">
            <w:pPr>
              <w:spacing w:before="0" w:after="0" w:line="240" w:lineRule="auto"/>
              <w:jc w:val="right"/>
              <w:rPr>
                <w:rFonts w:ascii="Arial" w:hAnsi="Arial" w:cs="Arial"/>
                <w:sz w:val="16"/>
                <w:szCs w:val="16"/>
              </w:rPr>
            </w:pPr>
            <w:r w:rsidRPr="00296248">
              <w:rPr>
                <w:rFonts w:ascii="Arial" w:hAnsi="Arial" w:cs="Arial"/>
                <w:sz w:val="16"/>
                <w:szCs w:val="16"/>
              </w:rPr>
              <w:t>19,357</w:t>
            </w:r>
          </w:p>
        </w:tc>
        <w:tc>
          <w:tcPr>
            <w:tcW w:w="520" w:type="pct"/>
            <w:tcBorders>
              <w:top w:val="nil"/>
              <w:left w:val="nil"/>
              <w:bottom w:val="single" w:sz="4" w:space="0" w:color="293F5B"/>
              <w:right w:val="nil"/>
            </w:tcBorders>
            <w:shd w:val="clear" w:color="000000" w:fill="FFFFFF"/>
            <w:noWrap/>
            <w:vAlign w:val="center"/>
            <w:hideMark/>
          </w:tcPr>
          <w:p w14:paraId="7BC5E372" w14:textId="77777777" w:rsidR="00296248" w:rsidRPr="00296248" w:rsidRDefault="00296248" w:rsidP="00296248">
            <w:pPr>
              <w:spacing w:before="0" w:after="0" w:line="240" w:lineRule="auto"/>
              <w:jc w:val="right"/>
              <w:rPr>
                <w:rFonts w:ascii="Arial" w:hAnsi="Arial" w:cs="Arial"/>
                <w:sz w:val="16"/>
                <w:szCs w:val="16"/>
              </w:rPr>
            </w:pPr>
            <w:r w:rsidRPr="00296248">
              <w:rPr>
                <w:rFonts w:ascii="Arial" w:hAnsi="Arial" w:cs="Arial"/>
                <w:sz w:val="16"/>
                <w:szCs w:val="16"/>
              </w:rPr>
              <w:t>26,496</w:t>
            </w:r>
          </w:p>
        </w:tc>
      </w:tr>
      <w:tr w:rsidR="00296248" w:rsidRPr="00296248" w14:paraId="0250760B" w14:textId="77777777" w:rsidTr="00C458F2">
        <w:trPr>
          <w:trHeight w:hRule="exact" w:val="225"/>
        </w:trPr>
        <w:tc>
          <w:tcPr>
            <w:tcW w:w="2402" w:type="pct"/>
            <w:tcBorders>
              <w:top w:val="nil"/>
              <w:left w:val="nil"/>
              <w:bottom w:val="single" w:sz="4" w:space="0" w:color="293F5B"/>
              <w:right w:val="nil"/>
            </w:tcBorders>
            <w:shd w:val="clear" w:color="000000" w:fill="FFFFFF"/>
            <w:noWrap/>
            <w:vAlign w:val="center"/>
            <w:hideMark/>
          </w:tcPr>
          <w:p w14:paraId="0DE49538" w14:textId="77777777" w:rsidR="00296248" w:rsidRPr="00296248" w:rsidRDefault="00296248" w:rsidP="00296248">
            <w:pPr>
              <w:spacing w:before="0" w:after="0" w:line="240" w:lineRule="auto"/>
              <w:rPr>
                <w:rFonts w:ascii="Arial" w:hAnsi="Arial" w:cs="Arial"/>
                <w:b/>
                <w:bCs/>
                <w:sz w:val="16"/>
                <w:szCs w:val="16"/>
              </w:rPr>
            </w:pPr>
            <w:r w:rsidRPr="00296248">
              <w:rPr>
                <w:rFonts w:ascii="Arial" w:hAnsi="Arial" w:cs="Arial"/>
                <w:b/>
                <w:bCs/>
                <w:sz w:val="16"/>
                <w:szCs w:val="16"/>
              </w:rPr>
              <w:t>Total other purposes</w:t>
            </w:r>
          </w:p>
        </w:tc>
        <w:tc>
          <w:tcPr>
            <w:tcW w:w="520" w:type="pct"/>
            <w:tcBorders>
              <w:top w:val="single" w:sz="4" w:space="0" w:color="293F5B"/>
              <w:left w:val="nil"/>
              <w:bottom w:val="single" w:sz="4" w:space="0" w:color="293F5B"/>
              <w:right w:val="nil"/>
            </w:tcBorders>
            <w:shd w:val="clear" w:color="000000" w:fill="FFFFFF"/>
            <w:noWrap/>
            <w:vAlign w:val="center"/>
            <w:hideMark/>
          </w:tcPr>
          <w:p w14:paraId="153D36B9" w14:textId="77777777" w:rsidR="00296248" w:rsidRPr="00296248" w:rsidRDefault="00296248" w:rsidP="00296248">
            <w:pPr>
              <w:spacing w:before="0" w:after="0" w:line="240" w:lineRule="auto"/>
              <w:jc w:val="right"/>
              <w:rPr>
                <w:rFonts w:ascii="Arial" w:hAnsi="Arial" w:cs="Arial"/>
                <w:b/>
                <w:bCs/>
                <w:color w:val="000000"/>
                <w:sz w:val="16"/>
                <w:szCs w:val="16"/>
              </w:rPr>
            </w:pPr>
            <w:r w:rsidRPr="00296248">
              <w:rPr>
                <w:rFonts w:ascii="Arial" w:hAnsi="Arial" w:cs="Arial"/>
                <w:b/>
                <w:bCs/>
                <w:color w:val="000000"/>
                <w:sz w:val="16"/>
                <w:szCs w:val="16"/>
              </w:rPr>
              <w:t>132,430</w:t>
            </w:r>
          </w:p>
        </w:tc>
        <w:tc>
          <w:tcPr>
            <w:tcW w:w="520" w:type="pct"/>
            <w:tcBorders>
              <w:top w:val="single" w:sz="4" w:space="0" w:color="293F5B"/>
              <w:left w:val="nil"/>
              <w:bottom w:val="single" w:sz="4" w:space="0" w:color="293F5B"/>
              <w:right w:val="nil"/>
            </w:tcBorders>
            <w:shd w:val="clear" w:color="000000" w:fill="E6F2FF"/>
            <w:noWrap/>
            <w:vAlign w:val="center"/>
            <w:hideMark/>
          </w:tcPr>
          <w:p w14:paraId="68692594" w14:textId="77777777" w:rsidR="00296248" w:rsidRPr="00296248" w:rsidRDefault="00296248" w:rsidP="00296248">
            <w:pPr>
              <w:spacing w:before="0" w:after="0" w:line="240" w:lineRule="auto"/>
              <w:jc w:val="right"/>
              <w:rPr>
                <w:rFonts w:ascii="Arial" w:hAnsi="Arial" w:cs="Arial"/>
                <w:b/>
                <w:bCs/>
                <w:color w:val="000000"/>
                <w:sz w:val="16"/>
                <w:szCs w:val="16"/>
              </w:rPr>
            </w:pPr>
            <w:r w:rsidRPr="00296248">
              <w:rPr>
                <w:rFonts w:ascii="Arial" w:hAnsi="Arial" w:cs="Arial"/>
                <w:b/>
                <w:bCs/>
                <w:color w:val="000000"/>
                <w:sz w:val="16"/>
                <w:szCs w:val="16"/>
              </w:rPr>
              <w:t>137,810</w:t>
            </w:r>
          </w:p>
        </w:tc>
        <w:tc>
          <w:tcPr>
            <w:tcW w:w="520" w:type="pct"/>
            <w:tcBorders>
              <w:top w:val="single" w:sz="4" w:space="0" w:color="293F5B"/>
              <w:left w:val="nil"/>
              <w:bottom w:val="single" w:sz="4" w:space="0" w:color="293F5B"/>
              <w:right w:val="nil"/>
            </w:tcBorders>
            <w:shd w:val="clear" w:color="000000" w:fill="FFFFFF"/>
            <w:noWrap/>
            <w:vAlign w:val="center"/>
            <w:hideMark/>
          </w:tcPr>
          <w:p w14:paraId="24D39ED2" w14:textId="77777777" w:rsidR="00296248" w:rsidRPr="00296248" w:rsidRDefault="00296248" w:rsidP="00296248">
            <w:pPr>
              <w:spacing w:before="0" w:after="0" w:line="240" w:lineRule="auto"/>
              <w:jc w:val="right"/>
              <w:rPr>
                <w:rFonts w:ascii="Arial" w:hAnsi="Arial" w:cs="Arial"/>
                <w:b/>
                <w:bCs/>
                <w:color w:val="000000"/>
                <w:sz w:val="16"/>
                <w:szCs w:val="16"/>
              </w:rPr>
            </w:pPr>
            <w:r w:rsidRPr="00296248">
              <w:rPr>
                <w:rFonts w:ascii="Arial" w:hAnsi="Arial" w:cs="Arial"/>
                <w:b/>
                <w:bCs/>
                <w:color w:val="000000"/>
                <w:sz w:val="16"/>
                <w:szCs w:val="16"/>
              </w:rPr>
              <w:t>161,683</w:t>
            </w:r>
          </w:p>
        </w:tc>
        <w:tc>
          <w:tcPr>
            <w:tcW w:w="520" w:type="pct"/>
            <w:tcBorders>
              <w:top w:val="single" w:sz="4" w:space="0" w:color="293F5B"/>
              <w:left w:val="nil"/>
              <w:bottom w:val="single" w:sz="4" w:space="0" w:color="293F5B"/>
              <w:right w:val="nil"/>
            </w:tcBorders>
            <w:shd w:val="clear" w:color="000000" w:fill="FFFFFF"/>
            <w:noWrap/>
            <w:vAlign w:val="center"/>
            <w:hideMark/>
          </w:tcPr>
          <w:p w14:paraId="6580A206" w14:textId="77777777" w:rsidR="00296248" w:rsidRPr="00296248" w:rsidRDefault="00296248" w:rsidP="00296248">
            <w:pPr>
              <w:spacing w:before="0" w:after="0" w:line="240" w:lineRule="auto"/>
              <w:jc w:val="right"/>
              <w:rPr>
                <w:rFonts w:ascii="Arial" w:hAnsi="Arial" w:cs="Arial"/>
                <w:b/>
                <w:bCs/>
                <w:color w:val="000000"/>
                <w:sz w:val="16"/>
                <w:szCs w:val="16"/>
              </w:rPr>
            </w:pPr>
            <w:r w:rsidRPr="00296248">
              <w:rPr>
                <w:rFonts w:ascii="Arial" w:hAnsi="Arial" w:cs="Arial"/>
                <w:b/>
                <w:bCs/>
                <w:color w:val="000000"/>
                <w:sz w:val="16"/>
                <w:szCs w:val="16"/>
              </w:rPr>
              <w:t>176,135</w:t>
            </w:r>
          </w:p>
        </w:tc>
        <w:tc>
          <w:tcPr>
            <w:tcW w:w="520" w:type="pct"/>
            <w:tcBorders>
              <w:top w:val="single" w:sz="4" w:space="0" w:color="293F5B"/>
              <w:left w:val="nil"/>
              <w:bottom w:val="single" w:sz="4" w:space="0" w:color="293F5B"/>
              <w:right w:val="nil"/>
            </w:tcBorders>
            <w:shd w:val="clear" w:color="000000" w:fill="FFFFFF"/>
            <w:noWrap/>
            <w:vAlign w:val="center"/>
            <w:hideMark/>
          </w:tcPr>
          <w:p w14:paraId="12D4A1D0" w14:textId="77777777" w:rsidR="00296248" w:rsidRPr="00296248" w:rsidRDefault="00296248" w:rsidP="00296248">
            <w:pPr>
              <w:spacing w:before="0" w:after="0" w:line="240" w:lineRule="auto"/>
              <w:jc w:val="right"/>
              <w:rPr>
                <w:rFonts w:ascii="Arial" w:hAnsi="Arial" w:cs="Arial"/>
                <w:b/>
                <w:bCs/>
                <w:color w:val="000000"/>
                <w:sz w:val="16"/>
                <w:szCs w:val="16"/>
              </w:rPr>
            </w:pPr>
            <w:r w:rsidRPr="00296248">
              <w:rPr>
                <w:rFonts w:ascii="Arial" w:hAnsi="Arial" w:cs="Arial"/>
                <w:b/>
                <w:bCs/>
                <w:color w:val="000000"/>
                <w:sz w:val="16"/>
                <w:szCs w:val="16"/>
              </w:rPr>
              <w:t>191,549</w:t>
            </w:r>
          </w:p>
        </w:tc>
      </w:tr>
    </w:tbl>
    <w:p w14:paraId="5D3B98B8" w14:textId="028E541F" w:rsidR="0090500F" w:rsidRDefault="0090500F" w:rsidP="00CD394B">
      <w:pPr>
        <w:rPr>
          <w:lang w:val="en-US"/>
        </w:rPr>
      </w:pPr>
      <w:bookmarkStart w:id="178" w:name="_Hlk133846407"/>
      <w:bookmarkEnd w:id="177"/>
      <w:r w:rsidRPr="000177D7">
        <w:lastRenderedPageBreak/>
        <w:t xml:space="preserve">Total expenses </w:t>
      </w:r>
      <w:r w:rsidR="00046A8F">
        <w:t xml:space="preserve">for </w:t>
      </w:r>
      <w:r w:rsidRPr="0021687D">
        <w:t xml:space="preserve">other purposes are estimated to </w:t>
      </w:r>
      <w:r w:rsidRPr="0021687D">
        <w:rPr>
          <w:lang w:val="en-US"/>
        </w:rPr>
        <w:t xml:space="preserve">increase </w:t>
      </w:r>
      <w:r w:rsidR="0089781C">
        <w:rPr>
          <w:lang w:val="en-US"/>
        </w:rPr>
        <w:t xml:space="preserve">by </w:t>
      </w:r>
      <w:r w:rsidR="008E4D45">
        <w:rPr>
          <w:lang w:val="en-US"/>
        </w:rPr>
        <w:t>39.0</w:t>
      </w:r>
      <w:r w:rsidR="0089781C">
        <w:rPr>
          <w:lang w:val="en-US"/>
        </w:rPr>
        <w:t xml:space="preserve"> per</w:t>
      </w:r>
      <w:r w:rsidR="001031EF">
        <w:rPr>
          <w:lang w:val="en-US"/>
        </w:rPr>
        <w:t xml:space="preserve"> cent </w:t>
      </w:r>
      <w:r w:rsidRPr="0021687D">
        <w:rPr>
          <w:lang w:val="en-US"/>
        </w:rPr>
        <w:t>over the period 202</w:t>
      </w:r>
      <w:r>
        <w:rPr>
          <w:lang w:val="en-US"/>
        </w:rPr>
        <w:t>4–</w:t>
      </w:r>
      <w:r w:rsidRPr="0021687D">
        <w:rPr>
          <w:lang w:val="en-US"/>
        </w:rPr>
        <w:t>2</w:t>
      </w:r>
      <w:r>
        <w:rPr>
          <w:lang w:val="en-US"/>
        </w:rPr>
        <w:t>5</w:t>
      </w:r>
      <w:r w:rsidRPr="0021687D">
        <w:rPr>
          <w:lang w:val="en-US"/>
        </w:rPr>
        <w:t xml:space="preserve"> to 202</w:t>
      </w:r>
      <w:r>
        <w:rPr>
          <w:lang w:val="en-US"/>
        </w:rPr>
        <w:t>7–</w:t>
      </w:r>
      <w:r w:rsidRPr="0021687D">
        <w:rPr>
          <w:lang w:val="en-US"/>
        </w:rPr>
        <w:t>2</w:t>
      </w:r>
      <w:r>
        <w:rPr>
          <w:lang w:val="en-US"/>
        </w:rPr>
        <w:t>8.</w:t>
      </w:r>
    </w:p>
    <w:p w14:paraId="0C0B445C" w14:textId="7A585136" w:rsidR="0090500F" w:rsidRDefault="0090500F" w:rsidP="0090500F">
      <w:pPr>
        <w:rPr>
          <w:lang w:val="en-US"/>
        </w:rPr>
      </w:pPr>
      <w:bookmarkStart w:id="179" w:name="_Hlk165647655"/>
      <w:bookmarkEnd w:id="178"/>
      <w:r>
        <w:rPr>
          <w:lang w:val="en-US"/>
        </w:rPr>
        <w:t xml:space="preserve">The main </w:t>
      </w:r>
      <w:r w:rsidR="004444F0">
        <w:rPr>
          <w:lang w:val="en-US"/>
        </w:rPr>
        <w:t xml:space="preserve">drivers of the increase in </w:t>
      </w:r>
      <w:r w:rsidRPr="00D07552">
        <w:rPr>
          <w:lang w:val="en-US"/>
        </w:rPr>
        <w:t>other purposes</w:t>
      </w:r>
      <w:r w:rsidRPr="00116D45">
        <w:rPr>
          <w:b/>
          <w:bCs/>
          <w:lang w:val="en-US"/>
        </w:rPr>
        <w:t xml:space="preserve"> </w:t>
      </w:r>
      <w:r w:rsidR="004444F0">
        <w:rPr>
          <w:lang w:val="en-US"/>
        </w:rPr>
        <w:t xml:space="preserve">expenses </w:t>
      </w:r>
      <w:r>
        <w:rPr>
          <w:lang w:val="en-US"/>
        </w:rPr>
        <w:t xml:space="preserve">are </w:t>
      </w:r>
      <w:r w:rsidRPr="00CD394B">
        <w:rPr>
          <w:rStyle w:val="Strong"/>
        </w:rPr>
        <w:t>public debt interest, general purpose inter</w:t>
      </w:r>
      <w:r w:rsidR="008D4F6B" w:rsidRPr="00CD394B">
        <w:rPr>
          <w:rStyle w:val="Strong"/>
        </w:rPr>
        <w:noBreakHyphen/>
      </w:r>
      <w:r w:rsidRPr="00CD394B">
        <w:rPr>
          <w:rStyle w:val="Strong"/>
        </w:rPr>
        <w:t>government transactions</w:t>
      </w:r>
      <w:r>
        <w:rPr>
          <w:lang w:val="en-US"/>
        </w:rPr>
        <w:t xml:space="preserve">, and </w:t>
      </w:r>
      <w:r w:rsidR="004444F0">
        <w:rPr>
          <w:lang w:val="en-US"/>
        </w:rPr>
        <w:t xml:space="preserve">the </w:t>
      </w:r>
      <w:r w:rsidRPr="00CD394B">
        <w:rPr>
          <w:rStyle w:val="Strong"/>
        </w:rPr>
        <w:t>contingency reserve</w:t>
      </w:r>
      <w:r>
        <w:rPr>
          <w:lang w:val="en-US"/>
        </w:rPr>
        <w:t>.</w:t>
      </w:r>
    </w:p>
    <w:p w14:paraId="259C84F2" w14:textId="2BA9D518" w:rsidR="0090500F" w:rsidRDefault="00561796" w:rsidP="00A4389A">
      <w:pPr>
        <w:rPr>
          <w14:ligatures w14:val="standardContextual"/>
        </w:rPr>
      </w:pPr>
      <w:r w:rsidRPr="00CD394B">
        <w:rPr>
          <w:rStyle w:val="Strong"/>
        </w:rPr>
        <w:t>P</w:t>
      </w:r>
      <w:r w:rsidR="0090500F" w:rsidRPr="00CD394B">
        <w:rPr>
          <w:rStyle w:val="Strong"/>
        </w:rPr>
        <w:t>ublic debt interest</w:t>
      </w:r>
      <w:r w:rsidR="0090500F" w:rsidRPr="006D5CEB">
        <w:rPr>
          <w:lang w:val="en-US"/>
        </w:rPr>
        <w:t xml:space="preserve"> </w:t>
      </w:r>
      <w:r w:rsidR="00046A8F">
        <w:rPr>
          <w:lang w:val="en-US"/>
        </w:rPr>
        <w:t>expenses</w:t>
      </w:r>
      <w:r w:rsidR="0090500F" w:rsidRPr="006D5CEB">
        <w:rPr>
          <w:lang w:val="en-US"/>
        </w:rPr>
        <w:t xml:space="preserve"> </w:t>
      </w:r>
      <w:r w:rsidR="0016027E">
        <w:rPr>
          <w:lang w:val="en-US"/>
        </w:rPr>
        <w:t xml:space="preserve">are expected to </w:t>
      </w:r>
      <w:r w:rsidR="0090500F" w:rsidRPr="006D5CEB">
        <w:rPr>
          <w:lang w:val="en-US"/>
        </w:rPr>
        <w:t xml:space="preserve">increase </w:t>
      </w:r>
      <w:r w:rsidR="0016027E">
        <w:rPr>
          <w:lang w:val="en-US"/>
        </w:rPr>
        <w:t xml:space="preserve">from </w:t>
      </w:r>
      <w:r w:rsidR="0090500F" w:rsidRPr="006D5CEB">
        <w:rPr>
          <w:lang w:val="en-US"/>
        </w:rPr>
        <w:t>2023</w:t>
      </w:r>
      <w:r w:rsidR="0016027E">
        <w:rPr>
          <w:lang w:val="en-US"/>
        </w:rPr>
        <w:t>–</w:t>
      </w:r>
      <w:r w:rsidR="0090500F" w:rsidRPr="006D5CEB">
        <w:rPr>
          <w:lang w:val="en-US"/>
        </w:rPr>
        <w:t xml:space="preserve">24, largely reflecting higher </w:t>
      </w:r>
      <w:bookmarkEnd w:id="179"/>
      <w:r w:rsidR="005C1146">
        <w:rPr>
          <w:lang w:val="en-US"/>
        </w:rPr>
        <w:t>debt servicing costs.</w:t>
      </w:r>
    </w:p>
    <w:p w14:paraId="00A50804" w14:textId="29308592" w:rsidR="0090500F" w:rsidRPr="006D5CEB" w:rsidRDefault="0090500F" w:rsidP="00A4389A">
      <w:pPr>
        <w:rPr>
          <w:b/>
        </w:rPr>
      </w:pPr>
      <w:r w:rsidRPr="006D5CEB">
        <w:rPr>
          <w:rFonts w:cs="Book Antiqua"/>
        </w:rPr>
        <w:t xml:space="preserve">The increase in </w:t>
      </w:r>
      <w:r w:rsidRPr="00394B74">
        <w:rPr>
          <w:rStyle w:val="Strong"/>
        </w:rPr>
        <w:t>nominal superannuation interest</w:t>
      </w:r>
      <w:r w:rsidRPr="006D5CEB">
        <w:rPr>
          <w:rFonts w:cs="Book Antiqua"/>
        </w:rPr>
        <w:t xml:space="preserve"> expenses</w:t>
      </w:r>
      <w:r w:rsidR="00840C33">
        <w:rPr>
          <w:rFonts w:cs="Book Antiqua"/>
        </w:rPr>
        <w:t xml:space="preserve"> between 2023–24 and 2024–25</w:t>
      </w:r>
      <w:r w:rsidRPr="006D5CEB">
        <w:rPr>
          <w:rFonts w:cs="Book Antiqua"/>
        </w:rPr>
        <w:t xml:space="preserve"> primarily reflects the use of </w:t>
      </w:r>
      <w:r w:rsidR="00561796">
        <w:rPr>
          <w:rFonts w:cs="Book Antiqua"/>
        </w:rPr>
        <w:t xml:space="preserve">updated </w:t>
      </w:r>
      <w:r w:rsidRPr="006D5CEB">
        <w:rPr>
          <w:rFonts w:cs="Book Antiqua"/>
        </w:rPr>
        <w:t>discount rates. In accordance with accounting standards, superannuation expenses for 202</w:t>
      </w:r>
      <w:r w:rsidR="00EF009D">
        <w:rPr>
          <w:rFonts w:cs="Book Antiqua"/>
        </w:rPr>
        <w:t>3–</w:t>
      </w:r>
      <w:r w:rsidRPr="006D5CEB">
        <w:rPr>
          <w:rFonts w:cs="Book Antiqua"/>
        </w:rPr>
        <w:t>2</w:t>
      </w:r>
      <w:r w:rsidR="00EF009D">
        <w:rPr>
          <w:rFonts w:cs="Book Antiqua"/>
        </w:rPr>
        <w:t>4</w:t>
      </w:r>
      <w:r w:rsidRPr="006D5CEB">
        <w:rPr>
          <w:rFonts w:cs="Book Antiqua"/>
        </w:rPr>
        <w:t xml:space="preserve"> </w:t>
      </w:r>
      <w:r w:rsidR="00840C33">
        <w:rPr>
          <w:rFonts w:cs="Book Antiqua"/>
        </w:rPr>
        <w:t>are</w:t>
      </w:r>
      <w:r w:rsidRPr="006D5CEB">
        <w:rPr>
          <w:rFonts w:cs="Book Antiqua"/>
        </w:rPr>
        <w:t xml:space="preserve"> calculated using the long</w:t>
      </w:r>
      <w:r w:rsidR="008D4F6B">
        <w:rPr>
          <w:rFonts w:cs="Book Antiqua"/>
        </w:rPr>
        <w:noBreakHyphen/>
      </w:r>
      <w:r w:rsidRPr="006D5CEB">
        <w:rPr>
          <w:rFonts w:cs="Book Antiqua"/>
        </w:rPr>
        <w:t>term government bond rate</w:t>
      </w:r>
      <w:r w:rsidR="004444F0">
        <w:rPr>
          <w:rFonts w:cs="Book Antiqua"/>
        </w:rPr>
        <w:t xml:space="preserve"> that</w:t>
      </w:r>
      <w:r w:rsidRPr="006D5CEB">
        <w:rPr>
          <w:rFonts w:cs="Book Antiqua"/>
        </w:rPr>
        <w:t xml:space="preserve"> best matched each individual scheme</w:t>
      </w:r>
      <w:r w:rsidR="008D4F6B">
        <w:rPr>
          <w:rFonts w:cs="Book Antiqua"/>
        </w:rPr>
        <w:t>’</w:t>
      </w:r>
      <w:r w:rsidRPr="006D5CEB">
        <w:rPr>
          <w:rFonts w:cs="Book Antiqua"/>
        </w:rPr>
        <w:t>s duration of liabilities at the start of the financial year. These rates were between</w:t>
      </w:r>
      <w:r w:rsidR="002C6845">
        <w:rPr>
          <w:rFonts w:cs="Book Antiqua"/>
        </w:rPr>
        <w:t xml:space="preserve"> 4.0</w:t>
      </w:r>
      <w:r w:rsidRPr="006D5CEB">
        <w:rPr>
          <w:rFonts w:cs="Book Antiqua"/>
        </w:rPr>
        <w:t xml:space="preserve"> and </w:t>
      </w:r>
      <w:r w:rsidR="002C6845">
        <w:rPr>
          <w:rFonts w:cs="Book Antiqua"/>
        </w:rPr>
        <w:t xml:space="preserve">4.4 </w:t>
      </w:r>
      <w:r w:rsidRPr="006D5CEB">
        <w:rPr>
          <w:rFonts w:cs="Book Antiqua"/>
        </w:rPr>
        <w:t>per cent per</w:t>
      </w:r>
      <w:r w:rsidR="00046A8F">
        <w:rPr>
          <w:rFonts w:cs="Book Antiqua"/>
        </w:rPr>
        <w:t xml:space="preserve"> year</w:t>
      </w:r>
      <w:r w:rsidR="002C6845">
        <w:rPr>
          <w:rFonts w:cs="Book Antiqua"/>
        </w:rPr>
        <w:t>.</w:t>
      </w:r>
      <w:r w:rsidRPr="006D5CEB">
        <w:rPr>
          <w:rFonts w:cs="Book Antiqua"/>
        </w:rPr>
        <w:t xml:space="preserve"> In preparing the latest Long Term Cost Reports, the scheme actuaries have determined that a discount rate of </w:t>
      </w:r>
      <w:r w:rsidR="002C6845">
        <w:rPr>
          <w:rFonts w:cs="Book Antiqua"/>
        </w:rPr>
        <w:t>5.0</w:t>
      </w:r>
      <w:r w:rsidR="00362471">
        <w:rPr>
          <w:rFonts w:cs="Book Antiqua"/>
        </w:rPr>
        <w:t> </w:t>
      </w:r>
      <w:r w:rsidRPr="006D5CEB">
        <w:rPr>
          <w:rFonts w:cs="Book Antiqua"/>
        </w:rPr>
        <w:t>per</w:t>
      </w:r>
      <w:r w:rsidR="00362471">
        <w:rPr>
          <w:rFonts w:cs="Book Antiqua"/>
        </w:rPr>
        <w:t> </w:t>
      </w:r>
      <w:r w:rsidRPr="006D5CEB">
        <w:rPr>
          <w:rFonts w:cs="Book Antiqua"/>
        </w:rPr>
        <w:t>cent should be applied to the estimates in the budget year and forward estimates as per usual practice.</w:t>
      </w:r>
    </w:p>
    <w:p w14:paraId="56313B99" w14:textId="006CE28A" w:rsidR="0090500F" w:rsidRPr="006D5CEB" w:rsidRDefault="004444F0" w:rsidP="00A4389A">
      <w:pPr>
        <w:rPr>
          <w:lang w:val="en-US"/>
        </w:rPr>
      </w:pPr>
      <w:bookmarkStart w:id="180" w:name="_Hlk165650711"/>
      <w:r w:rsidRPr="00394B74">
        <w:rPr>
          <w:rStyle w:val="Strong"/>
        </w:rPr>
        <w:t>G</w:t>
      </w:r>
      <w:r w:rsidR="0090500F" w:rsidRPr="00394B74">
        <w:rPr>
          <w:rStyle w:val="Strong"/>
        </w:rPr>
        <w:t>eneral purpose inter</w:t>
      </w:r>
      <w:r w:rsidR="008D4F6B" w:rsidRPr="00394B74">
        <w:rPr>
          <w:rStyle w:val="Strong"/>
        </w:rPr>
        <w:noBreakHyphen/>
      </w:r>
      <w:r w:rsidR="0090500F" w:rsidRPr="00394B74">
        <w:rPr>
          <w:rStyle w:val="Strong"/>
        </w:rPr>
        <w:t>government transactions</w:t>
      </w:r>
      <w:r w:rsidR="0090500F" w:rsidRPr="006D5CEB">
        <w:rPr>
          <w:lang w:val="en-US"/>
        </w:rPr>
        <w:t xml:space="preserve"> </w:t>
      </w:r>
      <w:r>
        <w:rPr>
          <w:lang w:val="en-US"/>
        </w:rPr>
        <w:t xml:space="preserve">expenses </w:t>
      </w:r>
      <w:r w:rsidR="0089781C">
        <w:rPr>
          <w:lang w:val="en-US"/>
        </w:rPr>
        <w:t>are</w:t>
      </w:r>
      <w:r w:rsidR="00394B74">
        <w:rPr>
          <w:lang w:val="en-US"/>
        </w:rPr>
        <w:t xml:space="preserve"> </w:t>
      </w:r>
      <w:r w:rsidR="0090500F" w:rsidRPr="006D5CEB">
        <w:rPr>
          <w:lang w:val="en-US"/>
        </w:rPr>
        <w:t xml:space="preserve">made up of general revenue assistance paid to state and territory governments and local government assistance. Expenses are expected to </w:t>
      </w:r>
      <w:r w:rsidR="00046A8F">
        <w:rPr>
          <w:lang w:val="en-US"/>
        </w:rPr>
        <w:t xml:space="preserve">increase </w:t>
      </w:r>
      <w:r w:rsidR="0090500F" w:rsidRPr="006D5CEB">
        <w:rPr>
          <w:lang w:val="en-US"/>
        </w:rPr>
        <w:t xml:space="preserve">over the period 2024–25 to 2027–28. Nearly all the expenses relate to general revenue assistance paid to state and territory governments, which is expected to increase over the period 2024–25 to 2027–28, largely comprising payments of GST entitlements provided on an </w:t>
      </w:r>
      <w:r w:rsidR="008D4F6B">
        <w:rPr>
          <w:lang w:val="en-US"/>
        </w:rPr>
        <w:t>‘</w:t>
      </w:r>
      <w:r w:rsidR="0090500F" w:rsidRPr="006D5CEB">
        <w:rPr>
          <w:lang w:val="en-US"/>
        </w:rPr>
        <w:t>untied</w:t>
      </w:r>
      <w:r w:rsidR="008D4F6B">
        <w:rPr>
          <w:lang w:val="en-US"/>
        </w:rPr>
        <w:t>’</w:t>
      </w:r>
      <w:r w:rsidR="0090500F" w:rsidRPr="006D5CEB">
        <w:rPr>
          <w:lang w:val="en-US"/>
        </w:rPr>
        <w:t xml:space="preserve"> basis. Payments to state and territory governments tied to specific purposes are reported under the relevant sections in this Statement. Further information on general revenue assistance to the states and territories can be found in Budget Paper No. 3, </w:t>
      </w:r>
      <w:r w:rsidR="0090500F" w:rsidRPr="00F35541">
        <w:rPr>
          <w:rStyle w:val="Emphasis"/>
        </w:rPr>
        <w:t>Federal Financial Relations</w:t>
      </w:r>
      <w:r w:rsidR="0090500F" w:rsidRPr="006D5CEB">
        <w:rPr>
          <w:lang w:val="en-US"/>
        </w:rPr>
        <w:t>.</w:t>
      </w:r>
      <w:bookmarkEnd w:id="180"/>
    </w:p>
    <w:p w14:paraId="255C4772" w14:textId="7B72D5F6" w:rsidR="0057396B" w:rsidRDefault="00141218" w:rsidP="00515026">
      <w:r w:rsidRPr="00141218">
        <w:t>Expenses for</w:t>
      </w:r>
      <w:r>
        <w:rPr>
          <w:b/>
          <w:bCs/>
        </w:rPr>
        <w:t xml:space="preserve"> </w:t>
      </w:r>
      <w:r w:rsidR="0090500F" w:rsidRPr="00F35541">
        <w:rPr>
          <w:rStyle w:val="Strong"/>
        </w:rPr>
        <w:t>natural disaster relief</w:t>
      </w:r>
      <w:r w:rsidR="0090500F" w:rsidRPr="003F6982">
        <w:t xml:space="preserve"> </w:t>
      </w:r>
      <w:r>
        <w:t xml:space="preserve">reflect </w:t>
      </w:r>
      <w:r w:rsidR="0090500F" w:rsidRPr="003F6982">
        <w:t xml:space="preserve">financial support provided by the Australian Government to affected states and territories under the </w:t>
      </w:r>
      <w:r w:rsidR="0090500F" w:rsidRPr="006E47EB">
        <w:t>Natural Disaster Relief and Recovery Arrangements</w:t>
      </w:r>
      <w:r w:rsidR="0090500F" w:rsidRPr="003F6982">
        <w:t xml:space="preserve"> and, since November 2018, the </w:t>
      </w:r>
      <w:r w:rsidR="0090500F" w:rsidRPr="006E47EB">
        <w:t>Disaster Recovery Funding Arrangements</w:t>
      </w:r>
      <w:r w:rsidR="0090500F" w:rsidRPr="003F6982">
        <w:t xml:space="preserve">. </w:t>
      </w:r>
      <w:r w:rsidR="00BE53D1">
        <w:t>E</w:t>
      </w:r>
      <w:r w:rsidR="005C2912">
        <w:t>xpenses</w:t>
      </w:r>
      <w:r w:rsidR="0090500F" w:rsidRPr="003F6982">
        <w:t xml:space="preserve"> also reflect departmental funding for the National Emergency Management Agency. The majority of funding </w:t>
      </w:r>
      <w:r w:rsidR="00957B9D">
        <w:t xml:space="preserve">over the period 2024–25 to 2027–28 </w:t>
      </w:r>
      <w:r w:rsidR="0090500F" w:rsidRPr="003F6982">
        <w:t>reflects expected payments to the states in relation to disaster events that have already occurred. As provisions are not generally made for future disasters, the amount reduces over time. Additional funding is provisioned as needed in response to natural disasters.</w:t>
      </w:r>
    </w:p>
    <w:p w14:paraId="65C150AC" w14:textId="77777777" w:rsidR="008B41E4" w:rsidRDefault="008B41E4" w:rsidP="00515026">
      <w:r>
        <w:br w:type="page"/>
      </w:r>
    </w:p>
    <w:p w14:paraId="2AA068EA" w14:textId="5E61B749" w:rsidR="006B106A" w:rsidRDefault="006B106A" w:rsidP="00515026">
      <w:r w:rsidRPr="006B106A">
        <w:lastRenderedPageBreak/>
        <w:t xml:space="preserve">The </w:t>
      </w:r>
      <w:r w:rsidRPr="00D44724">
        <w:rPr>
          <w:rStyle w:val="Strong"/>
        </w:rPr>
        <w:t>contingency reserve</w:t>
      </w:r>
      <w:r w:rsidRPr="006B106A">
        <w:t xml:space="preserve"> in the 2024</w:t>
      </w:r>
      <w:r>
        <w:t>–</w:t>
      </w:r>
      <w:r w:rsidRPr="006B106A">
        <w:t xml:space="preserve">25 Budget </w:t>
      </w:r>
      <w:r w:rsidR="00046A8F">
        <w:t xml:space="preserve">is estimated to </w:t>
      </w:r>
      <w:r w:rsidRPr="006B106A">
        <w:t>increase expenses by $166.6</w:t>
      </w:r>
      <w:r w:rsidR="00046A8F">
        <w:t> </w:t>
      </w:r>
      <w:r w:rsidRPr="006B106A">
        <w:t>million in 2024</w:t>
      </w:r>
      <w:r>
        <w:t>–</w:t>
      </w:r>
      <w:r w:rsidRPr="006B106A">
        <w:t>25, $14.7 billion in 2025</w:t>
      </w:r>
      <w:r>
        <w:t>–</w:t>
      </w:r>
      <w:r w:rsidRPr="006B106A">
        <w:t>26, $19.4 billion in 2026</w:t>
      </w:r>
      <w:r>
        <w:t>–</w:t>
      </w:r>
      <w:r w:rsidRPr="006B106A">
        <w:t>27 and $26.5 billion in 2027</w:t>
      </w:r>
      <w:r>
        <w:t>–</w:t>
      </w:r>
      <w:r w:rsidRPr="006B106A">
        <w:t>28. A key component of this is the conservative bias allowance, which makes provision for the tendency for the estimate of expenses for existing Government policy (excluding GST payments to the states) to be revised upwards in the forward years. The 2024</w:t>
      </w:r>
      <w:r w:rsidR="00362471">
        <w:t>–</w:t>
      </w:r>
      <w:r w:rsidRPr="006B106A">
        <w:t>25 Budget includes a provision of:</w:t>
      </w:r>
    </w:p>
    <w:p w14:paraId="308DE20C" w14:textId="7675110D" w:rsidR="006B106A" w:rsidRDefault="0090500F" w:rsidP="006B106A">
      <w:pPr>
        <w:pStyle w:val="Bullet"/>
      </w:pPr>
      <w:r w:rsidRPr="007531CE">
        <w:t>nil in the Budget year 2024</w:t>
      </w:r>
      <w:r>
        <w:t>–</w:t>
      </w:r>
      <w:r w:rsidRPr="007531CE">
        <w:t>25</w:t>
      </w:r>
    </w:p>
    <w:p w14:paraId="3FD7843E" w14:textId="041C05A1" w:rsidR="006B106A" w:rsidRPr="006B106A" w:rsidRDefault="006B106A" w:rsidP="006B106A">
      <w:pPr>
        <w:pStyle w:val="Bullet"/>
      </w:pPr>
      <w:r w:rsidRPr="006B106A">
        <w:rPr>
          <w:szCs w:val="19"/>
        </w:rPr>
        <w:t>½ of a percentage point of total general government sector expenses in the first forward year 2025</w:t>
      </w:r>
      <w:r w:rsidR="00141218">
        <w:rPr>
          <w:szCs w:val="19"/>
        </w:rPr>
        <w:t>–</w:t>
      </w:r>
      <w:r w:rsidRPr="006B106A">
        <w:rPr>
          <w:szCs w:val="19"/>
        </w:rPr>
        <w:t>26 ($3.3 billion)</w:t>
      </w:r>
    </w:p>
    <w:p w14:paraId="7B808061" w14:textId="1C8B4951" w:rsidR="006B106A" w:rsidRDefault="006B106A" w:rsidP="0090500F">
      <w:pPr>
        <w:pStyle w:val="Bullet"/>
      </w:pPr>
      <w:r w:rsidRPr="00494763">
        <w:t xml:space="preserve">1 per cent of </w:t>
      </w:r>
      <w:r w:rsidR="00D3590A">
        <w:t>general government sector</w:t>
      </w:r>
      <w:r w:rsidRPr="00494763">
        <w:t xml:space="preserve"> expenses in the second forward year 2026</w:t>
      </w:r>
      <w:r w:rsidR="00141218">
        <w:t>–</w:t>
      </w:r>
      <w:r w:rsidRPr="00494763">
        <w:t>27 ($6.8 billion)</w:t>
      </w:r>
    </w:p>
    <w:p w14:paraId="556B0531" w14:textId="4210A62A" w:rsidR="006B106A" w:rsidRDefault="006B106A" w:rsidP="006B106A">
      <w:pPr>
        <w:pStyle w:val="Bullet"/>
      </w:pPr>
      <w:r w:rsidRPr="00494763">
        <w:t xml:space="preserve">2 per cent of </w:t>
      </w:r>
      <w:r w:rsidR="00D3590A">
        <w:t>general government sector</w:t>
      </w:r>
      <w:r w:rsidRPr="00494763">
        <w:t xml:space="preserve"> expenses in the third forward year 2027</w:t>
      </w:r>
      <w:r w:rsidR="00141218">
        <w:t>–</w:t>
      </w:r>
      <w:r w:rsidRPr="00494763">
        <w:t>28 ($14.1 billion).</w:t>
      </w:r>
    </w:p>
    <w:p w14:paraId="26F5F136" w14:textId="74FA32EC" w:rsidR="006B106A" w:rsidRPr="00494763" w:rsidRDefault="006B106A" w:rsidP="002B1118">
      <w:r w:rsidRPr="00494763">
        <w:t xml:space="preserve">The drawdown of the </w:t>
      </w:r>
      <w:r w:rsidR="00362471">
        <w:t>conservative bias allowance</w:t>
      </w:r>
      <w:r w:rsidRPr="00494763">
        <w:t xml:space="preserve"> decreased expenses by $1.6 billion in 2024</w:t>
      </w:r>
      <w:r>
        <w:t>–</w:t>
      </w:r>
      <w:r w:rsidRPr="00494763">
        <w:t>25, $1.5 billion in 2025</w:t>
      </w:r>
      <w:r>
        <w:t>–</w:t>
      </w:r>
      <w:r w:rsidRPr="00494763">
        <w:t>26, $3.2 billion in 2026</w:t>
      </w:r>
      <w:r>
        <w:t>–</w:t>
      </w:r>
      <w:r w:rsidRPr="00494763">
        <w:t>27 and $3.1 billion in 2027</w:t>
      </w:r>
      <w:r>
        <w:t>–</w:t>
      </w:r>
      <w:r w:rsidRPr="00494763">
        <w:t>28. This is consistent with long standing practice and does not represent a saving or offset to spending measures.</w:t>
      </w:r>
    </w:p>
    <w:p w14:paraId="79EE38FB" w14:textId="7CD4F2C0" w:rsidR="005C1146" w:rsidRDefault="005C1146" w:rsidP="005C1146">
      <w:r>
        <w:t>As part of the Government</w:t>
      </w:r>
      <w:r w:rsidR="008D4F6B">
        <w:t>’</w:t>
      </w:r>
      <w:r>
        <w:t>s responsible approach to economic management, the Contingency Reserve includes a provision for the estimated financial impact of further wage increases resulting from the decision of the Fair Work Commission</w:t>
      </w:r>
      <w:r w:rsidR="008D4F6B">
        <w:t>’</w:t>
      </w:r>
      <w:r>
        <w:t>s Aged Care Work Value Case</w:t>
      </w:r>
      <w:r w:rsidR="008D4F6B">
        <w:t xml:space="preserve"> – </w:t>
      </w:r>
      <w:r>
        <w:t xml:space="preserve">Stage 3, with the operative date and phasing in of wage increases still to be determined. </w:t>
      </w:r>
      <w:r w:rsidR="00D11EA8" w:rsidRPr="002F601C">
        <w:t>The Government has also made a provision to deliver on its commitment to provide funding towards a wage increase for Early Childhood Education and Care workers, with details to be finalised following Fair Work Commission processes.</w:t>
      </w:r>
    </w:p>
    <w:p w14:paraId="5DF7AD20" w14:textId="47B49160" w:rsidR="007872D1" w:rsidRDefault="005C1146" w:rsidP="0090500F">
      <w:r>
        <w:t>The Contingency Reserve also includes a provision to reflect the outcomes of the December</w:t>
      </w:r>
      <w:r w:rsidR="00AE3736">
        <w:t> </w:t>
      </w:r>
      <w:r>
        <w:t>2023 National Cabinet meeting and to meet future anticipated disaster recovery costs</w:t>
      </w:r>
      <w:r w:rsidR="008D4F6B">
        <w:t>.</w:t>
      </w:r>
    </w:p>
    <w:p w14:paraId="5CA511C2" w14:textId="0325FF64" w:rsidR="0090500F" w:rsidRPr="007872D1" w:rsidRDefault="006B106A" w:rsidP="0090500F">
      <w:r w:rsidRPr="00494763">
        <w:t>The Contingency Reserve also includes estimates for policy decisions that have been announced but cannot yet be included in entity estimates, usually due to some uncertainty</w:t>
      </w:r>
      <w:r w:rsidRPr="00BD3660">
        <w:t xml:space="preserve"> as to their final cost and/or outcomes, or as they are subject to negotiations</w:t>
      </w:r>
      <w:r w:rsidR="0090500F" w:rsidRPr="007531CE">
        <w:rPr>
          <w:szCs w:val="19"/>
        </w:rPr>
        <w:t>.</w:t>
      </w:r>
    </w:p>
    <w:p w14:paraId="581EE531" w14:textId="77777777" w:rsidR="0057396B" w:rsidRDefault="0057396B" w:rsidP="006B106A">
      <w:r>
        <w:br w:type="page"/>
      </w:r>
    </w:p>
    <w:p w14:paraId="160AACAE" w14:textId="4E596FB2" w:rsidR="006B106A" w:rsidRPr="00BD3660" w:rsidRDefault="006B106A" w:rsidP="006B106A">
      <w:r w:rsidRPr="00BD3660">
        <w:lastRenderedPageBreak/>
        <w:t>In general, the Contingency Reserve can include:</w:t>
      </w:r>
    </w:p>
    <w:p w14:paraId="6A970703" w14:textId="4D71F781" w:rsidR="006B106A" w:rsidRDefault="00141218" w:rsidP="006B106A">
      <w:pPr>
        <w:pStyle w:val="Bullet"/>
      </w:pPr>
      <w:r>
        <w:t>c</w:t>
      </w:r>
      <w:r w:rsidR="006B106A" w:rsidRPr="00BD3660">
        <w:t>ommercial</w:t>
      </w:r>
      <w:r w:rsidR="008D4F6B">
        <w:noBreakHyphen/>
      </w:r>
      <w:r w:rsidR="006B106A" w:rsidRPr="00BD3660">
        <w:t>in</w:t>
      </w:r>
      <w:r w:rsidR="008D4F6B">
        <w:noBreakHyphen/>
      </w:r>
      <w:r w:rsidR="006B106A" w:rsidRPr="00BD3660">
        <w:t>confidence and national security</w:t>
      </w:r>
      <w:r w:rsidR="008D4F6B">
        <w:noBreakHyphen/>
      </w:r>
      <w:r w:rsidR="006B106A" w:rsidRPr="00BD3660">
        <w:t>in</w:t>
      </w:r>
      <w:r w:rsidR="008D4F6B">
        <w:noBreakHyphen/>
      </w:r>
      <w:r w:rsidR="006B106A" w:rsidRPr="00BD3660">
        <w:t>confidence items that cannot be disclosed separately</w:t>
      </w:r>
    </w:p>
    <w:p w14:paraId="50932433" w14:textId="2830E79B" w:rsidR="006B106A" w:rsidRDefault="006B106A" w:rsidP="006B106A">
      <w:pPr>
        <w:pStyle w:val="Bullet"/>
      </w:pPr>
      <w:r w:rsidRPr="00AB259D">
        <w:t>financial assistance to state and territory governments for future programs and reforms subject to negotiations, including commitments made by National Cabinet</w:t>
      </w:r>
    </w:p>
    <w:p w14:paraId="1D4AF8CC" w14:textId="7731F3AE" w:rsidR="006B106A" w:rsidRDefault="006B106A" w:rsidP="006B106A">
      <w:pPr>
        <w:pStyle w:val="Bullet"/>
      </w:pPr>
      <w:r w:rsidRPr="00BD3660">
        <w:t>the effect, on the budget and forward estimates, of economic parameter revisions received late in the process and hence not able to be allocated to individual entities or functions</w:t>
      </w:r>
    </w:p>
    <w:p w14:paraId="2C703133" w14:textId="525E5A43" w:rsidR="006B106A" w:rsidRDefault="006B106A" w:rsidP="006B106A">
      <w:pPr>
        <w:pStyle w:val="Bullet"/>
      </w:pPr>
      <w:r w:rsidRPr="00BD3660">
        <w:t>decisions taken but not yet announced by the Government, and decisions made too late for inclusion against individual entity estimates</w:t>
      </w:r>
    </w:p>
    <w:p w14:paraId="7933FD6D" w14:textId="192F9233" w:rsidR="00ED485A" w:rsidRPr="00C3055E" w:rsidRDefault="006B106A" w:rsidP="00ED485A">
      <w:pPr>
        <w:pStyle w:val="Bullet"/>
      </w:pPr>
      <w:r w:rsidRPr="00BD3660">
        <w:t>provisions for other specific events and pressures that are reasonably expected to affect the budget estimates, including the continuation of terminating measures.</w:t>
      </w:r>
    </w:p>
    <w:p w14:paraId="2E14A7FF" w14:textId="77777777" w:rsidR="00D7304B" w:rsidRDefault="00D7304B">
      <w:pPr>
        <w:spacing w:before="0" w:after="160" w:line="259" w:lineRule="auto"/>
        <w:rPr>
          <w:rStyle w:val="Heading2Char"/>
          <w:b w:val="0"/>
        </w:rPr>
      </w:pPr>
      <w:r>
        <w:rPr>
          <w:rStyle w:val="Heading2Char"/>
        </w:rPr>
        <w:br w:type="page"/>
      </w:r>
    </w:p>
    <w:p w14:paraId="5A8E2DDD" w14:textId="4B0F8957" w:rsidR="00ED485A" w:rsidRPr="000177D7" w:rsidRDefault="00ED485A" w:rsidP="00C418C7">
      <w:pPr>
        <w:pStyle w:val="Heading2"/>
        <w:rPr>
          <w:rFonts w:ascii="Arial (bold)" w:hAnsi="Arial (bold)"/>
        </w:rPr>
      </w:pPr>
      <w:bookmarkStart w:id="181" w:name="_Toc166369432"/>
      <w:r w:rsidRPr="000177D7">
        <w:rPr>
          <w:rStyle w:val="Heading2Char"/>
        </w:rPr>
        <w:lastRenderedPageBreak/>
        <w:t>General government net capital investment</w:t>
      </w:r>
      <w:bookmarkEnd w:id="175"/>
      <w:bookmarkEnd w:id="176"/>
      <w:bookmarkEnd w:id="181"/>
    </w:p>
    <w:p w14:paraId="3F5CBCDB" w14:textId="267CE814" w:rsidR="00E32E1B" w:rsidRDefault="00E32E1B" w:rsidP="00E32E1B">
      <w:pPr>
        <w:rPr>
          <w:sz w:val="22"/>
        </w:rPr>
      </w:pPr>
      <w:bookmarkStart w:id="182" w:name="_Toc4577283"/>
      <w:bookmarkStart w:id="183" w:name="_Toc4689195"/>
      <w:bookmarkStart w:id="184" w:name="_Toc114047805"/>
      <w:bookmarkStart w:id="185" w:name="_Toc117358187"/>
      <w:bookmarkStart w:id="186" w:name="_Toc4577284"/>
      <w:bookmarkStart w:id="187" w:name="_Toc4689196"/>
      <w:bookmarkStart w:id="188" w:name="_Toc70698156"/>
      <w:r>
        <w:t>Net capital investment is broadly defined as the sale and acquisition of non</w:t>
      </w:r>
      <w:r w:rsidR="008D4F6B">
        <w:noBreakHyphen/>
      </w:r>
      <w:r>
        <w:t>financial assets, less depreciation expenses. It provides a measure of the overall growth in capital assets (including buildings and infrastructure, specialist military equipment, and computer software) after taking into account depreciation and amortisation as previously acquired assets age.</w:t>
      </w:r>
    </w:p>
    <w:p w14:paraId="43B9D13D" w14:textId="77777777" w:rsidR="00FB23CE" w:rsidRDefault="00E32E1B" w:rsidP="00437DB1">
      <w:r>
        <w:t>Government capital spending involves acquisition of physical assets, financial assets and provision of grants and subsidies to others (primarily state and territory governments), which they then use to acquire assets.</w:t>
      </w:r>
    </w:p>
    <w:p w14:paraId="72A280F2" w14:textId="4A9CED9F" w:rsidR="00437DB1" w:rsidRPr="00FC2E05" w:rsidRDefault="00437DB1" w:rsidP="00437DB1">
      <w:pPr>
        <w:rPr>
          <w:shd w:val="clear" w:color="auto" w:fill="B4FED5" w:themeFill="accent6" w:themeFillTint="33"/>
        </w:rPr>
      </w:pPr>
      <w:r>
        <w:t xml:space="preserve">Australian Government general government sector net capital investment is expected </w:t>
      </w:r>
      <w:r w:rsidRPr="00C418C7">
        <w:t xml:space="preserve">to </w:t>
      </w:r>
      <w:r w:rsidRPr="0029105F">
        <w:t>be $</w:t>
      </w:r>
      <w:r w:rsidR="00E97811" w:rsidRPr="00A4389A">
        <w:t>6.3</w:t>
      </w:r>
      <w:r w:rsidRPr="00A4389A">
        <w:t xml:space="preserve"> billion in 2024</w:t>
      </w:r>
      <w:r w:rsidR="00306723" w:rsidRPr="00A4389A">
        <w:rPr>
          <w:lang w:val="en-US"/>
        </w:rPr>
        <w:t>–</w:t>
      </w:r>
      <w:r w:rsidRPr="00A4389A">
        <w:t>25, reflecting a decrease from 2023–24. Net capital investment is expected to increase to $1</w:t>
      </w:r>
      <w:r w:rsidR="00E97811" w:rsidRPr="00A4389A">
        <w:t>1</w:t>
      </w:r>
      <w:r w:rsidRPr="00A4389A">
        <w:t>.</w:t>
      </w:r>
      <w:r w:rsidR="00E97811" w:rsidRPr="00A4389A">
        <w:t>9</w:t>
      </w:r>
      <w:r>
        <w:t xml:space="preserve"> billion in 2027–28, primarily </w:t>
      </w:r>
      <w:r w:rsidRPr="00A4389A">
        <w:t xml:space="preserve">reflecting capability investments prioritised in the </w:t>
      </w:r>
      <w:r w:rsidRPr="00FB23CE">
        <w:rPr>
          <w:rStyle w:val="Emphasis"/>
        </w:rPr>
        <w:t xml:space="preserve">2024 National Defence Strategy </w:t>
      </w:r>
      <w:r w:rsidRPr="00204B48">
        <w:rPr>
          <w:rStyle w:val="Emphasis"/>
          <w:i w:val="0"/>
        </w:rPr>
        <w:t>and</w:t>
      </w:r>
      <w:r w:rsidRPr="00FB23CE">
        <w:rPr>
          <w:rStyle w:val="Emphasis"/>
        </w:rPr>
        <w:t xml:space="preserve"> Integrated Investment Program</w:t>
      </w:r>
      <w:r w:rsidRPr="00A4389A">
        <w:rPr>
          <w:i/>
          <w:iCs/>
        </w:rPr>
        <w:t>.</w:t>
      </w:r>
    </w:p>
    <w:p w14:paraId="1E55FA91" w14:textId="77777777" w:rsidR="00E32E1B" w:rsidRPr="000177D7" w:rsidRDefault="00E32E1B" w:rsidP="00E32E1B">
      <w:r w:rsidRPr="000177D7">
        <w:t>Details of movements are further explained in the following section.</w:t>
      </w:r>
    </w:p>
    <w:p w14:paraId="792EE26C" w14:textId="0F712468" w:rsidR="00711589" w:rsidRDefault="00E32E1B" w:rsidP="00711589">
      <w:pPr>
        <w:pStyle w:val="TableHeading"/>
        <w:rPr>
          <w:rFonts w:asciiTheme="minorHAnsi" w:eastAsiaTheme="minorHAnsi" w:hAnsiTheme="minorHAnsi" w:cstheme="minorBidi"/>
          <w:sz w:val="22"/>
          <w:szCs w:val="22"/>
          <w:lang w:eastAsia="en-US"/>
        </w:rPr>
      </w:pPr>
      <w:r>
        <w:t>Table </w:t>
      </w:r>
      <w:r w:rsidRPr="000177D7">
        <w:t xml:space="preserve">6.18: Estimates of total net capital </w:t>
      </w:r>
      <w:r w:rsidRPr="007C7AA6">
        <w:t>investment</w:t>
      </w:r>
      <w:bookmarkStart w:id="189" w:name="_1727774390"/>
      <w:bookmarkStart w:id="190" w:name="_1776945579"/>
      <w:bookmarkStart w:id="191" w:name="_1776945343"/>
      <w:bookmarkEnd w:id="189"/>
      <w:bookmarkEnd w:id="190"/>
      <w:bookmarkEnd w:id="191"/>
    </w:p>
    <w:tbl>
      <w:tblPr>
        <w:tblW w:w="7660" w:type="dxa"/>
        <w:tblLook w:val="04A0" w:firstRow="1" w:lastRow="0" w:firstColumn="1" w:lastColumn="0" w:noHBand="0" w:noVBand="1"/>
      </w:tblPr>
      <w:tblGrid>
        <w:gridCol w:w="2241"/>
        <w:gridCol w:w="869"/>
        <w:gridCol w:w="868"/>
        <w:gridCol w:w="260"/>
        <w:gridCol w:w="868"/>
        <w:gridCol w:w="868"/>
        <w:gridCol w:w="868"/>
        <w:gridCol w:w="868"/>
      </w:tblGrid>
      <w:tr w:rsidR="00711589" w:rsidRPr="00711589" w14:paraId="533E6579" w14:textId="77777777" w:rsidTr="00236E34">
        <w:trPr>
          <w:trHeight w:val="225"/>
        </w:trPr>
        <w:tc>
          <w:tcPr>
            <w:tcW w:w="2288" w:type="dxa"/>
            <w:tcBorders>
              <w:top w:val="single" w:sz="4" w:space="0" w:color="293F5B"/>
              <w:left w:val="nil"/>
              <w:bottom w:val="nil"/>
              <w:right w:val="nil"/>
            </w:tcBorders>
            <w:shd w:val="clear" w:color="000000" w:fill="FFFFFF"/>
            <w:noWrap/>
            <w:vAlign w:val="center"/>
            <w:hideMark/>
          </w:tcPr>
          <w:p w14:paraId="2372FCD1" w14:textId="28CDC5ED" w:rsidR="00711589" w:rsidRPr="00711589" w:rsidRDefault="00711589" w:rsidP="00711589">
            <w:pPr>
              <w:spacing w:before="0" w:after="0" w:line="240" w:lineRule="auto"/>
              <w:rPr>
                <w:rFonts w:ascii="Arial" w:hAnsi="Arial" w:cs="Arial"/>
                <w:color w:val="000000"/>
                <w:sz w:val="16"/>
                <w:szCs w:val="16"/>
              </w:rPr>
            </w:pPr>
            <w:r w:rsidRPr="00711589">
              <w:rPr>
                <w:rFonts w:ascii="Arial" w:hAnsi="Arial" w:cs="Arial"/>
                <w:color w:val="000000"/>
                <w:sz w:val="16"/>
                <w:szCs w:val="16"/>
              </w:rPr>
              <w:t> </w:t>
            </w:r>
          </w:p>
        </w:tc>
        <w:tc>
          <w:tcPr>
            <w:tcW w:w="884" w:type="dxa"/>
            <w:tcBorders>
              <w:top w:val="single" w:sz="4" w:space="0" w:color="293F5B"/>
              <w:left w:val="nil"/>
              <w:bottom w:val="single" w:sz="4" w:space="0" w:color="293F5B"/>
              <w:right w:val="nil"/>
            </w:tcBorders>
            <w:shd w:val="clear" w:color="000000" w:fill="FFFFFF"/>
            <w:noWrap/>
            <w:vAlign w:val="center"/>
            <w:hideMark/>
          </w:tcPr>
          <w:p w14:paraId="0D59A08A" w14:textId="77777777" w:rsidR="00711589" w:rsidRPr="00711589" w:rsidRDefault="00711589" w:rsidP="00711589">
            <w:pPr>
              <w:spacing w:before="0" w:after="0" w:line="240" w:lineRule="auto"/>
              <w:jc w:val="right"/>
              <w:rPr>
                <w:rFonts w:ascii="Arial" w:hAnsi="Arial" w:cs="Arial"/>
                <w:sz w:val="16"/>
                <w:szCs w:val="16"/>
              </w:rPr>
            </w:pPr>
            <w:r w:rsidRPr="00711589">
              <w:rPr>
                <w:rFonts w:ascii="Arial" w:hAnsi="Arial" w:cs="Arial"/>
                <w:sz w:val="16"/>
                <w:szCs w:val="16"/>
              </w:rPr>
              <w:t>MYEFO</w:t>
            </w:r>
          </w:p>
        </w:tc>
        <w:tc>
          <w:tcPr>
            <w:tcW w:w="884" w:type="dxa"/>
            <w:tcBorders>
              <w:top w:val="single" w:sz="4" w:space="0" w:color="293F5B"/>
              <w:left w:val="nil"/>
              <w:bottom w:val="single" w:sz="4" w:space="0" w:color="293F5B"/>
              <w:right w:val="nil"/>
            </w:tcBorders>
            <w:shd w:val="clear" w:color="000000" w:fill="FFFFFF"/>
            <w:noWrap/>
            <w:vAlign w:val="center"/>
            <w:hideMark/>
          </w:tcPr>
          <w:p w14:paraId="427093F7" w14:textId="77777777" w:rsidR="00711589" w:rsidRPr="00711589" w:rsidRDefault="00711589" w:rsidP="00711589">
            <w:pPr>
              <w:spacing w:before="0" w:after="0" w:line="240" w:lineRule="auto"/>
              <w:jc w:val="center"/>
              <w:rPr>
                <w:rFonts w:ascii="Arial" w:hAnsi="Arial" w:cs="Arial"/>
                <w:sz w:val="16"/>
                <w:szCs w:val="16"/>
              </w:rPr>
            </w:pPr>
            <w:r w:rsidRPr="00711589">
              <w:rPr>
                <w:rFonts w:ascii="Arial" w:hAnsi="Arial" w:cs="Arial"/>
                <w:sz w:val="16"/>
                <w:szCs w:val="16"/>
              </w:rPr>
              <w:t>Revised</w:t>
            </w:r>
          </w:p>
        </w:tc>
        <w:tc>
          <w:tcPr>
            <w:tcW w:w="68" w:type="dxa"/>
            <w:tcBorders>
              <w:top w:val="single" w:sz="4" w:space="0" w:color="293F5B"/>
              <w:left w:val="nil"/>
              <w:bottom w:val="single" w:sz="4" w:space="0" w:color="293F5B"/>
              <w:right w:val="nil"/>
            </w:tcBorders>
            <w:shd w:val="clear" w:color="000000" w:fill="FFFFFF"/>
            <w:noWrap/>
            <w:vAlign w:val="center"/>
            <w:hideMark/>
          </w:tcPr>
          <w:p w14:paraId="73E94FA8" w14:textId="77777777" w:rsidR="00711589" w:rsidRPr="00711589" w:rsidRDefault="00711589" w:rsidP="00711589">
            <w:pPr>
              <w:spacing w:before="0" w:after="0" w:line="240" w:lineRule="auto"/>
              <w:rPr>
                <w:rFonts w:ascii="Arial" w:hAnsi="Arial" w:cs="Arial"/>
                <w:sz w:val="16"/>
                <w:szCs w:val="16"/>
              </w:rPr>
            </w:pPr>
            <w:r w:rsidRPr="00711589">
              <w:rPr>
                <w:rFonts w:ascii="Arial" w:hAnsi="Arial" w:cs="Arial"/>
                <w:sz w:val="16"/>
                <w:szCs w:val="16"/>
              </w:rPr>
              <w:t> </w:t>
            </w:r>
          </w:p>
        </w:tc>
        <w:tc>
          <w:tcPr>
            <w:tcW w:w="3536" w:type="dxa"/>
            <w:gridSpan w:val="4"/>
            <w:tcBorders>
              <w:top w:val="single" w:sz="4" w:space="0" w:color="293F5B"/>
              <w:left w:val="nil"/>
              <w:bottom w:val="single" w:sz="4" w:space="0" w:color="293F5B"/>
              <w:right w:val="nil"/>
            </w:tcBorders>
            <w:shd w:val="clear" w:color="000000" w:fill="FFFFFF"/>
            <w:noWrap/>
            <w:vAlign w:val="center"/>
            <w:hideMark/>
          </w:tcPr>
          <w:p w14:paraId="58A1D392" w14:textId="77777777" w:rsidR="00711589" w:rsidRPr="00711589" w:rsidRDefault="00711589" w:rsidP="00711589">
            <w:pPr>
              <w:spacing w:before="0" w:after="0" w:line="240" w:lineRule="auto"/>
              <w:jc w:val="center"/>
              <w:rPr>
                <w:rFonts w:ascii="Arial" w:hAnsi="Arial" w:cs="Arial"/>
                <w:color w:val="000000"/>
                <w:sz w:val="16"/>
                <w:szCs w:val="16"/>
              </w:rPr>
            </w:pPr>
            <w:r w:rsidRPr="00711589">
              <w:rPr>
                <w:rFonts w:ascii="Arial" w:hAnsi="Arial" w:cs="Arial"/>
                <w:color w:val="000000"/>
                <w:sz w:val="16"/>
                <w:szCs w:val="16"/>
              </w:rPr>
              <w:t>Estimates</w:t>
            </w:r>
          </w:p>
        </w:tc>
      </w:tr>
      <w:tr w:rsidR="00711589" w:rsidRPr="00711589" w14:paraId="3B997840" w14:textId="77777777" w:rsidTr="00236E34">
        <w:trPr>
          <w:trHeight w:val="225"/>
        </w:trPr>
        <w:tc>
          <w:tcPr>
            <w:tcW w:w="2288" w:type="dxa"/>
            <w:tcBorders>
              <w:top w:val="nil"/>
              <w:left w:val="nil"/>
              <w:bottom w:val="nil"/>
              <w:right w:val="nil"/>
            </w:tcBorders>
            <w:shd w:val="clear" w:color="000000" w:fill="FFFFFF"/>
            <w:noWrap/>
            <w:vAlign w:val="center"/>
            <w:hideMark/>
          </w:tcPr>
          <w:p w14:paraId="1BC7C034" w14:textId="77777777" w:rsidR="00711589" w:rsidRPr="00711589" w:rsidRDefault="00711589" w:rsidP="00711589">
            <w:pPr>
              <w:spacing w:before="0" w:after="0" w:line="240" w:lineRule="auto"/>
              <w:rPr>
                <w:rFonts w:ascii="Arial" w:hAnsi="Arial" w:cs="Arial"/>
                <w:color w:val="000000"/>
                <w:sz w:val="16"/>
                <w:szCs w:val="16"/>
              </w:rPr>
            </w:pPr>
            <w:r w:rsidRPr="00711589">
              <w:rPr>
                <w:rFonts w:ascii="Arial" w:hAnsi="Arial" w:cs="Arial"/>
                <w:color w:val="000000"/>
                <w:sz w:val="16"/>
                <w:szCs w:val="16"/>
              </w:rPr>
              <w:t> </w:t>
            </w:r>
          </w:p>
        </w:tc>
        <w:tc>
          <w:tcPr>
            <w:tcW w:w="884" w:type="dxa"/>
            <w:tcBorders>
              <w:top w:val="single" w:sz="4" w:space="0" w:color="293F5B"/>
              <w:left w:val="nil"/>
              <w:bottom w:val="single" w:sz="4" w:space="0" w:color="293F5B"/>
              <w:right w:val="nil"/>
            </w:tcBorders>
            <w:shd w:val="clear" w:color="000000" w:fill="FFFFFF"/>
            <w:noWrap/>
            <w:vAlign w:val="center"/>
            <w:hideMark/>
          </w:tcPr>
          <w:p w14:paraId="59255E49" w14:textId="77777777" w:rsidR="00711589" w:rsidRPr="00711589" w:rsidRDefault="00711589" w:rsidP="00711589">
            <w:pPr>
              <w:spacing w:before="0" w:after="0" w:line="240" w:lineRule="auto"/>
              <w:jc w:val="right"/>
              <w:rPr>
                <w:rFonts w:ascii="Arial" w:hAnsi="Arial" w:cs="Arial"/>
                <w:color w:val="000000"/>
                <w:sz w:val="16"/>
                <w:szCs w:val="16"/>
              </w:rPr>
            </w:pPr>
            <w:r w:rsidRPr="00711589">
              <w:rPr>
                <w:rFonts w:ascii="Arial" w:hAnsi="Arial" w:cs="Arial"/>
                <w:color w:val="000000"/>
                <w:sz w:val="16"/>
                <w:szCs w:val="16"/>
              </w:rPr>
              <w:t>2023-24</w:t>
            </w:r>
          </w:p>
        </w:tc>
        <w:tc>
          <w:tcPr>
            <w:tcW w:w="884" w:type="dxa"/>
            <w:tcBorders>
              <w:top w:val="single" w:sz="4" w:space="0" w:color="293F5B"/>
              <w:left w:val="nil"/>
              <w:bottom w:val="single" w:sz="4" w:space="0" w:color="293F5B"/>
              <w:right w:val="nil"/>
            </w:tcBorders>
            <w:shd w:val="clear" w:color="000000" w:fill="FFFFFF"/>
            <w:noWrap/>
            <w:vAlign w:val="center"/>
            <w:hideMark/>
          </w:tcPr>
          <w:p w14:paraId="099EF6BB" w14:textId="77777777" w:rsidR="00711589" w:rsidRPr="00711589" w:rsidRDefault="00711589" w:rsidP="00711589">
            <w:pPr>
              <w:spacing w:before="0" w:after="0" w:line="240" w:lineRule="auto"/>
              <w:jc w:val="right"/>
              <w:rPr>
                <w:rFonts w:ascii="Arial" w:hAnsi="Arial" w:cs="Arial"/>
                <w:sz w:val="16"/>
                <w:szCs w:val="16"/>
              </w:rPr>
            </w:pPr>
            <w:r w:rsidRPr="00711589">
              <w:rPr>
                <w:rFonts w:ascii="Arial" w:hAnsi="Arial" w:cs="Arial"/>
                <w:sz w:val="16"/>
                <w:szCs w:val="16"/>
              </w:rPr>
              <w:t>2023-24</w:t>
            </w:r>
          </w:p>
        </w:tc>
        <w:tc>
          <w:tcPr>
            <w:tcW w:w="68" w:type="dxa"/>
            <w:tcBorders>
              <w:top w:val="single" w:sz="4" w:space="0" w:color="293F5B"/>
              <w:left w:val="nil"/>
              <w:bottom w:val="single" w:sz="4" w:space="0" w:color="293F5B"/>
              <w:right w:val="nil"/>
            </w:tcBorders>
            <w:shd w:val="clear" w:color="000000" w:fill="FFFFFF"/>
            <w:noWrap/>
            <w:vAlign w:val="center"/>
            <w:hideMark/>
          </w:tcPr>
          <w:p w14:paraId="326C201A" w14:textId="77777777" w:rsidR="00711589" w:rsidRPr="00711589" w:rsidRDefault="00711589" w:rsidP="00711589">
            <w:pPr>
              <w:spacing w:before="0" w:after="0" w:line="240" w:lineRule="auto"/>
              <w:jc w:val="right"/>
              <w:rPr>
                <w:rFonts w:ascii="Arial" w:hAnsi="Arial" w:cs="Arial"/>
                <w:sz w:val="16"/>
                <w:szCs w:val="16"/>
              </w:rPr>
            </w:pPr>
            <w:r w:rsidRPr="00711589">
              <w:rPr>
                <w:rFonts w:ascii="Arial" w:hAnsi="Arial" w:cs="Arial"/>
                <w:sz w:val="16"/>
                <w:szCs w:val="16"/>
              </w:rPr>
              <w:t> </w:t>
            </w:r>
          </w:p>
        </w:tc>
        <w:tc>
          <w:tcPr>
            <w:tcW w:w="884" w:type="dxa"/>
            <w:tcBorders>
              <w:top w:val="single" w:sz="4" w:space="0" w:color="293F5B"/>
              <w:left w:val="nil"/>
              <w:bottom w:val="single" w:sz="4" w:space="0" w:color="293F5B"/>
              <w:right w:val="nil"/>
            </w:tcBorders>
            <w:shd w:val="clear" w:color="000000" w:fill="E6F2FF"/>
            <w:noWrap/>
            <w:vAlign w:val="center"/>
            <w:hideMark/>
          </w:tcPr>
          <w:p w14:paraId="791859D0" w14:textId="77777777" w:rsidR="00711589" w:rsidRPr="00711589" w:rsidRDefault="00711589" w:rsidP="00711589">
            <w:pPr>
              <w:spacing w:before="0" w:after="0" w:line="240" w:lineRule="auto"/>
              <w:jc w:val="right"/>
              <w:rPr>
                <w:rFonts w:ascii="Arial" w:hAnsi="Arial" w:cs="Arial"/>
                <w:sz w:val="16"/>
                <w:szCs w:val="16"/>
              </w:rPr>
            </w:pPr>
            <w:r w:rsidRPr="00711589">
              <w:rPr>
                <w:rFonts w:ascii="Arial" w:hAnsi="Arial" w:cs="Arial"/>
                <w:sz w:val="16"/>
                <w:szCs w:val="16"/>
              </w:rPr>
              <w:t>2024-25</w:t>
            </w:r>
          </w:p>
        </w:tc>
        <w:tc>
          <w:tcPr>
            <w:tcW w:w="884" w:type="dxa"/>
            <w:tcBorders>
              <w:top w:val="single" w:sz="4" w:space="0" w:color="293F5B"/>
              <w:left w:val="nil"/>
              <w:bottom w:val="single" w:sz="4" w:space="0" w:color="293F5B"/>
              <w:right w:val="nil"/>
            </w:tcBorders>
            <w:shd w:val="clear" w:color="000000" w:fill="FFFFFF"/>
            <w:noWrap/>
            <w:vAlign w:val="center"/>
            <w:hideMark/>
          </w:tcPr>
          <w:p w14:paraId="363A6EA2" w14:textId="77777777" w:rsidR="00711589" w:rsidRPr="00711589" w:rsidRDefault="00711589" w:rsidP="00711589">
            <w:pPr>
              <w:spacing w:before="0" w:after="0" w:line="240" w:lineRule="auto"/>
              <w:jc w:val="right"/>
              <w:rPr>
                <w:rFonts w:ascii="Arial" w:hAnsi="Arial" w:cs="Arial"/>
                <w:sz w:val="16"/>
                <w:szCs w:val="16"/>
              </w:rPr>
            </w:pPr>
            <w:r w:rsidRPr="00711589">
              <w:rPr>
                <w:rFonts w:ascii="Arial" w:hAnsi="Arial" w:cs="Arial"/>
                <w:sz w:val="16"/>
                <w:szCs w:val="16"/>
              </w:rPr>
              <w:t>2025-26</w:t>
            </w:r>
          </w:p>
        </w:tc>
        <w:tc>
          <w:tcPr>
            <w:tcW w:w="884" w:type="dxa"/>
            <w:tcBorders>
              <w:top w:val="nil"/>
              <w:left w:val="nil"/>
              <w:bottom w:val="single" w:sz="4" w:space="0" w:color="293F5B"/>
              <w:right w:val="nil"/>
            </w:tcBorders>
            <w:shd w:val="clear" w:color="000000" w:fill="FFFFFF"/>
            <w:noWrap/>
            <w:vAlign w:val="center"/>
            <w:hideMark/>
          </w:tcPr>
          <w:p w14:paraId="7AB3103E" w14:textId="77777777" w:rsidR="00711589" w:rsidRPr="00711589" w:rsidRDefault="00711589" w:rsidP="00711589">
            <w:pPr>
              <w:spacing w:before="0" w:after="0" w:line="240" w:lineRule="auto"/>
              <w:jc w:val="right"/>
              <w:rPr>
                <w:rFonts w:ascii="Arial" w:hAnsi="Arial" w:cs="Arial"/>
                <w:sz w:val="16"/>
                <w:szCs w:val="16"/>
              </w:rPr>
            </w:pPr>
            <w:r w:rsidRPr="00711589">
              <w:rPr>
                <w:rFonts w:ascii="Arial" w:hAnsi="Arial" w:cs="Arial"/>
                <w:sz w:val="16"/>
                <w:szCs w:val="16"/>
              </w:rPr>
              <w:t>2026-27</w:t>
            </w:r>
          </w:p>
        </w:tc>
        <w:tc>
          <w:tcPr>
            <w:tcW w:w="884" w:type="dxa"/>
            <w:tcBorders>
              <w:top w:val="nil"/>
              <w:left w:val="nil"/>
              <w:bottom w:val="single" w:sz="4" w:space="0" w:color="293F5B"/>
              <w:right w:val="nil"/>
            </w:tcBorders>
            <w:shd w:val="clear" w:color="000000" w:fill="FFFFFF"/>
            <w:noWrap/>
            <w:vAlign w:val="center"/>
            <w:hideMark/>
          </w:tcPr>
          <w:p w14:paraId="42832118" w14:textId="77777777" w:rsidR="00711589" w:rsidRPr="00711589" w:rsidRDefault="00711589" w:rsidP="00711589">
            <w:pPr>
              <w:spacing w:before="0" w:after="0" w:line="240" w:lineRule="auto"/>
              <w:jc w:val="right"/>
              <w:rPr>
                <w:rFonts w:ascii="Arial" w:hAnsi="Arial" w:cs="Arial"/>
                <w:color w:val="000000"/>
                <w:sz w:val="16"/>
                <w:szCs w:val="16"/>
              </w:rPr>
            </w:pPr>
            <w:r w:rsidRPr="00711589">
              <w:rPr>
                <w:rFonts w:ascii="Arial" w:hAnsi="Arial" w:cs="Arial"/>
                <w:color w:val="000000"/>
                <w:sz w:val="16"/>
                <w:szCs w:val="16"/>
              </w:rPr>
              <w:t>2027-28</w:t>
            </w:r>
          </w:p>
        </w:tc>
      </w:tr>
      <w:tr w:rsidR="00711589" w:rsidRPr="00711589" w14:paraId="6F445CA5" w14:textId="77777777" w:rsidTr="00236E34">
        <w:trPr>
          <w:trHeight w:val="225"/>
        </w:trPr>
        <w:tc>
          <w:tcPr>
            <w:tcW w:w="2288" w:type="dxa"/>
            <w:tcBorders>
              <w:top w:val="nil"/>
              <w:left w:val="nil"/>
              <w:bottom w:val="nil"/>
              <w:right w:val="nil"/>
            </w:tcBorders>
            <w:shd w:val="clear" w:color="000000" w:fill="FFFFFF"/>
            <w:noWrap/>
            <w:vAlign w:val="center"/>
            <w:hideMark/>
          </w:tcPr>
          <w:p w14:paraId="09A7039F" w14:textId="77777777" w:rsidR="00711589" w:rsidRPr="00711589" w:rsidRDefault="00711589" w:rsidP="00711589">
            <w:pPr>
              <w:spacing w:before="0" w:after="0" w:line="240" w:lineRule="auto"/>
              <w:rPr>
                <w:rFonts w:ascii="Arial" w:hAnsi="Arial" w:cs="Arial"/>
                <w:b/>
                <w:bCs/>
                <w:color w:val="000000"/>
                <w:sz w:val="16"/>
                <w:szCs w:val="16"/>
              </w:rPr>
            </w:pPr>
            <w:r w:rsidRPr="00711589">
              <w:rPr>
                <w:rFonts w:ascii="Arial" w:hAnsi="Arial" w:cs="Arial"/>
                <w:b/>
                <w:bCs/>
                <w:color w:val="000000"/>
                <w:sz w:val="16"/>
                <w:szCs w:val="16"/>
              </w:rPr>
              <w:t xml:space="preserve">Total net capital </w:t>
            </w:r>
          </w:p>
        </w:tc>
        <w:tc>
          <w:tcPr>
            <w:tcW w:w="884" w:type="dxa"/>
            <w:tcBorders>
              <w:top w:val="single" w:sz="4" w:space="0" w:color="293F5B"/>
              <w:left w:val="nil"/>
              <w:bottom w:val="nil"/>
              <w:right w:val="nil"/>
            </w:tcBorders>
            <w:shd w:val="clear" w:color="000000" w:fill="FFFFFF"/>
            <w:noWrap/>
            <w:vAlign w:val="center"/>
            <w:hideMark/>
          </w:tcPr>
          <w:p w14:paraId="6742B277" w14:textId="77777777" w:rsidR="00711589" w:rsidRPr="00711589" w:rsidRDefault="00711589" w:rsidP="00711589">
            <w:pPr>
              <w:spacing w:before="0" w:after="0" w:line="240" w:lineRule="auto"/>
              <w:rPr>
                <w:rFonts w:ascii="Arial" w:hAnsi="Arial" w:cs="Arial"/>
                <w:sz w:val="16"/>
                <w:szCs w:val="16"/>
              </w:rPr>
            </w:pPr>
            <w:r w:rsidRPr="00711589">
              <w:rPr>
                <w:rFonts w:ascii="Arial" w:hAnsi="Arial" w:cs="Arial"/>
                <w:sz w:val="16"/>
                <w:szCs w:val="16"/>
              </w:rPr>
              <w:t> </w:t>
            </w:r>
          </w:p>
        </w:tc>
        <w:tc>
          <w:tcPr>
            <w:tcW w:w="884" w:type="dxa"/>
            <w:tcBorders>
              <w:top w:val="single" w:sz="4" w:space="0" w:color="293F5B"/>
              <w:left w:val="nil"/>
              <w:bottom w:val="nil"/>
              <w:right w:val="nil"/>
            </w:tcBorders>
            <w:shd w:val="clear" w:color="000000" w:fill="FFFFFF"/>
            <w:noWrap/>
            <w:vAlign w:val="center"/>
            <w:hideMark/>
          </w:tcPr>
          <w:p w14:paraId="04C578EB" w14:textId="77777777" w:rsidR="00711589" w:rsidRPr="00711589" w:rsidRDefault="00711589" w:rsidP="00711589">
            <w:pPr>
              <w:spacing w:before="0" w:after="0" w:line="240" w:lineRule="auto"/>
              <w:rPr>
                <w:rFonts w:ascii="Arial" w:hAnsi="Arial" w:cs="Arial"/>
                <w:sz w:val="16"/>
                <w:szCs w:val="16"/>
              </w:rPr>
            </w:pPr>
            <w:r w:rsidRPr="00711589">
              <w:rPr>
                <w:rFonts w:ascii="Arial" w:hAnsi="Arial" w:cs="Arial"/>
                <w:sz w:val="16"/>
                <w:szCs w:val="16"/>
              </w:rPr>
              <w:t> </w:t>
            </w:r>
          </w:p>
        </w:tc>
        <w:tc>
          <w:tcPr>
            <w:tcW w:w="68" w:type="dxa"/>
            <w:tcBorders>
              <w:top w:val="single" w:sz="4" w:space="0" w:color="293F5B"/>
              <w:left w:val="nil"/>
              <w:bottom w:val="nil"/>
              <w:right w:val="nil"/>
            </w:tcBorders>
            <w:shd w:val="clear" w:color="000000" w:fill="FFFFFF"/>
            <w:noWrap/>
            <w:vAlign w:val="center"/>
            <w:hideMark/>
          </w:tcPr>
          <w:p w14:paraId="26BC8240" w14:textId="77777777" w:rsidR="00711589" w:rsidRPr="00711589" w:rsidRDefault="00711589" w:rsidP="00711589">
            <w:pPr>
              <w:spacing w:before="0" w:after="0" w:line="240" w:lineRule="auto"/>
              <w:rPr>
                <w:rFonts w:ascii="Arial" w:hAnsi="Arial" w:cs="Arial"/>
                <w:sz w:val="16"/>
                <w:szCs w:val="16"/>
              </w:rPr>
            </w:pPr>
            <w:r w:rsidRPr="00711589">
              <w:rPr>
                <w:rFonts w:ascii="Arial" w:hAnsi="Arial" w:cs="Arial"/>
                <w:sz w:val="16"/>
                <w:szCs w:val="16"/>
              </w:rPr>
              <w:t> </w:t>
            </w:r>
          </w:p>
        </w:tc>
        <w:tc>
          <w:tcPr>
            <w:tcW w:w="884" w:type="dxa"/>
            <w:tcBorders>
              <w:top w:val="single" w:sz="4" w:space="0" w:color="293F5B"/>
              <w:left w:val="nil"/>
              <w:bottom w:val="nil"/>
              <w:right w:val="nil"/>
            </w:tcBorders>
            <w:shd w:val="clear" w:color="000000" w:fill="E6F2FF"/>
            <w:noWrap/>
            <w:vAlign w:val="center"/>
            <w:hideMark/>
          </w:tcPr>
          <w:p w14:paraId="28DD918A" w14:textId="77777777" w:rsidR="00711589" w:rsidRPr="00711589" w:rsidRDefault="00711589" w:rsidP="00711589">
            <w:pPr>
              <w:spacing w:before="0" w:after="0" w:line="240" w:lineRule="auto"/>
              <w:jc w:val="right"/>
              <w:rPr>
                <w:rFonts w:ascii="Arial" w:hAnsi="Arial" w:cs="Arial"/>
                <w:color w:val="000000"/>
                <w:sz w:val="16"/>
                <w:szCs w:val="16"/>
              </w:rPr>
            </w:pPr>
            <w:r w:rsidRPr="00711589">
              <w:rPr>
                <w:rFonts w:ascii="Arial" w:hAnsi="Arial" w:cs="Arial"/>
                <w:color w:val="000000"/>
                <w:sz w:val="16"/>
                <w:szCs w:val="16"/>
              </w:rPr>
              <w:t> </w:t>
            </w:r>
          </w:p>
        </w:tc>
        <w:tc>
          <w:tcPr>
            <w:tcW w:w="884" w:type="dxa"/>
            <w:tcBorders>
              <w:top w:val="single" w:sz="4" w:space="0" w:color="293F5B"/>
              <w:left w:val="nil"/>
              <w:bottom w:val="nil"/>
              <w:right w:val="nil"/>
            </w:tcBorders>
            <w:shd w:val="clear" w:color="000000" w:fill="FFFFFF"/>
            <w:noWrap/>
            <w:vAlign w:val="center"/>
            <w:hideMark/>
          </w:tcPr>
          <w:p w14:paraId="57252F20" w14:textId="77777777" w:rsidR="00711589" w:rsidRPr="00711589" w:rsidRDefault="00711589" w:rsidP="00711589">
            <w:pPr>
              <w:spacing w:before="0" w:after="0" w:line="240" w:lineRule="auto"/>
              <w:jc w:val="right"/>
              <w:rPr>
                <w:rFonts w:ascii="Arial" w:hAnsi="Arial" w:cs="Arial"/>
                <w:color w:val="000000"/>
                <w:sz w:val="16"/>
                <w:szCs w:val="16"/>
              </w:rPr>
            </w:pPr>
            <w:r w:rsidRPr="00711589">
              <w:rPr>
                <w:rFonts w:ascii="Arial" w:hAnsi="Arial" w:cs="Arial"/>
                <w:color w:val="000000"/>
                <w:sz w:val="16"/>
                <w:szCs w:val="16"/>
              </w:rPr>
              <w:t> </w:t>
            </w:r>
          </w:p>
        </w:tc>
        <w:tc>
          <w:tcPr>
            <w:tcW w:w="884" w:type="dxa"/>
            <w:tcBorders>
              <w:top w:val="single" w:sz="4" w:space="0" w:color="293F5B"/>
              <w:left w:val="nil"/>
              <w:bottom w:val="nil"/>
              <w:right w:val="nil"/>
            </w:tcBorders>
            <w:shd w:val="clear" w:color="000000" w:fill="FFFFFF"/>
            <w:noWrap/>
            <w:vAlign w:val="center"/>
            <w:hideMark/>
          </w:tcPr>
          <w:p w14:paraId="488DD037" w14:textId="77777777" w:rsidR="00711589" w:rsidRPr="00711589" w:rsidRDefault="00711589" w:rsidP="00711589">
            <w:pPr>
              <w:spacing w:before="0" w:after="0" w:line="240" w:lineRule="auto"/>
              <w:jc w:val="right"/>
              <w:rPr>
                <w:rFonts w:ascii="Arial" w:hAnsi="Arial" w:cs="Arial"/>
                <w:color w:val="000000"/>
                <w:sz w:val="16"/>
                <w:szCs w:val="16"/>
              </w:rPr>
            </w:pPr>
            <w:r w:rsidRPr="00711589">
              <w:rPr>
                <w:rFonts w:ascii="Arial" w:hAnsi="Arial" w:cs="Arial"/>
                <w:color w:val="000000"/>
                <w:sz w:val="16"/>
                <w:szCs w:val="16"/>
              </w:rPr>
              <w:t> </w:t>
            </w:r>
          </w:p>
        </w:tc>
        <w:tc>
          <w:tcPr>
            <w:tcW w:w="884" w:type="dxa"/>
            <w:tcBorders>
              <w:top w:val="single" w:sz="4" w:space="0" w:color="293F5B"/>
              <w:left w:val="nil"/>
              <w:bottom w:val="nil"/>
              <w:right w:val="nil"/>
            </w:tcBorders>
            <w:shd w:val="clear" w:color="000000" w:fill="FFFFFF"/>
            <w:noWrap/>
            <w:vAlign w:val="center"/>
            <w:hideMark/>
          </w:tcPr>
          <w:p w14:paraId="0379B5E9" w14:textId="77777777" w:rsidR="00711589" w:rsidRPr="00711589" w:rsidRDefault="00711589" w:rsidP="00711589">
            <w:pPr>
              <w:spacing w:before="0" w:after="0" w:line="240" w:lineRule="auto"/>
              <w:jc w:val="right"/>
              <w:rPr>
                <w:rFonts w:ascii="Arial" w:hAnsi="Arial" w:cs="Arial"/>
                <w:color w:val="000000"/>
                <w:sz w:val="16"/>
                <w:szCs w:val="16"/>
              </w:rPr>
            </w:pPr>
            <w:r w:rsidRPr="00711589">
              <w:rPr>
                <w:rFonts w:ascii="Arial" w:hAnsi="Arial" w:cs="Arial"/>
                <w:color w:val="000000"/>
                <w:sz w:val="16"/>
                <w:szCs w:val="16"/>
              </w:rPr>
              <w:t> </w:t>
            </w:r>
          </w:p>
        </w:tc>
      </w:tr>
      <w:tr w:rsidR="00711589" w:rsidRPr="00711589" w14:paraId="1B4A800D" w14:textId="77777777" w:rsidTr="00711589">
        <w:trPr>
          <w:trHeight w:val="225"/>
        </w:trPr>
        <w:tc>
          <w:tcPr>
            <w:tcW w:w="2288" w:type="dxa"/>
            <w:tcBorders>
              <w:top w:val="nil"/>
              <w:left w:val="nil"/>
              <w:bottom w:val="nil"/>
              <w:right w:val="nil"/>
            </w:tcBorders>
            <w:shd w:val="clear" w:color="000000" w:fill="FFFFFF"/>
            <w:noWrap/>
            <w:vAlign w:val="center"/>
            <w:hideMark/>
          </w:tcPr>
          <w:p w14:paraId="2CA31E34" w14:textId="77777777" w:rsidR="00711589" w:rsidRPr="00711589" w:rsidRDefault="00711589" w:rsidP="00711589">
            <w:pPr>
              <w:spacing w:before="0" w:after="0" w:line="240" w:lineRule="auto"/>
              <w:ind w:firstLineChars="100" w:firstLine="161"/>
              <w:rPr>
                <w:rFonts w:ascii="Arial" w:hAnsi="Arial" w:cs="Arial"/>
                <w:b/>
                <w:bCs/>
                <w:color w:val="000000"/>
                <w:sz w:val="16"/>
                <w:szCs w:val="16"/>
              </w:rPr>
            </w:pPr>
            <w:r w:rsidRPr="00711589">
              <w:rPr>
                <w:rFonts w:ascii="Arial" w:hAnsi="Arial" w:cs="Arial"/>
                <w:b/>
                <w:bCs/>
                <w:color w:val="000000"/>
                <w:sz w:val="16"/>
                <w:szCs w:val="16"/>
              </w:rPr>
              <w:t>investment ($m)</w:t>
            </w:r>
          </w:p>
        </w:tc>
        <w:tc>
          <w:tcPr>
            <w:tcW w:w="884" w:type="dxa"/>
            <w:tcBorders>
              <w:top w:val="nil"/>
              <w:left w:val="nil"/>
              <w:bottom w:val="nil"/>
              <w:right w:val="nil"/>
            </w:tcBorders>
            <w:shd w:val="clear" w:color="000000" w:fill="FFFFFF"/>
            <w:noWrap/>
            <w:vAlign w:val="center"/>
            <w:hideMark/>
          </w:tcPr>
          <w:p w14:paraId="08CA78E7" w14:textId="77777777" w:rsidR="00711589" w:rsidRPr="00711589" w:rsidRDefault="00711589" w:rsidP="00711589">
            <w:pPr>
              <w:spacing w:before="0" w:after="0" w:line="240" w:lineRule="auto"/>
              <w:jc w:val="right"/>
              <w:rPr>
                <w:rFonts w:ascii="Arial" w:hAnsi="Arial" w:cs="Arial"/>
                <w:b/>
                <w:bCs/>
                <w:sz w:val="16"/>
                <w:szCs w:val="16"/>
              </w:rPr>
            </w:pPr>
            <w:r w:rsidRPr="00711589">
              <w:rPr>
                <w:rFonts w:ascii="Arial" w:hAnsi="Arial" w:cs="Arial"/>
                <w:b/>
                <w:bCs/>
                <w:sz w:val="16"/>
                <w:szCs w:val="16"/>
              </w:rPr>
              <w:t>8,895</w:t>
            </w:r>
          </w:p>
        </w:tc>
        <w:tc>
          <w:tcPr>
            <w:tcW w:w="884" w:type="dxa"/>
            <w:tcBorders>
              <w:top w:val="nil"/>
              <w:left w:val="nil"/>
              <w:bottom w:val="nil"/>
              <w:right w:val="nil"/>
            </w:tcBorders>
            <w:shd w:val="clear" w:color="000000" w:fill="FFFFFF"/>
            <w:noWrap/>
            <w:vAlign w:val="center"/>
            <w:hideMark/>
          </w:tcPr>
          <w:p w14:paraId="5A8CD862" w14:textId="77777777" w:rsidR="00711589" w:rsidRPr="00711589" w:rsidRDefault="00711589" w:rsidP="00711589">
            <w:pPr>
              <w:spacing w:before="0" w:after="0" w:line="240" w:lineRule="auto"/>
              <w:jc w:val="right"/>
              <w:rPr>
                <w:rFonts w:ascii="Arial" w:hAnsi="Arial" w:cs="Arial"/>
                <w:b/>
                <w:bCs/>
                <w:sz w:val="16"/>
                <w:szCs w:val="16"/>
              </w:rPr>
            </w:pPr>
            <w:r w:rsidRPr="00711589">
              <w:rPr>
                <w:rFonts w:ascii="Arial" w:hAnsi="Arial" w:cs="Arial"/>
                <w:b/>
                <w:bCs/>
                <w:sz w:val="16"/>
                <w:szCs w:val="16"/>
              </w:rPr>
              <w:t>7,754</w:t>
            </w:r>
          </w:p>
        </w:tc>
        <w:tc>
          <w:tcPr>
            <w:tcW w:w="68" w:type="dxa"/>
            <w:tcBorders>
              <w:top w:val="nil"/>
              <w:left w:val="nil"/>
              <w:bottom w:val="nil"/>
              <w:right w:val="nil"/>
            </w:tcBorders>
            <w:shd w:val="clear" w:color="000000" w:fill="FFFFFF"/>
            <w:noWrap/>
            <w:vAlign w:val="center"/>
            <w:hideMark/>
          </w:tcPr>
          <w:p w14:paraId="685616B8" w14:textId="77777777" w:rsidR="00711589" w:rsidRPr="00711589" w:rsidRDefault="00711589" w:rsidP="00711589">
            <w:pPr>
              <w:spacing w:before="0" w:after="0" w:line="240" w:lineRule="auto"/>
              <w:rPr>
                <w:rFonts w:ascii="Arial" w:hAnsi="Arial" w:cs="Arial"/>
                <w:b/>
                <w:bCs/>
                <w:sz w:val="16"/>
                <w:szCs w:val="16"/>
              </w:rPr>
            </w:pPr>
            <w:r w:rsidRPr="00711589">
              <w:rPr>
                <w:rFonts w:ascii="Arial" w:hAnsi="Arial" w:cs="Arial"/>
                <w:b/>
                <w:bCs/>
                <w:sz w:val="16"/>
                <w:szCs w:val="16"/>
              </w:rPr>
              <w:t> </w:t>
            </w:r>
          </w:p>
        </w:tc>
        <w:tc>
          <w:tcPr>
            <w:tcW w:w="884" w:type="dxa"/>
            <w:tcBorders>
              <w:top w:val="nil"/>
              <w:left w:val="nil"/>
              <w:bottom w:val="nil"/>
              <w:right w:val="nil"/>
            </w:tcBorders>
            <w:shd w:val="clear" w:color="000000" w:fill="E6F2FF"/>
            <w:noWrap/>
            <w:vAlign w:val="center"/>
            <w:hideMark/>
          </w:tcPr>
          <w:p w14:paraId="49B278FE" w14:textId="77777777" w:rsidR="00711589" w:rsidRPr="00711589" w:rsidRDefault="00711589" w:rsidP="00711589">
            <w:pPr>
              <w:spacing w:before="0" w:after="0" w:line="240" w:lineRule="auto"/>
              <w:jc w:val="right"/>
              <w:rPr>
                <w:rFonts w:ascii="Arial" w:hAnsi="Arial" w:cs="Arial"/>
                <w:b/>
                <w:bCs/>
                <w:color w:val="000000"/>
                <w:sz w:val="16"/>
                <w:szCs w:val="16"/>
              </w:rPr>
            </w:pPr>
            <w:r w:rsidRPr="00711589">
              <w:rPr>
                <w:rFonts w:ascii="Arial" w:hAnsi="Arial" w:cs="Arial"/>
                <w:b/>
                <w:bCs/>
                <w:color w:val="000000"/>
                <w:sz w:val="16"/>
                <w:szCs w:val="16"/>
              </w:rPr>
              <w:t>6,303</w:t>
            </w:r>
          </w:p>
        </w:tc>
        <w:tc>
          <w:tcPr>
            <w:tcW w:w="884" w:type="dxa"/>
            <w:tcBorders>
              <w:top w:val="nil"/>
              <w:left w:val="nil"/>
              <w:bottom w:val="nil"/>
              <w:right w:val="nil"/>
            </w:tcBorders>
            <w:shd w:val="clear" w:color="000000" w:fill="FFFFFF"/>
            <w:noWrap/>
            <w:vAlign w:val="center"/>
            <w:hideMark/>
          </w:tcPr>
          <w:p w14:paraId="5ED8948B" w14:textId="77777777" w:rsidR="00711589" w:rsidRPr="00711589" w:rsidRDefault="00711589" w:rsidP="00711589">
            <w:pPr>
              <w:spacing w:before="0" w:after="0" w:line="240" w:lineRule="auto"/>
              <w:jc w:val="right"/>
              <w:rPr>
                <w:rFonts w:ascii="Arial" w:hAnsi="Arial" w:cs="Arial"/>
                <w:b/>
                <w:bCs/>
                <w:color w:val="000000"/>
                <w:sz w:val="16"/>
                <w:szCs w:val="16"/>
              </w:rPr>
            </w:pPr>
            <w:r w:rsidRPr="00711589">
              <w:rPr>
                <w:rFonts w:ascii="Arial" w:hAnsi="Arial" w:cs="Arial"/>
                <w:b/>
                <w:bCs/>
                <w:color w:val="000000"/>
                <w:sz w:val="16"/>
                <w:szCs w:val="16"/>
              </w:rPr>
              <w:t>8,055</w:t>
            </w:r>
          </w:p>
        </w:tc>
        <w:tc>
          <w:tcPr>
            <w:tcW w:w="884" w:type="dxa"/>
            <w:tcBorders>
              <w:top w:val="nil"/>
              <w:left w:val="nil"/>
              <w:bottom w:val="nil"/>
              <w:right w:val="nil"/>
            </w:tcBorders>
            <w:shd w:val="clear" w:color="000000" w:fill="FFFFFF"/>
            <w:noWrap/>
            <w:vAlign w:val="center"/>
            <w:hideMark/>
          </w:tcPr>
          <w:p w14:paraId="35C78465" w14:textId="77777777" w:rsidR="00711589" w:rsidRPr="00711589" w:rsidRDefault="00711589" w:rsidP="00711589">
            <w:pPr>
              <w:spacing w:before="0" w:after="0" w:line="240" w:lineRule="auto"/>
              <w:jc w:val="right"/>
              <w:rPr>
                <w:rFonts w:ascii="Arial" w:hAnsi="Arial" w:cs="Arial"/>
                <w:b/>
                <w:bCs/>
                <w:color w:val="000000"/>
                <w:sz w:val="16"/>
                <w:szCs w:val="16"/>
              </w:rPr>
            </w:pPr>
            <w:r w:rsidRPr="00711589">
              <w:rPr>
                <w:rFonts w:ascii="Arial" w:hAnsi="Arial" w:cs="Arial"/>
                <w:b/>
                <w:bCs/>
                <w:color w:val="000000"/>
                <w:sz w:val="16"/>
                <w:szCs w:val="16"/>
              </w:rPr>
              <w:t>8,988</w:t>
            </w:r>
          </w:p>
        </w:tc>
        <w:tc>
          <w:tcPr>
            <w:tcW w:w="884" w:type="dxa"/>
            <w:tcBorders>
              <w:top w:val="nil"/>
              <w:left w:val="nil"/>
              <w:bottom w:val="nil"/>
              <w:right w:val="nil"/>
            </w:tcBorders>
            <w:shd w:val="clear" w:color="000000" w:fill="FFFFFF"/>
            <w:noWrap/>
            <w:vAlign w:val="center"/>
            <w:hideMark/>
          </w:tcPr>
          <w:p w14:paraId="422EDFBF" w14:textId="77777777" w:rsidR="00711589" w:rsidRPr="00711589" w:rsidRDefault="00711589" w:rsidP="00711589">
            <w:pPr>
              <w:spacing w:before="0" w:after="0" w:line="240" w:lineRule="auto"/>
              <w:jc w:val="right"/>
              <w:rPr>
                <w:rFonts w:ascii="Arial" w:hAnsi="Arial" w:cs="Arial"/>
                <w:b/>
                <w:bCs/>
                <w:color w:val="000000"/>
                <w:sz w:val="16"/>
                <w:szCs w:val="16"/>
              </w:rPr>
            </w:pPr>
            <w:r w:rsidRPr="00711589">
              <w:rPr>
                <w:rFonts w:ascii="Arial" w:hAnsi="Arial" w:cs="Arial"/>
                <w:b/>
                <w:bCs/>
                <w:color w:val="000000"/>
                <w:sz w:val="16"/>
                <w:szCs w:val="16"/>
              </w:rPr>
              <w:t>11,899</w:t>
            </w:r>
          </w:p>
        </w:tc>
      </w:tr>
      <w:tr w:rsidR="00711589" w:rsidRPr="00711589" w14:paraId="4C072964" w14:textId="77777777" w:rsidTr="00711589">
        <w:trPr>
          <w:trHeight w:val="225"/>
        </w:trPr>
        <w:tc>
          <w:tcPr>
            <w:tcW w:w="2288" w:type="dxa"/>
            <w:tcBorders>
              <w:top w:val="nil"/>
              <w:left w:val="nil"/>
              <w:bottom w:val="single" w:sz="4" w:space="0" w:color="293F5B"/>
              <w:right w:val="nil"/>
            </w:tcBorders>
            <w:shd w:val="clear" w:color="000000" w:fill="FFFFFF"/>
            <w:noWrap/>
            <w:vAlign w:val="center"/>
            <w:hideMark/>
          </w:tcPr>
          <w:p w14:paraId="141F2826" w14:textId="77777777" w:rsidR="00711589" w:rsidRPr="00711589" w:rsidRDefault="00711589" w:rsidP="00711589">
            <w:pPr>
              <w:spacing w:before="0" w:after="0" w:line="240" w:lineRule="auto"/>
              <w:rPr>
                <w:rFonts w:ascii="Arial" w:hAnsi="Arial" w:cs="Arial"/>
                <w:sz w:val="16"/>
                <w:szCs w:val="16"/>
              </w:rPr>
            </w:pPr>
            <w:r w:rsidRPr="00711589">
              <w:rPr>
                <w:rFonts w:ascii="Arial" w:hAnsi="Arial" w:cs="Arial"/>
                <w:sz w:val="16"/>
                <w:szCs w:val="16"/>
              </w:rPr>
              <w:t>Per cent of GDP</w:t>
            </w:r>
          </w:p>
        </w:tc>
        <w:tc>
          <w:tcPr>
            <w:tcW w:w="884" w:type="dxa"/>
            <w:tcBorders>
              <w:top w:val="nil"/>
              <w:left w:val="nil"/>
              <w:bottom w:val="single" w:sz="4" w:space="0" w:color="293F5B"/>
              <w:right w:val="nil"/>
            </w:tcBorders>
            <w:shd w:val="clear" w:color="000000" w:fill="FFFFFF"/>
            <w:noWrap/>
            <w:vAlign w:val="center"/>
            <w:hideMark/>
          </w:tcPr>
          <w:p w14:paraId="0A5400D7" w14:textId="77777777" w:rsidR="00711589" w:rsidRPr="00711589" w:rsidRDefault="00711589" w:rsidP="00711589">
            <w:pPr>
              <w:spacing w:before="0" w:after="0" w:line="240" w:lineRule="auto"/>
              <w:jc w:val="right"/>
              <w:rPr>
                <w:rFonts w:ascii="Arial" w:hAnsi="Arial" w:cs="Arial"/>
                <w:sz w:val="16"/>
                <w:szCs w:val="16"/>
              </w:rPr>
            </w:pPr>
            <w:r w:rsidRPr="00711589">
              <w:rPr>
                <w:rFonts w:ascii="Arial" w:hAnsi="Arial" w:cs="Arial"/>
                <w:sz w:val="16"/>
                <w:szCs w:val="16"/>
              </w:rPr>
              <w:t>0.3</w:t>
            </w:r>
          </w:p>
        </w:tc>
        <w:tc>
          <w:tcPr>
            <w:tcW w:w="884" w:type="dxa"/>
            <w:tcBorders>
              <w:top w:val="nil"/>
              <w:left w:val="nil"/>
              <w:bottom w:val="single" w:sz="4" w:space="0" w:color="293F5B"/>
              <w:right w:val="nil"/>
            </w:tcBorders>
            <w:shd w:val="clear" w:color="000000" w:fill="FFFFFF"/>
            <w:noWrap/>
            <w:vAlign w:val="center"/>
            <w:hideMark/>
          </w:tcPr>
          <w:p w14:paraId="53B0F313" w14:textId="77777777" w:rsidR="00711589" w:rsidRPr="00711589" w:rsidRDefault="00711589" w:rsidP="00711589">
            <w:pPr>
              <w:spacing w:before="0" w:after="0" w:line="240" w:lineRule="auto"/>
              <w:jc w:val="right"/>
              <w:rPr>
                <w:rFonts w:ascii="Arial" w:hAnsi="Arial" w:cs="Arial"/>
                <w:sz w:val="16"/>
                <w:szCs w:val="16"/>
              </w:rPr>
            </w:pPr>
            <w:r w:rsidRPr="00711589">
              <w:rPr>
                <w:rFonts w:ascii="Arial" w:hAnsi="Arial" w:cs="Arial"/>
                <w:sz w:val="16"/>
                <w:szCs w:val="16"/>
              </w:rPr>
              <w:t>0.3</w:t>
            </w:r>
          </w:p>
        </w:tc>
        <w:tc>
          <w:tcPr>
            <w:tcW w:w="68" w:type="dxa"/>
            <w:tcBorders>
              <w:top w:val="nil"/>
              <w:left w:val="nil"/>
              <w:bottom w:val="single" w:sz="4" w:space="0" w:color="293F5B"/>
              <w:right w:val="nil"/>
            </w:tcBorders>
            <w:shd w:val="clear" w:color="000000" w:fill="FFFFFF"/>
            <w:noWrap/>
            <w:vAlign w:val="center"/>
            <w:hideMark/>
          </w:tcPr>
          <w:p w14:paraId="4669F7DE" w14:textId="77777777" w:rsidR="00711589" w:rsidRPr="00711589" w:rsidRDefault="00711589" w:rsidP="00711589">
            <w:pPr>
              <w:spacing w:before="0" w:after="0" w:line="240" w:lineRule="auto"/>
              <w:rPr>
                <w:rFonts w:ascii="Arial" w:hAnsi="Arial" w:cs="Arial"/>
                <w:sz w:val="16"/>
                <w:szCs w:val="16"/>
              </w:rPr>
            </w:pPr>
            <w:r w:rsidRPr="00711589">
              <w:rPr>
                <w:rFonts w:ascii="Arial" w:hAnsi="Arial" w:cs="Arial"/>
                <w:sz w:val="16"/>
                <w:szCs w:val="16"/>
              </w:rPr>
              <w:t> </w:t>
            </w:r>
          </w:p>
        </w:tc>
        <w:tc>
          <w:tcPr>
            <w:tcW w:w="884" w:type="dxa"/>
            <w:tcBorders>
              <w:top w:val="nil"/>
              <w:left w:val="nil"/>
              <w:bottom w:val="single" w:sz="4" w:space="0" w:color="293F5B"/>
              <w:right w:val="nil"/>
            </w:tcBorders>
            <w:shd w:val="clear" w:color="000000" w:fill="E6F2FF"/>
            <w:noWrap/>
            <w:vAlign w:val="center"/>
            <w:hideMark/>
          </w:tcPr>
          <w:p w14:paraId="6A56E2ED" w14:textId="77777777" w:rsidR="00711589" w:rsidRPr="00711589" w:rsidRDefault="00711589" w:rsidP="00711589">
            <w:pPr>
              <w:spacing w:before="0" w:after="0" w:line="240" w:lineRule="auto"/>
              <w:jc w:val="right"/>
              <w:rPr>
                <w:rFonts w:ascii="Arial" w:hAnsi="Arial" w:cs="Arial"/>
                <w:sz w:val="16"/>
                <w:szCs w:val="16"/>
              </w:rPr>
            </w:pPr>
            <w:r w:rsidRPr="00711589">
              <w:rPr>
                <w:rFonts w:ascii="Arial" w:hAnsi="Arial" w:cs="Arial"/>
                <w:sz w:val="16"/>
                <w:szCs w:val="16"/>
              </w:rPr>
              <w:t>0.2</w:t>
            </w:r>
          </w:p>
        </w:tc>
        <w:tc>
          <w:tcPr>
            <w:tcW w:w="884" w:type="dxa"/>
            <w:tcBorders>
              <w:top w:val="nil"/>
              <w:left w:val="nil"/>
              <w:bottom w:val="single" w:sz="4" w:space="0" w:color="293F5B"/>
              <w:right w:val="nil"/>
            </w:tcBorders>
            <w:shd w:val="clear" w:color="000000" w:fill="FFFFFF"/>
            <w:noWrap/>
            <w:vAlign w:val="center"/>
            <w:hideMark/>
          </w:tcPr>
          <w:p w14:paraId="224C91CA" w14:textId="77777777" w:rsidR="00711589" w:rsidRPr="00711589" w:rsidRDefault="00711589" w:rsidP="00711589">
            <w:pPr>
              <w:spacing w:before="0" w:after="0" w:line="240" w:lineRule="auto"/>
              <w:jc w:val="right"/>
              <w:rPr>
                <w:rFonts w:ascii="Arial" w:hAnsi="Arial" w:cs="Arial"/>
                <w:sz w:val="16"/>
                <w:szCs w:val="16"/>
              </w:rPr>
            </w:pPr>
            <w:r w:rsidRPr="00711589">
              <w:rPr>
                <w:rFonts w:ascii="Arial" w:hAnsi="Arial" w:cs="Arial"/>
                <w:sz w:val="16"/>
                <w:szCs w:val="16"/>
              </w:rPr>
              <w:t>0.3</w:t>
            </w:r>
          </w:p>
        </w:tc>
        <w:tc>
          <w:tcPr>
            <w:tcW w:w="884" w:type="dxa"/>
            <w:tcBorders>
              <w:top w:val="nil"/>
              <w:left w:val="nil"/>
              <w:bottom w:val="single" w:sz="4" w:space="0" w:color="293F5B"/>
              <w:right w:val="nil"/>
            </w:tcBorders>
            <w:shd w:val="clear" w:color="000000" w:fill="FFFFFF"/>
            <w:noWrap/>
            <w:vAlign w:val="center"/>
            <w:hideMark/>
          </w:tcPr>
          <w:p w14:paraId="6E81B73D" w14:textId="77777777" w:rsidR="00711589" w:rsidRPr="00711589" w:rsidRDefault="00711589" w:rsidP="00711589">
            <w:pPr>
              <w:spacing w:before="0" w:after="0" w:line="240" w:lineRule="auto"/>
              <w:jc w:val="right"/>
              <w:rPr>
                <w:rFonts w:ascii="Arial" w:hAnsi="Arial" w:cs="Arial"/>
                <w:sz w:val="16"/>
                <w:szCs w:val="16"/>
              </w:rPr>
            </w:pPr>
            <w:r w:rsidRPr="00711589">
              <w:rPr>
                <w:rFonts w:ascii="Arial" w:hAnsi="Arial" w:cs="Arial"/>
                <w:sz w:val="16"/>
                <w:szCs w:val="16"/>
              </w:rPr>
              <w:t>0.3</w:t>
            </w:r>
          </w:p>
        </w:tc>
        <w:tc>
          <w:tcPr>
            <w:tcW w:w="884" w:type="dxa"/>
            <w:tcBorders>
              <w:top w:val="nil"/>
              <w:left w:val="nil"/>
              <w:bottom w:val="single" w:sz="4" w:space="0" w:color="293F5B"/>
              <w:right w:val="nil"/>
            </w:tcBorders>
            <w:shd w:val="clear" w:color="000000" w:fill="FFFFFF"/>
            <w:noWrap/>
            <w:vAlign w:val="center"/>
            <w:hideMark/>
          </w:tcPr>
          <w:p w14:paraId="015F9C98" w14:textId="77777777" w:rsidR="00711589" w:rsidRPr="00711589" w:rsidRDefault="00711589" w:rsidP="00711589">
            <w:pPr>
              <w:spacing w:before="0" w:after="0" w:line="240" w:lineRule="auto"/>
              <w:jc w:val="right"/>
              <w:rPr>
                <w:rFonts w:ascii="Arial" w:hAnsi="Arial" w:cs="Arial"/>
                <w:sz w:val="16"/>
                <w:szCs w:val="16"/>
              </w:rPr>
            </w:pPr>
            <w:r w:rsidRPr="00711589">
              <w:rPr>
                <w:rFonts w:ascii="Arial" w:hAnsi="Arial" w:cs="Arial"/>
                <w:sz w:val="16"/>
                <w:szCs w:val="16"/>
              </w:rPr>
              <w:t>0.4</w:t>
            </w:r>
          </w:p>
        </w:tc>
      </w:tr>
    </w:tbl>
    <w:p w14:paraId="7E91C9E0" w14:textId="67C86FAD" w:rsidR="00062DFA" w:rsidRDefault="00062DFA" w:rsidP="00E22CF3">
      <w:pPr>
        <w:rPr>
          <w:rFonts w:eastAsiaTheme="minorHAnsi"/>
        </w:rPr>
      </w:pPr>
      <w:bookmarkStart w:id="192" w:name="_Toc99203695"/>
      <w:bookmarkStart w:id="193" w:name="_Toc117358188"/>
      <w:bookmarkEnd w:id="182"/>
      <w:bookmarkEnd w:id="183"/>
      <w:bookmarkEnd w:id="184"/>
      <w:bookmarkEnd w:id="185"/>
      <w:bookmarkEnd w:id="186"/>
      <w:bookmarkEnd w:id="187"/>
      <w:bookmarkEnd w:id="188"/>
    </w:p>
    <w:p w14:paraId="5B8113C1" w14:textId="77777777" w:rsidR="00062DFA" w:rsidRDefault="00062DFA">
      <w:pPr>
        <w:spacing w:before="0" w:after="160" w:line="259" w:lineRule="auto"/>
        <w:rPr>
          <w:rFonts w:ascii="Arial Bold" w:eastAsiaTheme="minorHAnsi" w:hAnsi="Arial Bold"/>
          <w:b/>
          <w:sz w:val="22"/>
        </w:rPr>
      </w:pPr>
      <w:r>
        <w:rPr>
          <w:rFonts w:eastAsiaTheme="minorHAnsi"/>
        </w:rPr>
        <w:br w:type="page"/>
      </w:r>
    </w:p>
    <w:p w14:paraId="06B84688" w14:textId="39FA89B1" w:rsidR="004C4B96" w:rsidRPr="000177D7" w:rsidRDefault="004C4B96" w:rsidP="004C4B96">
      <w:pPr>
        <w:pStyle w:val="Heading3"/>
      </w:pPr>
      <w:bookmarkStart w:id="194" w:name="_Toc166369433"/>
      <w:r w:rsidRPr="000177D7">
        <w:lastRenderedPageBreak/>
        <w:t xml:space="preserve">Reconciliation of net capital investment since the </w:t>
      </w:r>
      <w:r>
        <w:t>2023</w:t>
      </w:r>
      <w:r w:rsidR="00141218">
        <w:t>–</w:t>
      </w:r>
      <w:r>
        <w:t xml:space="preserve">24 </w:t>
      </w:r>
      <w:r w:rsidR="00B9094D">
        <w:t>Budget</w:t>
      </w:r>
      <w:bookmarkEnd w:id="194"/>
    </w:p>
    <w:p w14:paraId="66767A43" w14:textId="177258AC" w:rsidR="004C4B96" w:rsidRPr="000177D7" w:rsidRDefault="004C4B96" w:rsidP="004C4B96">
      <w:r w:rsidRPr="000177D7">
        <w:t xml:space="preserve">A reconciliation of the net capital investment estimates, showing the effect of policy decisions and parameter and other variations since the </w:t>
      </w:r>
      <w:r>
        <w:t xml:space="preserve">2023–24 </w:t>
      </w:r>
      <w:r w:rsidR="00B9094D">
        <w:t>Budget</w:t>
      </w:r>
      <w:r w:rsidRPr="000177D7">
        <w:t xml:space="preserve">, is provided in </w:t>
      </w:r>
      <w:r>
        <w:t>Table </w:t>
      </w:r>
      <w:r w:rsidRPr="000177D7">
        <w:t>6.19.</w:t>
      </w:r>
    </w:p>
    <w:p w14:paraId="105A4335" w14:textId="103F4F0D" w:rsidR="00D77000" w:rsidRDefault="004C4B96" w:rsidP="00D77000">
      <w:pPr>
        <w:pStyle w:val="TableHeading"/>
        <w:rPr>
          <w:rFonts w:asciiTheme="minorHAnsi" w:eastAsiaTheme="minorHAnsi" w:hAnsiTheme="minorHAnsi" w:cstheme="minorBidi"/>
          <w:sz w:val="22"/>
          <w:szCs w:val="22"/>
          <w:lang w:eastAsia="en-US"/>
        </w:rPr>
      </w:pPr>
      <w:r>
        <w:t>Table </w:t>
      </w:r>
      <w:r w:rsidRPr="000177D7">
        <w:t xml:space="preserve">6.19: Reconciliation of net capital investment </w:t>
      </w:r>
      <w:r w:rsidRPr="007C7AA6">
        <w:t>estimate</w:t>
      </w:r>
      <w:bookmarkStart w:id="195" w:name="_1727774397"/>
      <w:bookmarkStart w:id="196" w:name="_1776945270"/>
      <w:bookmarkEnd w:id="195"/>
      <w:bookmarkEnd w:id="196"/>
    </w:p>
    <w:tbl>
      <w:tblPr>
        <w:tblW w:w="5000" w:type="pct"/>
        <w:tblCellMar>
          <w:left w:w="0" w:type="dxa"/>
          <w:right w:w="28" w:type="dxa"/>
        </w:tblCellMar>
        <w:tblLook w:val="04A0" w:firstRow="1" w:lastRow="0" w:firstColumn="1" w:lastColumn="0" w:noHBand="0" w:noVBand="1"/>
      </w:tblPr>
      <w:tblGrid>
        <w:gridCol w:w="3987"/>
        <w:gridCol w:w="725"/>
        <w:gridCol w:w="725"/>
        <w:gridCol w:w="725"/>
        <w:gridCol w:w="726"/>
        <w:gridCol w:w="103"/>
        <w:gridCol w:w="719"/>
      </w:tblGrid>
      <w:tr w:rsidR="00D77000" w:rsidRPr="00D77000" w14:paraId="408446AD" w14:textId="77777777" w:rsidTr="00236E34">
        <w:trPr>
          <w:trHeight w:hRule="exact" w:val="225"/>
        </w:trPr>
        <w:tc>
          <w:tcPr>
            <w:tcW w:w="2586" w:type="pct"/>
            <w:tcBorders>
              <w:top w:val="single" w:sz="4" w:space="0" w:color="293F5B"/>
              <w:left w:val="nil"/>
              <w:bottom w:val="nil"/>
              <w:right w:val="nil"/>
            </w:tcBorders>
            <w:shd w:val="clear" w:color="000000" w:fill="FFFFFF"/>
            <w:noWrap/>
            <w:vAlign w:val="center"/>
            <w:hideMark/>
          </w:tcPr>
          <w:p w14:paraId="607A413D" w14:textId="17B18579" w:rsidR="00D77000" w:rsidRPr="00D77000" w:rsidRDefault="00D77000" w:rsidP="00D77000">
            <w:pPr>
              <w:spacing w:before="0" w:after="0" w:line="240" w:lineRule="auto"/>
              <w:rPr>
                <w:rFonts w:ascii="Arial" w:hAnsi="Arial" w:cs="Arial"/>
                <w:sz w:val="16"/>
                <w:szCs w:val="16"/>
              </w:rPr>
            </w:pPr>
            <w:r w:rsidRPr="00D77000">
              <w:rPr>
                <w:rFonts w:ascii="Arial" w:hAnsi="Arial" w:cs="Arial"/>
                <w:sz w:val="16"/>
                <w:szCs w:val="16"/>
              </w:rPr>
              <w:t> </w:t>
            </w:r>
          </w:p>
        </w:tc>
        <w:tc>
          <w:tcPr>
            <w:tcW w:w="1881" w:type="pct"/>
            <w:gridSpan w:val="4"/>
            <w:tcBorders>
              <w:top w:val="single" w:sz="4" w:space="0" w:color="293F5B"/>
              <w:left w:val="nil"/>
              <w:bottom w:val="single" w:sz="4" w:space="0" w:color="293F5B"/>
              <w:right w:val="nil"/>
            </w:tcBorders>
            <w:shd w:val="clear" w:color="000000" w:fill="FFFFFF"/>
            <w:noWrap/>
            <w:vAlign w:val="center"/>
            <w:hideMark/>
          </w:tcPr>
          <w:p w14:paraId="4D25A26B" w14:textId="77777777" w:rsidR="00D77000" w:rsidRPr="00D77000" w:rsidRDefault="00D77000" w:rsidP="00D77000">
            <w:pPr>
              <w:spacing w:before="0" w:after="0" w:line="240" w:lineRule="auto"/>
              <w:jc w:val="center"/>
              <w:rPr>
                <w:rFonts w:ascii="Arial" w:hAnsi="Arial" w:cs="Arial"/>
                <w:sz w:val="16"/>
                <w:szCs w:val="16"/>
              </w:rPr>
            </w:pPr>
            <w:r w:rsidRPr="00D77000">
              <w:rPr>
                <w:rFonts w:ascii="Arial" w:hAnsi="Arial" w:cs="Arial"/>
                <w:sz w:val="16"/>
                <w:szCs w:val="16"/>
              </w:rPr>
              <w:t>Estimates</w:t>
            </w:r>
          </w:p>
        </w:tc>
        <w:tc>
          <w:tcPr>
            <w:tcW w:w="67" w:type="pct"/>
            <w:tcBorders>
              <w:top w:val="single" w:sz="4" w:space="0" w:color="293F5B"/>
              <w:left w:val="nil"/>
              <w:bottom w:val="nil"/>
              <w:right w:val="nil"/>
            </w:tcBorders>
            <w:shd w:val="clear" w:color="000000" w:fill="FFFFFF"/>
            <w:noWrap/>
            <w:vAlign w:val="center"/>
            <w:hideMark/>
          </w:tcPr>
          <w:p w14:paraId="37D4B3DF" w14:textId="77777777" w:rsidR="00D77000" w:rsidRPr="00D77000" w:rsidRDefault="00D77000" w:rsidP="00D77000">
            <w:pPr>
              <w:spacing w:before="0" w:after="0" w:line="240" w:lineRule="auto"/>
              <w:rPr>
                <w:rFonts w:ascii="Arial" w:hAnsi="Arial" w:cs="Arial"/>
                <w:sz w:val="16"/>
                <w:szCs w:val="16"/>
              </w:rPr>
            </w:pPr>
            <w:r w:rsidRPr="00D77000">
              <w:rPr>
                <w:rFonts w:ascii="Arial" w:hAnsi="Arial" w:cs="Arial"/>
                <w:sz w:val="16"/>
                <w:szCs w:val="16"/>
              </w:rPr>
              <w:t> </w:t>
            </w:r>
          </w:p>
        </w:tc>
        <w:tc>
          <w:tcPr>
            <w:tcW w:w="466" w:type="pct"/>
            <w:tcBorders>
              <w:top w:val="single" w:sz="4" w:space="0" w:color="293F5B"/>
              <w:left w:val="nil"/>
              <w:bottom w:val="single" w:sz="4" w:space="0" w:color="293F5B"/>
              <w:right w:val="nil"/>
            </w:tcBorders>
            <w:shd w:val="clear" w:color="000000" w:fill="FFFFFF"/>
            <w:noWrap/>
            <w:vAlign w:val="center"/>
            <w:hideMark/>
          </w:tcPr>
          <w:p w14:paraId="7605330C" w14:textId="77777777" w:rsidR="00D77000" w:rsidRPr="00D77000" w:rsidRDefault="00D77000" w:rsidP="00D77000">
            <w:pPr>
              <w:spacing w:before="0" w:after="0" w:line="240" w:lineRule="auto"/>
              <w:rPr>
                <w:rFonts w:ascii="Arial" w:hAnsi="Arial" w:cs="Arial"/>
                <w:sz w:val="16"/>
                <w:szCs w:val="16"/>
              </w:rPr>
            </w:pPr>
            <w:r w:rsidRPr="00D77000">
              <w:rPr>
                <w:rFonts w:ascii="Arial" w:hAnsi="Arial" w:cs="Arial"/>
                <w:sz w:val="16"/>
                <w:szCs w:val="16"/>
              </w:rPr>
              <w:t> </w:t>
            </w:r>
          </w:p>
        </w:tc>
      </w:tr>
      <w:tr w:rsidR="00D77000" w:rsidRPr="00D77000" w14:paraId="117A30B1" w14:textId="77777777" w:rsidTr="00D77000">
        <w:trPr>
          <w:trHeight w:hRule="exact" w:val="225"/>
        </w:trPr>
        <w:tc>
          <w:tcPr>
            <w:tcW w:w="2586" w:type="pct"/>
            <w:tcBorders>
              <w:top w:val="nil"/>
              <w:left w:val="nil"/>
              <w:bottom w:val="nil"/>
              <w:right w:val="nil"/>
            </w:tcBorders>
            <w:shd w:val="clear" w:color="000000" w:fill="FFFFFF"/>
            <w:noWrap/>
            <w:vAlign w:val="bottom"/>
            <w:hideMark/>
          </w:tcPr>
          <w:p w14:paraId="2D98234E" w14:textId="77777777" w:rsidR="00D77000" w:rsidRPr="00D77000" w:rsidRDefault="00D77000" w:rsidP="00D77000">
            <w:pPr>
              <w:spacing w:before="0" w:after="0" w:line="240" w:lineRule="auto"/>
              <w:rPr>
                <w:rFonts w:ascii="Arial" w:hAnsi="Arial" w:cs="Arial"/>
                <w:sz w:val="16"/>
                <w:szCs w:val="16"/>
              </w:rPr>
            </w:pPr>
            <w:r w:rsidRPr="00D77000">
              <w:rPr>
                <w:rFonts w:ascii="Arial" w:hAnsi="Arial" w:cs="Arial"/>
                <w:sz w:val="16"/>
                <w:szCs w:val="16"/>
              </w:rPr>
              <w:t> </w:t>
            </w:r>
          </w:p>
        </w:tc>
        <w:tc>
          <w:tcPr>
            <w:tcW w:w="470" w:type="pct"/>
            <w:tcBorders>
              <w:top w:val="single" w:sz="4" w:space="0" w:color="293F5B"/>
              <w:left w:val="nil"/>
              <w:bottom w:val="nil"/>
              <w:right w:val="nil"/>
            </w:tcBorders>
            <w:shd w:val="clear" w:color="000000" w:fill="FFFFFF"/>
            <w:noWrap/>
            <w:vAlign w:val="center"/>
            <w:hideMark/>
          </w:tcPr>
          <w:p w14:paraId="408F339D" w14:textId="630C0C62" w:rsidR="00D77000" w:rsidRPr="00D77000" w:rsidRDefault="00D77000" w:rsidP="00D77000">
            <w:pPr>
              <w:spacing w:before="0" w:after="0" w:line="240" w:lineRule="auto"/>
              <w:jc w:val="right"/>
              <w:rPr>
                <w:rFonts w:ascii="Arial" w:hAnsi="Arial" w:cs="Arial"/>
                <w:sz w:val="16"/>
                <w:szCs w:val="16"/>
              </w:rPr>
            </w:pPr>
            <w:r w:rsidRPr="00D77000">
              <w:rPr>
                <w:rFonts w:ascii="Arial" w:hAnsi="Arial" w:cs="Arial"/>
                <w:sz w:val="16"/>
                <w:szCs w:val="16"/>
              </w:rPr>
              <w:t>2023</w:t>
            </w:r>
            <w:r w:rsidR="008D4F6B">
              <w:rPr>
                <w:rFonts w:ascii="Arial" w:hAnsi="Arial" w:cs="Arial"/>
                <w:sz w:val="16"/>
                <w:szCs w:val="16"/>
              </w:rPr>
              <w:noBreakHyphen/>
            </w:r>
            <w:r w:rsidRPr="00D77000">
              <w:rPr>
                <w:rFonts w:ascii="Arial" w:hAnsi="Arial" w:cs="Arial"/>
                <w:sz w:val="16"/>
                <w:szCs w:val="16"/>
              </w:rPr>
              <w:t>24</w:t>
            </w:r>
          </w:p>
        </w:tc>
        <w:tc>
          <w:tcPr>
            <w:tcW w:w="470" w:type="pct"/>
            <w:tcBorders>
              <w:top w:val="single" w:sz="4" w:space="0" w:color="293F5B"/>
              <w:left w:val="nil"/>
              <w:bottom w:val="nil"/>
              <w:right w:val="nil"/>
            </w:tcBorders>
            <w:shd w:val="clear" w:color="000000" w:fill="E6F2FF"/>
            <w:noWrap/>
            <w:vAlign w:val="center"/>
            <w:hideMark/>
          </w:tcPr>
          <w:p w14:paraId="50BBE46D" w14:textId="2AA2F0BF" w:rsidR="00D77000" w:rsidRPr="00D77000" w:rsidRDefault="00D77000" w:rsidP="00D77000">
            <w:pPr>
              <w:spacing w:before="0" w:after="0" w:line="240" w:lineRule="auto"/>
              <w:jc w:val="right"/>
              <w:rPr>
                <w:rFonts w:ascii="Arial" w:hAnsi="Arial" w:cs="Arial"/>
                <w:sz w:val="16"/>
                <w:szCs w:val="16"/>
              </w:rPr>
            </w:pPr>
            <w:r w:rsidRPr="00D77000">
              <w:rPr>
                <w:rFonts w:ascii="Arial" w:hAnsi="Arial" w:cs="Arial"/>
                <w:sz w:val="16"/>
                <w:szCs w:val="16"/>
              </w:rPr>
              <w:t>2024</w:t>
            </w:r>
            <w:r w:rsidR="008D4F6B">
              <w:rPr>
                <w:rFonts w:ascii="Arial" w:hAnsi="Arial" w:cs="Arial"/>
                <w:sz w:val="16"/>
                <w:szCs w:val="16"/>
              </w:rPr>
              <w:noBreakHyphen/>
            </w:r>
            <w:r w:rsidRPr="00D77000">
              <w:rPr>
                <w:rFonts w:ascii="Arial" w:hAnsi="Arial" w:cs="Arial"/>
                <w:sz w:val="16"/>
                <w:szCs w:val="16"/>
              </w:rPr>
              <w:t>25</w:t>
            </w:r>
          </w:p>
        </w:tc>
        <w:tc>
          <w:tcPr>
            <w:tcW w:w="470" w:type="pct"/>
            <w:tcBorders>
              <w:top w:val="single" w:sz="4" w:space="0" w:color="293F5B"/>
              <w:left w:val="nil"/>
              <w:bottom w:val="nil"/>
              <w:right w:val="nil"/>
            </w:tcBorders>
            <w:shd w:val="clear" w:color="000000" w:fill="FFFFFF"/>
            <w:noWrap/>
            <w:vAlign w:val="center"/>
            <w:hideMark/>
          </w:tcPr>
          <w:p w14:paraId="533713FF" w14:textId="73E7E282" w:rsidR="00D77000" w:rsidRPr="00D77000" w:rsidRDefault="00D77000" w:rsidP="00D77000">
            <w:pPr>
              <w:spacing w:before="0" w:after="0" w:line="240" w:lineRule="auto"/>
              <w:jc w:val="right"/>
              <w:rPr>
                <w:rFonts w:ascii="Arial" w:hAnsi="Arial" w:cs="Arial"/>
                <w:sz w:val="16"/>
                <w:szCs w:val="16"/>
              </w:rPr>
            </w:pPr>
            <w:r w:rsidRPr="00D77000">
              <w:rPr>
                <w:rFonts w:ascii="Arial" w:hAnsi="Arial" w:cs="Arial"/>
                <w:sz w:val="16"/>
                <w:szCs w:val="16"/>
              </w:rPr>
              <w:t>2025</w:t>
            </w:r>
            <w:r w:rsidR="008D4F6B">
              <w:rPr>
                <w:rFonts w:ascii="Arial" w:hAnsi="Arial" w:cs="Arial"/>
                <w:sz w:val="16"/>
                <w:szCs w:val="16"/>
              </w:rPr>
              <w:noBreakHyphen/>
            </w:r>
            <w:r w:rsidRPr="00D77000">
              <w:rPr>
                <w:rFonts w:ascii="Arial" w:hAnsi="Arial" w:cs="Arial"/>
                <w:sz w:val="16"/>
                <w:szCs w:val="16"/>
              </w:rPr>
              <w:t>26</w:t>
            </w:r>
          </w:p>
        </w:tc>
        <w:tc>
          <w:tcPr>
            <w:tcW w:w="470" w:type="pct"/>
            <w:tcBorders>
              <w:top w:val="single" w:sz="4" w:space="0" w:color="293F5B"/>
              <w:left w:val="nil"/>
              <w:bottom w:val="nil"/>
              <w:right w:val="nil"/>
            </w:tcBorders>
            <w:shd w:val="clear" w:color="000000" w:fill="FFFFFF"/>
            <w:noWrap/>
            <w:vAlign w:val="center"/>
            <w:hideMark/>
          </w:tcPr>
          <w:p w14:paraId="0306F4C8" w14:textId="1A60FFEA" w:rsidR="00D77000" w:rsidRPr="00D77000" w:rsidRDefault="00D77000" w:rsidP="00D77000">
            <w:pPr>
              <w:spacing w:before="0" w:after="0" w:line="240" w:lineRule="auto"/>
              <w:jc w:val="right"/>
              <w:rPr>
                <w:rFonts w:ascii="Arial" w:hAnsi="Arial" w:cs="Arial"/>
                <w:sz w:val="16"/>
                <w:szCs w:val="16"/>
              </w:rPr>
            </w:pPr>
            <w:r w:rsidRPr="00D77000">
              <w:rPr>
                <w:rFonts w:ascii="Arial" w:hAnsi="Arial" w:cs="Arial"/>
                <w:sz w:val="16"/>
                <w:szCs w:val="16"/>
              </w:rPr>
              <w:t>2026</w:t>
            </w:r>
            <w:r w:rsidR="008D4F6B">
              <w:rPr>
                <w:rFonts w:ascii="Arial" w:hAnsi="Arial" w:cs="Arial"/>
                <w:sz w:val="16"/>
                <w:szCs w:val="16"/>
              </w:rPr>
              <w:noBreakHyphen/>
            </w:r>
            <w:r w:rsidRPr="00D77000">
              <w:rPr>
                <w:rFonts w:ascii="Arial" w:hAnsi="Arial" w:cs="Arial"/>
                <w:sz w:val="16"/>
                <w:szCs w:val="16"/>
              </w:rPr>
              <w:t>27</w:t>
            </w:r>
          </w:p>
        </w:tc>
        <w:tc>
          <w:tcPr>
            <w:tcW w:w="67" w:type="pct"/>
            <w:tcBorders>
              <w:top w:val="nil"/>
              <w:left w:val="nil"/>
              <w:bottom w:val="nil"/>
              <w:right w:val="nil"/>
            </w:tcBorders>
            <w:shd w:val="clear" w:color="000000" w:fill="FFFFFF"/>
            <w:noWrap/>
            <w:vAlign w:val="center"/>
            <w:hideMark/>
          </w:tcPr>
          <w:p w14:paraId="3CE959A6" w14:textId="77777777" w:rsidR="00D77000" w:rsidRPr="00D77000" w:rsidRDefault="00D77000" w:rsidP="00D77000">
            <w:pPr>
              <w:spacing w:before="0" w:after="0" w:line="240" w:lineRule="auto"/>
              <w:jc w:val="right"/>
              <w:rPr>
                <w:rFonts w:ascii="Arial" w:hAnsi="Arial" w:cs="Arial"/>
                <w:sz w:val="16"/>
                <w:szCs w:val="16"/>
              </w:rPr>
            </w:pPr>
            <w:r w:rsidRPr="00D77000">
              <w:rPr>
                <w:rFonts w:ascii="Arial" w:hAnsi="Arial" w:cs="Arial"/>
                <w:sz w:val="16"/>
                <w:szCs w:val="16"/>
              </w:rPr>
              <w:t> </w:t>
            </w:r>
          </w:p>
        </w:tc>
        <w:tc>
          <w:tcPr>
            <w:tcW w:w="466" w:type="pct"/>
            <w:tcBorders>
              <w:top w:val="single" w:sz="4" w:space="0" w:color="293F5B"/>
              <w:left w:val="nil"/>
              <w:bottom w:val="nil"/>
              <w:right w:val="nil"/>
            </w:tcBorders>
            <w:shd w:val="clear" w:color="000000" w:fill="FFFFFF"/>
            <w:noWrap/>
            <w:vAlign w:val="center"/>
            <w:hideMark/>
          </w:tcPr>
          <w:p w14:paraId="5F21099A" w14:textId="77777777" w:rsidR="00D77000" w:rsidRPr="00D77000" w:rsidRDefault="00D77000" w:rsidP="00D77000">
            <w:pPr>
              <w:spacing w:before="0" w:after="0" w:line="240" w:lineRule="auto"/>
              <w:jc w:val="right"/>
              <w:rPr>
                <w:rFonts w:ascii="Arial" w:hAnsi="Arial" w:cs="Arial"/>
                <w:color w:val="000000"/>
                <w:sz w:val="16"/>
                <w:szCs w:val="16"/>
              </w:rPr>
            </w:pPr>
            <w:r w:rsidRPr="00D77000">
              <w:rPr>
                <w:rFonts w:ascii="Arial" w:hAnsi="Arial" w:cs="Arial"/>
                <w:color w:val="000000"/>
                <w:sz w:val="16"/>
                <w:szCs w:val="16"/>
              </w:rPr>
              <w:t>Total</w:t>
            </w:r>
          </w:p>
        </w:tc>
      </w:tr>
      <w:tr w:rsidR="00D77000" w:rsidRPr="00D77000" w14:paraId="3805DE26" w14:textId="77777777" w:rsidTr="00D77000">
        <w:trPr>
          <w:trHeight w:hRule="exact" w:val="225"/>
        </w:trPr>
        <w:tc>
          <w:tcPr>
            <w:tcW w:w="2586" w:type="pct"/>
            <w:tcBorders>
              <w:top w:val="nil"/>
              <w:left w:val="nil"/>
              <w:bottom w:val="nil"/>
              <w:right w:val="nil"/>
            </w:tcBorders>
            <w:shd w:val="clear" w:color="000000" w:fill="FFFFFF"/>
            <w:noWrap/>
            <w:vAlign w:val="center"/>
            <w:hideMark/>
          </w:tcPr>
          <w:p w14:paraId="17AA9E51" w14:textId="77777777" w:rsidR="00D77000" w:rsidRPr="00D77000" w:rsidRDefault="00D77000" w:rsidP="00D77000">
            <w:pPr>
              <w:spacing w:before="0" w:after="0" w:line="240" w:lineRule="auto"/>
              <w:rPr>
                <w:rFonts w:ascii="Arial" w:hAnsi="Arial" w:cs="Arial"/>
                <w:b/>
                <w:bCs/>
                <w:sz w:val="16"/>
                <w:szCs w:val="16"/>
              </w:rPr>
            </w:pPr>
            <w:r w:rsidRPr="00D77000">
              <w:rPr>
                <w:rFonts w:ascii="Arial" w:hAnsi="Arial" w:cs="Arial"/>
                <w:b/>
                <w:bCs/>
                <w:sz w:val="16"/>
                <w:szCs w:val="16"/>
              </w:rPr>
              <w:t> </w:t>
            </w:r>
          </w:p>
        </w:tc>
        <w:tc>
          <w:tcPr>
            <w:tcW w:w="470" w:type="pct"/>
            <w:tcBorders>
              <w:top w:val="nil"/>
              <w:left w:val="nil"/>
              <w:bottom w:val="single" w:sz="4" w:space="0" w:color="293F5B"/>
              <w:right w:val="nil"/>
            </w:tcBorders>
            <w:shd w:val="clear" w:color="000000" w:fill="FFFFFF"/>
            <w:noWrap/>
            <w:vAlign w:val="center"/>
            <w:hideMark/>
          </w:tcPr>
          <w:p w14:paraId="07883CC1" w14:textId="77777777" w:rsidR="00D77000" w:rsidRPr="00D77000" w:rsidRDefault="00D77000" w:rsidP="00D77000">
            <w:pPr>
              <w:spacing w:before="0" w:after="0" w:line="240" w:lineRule="auto"/>
              <w:jc w:val="right"/>
              <w:rPr>
                <w:rFonts w:ascii="Arial" w:hAnsi="Arial" w:cs="Arial"/>
                <w:sz w:val="16"/>
                <w:szCs w:val="16"/>
              </w:rPr>
            </w:pPr>
            <w:r w:rsidRPr="00D77000">
              <w:rPr>
                <w:rFonts w:ascii="Arial" w:hAnsi="Arial" w:cs="Arial"/>
                <w:sz w:val="16"/>
                <w:szCs w:val="16"/>
              </w:rPr>
              <w:t>$m</w:t>
            </w:r>
          </w:p>
        </w:tc>
        <w:tc>
          <w:tcPr>
            <w:tcW w:w="470" w:type="pct"/>
            <w:tcBorders>
              <w:top w:val="nil"/>
              <w:left w:val="nil"/>
              <w:bottom w:val="single" w:sz="4" w:space="0" w:color="293F5B"/>
              <w:right w:val="nil"/>
            </w:tcBorders>
            <w:shd w:val="clear" w:color="000000" w:fill="E6F2FF"/>
            <w:noWrap/>
            <w:vAlign w:val="center"/>
            <w:hideMark/>
          </w:tcPr>
          <w:p w14:paraId="108F7BDA" w14:textId="77777777" w:rsidR="00D77000" w:rsidRPr="00D77000" w:rsidRDefault="00D77000" w:rsidP="00D77000">
            <w:pPr>
              <w:spacing w:before="0" w:after="0" w:line="240" w:lineRule="auto"/>
              <w:jc w:val="right"/>
              <w:rPr>
                <w:rFonts w:ascii="Arial" w:hAnsi="Arial" w:cs="Arial"/>
                <w:sz w:val="16"/>
                <w:szCs w:val="16"/>
              </w:rPr>
            </w:pPr>
            <w:r w:rsidRPr="00D77000">
              <w:rPr>
                <w:rFonts w:ascii="Arial" w:hAnsi="Arial" w:cs="Arial"/>
                <w:sz w:val="16"/>
                <w:szCs w:val="16"/>
              </w:rPr>
              <w:t>$m</w:t>
            </w:r>
          </w:p>
        </w:tc>
        <w:tc>
          <w:tcPr>
            <w:tcW w:w="470" w:type="pct"/>
            <w:tcBorders>
              <w:top w:val="nil"/>
              <w:left w:val="nil"/>
              <w:bottom w:val="single" w:sz="4" w:space="0" w:color="293F5B"/>
              <w:right w:val="nil"/>
            </w:tcBorders>
            <w:shd w:val="clear" w:color="000000" w:fill="FFFFFF"/>
            <w:noWrap/>
            <w:vAlign w:val="center"/>
            <w:hideMark/>
          </w:tcPr>
          <w:p w14:paraId="6B8F1576" w14:textId="77777777" w:rsidR="00D77000" w:rsidRPr="00D77000" w:rsidRDefault="00D77000" w:rsidP="00D77000">
            <w:pPr>
              <w:spacing w:before="0" w:after="0" w:line="240" w:lineRule="auto"/>
              <w:jc w:val="right"/>
              <w:rPr>
                <w:rFonts w:ascii="Arial" w:hAnsi="Arial" w:cs="Arial"/>
                <w:sz w:val="16"/>
                <w:szCs w:val="16"/>
              </w:rPr>
            </w:pPr>
            <w:r w:rsidRPr="00D77000">
              <w:rPr>
                <w:rFonts w:ascii="Arial" w:hAnsi="Arial" w:cs="Arial"/>
                <w:sz w:val="16"/>
                <w:szCs w:val="16"/>
              </w:rPr>
              <w:t>$m</w:t>
            </w:r>
          </w:p>
        </w:tc>
        <w:tc>
          <w:tcPr>
            <w:tcW w:w="470" w:type="pct"/>
            <w:tcBorders>
              <w:top w:val="nil"/>
              <w:left w:val="nil"/>
              <w:bottom w:val="single" w:sz="4" w:space="0" w:color="293F5B"/>
              <w:right w:val="nil"/>
            </w:tcBorders>
            <w:shd w:val="clear" w:color="000000" w:fill="FFFFFF"/>
            <w:noWrap/>
            <w:vAlign w:val="center"/>
            <w:hideMark/>
          </w:tcPr>
          <w:p w14:paraId="6B3743B4" w14:textId="77777777" w:rsidR="00D77000" w:rsidRPr="00D77000" w:rsidRDefault="00D77000" w:rsidP="00D77000">
            <w:pPr>
              <w:spacing w:before="0" w:after="0" w:line="240" w:lineRule="auto"/>
              <w:jc w:val="right"/>
              <w:rPr>
                <w:rFonts w:ascii="Arial" w:hAnsi="Arial" w:cs="Arial"/>
                <w:sz w:val="16"/>
                <w:szCs w:val="16"/>
              </w:rPr>
            </w:pPr>
            <w:r w:rsidRPr="00D77000">
              <w:rPr>
                <w:rFonts w:ascii="Arial" w:hAnsi="Arial" w:cs="Arial"/>
                <w:sz w:val="16"/>
                <w:szCs w:val="16"/>
              </w:rPr>
              <w:t>$m</w:t>
            </w:r>
          </w:p>
        </w:tc>
        <w:tc>
          <w:tcPr>
            <w:tcW w:w="67" w:type="pct"/>
            <w:tcBorders>
              <w:top w:val="nil"/>
              <w:left w:val="nil"/>
              <w:bottom w:val="nil"/>
              <w:right w:val="nil"/>
            </w:tcBorders>
            <w:shd w:val="clear" w:color="000000" w:fill="FFFFFF"/>
            <w:noWrap/>
            <w:vAlign w:val="center"/>
            <w:hideMark/>
          </w:tcPr>
          <w:p w14:paraId="422D49B3" w14:textId="77777777" w:rsidR="00D77000" w:rsidRPr="00D77000" w:rsidRDefault="00D77000" w:rsidP="00D77000">
            <w:pPr>
              <w:spacing w:before="0" w:after="0" w:line="240" w:lineRule="auto"/>
              <w:jc w:val="right"/>
              <w:rPr>
                <w:rFonts w:ascii="Arial" w:hAnsi="Arial" w:cs="Arial"/>
                <w:sz w:val="16"/>
                <w:szCs w:val="16"/>
              </w:rPr>
            </w:pPr>
            <w:r w:rsidRPr="00D77000">
              <w:rPr>
                <w:rFonts w:ascii="Arial" w:hAnsi="Arial" w:cs="Arial"/>
                <w:sz w:val="16"/>
                <w:szCs w:val="16"/>
              </w:rPr>
              <w:t> </w:t>
            </w:r>
          </w:p>
        </w:tc>
        <w:tc>
          <w:tcPr>
            <w:tcW w:w="466" w:type="pct"/>
            <w:tcBorders>
              <w:top w:val="nil"/>
              <w:left w:val="nil"/>
              <w:bottom w:val="single" w:sz="4" w:space="0" w:color="293F5B"/>
              <w:right w:val="nil"/>
            </w:tcBorders>
            <w:shd w:val="clear" w:color="000000" w:fill="FFFFFF"/>
            <w:noWrap/>
            <w:vAlign w:val="center"/>
            <w:hideMark/>
          </w:tcPr>
          <w:p w14:paraId="5E7134DD" w14:textId="77777777" w:rsidR="00D77000" w:rsidRPr="00D77000" w:rsidRDefault="00D77000" w:rsidP="00D77000">
            <w:pPr>
              <w:spacing w:before="0" w:after="0" w:line="240" w:lineRule="auto"/>
              <w:jc w:val="right"/>
              <w:rPr>
                <w:rFonts w:ascii="Arial" w:hAnsi="Arial" w:cs="Arial"/>
                <w:sz w:val="16"/>
                <w:szCs w:val="16"/>
              </w:rPr>
            </w:pPr>
            <w:r w:rsidRPr="00D77000">
              <w:rPr>
                <w:rFonts w:ascii="Arial" w:hAnsi="Arial" w:cs="Arial"/>
                <w:sz w:val="16"/>
                <w:szCs w:val="16"/>
              </w:rPr>
              <w:t>$m</w:t>
            </w:r>
          </w:p>
        </w:tc>
      </w:tr>
      <w:tr w:rsidR="00D77000" w:rsidRPr="00D77000" w14:paraId="02A7DAFC" w14:textId="77777777" w:rsidTr="00236E34">
        <w:trPr>
          <w:trHeight w:hRule="exact" w:val="225"/>
        </w:trPr>
        <w:tc>
          <w:tcPr>
            <w:tcW w:w="2586" w:type="pct"/>
            <w:tcBorders>
              <w:top w:val="nil"/>
              <w:left w:val="nil"/>
              <w:bottom w:val="nil"/>
              <w:right w:val="nil"/>
            </w:tcBorders>
            <w:shd w:val="clear" w:color="000000" w:fill="FFFFFF"/>
            <w:noWrap/>
            <w:vAlign w:val="center"/>
            <w:hideMark/>
          </w:tcPr>
          <w:p w14:paraId="542825CE" w14:textId="25F9F1DA" w:rsidR="00D77000" w:rsidRPr="00D77000" w:rsidRDefault="00D77000" w:rsidP="00D77000">
            <w:pPr>
              <w:spacing w:before="0" w:after="0" w:line="240" w:lineRule="auto"/>
              <w:rPr>
                <w:rFonts w:ascii="Arial" w:hAnsi="Arial" w:cs="Arial"/>
                <w:b/>
                <w:bCs/>
                <w:sz w:val="16"/>
                <w:szCs w:val="16"/>
              </w:rPr>
            </w:pPr>
            <w:r w:rsidRPr="00D77000">
              <w:rPr>
                <w:rFonts w:ascii="Arial" w:hAnsi="Arial" w:cs="Arial"/>
                <w:b/>
                <w:bCs/>
                <w:sz w:val="16"/>
                <w:szCs w:val="16"/>
              </w:rPr>
              <w:t>2023</w:t>
            </w:r>
            <w:r w:rsidR="008D4F6B">
              <w:rPr>
                <w:rFonts w:ascii="Arial" w:hAnsi="Arial" w:cs="Arial"/>
                <w:b/>
                <w:bCs/>
                <w:sz w:val="16"/>
                <w:szCs w:val="16"/>
              </w:rPr>
              <w:noBreakHyphen/>
            </w:r>
            <w:r w:rsidRPr="00D77000">
              <w:rPr>
                <w:rFonts w:ascii="Arial" w:hAnsi="Arial" w:cs="Arial"/>
                <w:b/>
                <w:bCs/>
                <w:sz w:val="16"/>
                <w:szCs w:val="16"/>
              </w:rPr>
              <w:t>24 Budget net capital investment</w:t>
            </w:r>
          </w:p>
        </w:tc>
        <w:tc>
          <w:tcPr>
            <w:tcW w:w="470" w:type="pct"/>
            <w:tcBorders>
              <w:top w:val="single" w:sz="4" w:space="0" w:color="293F5B"/>
              <w:left w:val="nil"/>
              <w:bottom w:val="nil"/>
              <w:right w:val="nil"/>
            </w:tcBorders>
            <w:shd w:val="clear" w:color="000000" w:fill="FFFFFF"/>
            <w:noWrap/>
            <w:vAlign w:val="center"/>
            <w:hideMark/>
          </w:tcPr>
          <w:p w14:paraId="233F2D0C" w14:textId="77777777" w:rsidR="00D77000" w:rsidRPr="00D77000" w:rsidRDefault="00D77000" w:rsidP="00D77000">
            <w:pPr>
              <w:spacing w:before="0" w:after="0" w:line="240" w:lineRule="auto"/>
              <w:jc w:val="right"/>
              <w:rPr>
                <w:rFonts w:ascii="Arial" w:hAnsi="Arial" w:cs="Arial"/>
                <w:b/>
                <w:bCs/>
                <w:sz w:val="16"/>
                <w:szCs w:val="16"/>
              </w:rPr>
            </w:pPr>
            <w:r w:rsidRPr="00D77000">
              <w:rPr>
                <w:rFonts w:ascii="Arial" w:hAnsi="Arial" w:cs="Arial"/>
                <w:b/>
                <w:bCs/>
                <w:sz w:val="16"/>
                <w:szCs w:val="16"/>
              </w:rPr>
              <w:t>10,431</w:t>
            </w:r>
          </w:p>
        </w:tc>
        <w:tc>
          <w:tcPr>
            <w:tcW w:w="470" w:type="pct"/>
            <w:tcBorders>
              <w:top w:val="single" w:sz="4" w:space="0" w:color="293F5B"/>
              <w:left w:val="nil"/>
              <w:bottom w:val="nil"/>
              <w:right w:val="nil"/>
            </w:tcBorders>
            <w:shd w:val="clear" w:color="000000" w:fill="E6F2FF"/>
            <w:noWrap/>
            <w:vAlign w:val="center"/>
            <w:hideMark/>
          </w:tcPr>
          <w:p w14:paraId="49AFFDB3" w14:textId="77777777" w:rsidR="00D77000" w:rsidRPr="00D77000" w:rsidRDefault="00D77000" w:rsidP="00D77000">
            <w:pPr>
              <w:spacing w:before="0" w:after="0" w:line="240" w:lineRule="auto"/>
              <w:jc w:val="right"/>
              <w:rPr>
                <w:rFonts w:ascii="Arial" w:hAnsi="Arial" w:cs="Arial"/>
                <w:b/>
                <w:bCs/>
                <w:sz w:val="16"/>
                <w:szCs w:val="16"/>
              </w:rPr>
            </w:pPr>
            <w:r w:rsidRPr="00D77000">
              <w:rPr>
                <w:rFonts w:ascii="Arial" w:hAnsi="Arial" w:cs="Arial"/>
                <w:b/>
                <w:bCs/>
                <w:sz w:val="16"/>
                <w:szCs w:val="16"/>
              </w:rPr>
              <w:t>7,229</w:t>
            </w:r>
          </w:p>
        </w:tc>
        <w:tc>
          <w:tcPr>
            <w:tcW w:w="470" w:type="pct"/>
            <w:tcBorders>
              <w:top w:val="single" w:sz="4" w:space="0" w:color="293F5B"/>
              <w:left w:val="nil"/>
              <w:bottom w:val="nil"/>
              <w:right w:val="nil"/>
            </w:tcBorders>
            <w:shd w:val="clear" w:color="000000" w:fill="FFFFFF"/>
            <w:noWrap/>
            <w:vAlign w:val="center"/>
            <w:hideMark/>
          </w:tcPr>
          <w:p w14:paraId="7FA49BC8" w14:textId="77777777" w:rsidR="00D77000" w:rsidRPr="00D77000" w:rsidRDefault="00D77000" w:rsidP="00D77000">
            <w:pPr>
              <w:spacing w:before="0" w:after="0" w:line="240" w:lineRule="auto"/>
              <w:jc w:val="right"/>
              <w:rPr>
                <w:rFonts w:ascii="Arial" w:hAnsi="Arial" w:cs="Arial"/>
                <w:b/>
                <w:bCs/>
                <w:sz w:val="16"/>
                <w:szCs w:val="16"/>
              </w:rPr>
            </w:pPr>
            <w:r w:rsidRPr="00D77000">
              <w:rPr>
                <w:rFonts w:ascii="Arial" w:hAnsi="Arial" w:cs="Arial"/>
                <w:b/>
                <w:bCs/>
                <w:sz w:val="16"/>
                <w:szCs w:val="16"/>
              </w:rPr>
              <w:t>5,449</w:t>
            </w:r>
          </w:p>
        </w:tc>
        <w:tc>
          <w:tcPr>
            <w:tcW w:w="470" w:type="pct"/>
            <w:tcBorders>
              <w:top w:val="single" w:sz="4" w:space="0" w:color="293F5B"/>
              <w:left w:val="nil"/>
              <w:bottom w:val="nil"/>
              <w:right w:val="nil"/>
            </w:tcBorders>
            <w:shd w:val="clear" w:color="000000" w:fill="FFFFFF"/>
            <w:noWrap/>
            <w:vAlign w:val="center"/>
            <w:hideMark/>
          </w:tcPr>
          <w:p w14:paraId="68F94D1A" w14:textId="77777777" w:rsidR="00D77000" w:rsidRPr="00D77000" w:rsidRDefault="00D77000" w:rsidP="00D77000">
            <w:pPr>
              <w:spacing w:before="0" w:after="0" w:line="240" w:lineRule="auto"/>
              <w:jc w:val="right"/>
              <w:rPr>
                <w:rFonts w:ascii="Arial" w:hAnsi="Arial" w:cs="Arial"/>
                <w:b/>
                <w:bCs/>
                <w:sz w:val="16"/>
                <w:szCs w:val="16"/>
              </w:rPr>
            </w:pPr>
            <w:r w:rsidRPr="00D77000">
              <w:rPr>
                <w:rFonts w:ascii="Arial" w:hAnsi="Arial" w:cs="Arial"/>
                <w:b/>
                <w:bCs/>
                <w:sz w:val="16"/>
                <w:szCs w:val="16"/>
              </w:rPr>
              <w:t>9,271</w:t>
            </w:r>
          </w:p>
        </w:tc>
        <w:tc>
          <w:tcPr>
            <w:tcW w:w="67" w:type="pct"/>
            <w:tcBorders>
              <w:top w:val="nil"/>
              <w:left w:val="nil"/>
              <w:bottom w:val="nil"/>
              <w:right w:val="nil"/>
            </w:tcBorders>
            <w:shd w:val="clear" w:color="000000" w:fill="FFFFFF"/>
            <w:noWrap/>
            <w:vAlign w:val="center"/>
            <w:hideMark/>
          </w:tcPr>
          <w:p w14:paraId="3F0FCB9E" w14:textId="77777777" w:rsidR="00D77000" w:rsidRPr="00D77000" w:rsidRDefault="00D77000" w:rsidP="00D77000">
            <w:pPr>
              <w:spacing w:before="0" w:after="0" w:line="240" w:lineRule="auto"/>
              <w:rPr>
                <w:rFonts w:ascii="Arial" w:hAnsi="Arial" w:cs="Arial"/>
                <w:b/>
                <w:bCs/>
                <w:sz w:val="16"/>
                <w:szCs w:val="16"/>
              </w:rPr>
            </w:pPr>
            <w:r w:rsidRPr="00D77000">
              <w:rPr>
                <w:rFonts w:ascii="Arial" w:hAnsi="Arial" w:cs="Arial"/>
                <w:b/>
                <w:bCs/>
                <w:sz w:val="16"/>
                <w:szCs w:val="16"/>
              </w:rPr>
              <w:t> </w:t>
            </w:r>
          </w:p>
        </w:tc>
        <w:tc>
          <w:tcPr>
            <w:tcW w:w="466" w:type="pct"/>
            <w:tcBorders>
              <w:top w:val="single" w:sz="4" w:space="0" w:color="293F5B"/>
              <w:left w:val="nil"/>
              <w:bottom w:val="nil"/>
              <w:right w:val="nil"/>
            </w:tcBorders>
            <w:shd w:val="clear" w:color="000000" w:fill="FFFFFF"/>
            <w:noWrap/>
            <w:vAlign w:val="center"/>
            <w:hideMark/>
          </w:tcPr>
          <w:p w14:paraId="5C0338D3" w14:textId="77777777" w:rsidR="00D77000" w:rsidRPr="00D77000" w:rsidRDefault="00D77000" w:rsidP="00D77000">
            <w:pPr>
              <w:spacing w:before="0" w:after="0" w:line="240" w:lineRule="auto"/>
              <w:jc w:val="right"/>
              <w:rPr>
                <w:rFonts w:ascii="Arial" w:hAnsi="Arial" w:cs="Arial"/>
                <w:b/>
                <w:bCs/>
                <w:sz w:val="16"/>
                <w:szCs w:val="16"/>
              </w:rPr>
            </w:pPr>
            <w:r w:rsidRPr="00D77000">
              <w:rPr>
                <w:rFonts w:ascii="Arial" w:hAnsi="Arial" w:cs="Arial"/>
                <w:b/>
                <w:bCs/>
                <w:sz w:val="16"/>
                <w:szCs w:val="16"/>
              </w:rPr>
              <w:t>32,380</w:t>
            </w:r>
          </w:p>
        </w:tc>
      </w:tr>
      <w:tr w:rsidR="00D77000" w:rsidRPr="00D77000" w14:paraId="14BD1BA5" w14:textId="77777777" w:rsidTr="00D77000">
        <w:trPr>
          <w:trHeight w:hRule="exact" w:val="60"/>
        </w:trPr>
        <w:tc>
          <w:tcPr>
            <w:tcW w:w="2586" w:type="pct"/>
            <w:tcBorders>
              <w:top w:val="nil"/>
              <w:left w:val="nil"/>
              <w:bottom w:val="nil"/>
              <w:right w:val="nil"/>
            </w:tcBorders>
            <w:shd w:val="clear" w:color="000000" w:fill="FFFFFF"/>
            <w:noWrap/>
            <w:vAlign w:val="center"/>
            <w:hideMark/>
          </w:tcPr>
          <w:p w14:paraId="7C88B156" w14:textId="77777777" w:rsidR="00D77000" w:rsidRPr="00D77000" w:rsidRDefault="00D77000" w:rsidP="00D77000">
            <w:pPr>
              <w:spacing w:before="0" w:after="0" w:line="240" w:lineRule="auto"/>
              <w:rPr>
                <w:rFonts w:ascii="Arial" w:hAnsi="Arial" w:cs="Arial"/>
                <w:sz w:val="16"/>
                <w:szCs w:val="16"/>
              </w:rPr>
            </w:pPr>
            <w:r w:rsidRPr="00D77000">
              <w:rPr>
                <w:rFonts w:ascii="Arial" w:hAnsi="Arial" w:cs="Arial"/>
                <w:sz w:val="16"/>
                <w:szCs w:val="16"/>
              </w:rPr>
              <w:t> </w:t>
            </w:r>
          </w:p>
        </w:tc>
        <w:tc>
          <w:tcPr>
            <w:tcW w:w="470" w:type="pct"/>
            <w:tcBorders>
              <w:top w:val="nil"/>
              <w:left w:val="nil"/>
              <w:bottom w:val="nil"/>
              <w:right w:val="nil"/>
            </w:tcBorders>
            <w:shd w:val="clear" w:color="000000" w:fill="FFFFFF"/>
            <w:noWrap/>
            <w:vAlign w:val="center"/>
            <w:hideMark/>
          </w:tcPr>
          <w:p w14:paraId="23082E80" w14:textId="77777777" w:rsidR="00D77000" w:rsidRPr="00D77000" w:rsidRDefault="00D77000" w:rsidP="00D77000">
            <w:pPr>
              <w:spacing w:before="0" w:after="0" w:line="240" w:lineRule="auto"/>
              <w:jc w:val="right"/>
              <w:rPr>
                <w:rFonts w:ascii="Arial" w:hAnsi="Arial" w:cs="Arial"/>
                <w:sz w:val="16"/>
                <w:szCs w:val="16"/>
              </w:rPr>
            </w:pPr>
            <w:r w:rsidRPr="00D77000">
              <w:rPr>
                <w:rFonts w:ascii="Arial" w:hAnsi="Arial" w:cs="Arial"/>
                <w:sz w:val="16"/>
                <w:szCs w:val="16"/>
              </w:rPr>
              <w:t> </w:t>
            </w:r>
          </w:p>
        </w:tc>
        <w:tc>
          <w:tcPr>
            <w:tcW w:w="470" w:type="pct"/>
            <w:tcBorders>
              <w:top w:val="nil"/>
              <w:left w:val="nil"/>
              <w:bottom w:val="nil"/>
              <w:right w:val="nil"/>
            </w:tcBorders>
            <w:shd w:val="clear" w:color="000000" w:fill="E6F2FF"/>
            <w:noWrap/>
            <w:vAlign w:val="center"/>
            <w:hideMark/>
          </w:tcPr>
          <w:p w14:paraId="0BECB174" w14:textId="77777777" w:rsidR="00D77000" w:rsidRPr="00D77000" w:rsidRDefault="00D77000" w:rsidP="00D77000">
            <w:pPr>
              <w:spacing w:before="0" w:after="0" w:line="240" w:lineRule="auto"/>
              <w:jc w:val="right"/>
              <w:rPr>
                <w:rFonts w:ascii="Arial" w:hAnsi="Arial" w:cs="Arial"/>
                <w:sz w:val="16"/>
                <w:szCs w:val="16"/>
              </w:rPr>
            </w:pPr>
            <w:r w:rsidRPr="00D77000">
              <w:rPr>
                <w:rFonts w:ascii="Arial" w:hAnsi="Arial" w:cs="Arial"/>
                <w:sz w:val="16"/>
                <w:szCs w:val="16"/>
              </w:rPr>
              <w:t> </w:t>
            </w:r>
          </w:p>
        </w:tc>
        <w:tc>
          <w:tcPr>
            <w:tcW w:w="470" w:type="pct"/>
            <w:tcBorders>
              <w:top w:val="nil"/>
              <w:left w:val="nil"/>
              <w:bottom w:val="nil"/>
              <w:right w:val="nil"/>
            </w:tcBorders>
            <w:shd w:val="clear" w:color="000000" w:fill="FFFFFF"/>
            <w:noWrap/>
            <w:vAlign w:val="center"/>
            <w:hideMark/>
          </w:tcPr>
          <w:p w14:paraId="12607786" w14:textId="77777777" w:rsidR="00D77000" w:rsidRPr="00D77000" w:rsidRDefault="00D77000" w:rsidP="00D77000">
            <w:pPr>
              <w:spacing w:before="0" w:after="0" w:line="240" w:lineRule="auto"/>
              <w:jc w:val="right"/>
              <w:rPr>
                <w:rFonts w:ascii="Arial" w:hAnsi="Arial" w:cs="Arial"/>
                <w:sz w:val="16"/>
                <w:szCs w:val="16"/>
              </w:rPr>
            </w:pPr>
            <w:r w:rsidRPr="00D77000">
              <w:rPr>
                <w:rFonts w:ascii="Arial" w:hAnsi="Arial" w:cs="Arial"/>
                <w:sz w:val="16"/>
                <w:szCs w:val="16"/>
              </w:rPr>
              <w:t> </w:t>
            </w:r>
          </w:p>
        </w:tc>
        <w:tc>
          <w:tcPr>
            <w:tcW w:w="470" w:type="pct"/>
            <w:tcBorders>
              <w:top w:val="nil"/>
              <w:left w:val="nil"/>
              <w:bottom w:val="nil"/>
              <w:right w:val="nil"/>
            </w:tcBorders>
            <w:shd w:val="clear" w:color="000000" w:fill="FFFFFF"/>
            <w:noWrap/>
            <w:vAlign w:val="center"/>
            <w:hideMark/>
          </w:tcPr>
          <w:p w14:paraId="19D614FE" w14:textId="77777777" w:rsidR="00D77000" w:rsidRPr="00D77000" w:rsidRDefault="00D77000" w:rsidP="00D77000">
            <w:pPr>
              <w:spacing w:before="0" w:after="0" w:line="240" w:lineRule="auto"/>
              <w:jc w:val="right"/>
              <w:rPr>
                <w:rFonts w:ascii="Arial" w:hAnsi="Arial" w:cs="Arial"/>
                <w:sz w:val="16"/>
                <w:szCs w:val="16"/>
              </w:rPr>
            </w:pPr>
            <w:r w:rsidRPr="00D77000">
              <w:rPr>
                <w:rFonts w:ascii="Arial" w:hAnsi="Arial" w:cs="Arial"/>
                <w:sz w:val="16"/>
                <w:szCs w:val="16"/>
              </w:rPr>
              <w:t> </w:t>
            </w:r>
          </w:p>
        </w:tc>
        <w:tc>
          <w:tcPr>
            <w:tcW w:w="67" w:type="pct"/>
            <w:tcBorders>
              <w:top w:val="nil"/>
              <w:left w:val="nil"/>
              <w:bottom w:val="nil"/>
              <w:right w:val="nil"/>
            </w:tcBorders>
            <w:shd w:val="clear" w:color="000000" w:fill="FFFFFF"/>
            <w:noWrap/>
            <w:vAlign w:val="center"/>
            <w:hideMark/>
          </w:tcPr>
          <w:p w14:paraId="44F0086C" w14:textId="77777777" w:rsidR="00D77000" w:rsidRPr="00D77000" w:rsidRDefault="00D77000" w:rsidP="00D77000">
            <w:pPr>
              <w:spacing w:before="0" w:after="0" w:line="240" w:lineRule="auto"/>
              <w:jc w:val="right"/>
              <w:rPr>
                <w:rFonts w:ascii="Arial" w:hAnsi="Arial" w:cs="Arial"/>
                <w:sz w:val="16"/>
                <w:szCs w:val="16"/>
              </w:rPr>
            </w:pPr>
            <w:r w:rsidRPr="00D77000">
              <w:rPr>
                <w:rFonts w:ascii="Arial" w:hAnsi="Arial" w:cs="Arial"/>
                <w:sz w:val="16"/>
                <w:szCs w:val="16"/>
              </w:rPr>
              <w:t> </w:t>
            </w:r>
          </w:p>
        </w:tc>
        <w:tc>
          <w:tcPr>
            <w:tcW w:w="466" w:type="pct"/>
            <w:tcBorders>
              <w:top w:val="nil"/>
              <w:left w:val="nil"/>
              <w:bottom w:val="nil"/>
              <w:right w:val="nil"/>
            </w:tcBorders>
            <w:shd w:val="clear" w:color="000000" w:fill="FFFFFF"/>
            <w:noWrap/>
            <w:vAlign w:val="center"/>
            <w:hideMark/>
          </w:tcPr>
          <w:p w14:paraId="47800142" w14:textId="77777777" w:rsidR="00D77000" w:rsidRPr="00D77000" w:rsidRDefault="00D77000" w:rsidP="00D77000">
            <w:pPr>
              <w:spacing w:before="0" w:after="0" w:line="240" w:lineRule="auto"/>
              <w:jc w:val="right"/>
              <w:rPr>
                <w:rFonts w:ascii="Arial" w:hAnsi="Arial" w:cs="Arial"/>
                <w:sz w:val="16"/>
                <w:szCs w:val="16"/>
              </w:rPr>
            </w:pPr>
            <w:r w:rsidRPr="00D77000">
              <w:rPr>
                <w:rFonts w:ascii="Arial" w:hAnsi="Arial" w:cs="Arial"/>
                <w:sz w:val="16"/>
                <w:szCs w:val="16"/>
              </w:rPr>
              <w:t> </w:t>
            </w:r>
          </w:p>
        </w:tc>
      </w:tr>
      <w:tr w:rsidR="00D77000" w:rsidRPr="00D77000" w14:paraId="353FD9A5" w14:textId="77777777" w:rsidTr="00D77000">
        <w:trPr>
          <w:trHeight w:hRule="exact" w:val="225"/>
        </w:trPr>
        <w:tc>
          <w:tcPr>
            <w:tcW w:w="2586" w:type="pct"/>
            <w:tcBorders>
              <w:top w:val="nil"/>
              <w:left w:val="nil"/>
              <w:bottom w:val="nil"/>
              <w:right w:val="nil"/>
            </w:tcBorders>
            <w:shd w:val="clear" w:color="000000" w:fill="FFFFFF"/>
            <w:noWrap/>
            <w:vAlign w:val="center"/>
            <w:hideMark/>
          </w:tcPr>
          <w:p w14:paraId="35DA342D" w14:textId="5E4DD0D1" w:rsidR="00D77000" w:rsidRPr="00D77000" w:rsidRDefault="00D77000" w:rsidP="00D77000">
            <w:pPr>
              <w:spacing w:before="0" w:after="0" w:line="240" w:lineRule="auto"/>
              <w:rPr>
                <w:rFonts w:ascii="Arial" w:hAnsi="Arial" w:cs="Arial"/>
                <w:b/>
                <w:bCs/>
                <w:sz w:val="16"/>
                <w:szCs w:val="16"/>
              </w:rPr>
            </w:pPr>
            <w:r w:rsidRPr="00D77000">
              <w:rPr>
                <w:rFonts w:ascii="Arial" w:hAnsi="Arial" w:cs="Arial"/>
                <w:b/>
                <w:bCs/>
                <w:sz w:val="16"/>
                <w:szCs w:val="16"/>
              </w:rPr>
              <w:t>Changes from 2023</w:t>
            </w:r>
            <w:r w:rsidR="008D4F6B">
              <w:rPr>
                <w:rFonts w:ascii="Arial" w:hAnsi="Arial" w:cs="Arial"/>
                <w:b/>
                <w:bCs/>
                <w:sz w:val="16"/>
                <w:szCs w:val="16"/>
              </w:rPr>
              <w:noBreakHyphen/>
            </w:r>
            <w:r w:rsidRPr="00D77000">
              <w:rPr>
                <w:rFonts w:ascii="Arial" w:hAnsi="Arial" w:cs="Arial"/>
                <w:b/>
                <w:bCs/>
                <w:sz w:val="16"/>
                <w:szCs w:val="16"/>
              </w:rPr>
              <w:t xml:space="preserve">24 Budget to </w:t>
            </w:r>
          </w:p>
        </w:tc>
        <w:tc>
          <w:tcPr>
            <w:tcW w:w="470" w:type="pct"/>
            <w:tcBorders>
              <w:top w:val="nil"/>
              <w:left w:val="nil"/>
              <w:bottom w:val="nil"/>
              <w:right w:val="nil"/>
            </w:tcBorders>
            <w:shd w:val="clear" w:color="000000" w:fill="FFFFFF"/>
            <w:noWrap/>
            <w:vAlign w:val="center"/>
            <w:hideMark/>
          </w:tcPr>
          <w:p w14:paraId="0F1074C6" w14:textId="77777777" w:rsidR="00D77000" w:rsidRPr="00D77000" w:rsidRDefault="00D77000" w:rsidP="00D77000">
            <w:pPr>
              <w:spacing w:before="0" w:after="0" w:line="240" w:lineRule="auto"/>
              <w:rPr>
                <w:rFonts w:ascii="Arial" w:hAnsi="Arial" w:cs="Arial"/>
                <w:color w:val="0066CC"/>
                <w:sz w:val="16"/>
                <w:szCs w:val="16"/>
              </w:rPr>
            </w:pPr>
            <w:r w:rsidRPr="00D77000">
              <w:rPr>
                <w:rFonts w:ascii="Arial" w:hAnsi="Arial" w:cs="Arial"/>
                <w:color w:val="0066CC"/>
                <w:sz w:val="16"/>
                <w:szCs w:val="16"/>
              </w:rPr>
              <w:t> </w:t>
            </w:r>
          </w:p>
        </w:tc>
        <w:tc>
          <w:tcPr>
            <w:tcW w:w="470" w:type="pct"/>
            <w:tcBorders>
              <w:top w:val="nil"/>
              <w:left w:val="nil"/>
              <w:bottom w:val="nil"/>
              <w:right w:val="nil"/>
            </w:tcBorders>
            <w:shd w:val="clear" w:color="000000" w:fill="E6F2FF"/>
            <w:noWrap/>
            <w:vAlign w:val="center"/>
            <w:hideMark/>
          </w:tcPr>
          <w:p w14:paraId="055C7BEB" w14:textId="77777777" w:rsidR="00D77000" w:rsidRPr="00D77000" w:rsidRDefault="00D77000" w:rsidP="00D77000">
            <w:pPr>
              <w:spacing w:before="0" w:after="0" w:line="240" w:lineRule="auto"/>
              <w:rPr>
                <w:rFonts w:ascii="Arial" w:hAnsi="Arial" w:cs="Arial"/>
                <w:color w:val="0066CC"/>
                <w:sz w:val="16"/>
                <w:szCs w:val="16"/>
              </w:rPr>
            </w:pPr>
            <w:r w:rsidRPr="00D77000">
              <w:rPr>
                <w:rFonts w:ascii="Arial" w:hAnsi="Arial" w:cs="Arial"/>
                <w:color w:val="0066CC"/>
                <w:sz w:val="16"/>
                <w:szCs w:val="16"/>
              </w:rPr>
              <w:t> </w:t>
            </w:r>
          </w:p>
        </w:tc>
        <w:tc>
          <w:tcPr>
            <w:tcW w:w="470" w:type="pct"/>
            <w:tcBorders>
              <w:top w:val="nil"/>
              <w:left w:val="nil"/>
              <w:bottom w:val="nil"/>
              <w:right w:val="nil"/>
            </w:tcBorders>
            <w:shd w:val="clear" w:color="000000" w:fill="FFFFFF"/>
            <w:noWrap/>
            <w:vAlign w:val="center"/>
            <w:hideMark/>
          </w:tcPr>
          <w:p w14:paraId="480A8B63" w14:textId="77777777" w:rsidR="00D77000" w:rsidRPr="00D77000" w:rsidRDefault="00D77000" w:rsidP="00D77000">
            <w:pPr>
              <w:spacing w:before="0" w:after="0" w:line="240" w:lineRule="auto"/>
              <w:rPr>
                <w:rFonts w:ascii="Arial" w:hAnsi="Arial" w:cs="Arial"/>
                <w:color w:val="0066CC"/>
                <w:sz w:val="16"/>
                <w:szCs w:val="16"/>
              </w:rPr>
            </w:pPr>
            <w:r w:rsidRPr="00D77000">
              <w:rPr>
                <w:rFonts w:ascii="Arial" w:hAnsi="Arial" w:cs="Arial"/>
                <w:color w:val="0066CC"/>
                <w:sz w:val="16"/>
                <w:szCs w:val="16"/>
              </w:rPr>
              <w:t> </w:t>
            </w:r>
          </w:p>
        </w:tc>
        <w:tc>
          <w:tcPr>
            <w:tcW w:w="470" w:type="pct"/>
            <w:tcBorders>
              <w:top w:val="nil"/>
              <w:left w:val="nil"/>
              <w:bottom w:val="nil"/>
              <w:right w:val="nil"/>
            </w:tcBorders>
            <w:shd w:val="clear" w:color="000000" w:fill="FFFFFF"/>
            <w:noWrap/>
            <w:vAlign w:val="center"/>
            <w:hideMark/>
          </w:tcPr>
          <w:p w14:paraId="57922476" w14:textId="77777777" w:rsidR="00D77000" w:rsidRPr="00D77000" w:rsidRDefault="00D77000" w:rsidP="00D77000">
            <w:pPr>
              <w:spacing w:before="0" w:after="0" w:line="240" w:lineRule="auto"/>
              <w:rPr>
                <w:rFonts w:ascii="Arial" w:hAnsi="Arial" w:cs="Arial"/>
                <w:color w:val="0066CC"/>
                <w:sz w:val="16"/>
                <w:szCs w:val="16"/>
              </w:rPr>
            </w:pPr>
            <w:r w:rsidRPr="00D77000">
              <w:rPr>
                <w:rFonts w:ascii="Arial" w:hAnsi="Arial" w:cs="Arial"/>
                <w:color w:val="0066CC"/>
                <w:sz w:val="16"/>
                <w:szCs w:val="16"/>
              </w:rPr>
              <w:t> </w:t>
            </w:r>
          </w:p>
        </w:tc>
        <w:tc>
          <w:tcPr>
            <w:tcW w:w="67" w:type="pct"/>
            <w:tcBorders>
              <w:top w:val="nil"/>
              <w:left w:val="nil"/>
              <w:bottom w:val="nil"/>
              <w:right w:val="nil"/>
            </w:tcBorders>
            <w:shd w:val="clear" w:color="000000" w:fill="FFFFFF"/>
            <w:noWrap/>
            <w:vAlign w:val="center"/>
            <w:hideMark/>
          </w:tcPr>
          <w:p w14:paraId="1C8DB85B" w14:textId="77777777" w:rsidR="00D77000" w:rsidRPr="00D77000" w:rsidRDefault="00D77000" w:rsidP="00D77000">
            <w:pPr>
              <w:spacing w:before="0" w:after="0" w:line="240" w:lineRule="auto"/>
              <w:rPr>
                <w:rFonts w:ascii="Arial" w:hAnsi="Arial" w:cs="Arial"/>
                <w:color w:val="0066CC"/>
                <w:sz w:val="16"/>
                <w:szCs w:val="16"/>
              </w:rPr>
            </w:pPr>
            <w:r w:rsidRPr="00D77000">
              <w:rPr>
                <w:rFonts w:ascii="Arial" w:hAnsi="Arial" w:cs="Arial"/>
                <w:color w:val="0066CC"/>
                <w:sz w:val="16"/>
                <w:szCs w:val="16"/>
              </w:rPr>
              <w:t> </w:t>
            </w:r>
          </w:p>
        </w:tc>
        <w:tc>
          <w:tcPr>
            <w:tcW w:w="466" w:type="pct"/>
            <w:tcBorders>
              <w:top w:val="nil"/>
              <w:left w:val="nil"/>
              <w:bottom w:val="nil"/>
              <w:right w:val="nil"/>
            </w:tcBorders>
            <w:shd w:val="clear" w:color="000000" w:fill="FFFFFF"/>
            <w:noWrap/>
            <w:vAlign w:val="center"/>
            <w:hideMark/>
          </w:tcPr>
          <w:p w14:paraId="03E64DB5" w14:textId="77777777" w:rsidR="00D77000" w:rsidRPr="00D77000" w:rsidRDefault="00D77000" w:rsidP="00D77000">
            <w:pPr>
              <w:spacing w:before="0" w:after="0" w:line="240" w:lineRule="auto"/>
              <w:jc w:val="right"/>
              <w:rPr>
                <w:rFonts w:ascii="Arial" w:hAnsi="Arial" w:cs="Arial"/>
                <w:sz w:val="16"/>
                <w:szCs w:val="16"/>
              </w:rPr>
            </w:pPr>
            <w:r w:rsidRPr="00D77000">
              <w:rPr>
                <w:rFonts w:ascii="Arial" w:hAnsi="Arial" w:cs="Arial"/>
                <w:sz w:val="16"/>
                <w:szCs w:val="16"/>
              </w:rPr>
              <w:t> </w:t>
            </w:r>
          </w:p>
        </w:tc>
      </w:tr>
      <w:tr w:rsidR="00D77000" w:rsidRPr="00D77000" w14:paraId="6DF3AB57" w14:textId="77777777" w:rsidTr="00D77000">
        <w:trPr>
          <w:trHeight w:hRule="exact" w:val="225"/>
        </w:trPr>
        <w:tc>
          <w:tcPr>
            <w:tcW w:w="2586" w:type="pct"/>
            <w:tcBorders>
              <w:top w:val="nil"/>
              <w:left w:val="nil"/>
              <w:bottom w:val="nil"/>
              <w:right w:val="nil"/>
            </w:tcBorders>
            <w:shd w:val="clear" w:color="000000" w:fill="FFFFFF"/>
            <w:noWrap/>
            <w:vAlign w:val="center"/>
            <w:hideMark/>
          </w:tcPr>
          <w:p w14:paraId="6D8D4DF4" w14:textId="3A6A9B5C" w:rsidR="00D77000" w:rsidRPr="00D77000" w:rsidRDefault="00D77000" w:rsidP="00D77000">
            <w:pPr>
              <w:spacing w:before="0" w:after="0" w:line="240" w:lineRule="auto"/>
              <w:ind w:left="170"/>
              <w:rPr>
                <w:rFonts w:ascii="Arial" w:hAnsi="Arial" w:cs="Arial"/>
                <w:b/>
                <w:bCs/>
                <w:sz w:val="16"/>
                <w:szCs w:val="16"/>
              </w:rPr>
            </w:pPr>
            <w:r w:rsidRPr="00D77000">
              <w:rPr>
                <w:rFonts w:ascii="Arial" w:hAnsi="Arial" w:cs="Arial"/>
                <w:b/>
                <w:bCs/>
                <w:sz w:val="16"/>
                <w:szCs w:val="16"/>
              </w:rPr>
              <w:t>2023</w:t>
            </w:r>
            <w:r w:rsidR="008D4F6B">
              <w:rPr>
                <w:rFonts w:ascii="Arial" w:hAnsi="Arial" w:cs="Arial"/>
                <w:b/>
                <w:bCs/>
                <w:sz w:val="16"/>
                <w:szCs w:val="16"/>
              </w:rPr>
              <w:noBreakHyphen/>
            </w:r>
            <w:r w:rsidRPr="00D77000">
              <w:rPr>
                <w:rFonts w:ascii="Arial" w:hAnsi="Arial" w:cs="Arial"/>
                <w:b/>
                <w:bCs/>
                <w:sz w:val="16"/>
                <w:szCs w:val="16"/>
              </w:rPr>
              <w:t>24 MYEFO</w:t>
            </w:r>
          </w:p>
        </w:tc>
        <w:tc>
          <w:tcPr>
            <w:tcW w:w="470" w:type="pct"/>
            <w:tcBorders>
              <w:top w:val="nil"/>
              <w:left w:val="nil"/>
              <w:bottom w:val="nil"/>
              <w:right w:val="nil"/>
            </w:tcBorders>
            <w:shd w:val="clear" w:color="000000" w:fill="FFFFFF"/>
            <w:noWrap/>
            <w:vAlign w:val="center"/>
            <w:hideMark/>
          </w:tcPr>
          <w:p w14:paraId="60F480A0" w14:textId="77777777" w:rsidR="00D77000" w:rsidRPr="00D77000" w:rsidRDefault="00D77000" w:rsidP="00D77000">
            <w:pPr>
              <w:spacing w:before="0" w:after="0" w:line="240" w:lineRule="auto"/>
              <w:rPr>
                <w:rFonts w:ascii="Arial" w:hAnsi="Arial" w:cs="Arial"/>
                <w:color w:val="0066CC"/>
                <w:sz w:val="16"/>
                <w:szCs w:val="16"/>
              </w:rPr>
            </w:pPr>
            <w:r w:rsidRPr="00D77000">
              <w:rPr>
                <w:rFonts w:ascii="Arial" w:hAnsi="Arial" w:cs="Arial"/>
                <w:color w:val="0066CC"/>
                <w:sz w:val="16"/>
                <w:szCs w:val="16"/>
              </w:rPr>
              <w:t> </w:t>
            </w:r>
          </w:p>
        </w:tc>
        <w:tc>
          <w:tcPr>
            <w:tcW w:w="470" w:type="pct"/>
            <w:tcBorders>
              <w:top w:val="nil"/>
              <w:left w:val="nil"/>
              <w:bottom w:val="nil"/>
              <w:right w:val="nil"/>
            </w:tcBorders>
            <w:shd w:val="clear" w:color="000000" w:fill="E6F2FF"/>
            <w:noWrap/>
            <w:vAlign w:val="center"/>
            <w:hideMark/>
          </w:tcPr>
          <w:p w14:paraId="1EF7650D" w14:textId="77777777" w:rsidR="00D77000" w:rsidRPr="00D77000" w:rsidRDefault="00D77000" w:rsidP="00D77000">
            <w:pPr>
              <w:spacing w:before="0" w:after="0" w:line="240" w:lineRule="auto"/>
              <w:rPr>
                <w:rFonts w:ascii="Arial" w:hAnsi="Arial" w:cs="Arial"/>
                <w:color w:val="0066CC"/>
                <w:sz w:val="16"/>
                <w:szCs w:val="16"/>
              </w:rPr>
            </w:pPr>
            <w:r w:rsidRPr="00D77000">
              <w:rPr>
                <w:rFonts w:ascii="Arial" w:hAnsi="Arial" w:cs="Arial"/>
                <w:color w:val="0066CC"/>
                <w:sz w:val="16"/>
                <w:szCs w:val="16"/>
              </w:rPr>
              <w:t> </w:t>
            </w:r>
          </w:p>
        </w:tc>
        <w:tc>
          <w:tcPr>
            <w:tcW w:w="470" w:type="pct"/>
            <w:tcBorders>
              <w:top w:val="nil"/>
              <w:left w:val="nil"/>
              <w:bottom w:val="nil"/>
              <w:right w:val="nil"/>
            </w:tcBorders>
            <w:shd w:val="clear" w:color="000000" w:fill="FFFFFF"/>
            <w:noWrap/>
            <w:vAlign w:val="center"/>
            <w:hideMark/>
          </w:tcPr>
          <w:p w14:paraId="13EC5EEB" w14:textId="77777777" w:rsidR="00D77000" w:rsidRPr="00D77000" w:rsidRDefault="00D77000" w:rsidP="00D77000">
            <w:pPr>
              <w:spacing w:before="0" w:after="0" w:line="240" w:lineRule="auto"/>
              <w:rPr>
                <w:rFonts w:ascii="Arial" w:hAnsi="Arial" w:cs="Arial"/>
                <w:color w:val="0066CC"/>
                <w:sz w:val="16"/>
                <w:szCs w:val="16"/>
              </w:rPr>
            </w:pPr>
            <w:r w:rsidRPr="00D77000">
              <w:rPr>
                <w:rFonts w:ascii="Arial" w:hAnsi="Arial" w:cs="Arial"/>
                <w:color w:val="0066CC"/>
                <w:sz w:val="16"/>
                <w:szCs w:val="16"/>
              </w:rPr>
              <w:t> </w:t>
            </w:r>
          </w:p>
        </w:tc>
        <w:tc>
          <w:tcPr>
            <w:tcW w:w="470" w:type="pct"/>
            <w:tcBorders>
              <w:top w:val="nil"/>
              <w:left w:val="nil"/>
              <w:bottom w:val="nil"/>
              <w:right w:val="nil"/>
            </w:tcBorders>
            <w:shd w:val="clear" w:color="000000" w:fill="FFFFFF"/>
            <w:noWrap/>
            <w:vAlign w:val="center"/>
            <w:hideMark/>
          </w:tcPr>
          <w:p w14:paraId="6E0223E0" w14:textId="77777777" w:rsidR="00D77000" w:rsidRPr="00D77000" w:rsidRDefault="00D77000" w:rsidP="00D77000">
            <w:pPr>
              <w:spacing w:before="0" w:after="0" w:line="240" w:lineRule="auto"/>
              <w:rPr>
                <w:rFonts w:ascii="Arial" w:hAnsi="Arial" w:cs="Arial"/>
                <w:color w:val="0066CC"/>
                <w:sz w:val="16"/>
                <w:szCs w:val="16"/>
              </w:rPr>
            </w:pPr>
            <w:r w:rsidRPr="00D77000">
              <w:rPr>
                <w:rFonts w:ascii="Arial" w:hAnsi="Arial" w:cs="Arial"/>
                <w:color w:val="0066CC"/>
                <w:sz w:val="16"/>
                <w:szCs w:val="16"/>
              </w:rPr>
              <w:t> </w:t>
            </w:r>
          </w:p>
        </w:tc>
        <w:tc>
          <w:tcPr>
            <w:tcW w:w="67" w:type="pct"/>
            <w:tcBorders>
              <w:top w:val="nil"/>
              <w:left w:val="nil"/>
              <w:bottom w:val="nil"/>
              <w:right w:val="nil"/>
            </w:tcBorders>
            <w:shd w:val="clear" w:color="000000" w:fill="FFFFFF"/>
            <w:noWrap/>
            <w:vAlign w:val="center"/>
            <w:hideMark/>
          </w:tcPr>
          <w:p w14:paraId="632745A7" w14:textId="77777777" w:rsidR="00D77000" w:rsidRPr="00D77000" w:rsidRDefault="00D77000" w:rsidP="00D77000">
            <w:pPr>
              <w:spacing w:before="0" w:after="0" w:line="240" w:lineRule="auto"/>
              <w:rPr>
                <w:rFonts w:ascii="Arial" w:hAnsi="Arial" w:cs="Arial"/>
                <w:color w:val="0066CC"/>
                <w:sz w:val="16"/>
                <w:szCs w:val="16"/>
              </w:rPr>
            </w:pPr>
            <w:r w:rsidRPr="00D77000">
              <w:rPr>
                <w:rFonts w:ascii="Arial" w:hAnsi="Arial" w:cs="Arial"/>
                <w:color w:val="0066CC"/>
                <w:sz w:val="16"/>
                <w:szCs w:val="16"/>
              </w:rPr>
              <w:t> </w:t>
            </w:r>
          </w:p>
        </w:tc>
        <w:tc>
          <w:tcPr>
            <w:tcW w:w="466" w:type="pct"/>
            <w:tcBorders>
              <w:top w:val="nil"/>
              <w:left w:val="nil"/>
              <w:bottom w:val="nil"/>
              <w:right w:val="nil"/>
            </w:tcBorders>
            <w:shd w:val="clear" w:color="000000" w:fill="FFFFFF"/>
            <w:noWrap/>
            <w:vAlign w:val="center"/>
            <w:hideMark/>
          </w:tcPr>
          <w:p w14:paraId="74A80C7A" w14:textId="77777777" w:rsidR="00D77000" w:rsidRPr="00D77000" w:rsidRDefault="00D77000" w:rsidP="00D77000">
            <w:pPr>
              <w:spacing w:before="0" w:after="0" w:line="240" w:lineRule="auto"/>
              <w:jc w:val="right"/>
              <w:rPr>
                <w:rFonts w:ascii="Arial" w:hAnsi="Arial" w:cs="Arial"/>
                <w:sz w:val="16"/>
                <w:szCs w:val="16"/>
              </w:rPr>
            </w:pPr>
            <w:r w:rsidRPr="00D77000">
              <w:rPr>
                <w:rFonts w:ascii="Arial" w:hAnsi="Arial" w:cs="Arial"/>
                <w:sz w:val="16"/>
                <w:szCs w:val="16"/>
              </w:rPr>
              <w:t> </w:t>
            </w:r>
          </w:p>
        </w:tc>
      </w:tr>
      <w:tr w:rsidR="00D77000" w:rsidRPr="00D77000" w14:paraId="4DE61673" w14:textId="77777777" w:rsidTr="00D77000">
        <w:trPr>
          <w:trHeight w:hRule="exact" w:val="225"/>
        </w:trPr>
        <w:tc>
          <w:tcPr>
            <w:tcW w:w="2586" w:type="pct"/>
            <w:tcBorders>
              <w:top w:val="nil"/>
              <w:left w:val="nil"/>
              <w:bottom w:val="nil"/>
              <w:right w:val="nil"/>
            </w:tcBorders>
            <w:shd w:val="clear" w:color="000000" w:fill="FFFFFF"/>
            <w:noWrap/>
            <w:vAlign w:val="center"/>
            <w:hideMark/>
          </w:tcPr>
          <w:p w14:paraId="38010EBC" w14:textId="77777777" w:rsidR="00D77000" w:rsidRPr="00D77000" w:rsidRDefault="00D77000" w:rsidP="00D77000">
            <w:pPr>
              <w:spacing w:before="0" w:after="0" w:line="240" w:lineRule="auto"/>
              <w:rPr>
                <w:rFonts w:ascii="Arial" w:hAnsi="Arial" w:cs="Arial"/>
                <w:sz w:val="16"/>
                <w:szCs w:val="16"/>
              </w:rPr>
            </w:pPr>
            <w:r w:rsidRPr="00D77000">
              <w:rPr>
                <w:rFonts w:ascii="Arial" w:hAnsi="Arial" w:cs="Arial"/>
                <w:sz w:val="16"/>
                <w:szCs w:val="16"/>
              </w:rPr>
              <w:t>Effect of policy decisions(a)</w:t>
            </w:r>
          </w:p>
        </w:tc>
        <w:tc>
          <w:tcPr>
            <w:tcW w:w="470" w:type="pct"/>
            <w:tcBorders>
              <w:top w:val="nil"/>
              <w:left w:val="nil"/>
              <w:bottom w:val="nil"/>
              <w:right w:val="nil"/>
            </w:tcBorders>
            <w:shd w:val="clear" w:color="000000" w:fill="FFFFFF"/>
            <w:noWrap/>
            <w:vAlign w:val="center"/>
            <w:hideMark/>
          </w:tcPr>
          <w:p w14:paraId="1B9F0BF4" w14:textId="77777777" w:rsidR="00D77000" w:rsidRPr="00D77000" w:rsidRDefault="00D77000" w:rsidP="00D77000">
            <w:pPr>
              <w:spacing w:before="0" w:after="0" w:line="240" w:lineRule="auto"/>
              <w:jc w:val="right"/>
              <w:rPr>
                <w:rFonts w:ascii="Arial" w:hAnsi="Arial" w:cs="Arial"/>
                <w:sz w:val="16"/>
                <w:szCs w:val="16"/>
              </w:rPr>
            </w:pPr>
            <w:r w:rsidRPr="00D77000">
              <w:rPr>
                <w:rFonts w:ascii="Arial" w:hAnsi="Arial" w:cs="Arial"/>
                <w:sz w:val="16"/>
                <w:szCs w:val="16"/>
              </w:rPr>
              <w:t>225</w:t>
            </w:r>
          </w:p>
        </w:tc>
        <w:tc>
          <w:tcPr>
            <w:tcW w:w="470" w:type="pct"/>
            <w:tcBorders>
              <w:top w:val="nil"/>
              <w:left w:val="nil"/>
              <w:bottom w:val="nil"/>
              <w:right w:val="nil"/>
            </w:tcBorders>
            <w:shd w:val="clear" w:color="000000" w:fill="E6F2FF"/>
            <w:noWrap/>
            <w:vAlign w:val="center"/>
            <w:hideMark/>
          </w:tcPr>
          <w:p w14:paraId="3F9A5852" w14:textId="77777777" w:rsidR="00D77000" w:rsidRPr="00D77000" w:rsidRDefault="00D77000" w:rsidP="00D77000">
            <w:pPr>
              <w:spacing w:before="0" w:after="0" w:line="240" w:lineRule="auto"/>
              <w:jc w:val="right"/>
              <w:rPr>
                <w:rFonts w:ascii="Arial" w:hAnsi="Arial" w:cs="Arial"/>
                <w:sz w:val="16"/>
                <w:szCs w:val="16"/>
              </w:rPr>
            </w:pPr>
            <w:r w:rsidRPr="00D77000">
              <w:rPr>
                <w:rFonts w:ascii="Arial" w:hAnsi="Arial" w:cs="Arial"/>
                <w:sz w:val="16"/>
                <w:szCs w:val="16"/>
              </w:rPr>
              <w:t>194</w:t>
            </w:r>
          </w:p>
        </w:tc>
        <w:tc>
          <w:tcPr>
            <w:tcW w:w="470" w:type="pct"/>
            <w:tcBorders>
              <w:top w:val="nil"/>
              <w:left w:val="nil"/>
              <w:bottom w:val="nil"/>
              <w:right w:val="nil"/>
            </w:tcBorders>
            <w:shd w:val="clear" w:color="000000" w:fill="FFFFFF"/>
            <w:noWrap/>
            <w:vAlign w:val="center"/>
            <w:hideMark/>
          </w:tcPr>
          <w:p w14:paraId="1F3B22F9" w14:textId="77777777" w:rsidR="00D77000" w:rsidRPr="00D77000" w:rsidRDefault="00D77000" w:rsidP="00D77000">
            <w:pPr>
              <w:spacing w:before="0" w:after="0" w:line="240" w:lineRule="auto"/>
              <w:jc w:val="right"/>
              <w:rPr>
                <w:rFonts w:ascii="Arial" w:hAnsi="Arial" w:cs="Arial"/>
                <w:sz w:val="16"/>
                <w:szCs w:val="16"/>
              </w:rPr>
            </w:pPr>
            <w:r w:rsidRPr="00D77000">
              <w:rPr>
                <w:rFonts w:ascii="Arial" w:hAnsi="Arial" w:cs="Arial"/>
                <w:sz w:val="16"/>
                <w:szCs w:val="16"/>
              </w:rPr>
              <w:t>137</w:t>
            </w:r>
          </w:p>
        </w:tc>
        <w:tc>
          <w:tcPr>
            <w:tcW w:w="470" w:type="pct"/>
            <w:tcBorders>
              <w:top w:val="nil"/>
              <w:left w:val="nil"/>
              <w:bottom w:val="nil"/>
              <w:right w:val="nil"/>
            </w:tcBorders>
            <w:shd w:val="clear" w:color="000000" w:fill="FFFFFF"/>
            <w:noWrap/>
            <w:vAlign w:val="center"/>
            <w:hideMark/>
          </w:tcPr>
          <w:p w14:paraId="3AB9747D" w14:textId="77777777" w:rsidR="00D77000" w:rsidRPr="00D77000" w:rsidRDefault="00D77000" w:rsidP="00D77000">
            <w:pPr>
              <w:spacing w:before="0" w:after="0" w:line="240" w:lineRule="auto"/>
              <w:jc w:val="right"/>
              <w:rPr>
                <w:rFonts w:ascii="Arial" w:hAnsi="Arial" w:cs="Arial"/>
                <w:sz w:val="16"/>
                <w:szCs w:val="16"/>
              </w:rPr>
            </w:pPr>
            <w:r w:rsidRPr="00D77000">
              <w:rPr>
                <w:rFonts w:ascii="Arial" w:hAnsi="Arial" w:cs="Arial"/>
                <w:sz w:val="16"/>
                <w:szCs w:val="16"/>
              </w:rPr>
              <w:t>38</w:t>
            </w:r>
          </w:p>
        </w:tc>
        <w:tc>
          <w:tcPr>
            <w:tcW w:w="67" w:type="pct"/>
            <w:tcBorders>
              <w:top w:val="nil"/>
              <w:left w:val="nil"/>
              <w:bottom w:val="nil"/>
              <w:right w:val="nil"/>
            </w:tcBorders>
            <w:shd w:val="clear" w:color="000000" w:fill="FFFFFF"/>
            <w:noWrap/>
            <w:vAlign w:val="center"/>
            <w:hideMark/>
          </w:tcPr>
          <w:p w14:paraId="77B6A491" w14:textId="77777777" w:rsidR="00D77000" w:rsidRPr="00D77000" w:rsidRDefault="00D77000" w:rsidP="00D77000">
            <w:pPr>
              <w:spacing w:before="0" w:after="0" w:line="240" w:lineRule="auto"/>
              <w:jc w:val="right"/>
              <w:rPr>
                <w:rFonts w:ascii="Arial" w:hAnsi="Arial" w:cs="Arial"/>
                <w:sz w:val="16"/>
                <w:szCs w:val="16"/>
              </w:rPr>
            </w:pPr>
            <w:r w:rsidRPr="00D77000">
              <w:rPr>
                <w:rFonts w:ascii="Arial" w:hAnsi="Arial" w:cs="Arial"/>
                <w:sz w:val="16"/>
                <w:szCs w:val="16"/>
              </w:rPr>
              <w:t> </w:t>
            </w:r>
          </w:p>
        </w:tc>
        <w:tc>
          <w:tcPr>
            <w:tcW w:w="466" w:type="pct"/>
            <w:tcBorders>
              <w:top w:val="nil"/>
              <w:left w:val="nil"/>
              <w:bottom w:val="nil"/>
              <w:right w:val="nil"/>
            </w:tcBorders>
            <w:shd w:val="clear" w:color="000000" w:fill="FFFFFF"/>
            <w:noWrap/>
            <w:vAlign w:val="center"/>
            <w:hideMark/>
          </w:tcPr>
          <w:p w14:paraId="34D4419E" w14:textId="77777777" w:rsidR="00D77000" w:rsidRPr="00D77000" w:rsidRDefault="00D77000" w:rsidP="00D77000">
            <w:pPr>
              <w:spacing w:before="0" w:after="0" w:line="240" w:lineRule="auto"/>
              <w:jc w:val="right"/>
              <w:rPr>
                <w:rFonts w:ascii="Arial" w:hAnsi="Arial" w:cs="Arial"/>
                <w:sz w:val="16"/>
                <w:szCs w:val="16"/>
              </w:rPr>
            </w:pPr>
            <w:r w:rsidRPr="00D77000">
              <w:rPr>
                <w:rFonts w:ascii="Arial" w:hAnsi="Arial" w:cs="Arial"/>
                <w:sz w:val="16"/>
                <w:szCs w:val="16"/>
              </w:rPr>
              <w:t>593</w:t>
            </w:r>
          </w:p>
        </w:tc>
      </w:tr>
      <w:tr w:rsidR="00D77000" w:rsidRPr="00D77000" w14:paraId="7057AFC4" w14:textId="77777777" w:rsidTr="00236E34">
        <w:trPr>
          <w:trHeight w:hRule="exact" w:val="225"/>
        </w:trPr>
        <w:tc>
          <w:tcPr>
            <w:tcW w:w="2586" w:type="pct"/>
            <w:tcBorders>
              <w:top w:val="nil"/>
              <w:left w:val="nil"/>
              <w:bottom w:val="nil"/>
              <w:right w:val="nil"/>
            </w:tcBorders>
            <w:shd w:val="clear" w:color="000000" w:fill="FFFFFF"/>
            <w:noWrap/>
            <w:vAlign w:val="center"/>
            <w:hideMark/>
          </w:tcPr>
          <w:p w14:paraId="0EF821A2" w14:textId="77777777" w:rsidR="00D77000" w:rsidRPr="00D77000" w:rsidRDefault="00D77000" w:rsidP="00D77000">
            <w:pPr>
              <w:spacing w:before="0" w:after="0" w:line="240" w:lineRule="auto"/>
              <w:rPr>
                <w:rFonts w:ascii="Arial" w:hAnsi="Arial" w:cs="Arial"/>
                <w:sz w:val="16"/>
                <w:szCs w:val="16"/>
              </w:rPr>
            </w:pPr>
            <w:r w:rsidRPr="00D77000">
              <w:rPr>
                <w:rFonts w:ascii="Arial" w:hAnsi="Arial" w:cs="Arial"/>
                <w:sz w:val="16"/>
                <w:szCs w:val="16"/>
              </w:rPr>
              <w:t>Effect of parameter and other variations</w:t>
            </w:r>
          </w:p>
        </w:tc>
        <w:tc>
          <w:tcPr>
            <w:tcW w:w="470" w:type="pct"/>
            <w:tcBorders>
              <w:top w:val="nil"/>
              <w:left w:val="nil"/>
              <w:bottom w:val="single" w:sz="4" w:space="0" w:color="293F5B"/>
              <w:right w:val="nil"/>
            </w:tcBorders>
            <w:shd w:val="clear" w:color="000000" w:fill="FFFFFF"/>
            <w:noWrap/>
            <w:vAlign w:val="center"/>
            <w:hideMark/>
          </w:tcPr>
          <w:p w14:paraId="602EEDE2" w14:textId="1EAB8AEE" w:rsidR="00D77000" w:rsidRPr="00D77000" w:rsidRDefault="008D4F6B" w:rsidP="00D77000">
            <w:pPr>
              <w:spacing w:before="0" w:after="0" w:line="240" w:lineRule="auto"/>
              <w:jc w:val="right"/>
              <w:rPr>
                <w:rFonts w:ascii="Arial" w:hAnsi="Arial" w:cs="Arial"/>
                <w:sz w:val="16"/>
                <w:szCs w:val="16"/>
              </w:rPr>
            </w:pPr>
            <w:r>
              <w:rPr>
                <w:rFonts w:ascii="Arial" w:hAnsi="Arial" w:cs="Arial"/>
                <w:sz w:val="16"/>
                <w:szCs w:val="16"/>
              </w:rPr>
              <w:noBreakHyphen/>
            </w:r>
            <w:r w:rsidR="00D77000" w:rsidRPr="00D77000">
              <w:rPr>
                <w:rFonts w:ascii="Arial" w:hAnsi="Arial" w:cs="Arial"/>
                <w:sz w:val="16"/>
                <w:szCs w:val="16"/>
              </w:rPr>
              <w:t>1,761</w:t>
            </w:r>
          </w:p>
        </w:tc>
        <w:tc>
          <w:tcPr>
            <w:tcW w:w="470" w:type="pct"/>
            <w:tcBorders>
              <w:top w:val="nil"/>
              <w:left w:val="nil"/>
              <w:bottom w:val="single" w:sz="4" w:space="0" w:color="293F5B"/>
              <w:right w:val="nil"/>
            </w:tcBorders>
            <w:shd w:val="clear" w:color="000000" w:fill="E6F2FF"/>
            <w:noWrap/>
            <w:vAlign w:val="center"/>
            <w:hideMark/>
          </w:tcPr>
          <w:p w14:paraId="0368F37D" w14:textId="77777777" w:rsidR="00D77000" w:rsidRPr="00D77000" w:rsidRDefault="00D77000" w:rsidP="00D77000">
            <w:pPr>
              <w:spacing w:before="0" w:after="0" w:line="240" w:lineRule="auto"/>
              <w:jc w:val="right"/>
              <w:rPr>
                <w:rFonts w:ascii="Arial" w:hAnsi="Arial" w:cs="Arial"/>
                <w:sz w:val="16"/>
                <w:szCs w:val="16"/>
              </w:rPr>
            </w:pPr>
            <w:r w:rsidRPr="00D77000">
              <w:rPr>
                <w:rFonts w:ascii="Arial" w:hAnsi="Arial" w:cs="Arial"/>
                <w:sz w:val="16"/>
                <w:szCs w:val="16"/>
              </w:rPr>
              <w:t>1,654</w:t>
            </w:r>
          </w:p>
        </w:tc>
        <w:tc>
          <w:tcPr>
            <w:tcW w:w="470" w:type="pct"/>
            <w:tcBorders>
              <w:top w:val="nil"/>
              <w:left w:val="nil"/>
              <w:bottom w:val="single" w:sz="4" w:space="0" w:color="293F5B"/>
              <w:right w:val="nil"/>
            </w:tcBorders>
            <w:shd w:val="clear" w:color="000000" w:fill="FFFFFF"/>
            <w:noWrap/>
            <w:vAlign w:val="center"/>
            <w:hideMark/>
          </w:tcPr>
          <w:p w14:paraId="6C51A39A" w14:textId="77777777" w:rsidR="00D77000" w:rsidRPr="00D77000" w:rsidRDefault="00D77000" w:rsidP="00D77000">
            <w:pPr>
              <w:spacing w:before="0" w:after="0" w:line="240" w:lineRule="auto"/>
              <w:jc w:val="right"/>
              <w:rPr>
                <w:rFonts w:ascii="Arial" w:hAnsi="Arial" w:cs="Arial"/>
                <w:sz w:val="16"/>
                <w:szCs w:val="16"/>
              </w:rPr>
            </w:pPr>
            <w:r w:rsidRPr="00D77000">
              <w:rPr>
                <w:rFonts w:ascii="Arial" w:hAnsi="Arial" w:cs="Arial"/>
                <w:sz w:val="16"/>
                <w:szCs w:val="16"/>
              </w:rPr>
              <w:t>1,488</w:t>
            </w:r>
          </w:p>
        </w:tc>
        <w:tc>
          <w:tcPr>
            <w:tcW w:w="470" w:type="pct"/>
            <w:tcBorders>
              <w:top w:val="nil"/>
              <w:left w:val="nil"/>
              <w:bottom w:val="single" w:sz="4" w:space="0" w:color="293F5B"/>
              <w:right w:val="nil"/>
            </w:tcBorders>
            <w:shd w:val="clear" w:color="000000" w:fill="FFFFFF"/>
            <w:noWrap/>
            <w:vAlign w:val="center"/>
            <w:hideMark/>
          </w:tcPr>
          <w:p w14:paraId="12FE36B2" w14:textId="77777777" w:rsidR="00D77000" w:rsidRPr="00D77000" w:rsidRDefault="00D77000" w:rsidP="00D77000">
            <w:pPr>
              <w:spacing w:before="0" w:after="0" w:line="240" w:lineRule="auto"/>
              <w:jc w:val="right"/>
              <w:rPr>
                <w:rFonts w:ascii="Arial" w:hAnsi="Arial" w:cs="Arial"/>
                <w:sz w:val="16"/>
                <w:szCs w:val="16"/>
              </w:rPr>
            </w:pPr>
            <w:r w:rsidRPr="00D77000">
              <w:rPr>
                <w:rFonts w:ascii="Arial" w:hAnsi="Arial" w:cs="Arial"/>
                <w:sz w:val="16"/>
                <w:szCs w:val="16"/>
              </w:rPr>
              <w:t>373</w:t>
            </w:r>
          </w:p>
        </w:tc>
        <w:tc>
          <w:tcPr>
            <w:tcW w:w="67" w:type="pct"/>
            <w:tcBorders>
              <w:top w:val="nil"/>
              <w:left w:val="nil"/>
              <w:bottom w:val="nil"/>
              <w:right w:val="nil"/>
            </w:tcBorders>
            <w:shd w:val="clear" w:color="000000" w:fill="FFFFFF"/>
            <w:noWrap/>
            <w:vAlign w:val="center"/>
            <w:hideMark/>
          </w:tcPr>
          <w:p w14:paraId="3D8505EF" w14:textId="77777777" w:rsidR="00D77000" w:rsidRPr="00D77000" w:rsidRDefault="00D77000" w:rsidP="00D77000">
            <w:pPr>
              <w:spacing w:before="0" w:after="0" w:line="240" w:lineRule="auto"/>
              <w:jc w:val="right"/>
              <w:rPr>
                <w:rFonts w:ascii="Arial" w:hAnsi="Arial" w:cs="Arial"/>
                <w:sz w:val="16"/>
                <w:szCs w:val="16"/>
              </w:rPr>
            </w:pPr>
            <w:r w:rsidRPr="00D77000">
              <w:rPr>
                <w:rFonts w:ascii="Arial" w:hAnsi="Arial" w:cs="Arial"/>
                <w:sz w:val="16"/>
                <w:szCs w:val="16"/>
              </w:rPr>
              <w:t> </w:t>
            </w:r>
          </w:p>
        </w:tc>
        <w:tc>
          <w:tcPr>
            <w:tcW w:w="466" w:type="pct"/>
            <w:tcBorders>
              <w:top w:val="nil"/>
              <w:left w:val="nil"/>
              <w:bottom w:val="single" w:sz="4" w:space="0" w:color="293F5B"/>
              <w:right w:val="nil"/>
            </w:tcBorders>
            <w:shd w:val="clear" w:color="000000" w:fill="FFFFFF"/>
            <w:noWrap/>
            <w:vAlign w:val="center"/>
            <w:hideMark/>
          </w:tcPr>
          <w:p w14:paraId="33416F4D" w14:textId="77777777" w:rsidR="00D77000" w:rsidRPr="00D77000" w:rsidRDefault="00D77000" w:rsidP="00D77000">
            <w:pPr>
              <w:spacing w:before="0" w:after="0" w:line="240" w:lineRule="auto"/>
              <w:jc w:val="right"/>
              <w:rPr>
                <w:rFonts w:ascii="Arial" w:hAnsi="Arial" w:cs="Arial"/>
                <w:sz w:val="16"/>
                <w:szCs w:val="16"/>
              </w:rPr>
            </w:pPr>
            <w:r w:rsidRPr="00D77000">
              <w:rPr>
                <w:rFonts w:ascii="Arial" w:hAnsi="Arial" w:cs="Arial"/>
                <w:sz w:val="16"/>
                <w:szCs w:val="16"/>
              </w:rPr>
              <w:t>1,754</w:t>
            </w:r>
          </w:p>
        </w:tc>
      </w:tr>
      <w:tr w:rsidR="00D77000" w:rsidRPr="00D77000" w14:paraId="1A54890A" w14:textId="77777777" w:rsidTr="00236E34">
        <w:trPr>
          <w:trHeight w:hRule="exact" w:val="225"/>
        </w:trPr>
        <w:tc>
          <w:tcPr>
            <w:tcW w:w="2586" w:type="pct"/>
            <w:tcBorders>
              <w:top w:val="nil"/>
              <w:left w:val="nil"/>
              <w:bottom w:val="nil"/>
              <w:right w:val="nil"/>
            </w:tcBorders>
            <w:shd w:val="clear" w:color="000000" w:fill="FFFFFF"/>
            <w:noWrap/>
            <w:vAlign w:val="center"/>
            <w:hideMark/>
          </w:tcPr>
          <w:p w14:paraId="6EFEE763" w14:textId="77777777" w:rsidR="00D77000" w:rsidRPr="00D77000" w:rsidRDefault="00D77000" w:rsidP="00D77000">
            <w:pPr>
              <w:spacing w:before="0" w:after="0" w:line="240" w:lineRule="auto"/>
              <w:rPr>
                <w:rFonts w:ascii="Arial" w:hAnsi="Arial" w:cs="Arial"/>
                <w:b/>
                <w:bCs/>
                <w:sz w:val="16"/>
                <w:szCs w:val="16"/>
              </w:rPr>
            </w:pPr>
            <w:r w:rsidRPr="00D77000">
              <w:rPr>
                <w:rFonts w:ascii="Arial" w:hAnsi="Arial" w:cs="Arial"/>
                <w:b/>
                <w:bCs/>
                <w:sz w:val="16"/>
                <w:szCs w:val="16"/>
              </w:rPr>
              <w:t>Total variations</w:t>
            </w:r>
          </w:p>
        </w:tc>
        <w:tc>
          <w:tcPr>
            <w:tcW w:w="470" w:type="pct"/>
            <w:tcBorders>
              <w:top w:val="single" w:sz="4" w:space="0" w:color="293F5B"/>
              <w:left w:val="nil"/>
              <w:bottom w:val="single" w:sz="4" w:space="0" w:color="293F5B"/>
              <w:right w:val="nil"/>
            </w:tcBorders>
            <w:shd w:val="clear" w:color="000000" w:fill="FFFFFF"/>
            <w:noWrap/>
            <w:vAlign w:val="center"/>
            <w:hideMark/>
          </w:tcPr>
          <w:p w14:paraId="43FFC477" w14:textId="59896734" w:rsidR="00D77000" w:rsidRPr="00D77000" w:rsidRDefault="008D4F6B" w:rsidP="00D77000">
            <w:pPr>
              <w:spacing w:before="0" w:after="0" w:line="240" w:lineRule="auto"/>
              <w:jc w:val="right"/>
              <w:rPr>
                <w:rFonts w:ascii="Arial" w:hAnsi="Arial" w:cs="Arial"/>
                <w:b/>
                <w:bCs/>
                <w:sz w:val="16"/>
                <w:szCs w:val="16"/>
              </w:rPr>
            </w:pPr>
            <w:r>
              <w:rPr>
                <w:rFonts w:ascii="Arial" w:hAnsi="Arial" w:cs="Arial"/>
                <w:b/>
                <w:bCs/>
                <w:sz w:val="16"/>
                <w:szCs w:val="16"/>
              </w:rPr>
              <w:noBreakHyphen/>
            </w:r>
            <w:r w:rsidR="00D77000" w:rsidRPr="00D77000">
              <w:rPr>
                <w:rFonts w:ascii="Arial" w:hAnsi="Arial" w:cs="Arial"/>
                <w:b/>
                <w:bCs/>
                <w:sz w:val="16"/>
                <w:szCs w:val="16"/>
              </w:rPr>
              <w:t>1,536</w:t>
            </w:r>
          </w:p>
        </w:tc>
        <w:tc>
          <w:tcPr>
            <w:tcW w:w="470" w:type="pct"/>
            <w:tcBorders>
              <w:top w:val="single" w:sz="4" w:space="0" w:color="293F5B"/>
              <w:left w:val="nil"/>
              <w:bottom w:val="single" w:sz="4" w:space="0" w:color="293F5B"/>
              <w:right w:val="nil"/>
            </w:tcBorders>
            <w:shd w:val="clear" w:color="000000" w:fill="E6F2FF"/>
            <w:noWrap/>
            <w:vAlign w:val="center"/>
            <w:hideMark/>
          </w:tcPr>
          <w:p w14:paraId="4620DAAD" w14:textId="77777777" w:rsidR="00D77000" w:rsidRPr="00D77000" w:rsidRDefault="00D77000" w:rsidP="00D77000">
            <w:pPr>
              <w:spacing w:before="0" w:after="0" w:line="240" w:lineRule="auto"/>
              <w:jc w:val="right"/>
              <w:rPr>
                <w:rFonts w:ascii="Arial" w:hAnsi="Arial" w:cs="Arial"/>
                <w:b/>
                <w:bCs/>
                <w:sz w:val="16"/>
                <w:szCs w:val="16"/>
              </w:rPr>
            </w:pPr>
            <w:r w:rsidRPr="00D77000">
              <w:rPr>
                <w:rFonts w:ascii="Arial" w:hAnsi="Arial" w:cs="Arial"/>
                <w:b/>
                <w:bCs/>
                <w:sz w:val="16"/>
                <w:szCs w:val="16"/>
              </w:rPr>
              <w:t>1,849</w:t>
            </w:r>
          </w:p>
        </w:tc>
        <w:tc>
          <w:tcPr>
            <w:tcW w:w="470" w:type="pct"/>
            <w:tcBorders>
              <w:top w:val="single" w:sz="4" w:space="0" w:color="293F5B"/>
              <w:left w:val="nil"/>
              <w:bottom w:val="single" w:sz="4" w:space="0" w:color="293F5B"/>
              <w:right w:val="nil"/>
            </w:tcBorders>
            <w:shd w:val="clear" w:color="000000" w:fill="FFFFFF"/>
            <w:noWrap/>
            <w:vAlign w:val="center"/>
            <w:hideMark/>
          </w:tcPr>
          <w:p w14:paraId="757209B1" w14:textId="77777777" w:rsidR="00D77000" w:rsidRPr="00D77000" w:rsidRDefault="00D77000" w:rsidP="00D77000">
            <w:pPr>
              <w:spacing w:before="0" w:after="0" w:line="240" w:lineRule="auto"/>
              <w:jc w:val="right"/>
              <w:rPr>
                <w:rFonts w:ascii="Arial" w:hAnsi="Arial" w:cs="Arial"/>
                <w:b/>
                <w:bCs/>
                <w:sz w:val="16"/>
                <w:szCs w:val="16"/>
              </w:rPr>
            </w:pPr>
            <w:r w:rsidRPr="00D77000">
              <w:rPr>
                <w:rFonts w:ascii="Arial" w:hAnsi="Arial" w:cs="Arial"/>
                <w:b/>
                <w:bCs/>
                <w:sz w:val="16"/>
                <w:szCs w:val="16"/>
              </w:rPr>
              <w:t>1,625</w:t>
            </w:r>
          </w:p>
        </w:tc>
        <w:tc>
          <w:tcPr>
            <w:tcW w:w="470" w:type="pct"/>
            <w:tcBorders>
              <w:top w:val="single" w:sz="4" w:space="0" w:color="293F5B"/>
              <w:left w:val="nil"/>
              <w:bottom w:val="single" w:sz="4" w:space="0" w:color="293F5B"/>
              <w:right w:val="nil"/>
            </w:tcBorders>
            <w:shd w:val="clear" w:color="000000" w:fill="FFFFFF"/>
            <w:noWrap/>
            <w:vAlign w:val="center"/>
            <w:hideMark/>
          </w:tcPr>
          <w:p w14:paraId="32EACC41" w14:textId="77777777" w:rsidR="00D77000" w:rsidRPr="00D77000" w:rsidRDefault="00D77000" w:rsidP="00D77000">
            <w:pPr>
              <w:spacing w:before="0" w:after="0" w:line="240" w:lineRule="auto"/>
              <w:jc w:val="right"/>
              <w:rPr>
                <w:rFonts w:ascii="Arial" w:hAnsi="Arial" w:cs="Arial"/>
                <w:b/>
                <w:bCs/>
                <w:sz w:val="16"/>
                <w:szCs w:val="16"/>
              </w:rPr>
            </w:pPr>
            <w:r w:rsidRPr="00D77000">
              <w:rPr>
                <w:rFonts w:ascii="Arial" w:hAnsi="Arial" w:cs="Arial"/>
                <w:b/>
                <w:bCs/>
                <w:sz w:val="16"/>
                <w:szCs w:val="16"/>
              </w:rPr>
              <w:t>410</w:t>
            </w:r>
          </w:p>
        </w:tc>
        <w:tc>
          <w:tcPr>
            <w:tcW w:w="67" w:type="pct"/>
            <w:tcBorders>
              <w:top w:val="nil"/>
              <w:left w:val="nil"/>
              <w:bottom w:val="nil"/>
              <w:right w:val="nil"/>
            </w:tcBorders>
            <w:shd w:val="clear" w:color="000000" w:fill="FFFFFF"/>
            <w:noWrap/>
            <w:vAlign w:val="center"/>
            <w:hideMark/>
          </w:tcPr>
          <w:p w14:paraId="74AAA450" w14:textId="77777777" w:rsidR="00D77000" w:rsidRPr="00D77000" w:rsidRDefault="00D77000" w:rsidP="00D77000">
            <w:pPr>
              <w:spacing w:before="0" w:after="0" w:line="240" w:lineRule="auto"/>
              <w:jc w:val="right"/>
              <w:rPr>
                <w:rFonts w:ascii="Arial" w:hAnsi="Arial" w:cs="Arial"/>
                <w:b/>
                <w:bCs/>
                <w:sz w:val="16"/>
                <w:szCs w:val="16"/>
              </w:rPr>
            </w:pPr>
            <w:r w:rsidRPr="00D77000">
              <w:rPr>
                <w:rFonts w:ascii="Arial" w:hAnsi="Arial" w:cs="Arial"/>
                <w:b/>
                <w:bCs/>
                <w:sz w:val="16"/>
                <w:szCs w:val="16"/>
              </w:rPr>
              <w:t> </w:t>
            </w:r>
          </w:p>
        </w:tc>
        <w:tc>
          <w:tcPr>
            <w:tcW w:w="466" w:type="pct"/>
            <w:tcBorders>
              <w:top w:val="single" w:sz="4" w:space="0" w:color="293F5B"/>
              <w:left w:val="nil"/>
              <w:bottom w:val="single" w:sz="4" w:space="0" w:color="293F5B"/>
              <w:right w:val="nil"/>
            </w:tcBorders>
            <w:shd w:val="clear" w:color="000000" w:fill="FFFFFF"/>
            <w:noWrap/>
            <w:vAlign w:val="center"/>
            <w:hideMark/>
          </w:tcPr>
          <w:p w14:paraId="516E94F0" w14:textId="77777777" w:rsidR="00D77000" w:rsidRPr="00D77000" w:rsidRDefault="00D77000" w:rsidP="00D77000">
            <w:pPr>
              <w:spacing w:before="0" w:after="0" w:line="240" w:lineRule="auto"/>
              <w:jc w:val="right"/>
              <w:rPr>
                <w:rFonts w:ascii="Arial" w:hAnsi="Arial" w:cs="Arial"/>
                <w:b/>
                <w:bCs/>
                <w:sz w:val="16"/>
                <w:szCs w:val="16"/>
              </w:rPr>
            </w:pPr>
            <w:r w:rsidRPr="00D77000">
              <w:rPr>
                <w:rFonts w:ascii="Arial" w:hAnsi="Arial" w:cs="Arial"/>
                <w:b/>
                <w:bCs/>
                <w:sz w:val="16"/>
                <w:szCs w:val="16"/>
              </w:rPr>
              <w:t>2,348</w:t>
            </w:r>
          </w:p>
        </w:tc>
      </w:tr>
      <w:tr w:rsidR="00D77000" w:rsidRPr="00D77000" w14:paraId="4959C62C" w14:textId="77777777" w:rsidTr="00236E34">
        <w:trPr>
          <w:trHeight w:hRule="exact" w:val="60"/>
        </w:trPr>
        <w:tc>
          <w:tcPr>
            <w:tcW w:w="2586" w:type="pct"/>
            <w:tcBorders>
              <w:top w:val="nil"/>
              <w:left w:val="nil"/>
              <w:bottom w:val="nil"/>
              <w:right w:val="nil"/>
            </w:tcBorders>
            <w:shd w:val="clear" w:color="000000" w:fill="FFFFFF"/>
            <w:noWrap/>
            <w:vAlign w:val="center"/>
            <w:hideMark/>
          </w:tcPr>
          <w:p w14:paraId="381A13E8" w14:textId="77777777" w:rsidR="00D77000" w:rsidRPr="00D77000" w:rsidRDefault="00D77000" w:rsidP="00D77000">
            <w:pPr>
              <w:spacing w:before="0" w:after="0" w:line="240" w:lineRule="auto"/>
              <w:rPr>
                <w:rFonts w:ascii="Arial" w:hAnsi="Arial" w:cs="Arial"/>
                <w:b/>
                <w:bCs/>
                <w:sz w:val="16"/>
                <w:szCs w:val="16"/>
              </w:rPr>
            </w:pPr>
            <w:r w:rsidRPr="00D77000">
              <w:rPr>
                <w:rFonts w:ascii="Arial" w:hAnsi="Arial" w:cs="Arial"/>
                <w:b/>
                <w:bCs/>
                <w:sz w:val="16"/>
                <w:szCs w:val="16"/>
              </w:rPr>
              <w:t> </w:t>
            </w:r>
          </w:p>
        </w:tc>
        <w:tc>
          <w:tcPr>
            <w:tcW w:w="470" w:type="pct"/>
            <w:tcBorders>
              <w:top w:val="single" w:sz="4" w:space="0" w:color="293F5B"/>
              <w:left w:val="nil"/>
              <w:bottom w:val="nil"/>
              <w:right w:val="nil"/>
            </w:tcBorders>
            <w:shd w:val="clear" w:color="000000" w:fill="FFFFFF"/>
            <w:noWrap/>
            <w:vAlign w:val="center"/>
            <w:hideMark/>
          </w:tcPr>
          <w:p w14:paraId="5B7A8BDD" w14:textId="77777777" w:rsidR="00D77000" w:rsidRPr="00D77000" w:rsidRDefault="00D77000" w:rsidP="00D77000">
            <w:pPr>
              <w:spacing w:before="0" w:after="0" w:line="240" w:lineRule="auto"/>
              <w:rPr>
                <w:rFonts w:ascii="Arial" w:hAnsi="Arial" w:cs="Arial"/>
                <w:color w:val="0066CC"/>
                <w:sz w:val="16"/>
                <w:szCs w:val="16"/>
              </w:rPr>
            </w:pPr>
            <w:r w:rsidRPr="00D77000">
              <w:rPr>
                <w:rFonts w:ascii="Arial" w:hAnsi="Arial" w:cs="Arial"/>
                <w:color w:val="0066CC"/>
                <w:sz w:val="16"/>
                <w:szCs w:val="16"/>
              </w:rPr>
              <w:t> </w:t>
            </w:r>
          </w:p>
        </w:tc>
        <w:tc>
          <w:tcPr>
            <w:tcW w:w="470" w:type="pct"/>
            <w:tcBorders>
              <w:top w:val="single" w:sz="4" w:space="0" w:color="293F5B"/>
              <w:left w:val="nil"/>
              <w:bottom w:val="nil"/>
              <w:right w:val="nil"/>
            </w:tcBorders>
            <w:shd w:val="clear" w:color="000000" w:fill="E6F2FF"/>
            <w:noWrap/>
            <w:vAlign w:val="center"/>
            <w:hideMark/>
          </w:tcPr>
          <w:p w14:paraId="07547C4C" w14:textId="77777777" w:rsidR="00D77000" w:rsidRPr="00D77000" w:rsidRDefault="00D77000" w:rsidP="00D77000">
            <w:pPr>
              <w:spacing w:before="0" w:after="0" w:line="240" w:lineRule="auto"/>
              <w:rPr>
                <w:rFonts w:ascii="Arial" w:hAnsi="Arial" w:cs="Arial"/>
                <w:color w:val="0066CC"/>
                <w:sz w:val="16"/>
                <w:szCs w:val="16"/>
              </w:rPr>
            </w:pPr>
            <w:r w:rsidRPr="00D77000">
              <w:rPr>
                <w:rFonts w:ascii="Arial" w:hAnsi="Arial" w:cs="Arial"/>
                <w:color w:val="0066CC"/>
                <w:sz w:val="16"/>
                <w:szCs w:val="16"/>
              </w:rPr>
              <w:t> </w:t>
            </w:r>
          </w:p>
        </w:tc>
        <w:tc>
          <w:tcPr>
            <w:tcW w:w="470" w:type="pct"/>
            <w:tcBorders>
              <w:top w:val="single" w:sz="4" w:space="0" w:color="293F5B"/>
              <w:left w:val="nil"/>
              <w:bottom w:val="nil"/>
              <w:right w:val="nil"/>
            </w:tcBorders>
            <w:shd w:val="clear" w:color="000000" w:fill="FFFFFF"/>
            <w:noWrap/>
            <w:vAlign w:val="center"/>
            <w:hideMark/>
          </w:tcPr>
          <w:p w14:paraId="4F312F5F" w14:textId="77777777" w:rsidR="00D77000" w:rsidRPr="00D77000" w:rsidRDefault="00D77000" w:rsidP="00D77000">
            <w:pPr>
              <w:spacing w:before="0" w:after="0" w:line="240" w:lineRule="auto"/>
              <w:rPr>
                <w:rFonts w:ascii="Arial" w:hAnsi="Arial" w:cs="Arial"/>
                <w:color w:val="0066CC"/>
                <w:sz w:val="16"/>
                <w:szCs w:val="16"/>
              </w:rPr>
            </w:pPr>
            <w:r w:rsidRPr="00D77000">
              <w:rPr>
                <w:rFonts w:ascii="Arial" w:hAnsi="Arial" w:cs="Arial"/>
                <w:color w:val="0066CC"/>
                <w:sz w:val="16"/>
                <w:szCs w:val="16"/>
              </w:rPr>
              <w:t> </w:t>
            </w:r>
          </w:p>
        </w:tc>
        <w:tc>
          <w:tcPr>
            <w:tcW w:w="470" w:type="pct"/>
            <w:tcBorders>
              <w:top w:val="single" w:sz="4" w:space="0" w:color="293F5B"/>
              <w:left w:val="nil"/>
              <w:bottom w:val="nil"/>
              <w:right w:val="nil"/>
            </w:tcBorders>
            <w:shd w:val="clear" w:color="000000" w:fill="FFFFFF"/>
            <w:noWrap/>
            <w:vAlign w:val="center"/>
            <w:hideMark/>
          </w:tcPr>
          <w:p w14:paraId="2CF33F75" w14:textId="77777777" w:rsidR="00D77000" w:rsidRPr="00D77000" w:rsidRDefault="00D77000" w:rsidP="00D77000">
            <w:pPr>
              <w:spacing w:before="0" w:after="0" w:line="240" w:lineRule="auto"/>
              <w:rPr>
                <w:rFonts w:ascii="Arial" w:hAnsi="Arial" w:cs="Arial"/>
                <w:color w:val="0066CC"/>
                <w:sz w:val="16"/>
                <w:szCs w:val="16"/>
              </w:rPr>
            </w:pPr>
            <w:r w:rsidRPr="00D77000">
              <w:rPr>
                <w:rFonts w:ascii="Arial" w:hAnsi="Arial" w:cs="Arial"/>
                <w:color w:val="0066CC"/>
                <w:sz w:val="16"/>
                <w:szCs w:val="16"/>
              </w:rPr>
              <w:t> </w:t>
            </w:r>
          </w:p>
        </w:tc>
        <w:tc>
          <w:tcPr>
            <w:tcW w:w="67" w:type="pct"/>
            <w:tcBorders>
              <w:top w:val="nil"/>
              <w:left w:val="nil"/>
              <w:bottom w:val="nil"/>
              <w:right w:val="nil"/>
            </w:tcBorders>
            <w:shd w:val="clear" w:color="000000" w:fill="FFFFFF"/>
            <w:noWrap/>
            <w:vAlign w:val="center"/>
            <w:hideMark/>
          </w:tcPr>
          <w:p w14:paraId="0AD62D38" w14:textId="77777777" w:rsidR="00D77000" w:rsidRPr="00D77000" w:rsidRDefault="00D77000" w:rsidP="00D77000">
            <w:pPr>
              <w:spacing w:before="0" w:after="0" w:line="240" w:lineRule="auto"/>
              <w:rPr>
                <w:rFonts w:ascii="Arial" w:hAnsi="Arial" w:cs="Arial"/>
                <w:color w:val="0066CC"/>
                <w:sz w:val="16"/>
                <w:szCs w:val="16"/>
              </w:rPr>
            </w:pPr>
            <w:r w:rsidRPr="00D77000">
              <w:rPr>
                <w:rFonts w:ascii="Arial" w:hAnsi="Arial" w:cs="Arial"/>
                <w:color w:val="0066CC"/>
                <w:sz w:val="16"/>
                <w:szCs w:val="16"/>
              </w:rPr>
              <w:t> </w:t>
            </w:r>
          </w:p>
        </w:tc>
        <w:tc>
          <w:tcPr>
            <w:tcW w:w="466" w:type="pct"/>
            <w:tcBorders>
              <w:top w:val="single" w:sz="4" w:space="0" w:color="293F5B"/>
              <w:left w:val="nil"/>
              <w:bottom w:val="nil"/>
              <w:right w:val="nil"/>
            </w:tcBorders>
            <w:shd w:val="clear" w:color="000000" w:fill="FFFFFF"/>
            <w:noWrap/>
            <w:vAlign w:val="center"/>
            <w:hideMark/>
          </w:tcPr>
          <w:p w14:paraId="55917C48" w14:textId="77777777" w:rsidR="00D77000" w:rsidRPr="00D77000" w:rsidRDefault="00D77000" w:rsidP="00D77000">
            <w:pPr>
              <w:spacing w:before="0" w:after="0" w:line="240" w:lineRule="auto"/>
              <w:jc w:val="right"/>
              <w:rPr>
                <w:rFonts w:ascii="Arial" w:hAnsi="Arial" w:cs="Arial"/>
                <w:sz w:val="16"/>
                <w:szCs w:val="16"/>
              </w:rPr>
            </w:pPr>
            <w:r w:rsidRPr="00D77000">
              <w:rPr>
                <w:rFonts w:ascii="Arial" w:hAnsi="Arial" w:cs="Arial"/>
                <w:sz w:val="16"/>
                <w:szCs w:val="16"/>
              </w:rPr>
              <w:t> </w:t>
            </w:r>
          </w:p>
        </w:tc>
      </w:tr>
      <w:tr w:rsidR="00D77000" w:rsidRPr="00D77000" w14:paraId="78024FF3" w14:textId="77777777" w:rsidTr="00D77000">
        <w:trPr>
          <w:trHeight w:hRule="exact" w:val="225"/>
        </w:trPr>
        <w:tc>
          <w:tcPr>
            <w:tcW w:w="2586" w:type="pct"/>
            <w:tcBorders>
              <w:top w:val="nil"/>
              <w:left w:val="nil"/>
              <w:bottom w:val="nil"/>
              <w:right w:val="nil"/>
            </w:tcBorders>
            <w:shd w:val="clear" w:color="000000" w:fill="FFFFFF"/>
            <w:noWrap/>
            <w:vAlign w:val="center"/>
            <w:hideMark/>
          </w:tcPr>
          <w:p w14:paraId="14147508" w14:textId="199F8297" w:rsidR="00D77000" w:rsidRPr="00D77000" w:rsidRDefault="00D77000" w:rsidP="00D77000">
            <w:pPr>
              <w:spacing w:before="0" w:after="0" w:line="240" w:lineRule="auto"/>
              <w:rPr>
                <w:rFonts w:ascii="Arial" w:hAnsi="Arial" w:cs="Arial"/>
                <w:b/>
                <w:bCs/>
                <w:sz w:val="16"/>
                <w:szCs w:val="16"/>
              </w:rPr>
            </w:pPr>
            <w:r w:rsidRPr="00D77000">
              <w:rPr>
                <w:rFonts w:ascii="Arial" w:hAnsi="Arial" w:cs="Arial"/>
                <w:b/>
                <w:bCs/>
                <w:sz w:val="16"/>
                <w:szCs w:val="16"/>
              </w:rPr>
              <w:t>2023</w:t>
            </w:r>
            <w:r w:rsidR="008D4F6B">
              <w:rPr>
                <w:rFonts w:ascii="Arial" w:hAnsi="Arial" w:cs="Arial"/>
                <w:b/>
                <w:bCs/>
                <w:sz w:val="16"/>
                <w:szCs w:val="16"/>
              </w:rPr>
              <w:noBreakHyphen/>
            </w:r>
            <w:r w:rsidRPr="00D77000">
              <w:rPr>
                <w:rFonts w:ascii="Arial" w:hAnsi="Arial" w:cs="Arial"/>
                <w:b/>
                <w:bCs/>
                <w:sz w:val="16"/>
                <w:szCs w:val="16"/>
              </w:rPr>
              <w:t>24 MYEFO net capital investment</w:t>
            </w:r>
          </w:p>
        </w:tc>
        <w:tc>
          <w:tcPr>
            <w:tcW w:w="470" w:type="pct"/>
            <w:tcBorders>
              <w:top w:val="nil"/>
              <w:left w:val="nil"/>
              <w:bottom w:val="nil"/>
              <w:right w:val="nil"/>
            </w:tcBorders>
            <w:shd w:val="clear" w:color="000000" w:fill="FFFFFF"/>
            <w:noWrap/>
            <w:vAlign w:val="center"/>
            <w:hideMark/>
          </w:tcPr>
          <w:p w14:paraId="6FDA6EB9" w14:textId="77777777" w:rsidR="00D77000" w:rsidRPr="00D77000" w:rsidRDefault="00D77000" w:rsidP="00D77000">
            <w:pPr>
              <w:spacing w:before="0" w:after="0" w:line="240" w:lineRule="auto"/>
              <w:jc w:val="right"/>
              <w:rPr>
                <w:rFonts w:ascii="Arial" w:hAnsi="Arial" w:cs="Arial"/>
                <w:b/>
                <w:bCs/>
                <w:sz w:val="16"/>
                <w:szCs w:val="16"/>
              </w:rPr>
            </w:pPr>
            <w:r w:rsidRPr="00D77000">
              <w:rPr>
                <w:rFonts w:ascii="Arial" w:hAnsi="Arial" w:cs="Arial"/>
                <w:b/>
                <w:bCs/>
                <w:sz w:val="16"/>
                <w:szCs w:val="16"/>
              </w:rPr>
              <w:t>8,895</w:t>
            </w:r>
          </w:p>
        </w:tc>
        <w:tc>
          <w:tcPr>
            <w:tcW w:w="470" w:type="pct"/>
            <w:tcBorders>
              <w:top w:val="nil"/>
              <w:left w:val="nil"/>
              <w:bottom w:val="nil"/>
              <w:right w:val="nil"/>
            </w:tcBorders>
            <w:shd w:val="clear" w:color="000000" w:fill="E6F2FF"/>
            <w:noWrap/>
            <w:vAlign w:val="center"/>
            <w:hideMark/>
          </w:tcPr>
          <w:p w14:paraId="29D69F9A" w14:textId="77777777" w:rsidR="00D77000" w:rsidRPr="00D77000" w:rsidRDefault="00D77000" w:rsidP="00D77000">
            <w:pPr>
              <w:spacing w:before="0" w:after="0" w:line="240" w:lineRule="auto"/>
              <w:jc w:val="right"/>
              <w:rPr>
                <w:rFonts w:ascii="Arial" w:hAnsi="Arial" w:cs="Arial"/>
                <w:b/>
                <w:bCs/>
                <w:sz w:val="16"/>
                <w:szCs w:val="16"/>
              </w:rPr>
            </w:pPr>
            <w:r w:rsidRPr="00D77000">
              <w:rPr>
                <w:rFonts w:ascii="Arial" w:hAnsi="Arial" w:cs="Arial"/>
                <w:b/>
                <w:bCs/>
                <w:sz w:val="16"/>
                <w:szCs w:val="16"/>
              </w:rPr>
              <w:t>9,078</w:t>
            </w:r>
          </w:p>
        </w:tc>
        <w:tc>
          <w:tcPr>
            <w:tcW w:w="470" w:type="pct"/>
            <w:tcBorders>
              <w:top w:val="nil"/>
              <w:left w:val="nil"/>
              <w:bottom w:val="nil"/>
              <w:right w:val="nil"/>
            </w:tcBorders>
            <w:shd w:val="clear" w:color="000000" w:fill="FFFFFF"/>
            <w:noWrap/>
            <w:vAlign w:val="center"/>
            <w:hideMark/>
          </w:tcPr>
          <w:p w14:paraId="29B59C1B" w14:textId="77777777" w:rsidR="00D77000" w:rsidRPr="00D77000" w:rsidRDefault="00D77000" w:rsidP="00D77000">
            <w:pPr>
              <w:spacing w:before="0" w:after="0" w:line="240" w:lineRule="auto"/>
              <w:jc w:val="right"/>
              <w:rPr>
                <w:rFonts w:ascii="Arial" w:hAnsi="Arial" w:cs="Arial"/>
                <w:b/>
                <w:bCs/>
                <w:sz w:val="16"/>
                <w:szCs w:val="16"/>
              </w:rPr>
            </w:pPr>
            <w:r w:rsidRPr="00D77000">
              <w:rPr>
                <w:rFonts w:ascii="Arial" w:hAnsi="Arial" w:cs="Arial"/>
                <w:b/>
                <w:bCs/>
                <w:sz w:val="16"/>
                <w:szCs w:val="16"/>
              </w:rPr>
              <w:t>7,074</w:t>
            </w:r>
          </w:p>
        </w:tc>
        <w:tc>
          <w:tcPr>
            <w:tcW w:w="470" w:type="pct"/>
            <w:tcBorders>
              <w:top w:val="nil"/>
              <w:left w:val="nil"/>
              <w:bottom w:val="nil"/>
              <w:right w:val="nil"/>
            </w:tcBorders>
            <w:shd w:val="clear" w:color="000000" w:fill="FFFFFF"/>
            <w:noWrap/>
            <w:vAlign w:val="center"/>
            <w:hideMark/>
          </w:tcPr>
          <w:p w14:paraId="37328463" w14:textId="77777777" w:rsidR="00D77000" w:rsidRPr="00D77000" w:rsidRDefault="00D77000" w:rsidP="00D77000">
            <w:pPr>
              <w:spacing w:before="0" w:after="0" w:line="240" w:lineRule="auto"/>
              <w:jc w:val="right"/>
              <w:rPr>
                <w:rFonts w:ascii="Arial" w:hAnsi="Arial" w:cs="Arial"/>
                <w:b/>
                <w:bCs/>
                <w:sz w:val="16"/>
                <w:szCs w:val="16"/>
              </w:rPr>
            </w:pPr>
            <w:r w:rsidRPr="00D77000">
              <w:rPr>
                <w:rFonts w:ascii="Arial" w:hAnsi="Arial" w:cs="Arial"/>
                <w:b/>
                <w:bCs/>
                <w:sz w:val="16"/>
                <w:szCs w:val="16"/>
              </w:rPr>
              <w:t>9,681</w:t>
            </w:r>
          </w:p>
        </w:tc>
        <w:tc>
          <w:tcPr>
            <w:tcW w:w="67" w:type="pct"/>
            <w:tcBorders>
              <w:top w:val="nil"/>
              <w:left w:val="nil"/>
              <w:bottom w:val="nil"/>
              <w:right w:val="nil"/>
            </w:tcBorders>
            <w:shd w:val="clear" w:color="000000" w:fill="FFFFFF"/>
            <w:noWrap/>
            <w:vAlign w:val="center"/>
            <w:hideMark/>
          </w:tcPr>
          <w:p w14:paraId="280D95DE" w14:textId="77777777" w:rsidR="00D77000" w:rsidRPr="00D77000" w:rsidRDefault="00D77000" w:rsidP="00D77000">
            <w:pPr>
              <w:spacing w:before="0" w:after="0" w:line="240" w:lineRule="auto"/>
              <w:rPr>
                <w:rFonts w:ascii="Arial" w:hAnsi="Arial" w:cs="Arial"/>
                <w:b/>
                <w:bCs/>
                <w:sz w:val="16"/>
                <w:szCs w:val="16"/>
              </w:rPr>
            </w:pPr>
            <w:r w:rsidRPr="00D77000">
              <w:rPr>
                <w:rFonts w:ascii="Arial" w:hAnsi="Arial" w:cs="Arial"/>
                <w:b/>
                <w:bCs/>
                <w:sz w:val="16"/>
                <w:szCs w:val="16"/>
              </w:rPr>
              <w:t> </w:t>
            </w:r>
          </w:p>
        </w:tc>
        <w:tc>
          <w:tcPr>
            <w:tcW w:w="466" w:type="pct"/>
            <w:tcBorders>
              <w:top w:val="nil"/>
              <w:left w:val="nil"/>
              <w:bottom w:val="nil"/>
              <w:right w:val="nil"/>
            </w:tcBorders>
            <w:shd w:val="clear" w:color="000000" w:fill="FFFFFF"/>
            <w:noWrap/>
            <w:vAlign w:val="center"/>
            <w:hideMark/>
          </w:tcPr>
          <w:p w14:paraId="2C3B3F90" w14:textId="77777777" w:rsidR="00D77000" w:rsidRPr="00D77000" w:rsidRDefault="00D77000" w:rsidP="00D77000">
            <w:pPr>
              <w:spacing w:before="0" w:after="0" w:line="240" w:lineRule="auto"/>
              <w:jc w:val="right"/>
              <w:rPr>
                <w:rFonts w:ascii="Arial" w:hAnsi="Arial" w:cs="Arial"/>
                <w:b/>
                <w:bCs/>
                <w:sz w:val="16"/>
                <w:szCs w:val="16"/>
              </w:rPr>
            </w:pPr>
            <w:r w:rsidRPr="00D77000">
              <w:rPr>
                <w:rFonts w:ascii="Arial" w:hAnsi="Arial" w:cs="Arial"/>
                <w:b/>
                <w:bCs/>
                <w:sz w:val="16"/>
                <w:szCs w:val="16"/>
              </w:rPr>
              <w:t>34,728</w:t>
            </w:r>
          </w:p>
        </w:tc>
      </w:tr>
      <w:tr w:rsidR="00D77000" w:rsidRPr="00D77000" w14:paraId="6CC55F44" w14:textId="77777777" w:rsidTr="00D77000">
        <w:trPr>
          <w:trHeight w:hRule="exact" w:val="60"/>
        </w:trPr>
        <w:tc>
          <w:tcPr>
            <w:tcW w:w="2586" w:type="pct"/>
            <w:tcBorders>
              <w:top w:val="nil"/>
              <w:left w:val="nil"/>
              <w:bottom w:val="nil"/>
              <w:right w:val="nil"/>
            </w:tcBorders>
            <w:shd w:val="clear" w:color="000000" w:fill="FFFFFF"/>
            <w:noWrap/>
            <w:vAlign w:val="center"/>
            <w:hideMark/>
          </w:tcPr>
          <w:p w14:paraId="0BC218EA" w14:textId="77777777" w:rsidR="00D77000" w:rsidRPr="00D77000" w:rsidRDefault="00D77000" w:rsidP="00D77000">
            <w:pPr>
              <w:spacing w:before="0" w:after="0" w:line="240" w:lineRule="auto"/>
              <w:rPr>
                <w:rFonts w:ascii="Arial" w:hAnsi="Arial" w:cs="Arial"/>
                <w:b/>
                <w:bCs/>
                <w:color w:val="0066CC"/>
                <w:sz w:val="16"/>
                <w:szCs w:val="16"/>
              </w:rPr>
            </w:pPr>
            <w:r w:rsidRPr="00D77000">
              <w:rPr>
                <w:rFonts w:ascii="Arial" w:hAnsi="Arial" w:cs="Arial"/>
                <w:b/>
                <w:bCs/>
                <w:color w:val="0066CC"/>
                <w:sz w:val="16"/>
                <w:szCs w:val="16"/>
              </w:rPr>
              <w:t> </w:t>
            </w:r>
          </w:p>
        </w:tc>
        <w:tc>
          <w:tcPr>
            <w:tcW w:w="470" w:type="pct"/>
            <w:tcBorders>
              <w:top w:val="nil"/>
              <w:left w:val="nil"/>
              <w:bottom w:val="nil"/>
              <w:right w:val="nil"/>
            </w:tcBorders>
            <w:shd w:val="clear" w:color="000000" w:fill="FFFFFF"/>
            <w:noWrap/>
            <w:vAlign w:val="center"/>
            <w:hideMark/>
          </w:tcPr>
          <w:p w14:paraId="30427165" w14:textId="77777777" w:rsidR="00D77000" w:rsidRPr="00D77000" w:rsidRDefault="00D77000" w:rsidP="00D77000">
            <w:pPr>
              <w:spacing w:before="0" w:after="0" w:line="240" w:lineRule="auto"/>
              <w:rPr>
                <w:rFonts w:ascii="Arial" w:hAnsi="Arial" w:cs="Arial"/>
                <w:color w:val="0066CC"/>
                <w:sz w:val="16"/>
                <w:szCs w:val="16"/>
              </w:rPr>
            </w:pPr>
            <w:r w:rsidRPr="00D77000">
              <w:rPr>
                <w:rFonts w:ascii="Arial" w:hAnsi="Arial" w:cs="Arial"/>
                <w:color w:val="0066CC"/>
                <w:sz w:val="16"/>
                <w:szCs w:val="16"/>
              </w:rPr>
              <w:t> </w:t>
            </w:r>
          </w:p>
        </w:tc>
        <w:tc>
          <w:tcPr>
            <w:tcW w:w="470" w:type="pct"/>
            <w:tcBorders>
              <w:top w:val="nil"/>
              <w:left w:val="nil"/>
              <w:bottom w:val="nil"/>
              <w:right w:val="nil"/>
            </w:tcBorders>
            <w:shd w:val="clear" w:color="000000" w:fill="E6F2FF"/>
            <w:noWrap/>
            <w:vAlign w:val="center"/>
            <w:hideMark/>
          </w:tcPr>
          <w:p w14:paraId="000505DD" w14:textId="77777777" w:rsidR="00D77000" w:rsidRPr="00D77000" w:rsidRDefault="00D77000" w:rsidP="00D77000">
            <w:pPr>
              <w:spacing w:before="0" w:after="0" w:line="240" w:lineRule="auto"/>
              <w:rPr>
                <w:rFonts w:ascii="Arial" w:hAnsi="Arial" w:cs="Arial"/>
                <w:color w:val="0066CC"/>
                <w:sz w:val="16"/>
                <w:szCs w:val="16"/>
              </w:rPr>
            </w:pPr>
            <w:r w:rsidRPr="00D77000">
              <w:rPr>
                <w:rFonts w:ascii="Arial" w:hAnsi="Arial" w:cs="Arial"/>
                <w:color w:val="0066CC"/>
                <w:sz w:val="16"/>
                <w:szCs w:val="16"/>
              </w:rPr>
              <w:t> </w:t>
            </w:r>
          </w:p>
        </w:tc>
        <w:tc>
          <w:tcPr>
            <w:tcW w:w="470" w:type="pct"/>
            <w:tcBorders>
              <w:top w:val="nil"/>
              <w:left w:val="nil"/>
              <w:bottom w:val="nil"/>
              <w:right w:val="nil"/>
            </w:tcBorders>
            <w:shd w:val="clear" w:color="000000" w:fill="FFFFFF"/>
            <w:noWrap/>
            <w:vAlign w:val="center"/>
            <w:hideMark/>
          </w:tcPr>
          <w:p w14:paraId="5BBE9E6A" w14:textId="77777777" w:rsidR="00D77000" w:rsidRPr="00D77000" w:rsidRDefault="00D77000" w:rsidP="00D77000">
            <w:pPr>
              <w:spacing w:before="0" w:after="0" w:line="240" w:lineRule="auto"/>
              <w:rPr>
                <w:rFonts w:ascii="Arial" w:hAnsi="Arial" w:cs="Arial"/>
                <w:color w:val="0066CC"/>
                <w:sz w:val="16"/>
                <w:szCs w:val="16"/>
              </w:rPr>
            </w:pPr>
            <w:r w:rsidRPr="00D77000">
              <w:rPr>
                <w:rFonts w:ascii="Arial" w:hAnsi="Arial" w:cs="Arial"/>
                <w:color w:val="0066CC"/>
                <w:sz w:val="16"/>
                <w:szCs w:val="16"/>
              </w:rPr>
              <w:t> </w:t>
            </w:r>
          </w:p>
        </w:tc>
        <w:tc>
          <w:tcPr>
            <w:tcW w:w="470" w:type="pct"/>
            <w:tcBorders>
              <w:top w:val="nil"/>
              <w:left w:val="nil"/>
              <w:bottom w:val="nil"/>
              <w:right w:val="nil"/>
            </w:tcBorders>
            <w:shd w:val="clear" w:color="000000" w:fill="FFFFFF"/>
            <w:noWrap/>
            <w:vAlign w:val="center"/>
            <w:hideMark/>
          </w:tcPr>
          <w:p w14:paraId="3AD02C04" w14:textId="77777777" w:rsidR="00D77000" w:rsidRPr="00D77000" w:rsidRDefault="00D77000" w:rsidP="00D77000">
            <w:pPr>
              <w:spacing w:before="0" w:after="0" w:line="240" w:lineRule="auto"/>
              <w:rPr>
                <w:rFonts w:ascii="Arial" w:hAnsi="Arial" w:cs="Arial"/>
                <w:color w:val="0066CC"/>
                <w:sz w:val="16"/>
                <w:szCs w:val="16"/>
              </w:rPr>
            </w:pPr>
            <w:r w:rsidRPr="00D77000">
              <w:rPr>
                <w:rFonts w:ascii="Arial" w:hAnsi="Arial" w:cs="Arial"/>
                <w:color w:val="0066CC"/>
                <w:sz w:val="16"/>
                <w:szCs w:val="16"/>
              </w:rPr>
              <w:t> </w:t>
            </w:r>
          </w:p>
        </w:tc>
        <w:tc>
          <w:tcPr>
            <w:tcW w:w="67" w:type="pct"/>
            <w:tcBorders>
              <w:top w:val="nil"/>
              <w:left w:val="nil"/>
              <w:bottom w:val="nil"/>
              <w:right w:val="nil"/>
            </w:tcBorders>
            <w:shd w:val="clear" w:color="000000" w:fill="FFFFFF"/>
            <w:noWrap/>
            <w:vAlign w:val="center"/>
            <w:hideMark/>
          </w:tcPr>
          <w:p w14:paraId="5F355F2E" w14:textId="77777777" w:rsidR="00D77000" w:rsidRPr="00D77000" w:rsidRDefault="00D77000" w:rsidP="00D77000">
            <w:pPr>
              <w:spacing w:before="0" w:after="0" w:line="240" w:lineRule="auto"/>
              <w:rPr>
                <w:rFonts w:ascii="Arial" w:hAnsi="Arial" w:cs="Arial"/>
                <w:color w:val="0066CC"/>
                <w:sz w:val="16"/>
                <w:szCs w:val="16"/>
              </w:rPr>
            </w:pPr>
            <w:r w:rsidRPr="00D77000">
              <w:rPr>
                <w:rFonts w:ascii="Arial" w:hAnsi="Arial" w:cs="Arial"/>
                <w:color w:val="0066CC"/>
                <w:sz w:val="16"/>
                <w:szCs w:val="16"/>
              </w:rPr>
              <w:t> </w:t>
            </w:r>
          </w:p>
        </w:tc>
        <w:tc>
          <w:tcPr>
            <w:tcW w:w="466" w:type="pct"/>
            <w:tcBorders>
              <w:top w:val="nil"/>
              <w:left w:val="nil"/>
              <w:bottom w:val="nil"/>
              <w:right w:val="nil"/>
            </w:tcBorders>
            <w:shd w:val="clear" w:color="000000" w:fill="FFFFFF"/>
            <w:noWrap/>
            <w:vAlign w:val="center"/>
            <w:hideMark/>
          </w:tcPr>
          <w:p w14:paraId="1D915DBA" w14:textId="77777777" w:rsidR="00D77000" w:rsidRPr="00D77000" w:rsidRDefault="00D77000" w:rsidP="00D77000">
            <w:pPr>
              <w:spacing w:before="0" w:after="0" w:line="240" w:lineRule="auto"/>
              <w:jc w:val="right"/>
              <w:rPr>
                <w:rFonts w:ascii="Arial" w:hAnsi="Arial" w:cs="Arial"/>
                <w:sz w:val="16"/>
                <w:szCs w:val="16"/>
              </w:rPr>
            </w:pPr>
            <w:r w:rsidRPr="00D77000">
              <w:rPr>
                <w:rFonts w:ascii="Arial" w:hAnsi="Arial" w:cs="Arial"/>
                <w:sz w:val="16"/>
                <w:szCs w:val="16"/>
              </w:rPr>
              <w:t> </w:t>
            </w:r>
          </w:p>
        </w:tc>
      </w:tr>
      <w:tr w:rsidR="00D77000" w:rsidRPr="00D77000" w14:paraId="2B156457" w14:textId="77777777" w:rsidTr="00D77000">
        <w:trPr>
          <w:trHeight w:hRule="exact" w:val="225"/>
        </w:trPr>
        <w:tc>
          <w:tcPr>
            <w:tcW w:w="2586" w:type="pct"/>
            <w:tcBorders>
              <w:top w:val="nil"/>
              <w:left w:val="nil"/>
              <w:bottom w:val="nil"/>
              <w:right w:val="nil"/>
            </w:tcBorders>
            <w:shd w:val="clear" w:color="000000" w:fill="FFFFFF"/>
            <w:noWrap/>
            <w:vAlign w:val="center"/>
            <w:hideMark/>
          </w:tcPr>
          <w:p w14:paraId="6AE4A478" w14:textId="16810ED4" w:rsidR="00D77000" w:rsidRPr="00D77000" w:rsidRDefault="00D77000" w:rsidP="00D77000">
            <w:pPr>
              <w:spacing w:before="0" w:after="0" w:line="240" w:lineRule="auto"/>
              <w:rPr>
                <w:rFonts w:ascii="Arial" w:hAnsi="Arial" w:cs="Arial"/>
                <w:b/>
                <w:bCs/>
                <w:sz w:val="16"/>
                <w:szCs w:val="16"/>
              </w:rPr>
            </w:pPr>
            <w:r w:rsidRPr="00D77000">
              <w:rPr>
                <w:rFonts w:ascii="Arial" w:hAnsi="Arial" w:cs="Arial"/>
                <w:b/>
                <w:bCs/>
                <w:sz w:val="16"/>
                <w:szCs w:val="16"/>
              </w:rPr>
              <w:t>Changes from 2023</w:t>
            </w:r>
            <w:r w:rsidR="008D4F6B">
              <w:rPr>
                <w:rFonts w:ascii="Arial" w:hAnsi="Arial" w:cs="Arial"/>
                <w:b/>
                <w:bCs/>
                <w:sz w:val="16"/>
                <w:szCs w:val="16"/>
              </w:rPr>
              <w:noBreakHyphen/>
            </w:r>
            <w:r w:rsidRPr="00D77000">
              <w:rPr>
                <w:rFonts w:ascii="Arial" w:hAnsi="Arial" w:cs="Arial"/>
                <w:b/>
                <w:bCs/>
                <w:sz w:val="16"/>
                <w:szCs w:val="16"/>
              </w:rPr>
              <w:t>24 MYEFO to</w:t>
            </w:r>
          </w:p>
        </w:tc>
        <w:tc>
          <w:tcPr>
            <w:tcW w:w="470" w:type="pct"/>
            <w:tcBorders>
              <w:top w:val="nil"/>
              <w:left w:val="nil"/>
              <w:bottom w:val="nil"/>
              <w:right w:val="nil"/>
            </w:tcBorders>
            <w:shd w:val="clear" w:color="000000" w:fill="FFFFFF"/>
            <w:noWrap/>
            <w:vAlign w:val="center"/>
            <w:hideMark/>
          </w:tcPr>
          <w:p w14:paraId="608677AB" w14:textId="77777777" w:rsidR="00D77000" w:rsidRPr="00D77000" w:rsidRDefault="00D77000" w:rsidP="00D77000">
            <w:pPr>
              <w:spacing w:before="0" w:after="0" w:line="240" w:lineRule="auto"/>
              <w:rPr>
                <w:rFonts w:ascii="Arial" w:hAnsi="Arial" w:cs="Arial"/>
                <w:color w:val="0066CC"/>
                <w:sz w:val="16"/>
                <w:szCs w:val="16"/>
              </w:rPr>
            </w:pPr>
            <w:r w:rsidRPr="00D77000">
              <w:rPr>
                <w:rFonts w:ascii="Arial" w:hAnsi="Arial" w:cs="Arial"/>
                <w:color w:val="0066CC"/>
                <w:sz w:val="16"/>
                <w:szCs w:val="16"/>
              </w:rPr>
              <w:t> </w:t>
            </w:r>
          </w:p>
        </w:tc>
        <w:tc>
          <w:tcPr>
            <w:tcW w:w="470" w:type="pct"/>
            <w:tcBorders>
              <w:top w:val="nil"/>
              <w:left w:val="nil"/>
              <w:bottom w:val="nil"/>
              <w:right w:val="nil"/>
            </w:tcBorders>
            <w:shd w:val="clear" w:color="000000" w:fill="E6F2FF"/>
            <w:noWrap/>
            <w:vAlign w:val="center"/>
            <w:hideMark/>
          </w:tcPr>
          <w:p w14:paraId="21A9C080" w14:textId="77777777" w:rsidR="00D77000" w:rsidRPr="00D77000" w:rsidRDefault="00D77000" w:rsidP="00D77000">
            <w:pPr>
              <w:spacing w:before="0" w:after="0" w:line="240" w:lineRule="auto"/>
              <w:rPr>
                <w:rFonts w:ascii="Arial" w:hAnsi="Arial" w:cs="Arial"/>
                <w:color w:val="0066CC"/>
                <w:sz w:val="16"/>
                <w:szCs w:val="16"/>
              </w:rPr>
            </w:pPr>
            <w:r w:rsidRPr="00D77000">
              <w:rPr>
                <w:rFonts w:ascii="Arial" w:hAnsi="Arial" w:cs="Arial"/>
                <w:color w:val="0066CC"/>
                <w:sz w:val="16"/>
                <w:szCs w:val="16"/>
              </w:rPr>
              <w:t> </w:t>
            </w:r>
          </w:p>
        </w:tc>
        <w:tc>
          <w:tcPr>
            <w:tcW w:w="470" w:type="pct"/>
            <w:tcBorders>
              <w:top w:val="nil"/>
              <w:left w:val="nil"/>
              <w:bottom w:val="nil"/>
              <w:right w:val="nil"/>
            </w:tcBorders>
            <w:shd w:val="clear" w:color="000000" w:fill="FFFFFF"/>
            <w:noWrap/>
            <w:vAlign w:val="center"/>
            <w:hideMark/>
          </w:tcPr>
          <w:p w14:paraId="084ABF20" w14:textId="77777777" w:rsidR="00D77000" w:rsidRPr="00D77000" w:rsidRDefault="00D77000" w:rsidP="00D77000">
            <w:pPr>
              <w:spacing w:before="0" w:after="0" w:line="240" w:lineRule="auto"/>
              <w:rPr>
                <w:rFonts w:ascii="Arial" w:hAnsi="Arial" w:cs="Arial"/>
                <w:color w:val="0066CC"/>
                <w:sz w:val="16"/>
                <w:szCs w:val="16"/>
              </w:rPr>
            </w:pPr>
            <w:r w:rsidRPr="00D77000">
              <w:rPr>
                <w:rFonts w:ascii="Arial" w:hAnsi="Arial" w:cs="Arial"/>
                <w:color w:val="0066CC"/>
                <w:sz w:val="16"/>
                <w:szCs w:val="16"/>
              </w:rPr>
              <w:t> </w:t>
            </w:r>
          </w:p>
        </w:tc>
        <w:tc>
          <w:tcPr>
            <w:tcW w:w="470" w:type="pct"/>
            <w:tcBorders>
              <w:top w:val="nil"/>
              <w:left w:val="nil"/>
              <w:bottom w:val="nil"/>
              <w:right w:val="nil"/>
            </w:tcBorders>
            <w:shd w:val="clear" w:color="000000" w:fill="FFFFFF"/>
            <w:noWrap/>
            <w:vAlign w:val="center"/>
            <w:hideMark/>
          </w:tcPr>
          <w:p w14:paraId="3692F32F" w14:textId="77777777" w:rsidR="00D77000" w:rsidRPr="00D77000" w:rsidRDefault="00D77000" w:rsidP="00D77000">
            <w:pPr>
              <w:spacing w:before="0" w:after="0" w:line="240" w:lineRule="auto"/>
              <w:rPr>
                <w:rFonts w:ascii="Arial" w:hAnsi="Arial" w:cs="Arial"/>
                <w:color w:val="0066CC"/>
                <w:sz w:val="16"/>
                <w:szCs w:val="16"/>
              </w:rPr>
            </w:pPr>
            <w:r w:rsidRPr="00D77000">
              <w:rPr>
                <w:rFonts w:ascii="Arial" w:hAnsi="Arial" w:cs="Arial"/>
                <w:color w:val="0066CC"/>
                <w:sz w:val="16"/>
                <w:szCs w:val="16"/>
              </w:rPr>
              <w:t> </w:t>
            </w:r>
          </w:p>
        </w:tc>
        <w:tc>
          <w:tcPr>
            <w:tcW w:w="67" w:type="pct"/>
            <w:tcBorders>
              <w:top w:val="nil"/>
              <w:left w:val="nil"/>
              <w:bottom w:val="nil"/>
              <w:right w:val="nil"/>
            </w:tcBorders>
            <w:shd w:val="clear" w:color="000000" w:fill="FFFFFF"/>
            <w:noWrap/>
            <w:vAlign w:val="center"/>
            <w:hideMark/>
          </w:tcPr>
          <w:p w14:paraId="3E8833A2" w14:textId="77777777" w:rsidR="00D77000" w:rsidRPr="00D77000" w:rsidRDefault="00D77000" w:rsidP="00D77000">
            <w:pPr>
              <w:spacing w:before="0" w:after="0" w:line="240" w:lineRule="auto"/>
              <w:rPr>
                <w:rFonts w:ascii="Arial" w:hAnsi="Arial" w:cs="Arial"/>
                <w:color w:val="0066CC"/>
                <w:sz w:val="16"/>
                <w:szCs w:val="16"/>
              </w:rPr>
            </w:pPr>
            <w:r w:rsidRPr="00D77000">
              <w:rPr>
                <w:rFonts w:ascii="Arial" w:hAnsi="Arial" w:cs="Arial"/>
                <w:color w:val="0066CC"/>
                <w:sz w:val="16"/>
                <w:szCs w:val="16"/>
              </w:rPr>
              <w:t> </w:t>
            </w:r>
          </w:p>
        </w:tc>
        <w:tc>
          <w:tcPr>
            <w:tcW w:w="466" w:type="pct"/>
            <w:tcBorders>
              <w:top w:val="nil"/>
              <w:left w:val="nil"/>
              <w:bottom w:val="nil"/>
              <w:right w:val="nil"/>
            </w:tcBorders>
            <w:shd w:val="clear" w:color="000000" w:fill="FFFFFF"/>
            <w:noWrap/>
            <w:vAlign w:val="center"/>
            <w:hideMark/>
          </w:tcPr>
          <w:p w14:paraId="0A31945D" w14:textId="77777777" w:rsidR="00D77000" w:rsidRPr="00D77000" w:rsidRDefault="00D77000" w:rsidP="00D77000">
            <w:pPr>
              <w:spacing w:before="0" w:after="0" w:line="240" w:lineRule="auto"/>
              <w:jc w:val="right"/>
              <w:rPr>
                <w:rFonts w:ascii="Arial" w:hAnsi="Arial" w:cs="Arial"/>
                <w:sz w:val="16"/>
                <w:szCs w:val="16"/>
              </w:rPr>
            </w:pPr>
            <w:r w:rsidRPr="00D77000">
              <w:rPr>
                <w:rFonts w:ascii="Arial" w:hAnsi="Arial" w:cs="Arial"/>
                <w:sz w:val="16"/>
                <w:szCs w:val="16"/>
              </w:rPr>
              <w:t> </w:t>
            </w:r>
          </w:p>
        </w:tc>
      </w:tr>
      <w:tr w:rsidR="00D77000" w:rsidRPr="00D77000" w14:paraId="7391C141" w14:textId="77777777" w:rsidTr="00D77000">
        <w:trPr>
          <w:trHeight w:hRule="exact" w:val="225"/>
        </w:trPr>
        <w:tc>
          <w:tcPr>
            <w:tcW w:w="2586" w:type="pct"/>
            <w:tcBorders>
              <w:top w:val="nil"/>
              <w:left w:val="nil"/>
              <w:bottom w:val="nil"/>
              <w:right w:val="nil"/>
            </w:tcBorders>
            <w:shd w:val="clear" w:color="000000" w:fill="FFFFFF"/>
            <w:noWrap/>
            <w:vAlign w:val="center"/>
            <w:hideMark/>
          </w:tcPr>
          <w:p w14:paraId="6EB72C0E" w14:textId="786B0D52" w:rsidR="00D77000" w:rsidRPr="00D77000" w:rsidRDefault="00D77000" w:rsidP="00D77000">
            <w:pPr>
              <w:spacing w:before="0" w:after="0" w:line="240" w:lineRule="auto"/>
              <w:ind w:left="170"/>
              <w:rPr>
                <w:rFonts w:ascii="Arial" w:hAnsi="Arial" w:cs="Arial"/>
                <w:b/>
                <w:bCs/>
                <w:sz w:val="16"/>
                <w:szCs w:val="16"/>
              </w:rPr>
            </w:pPr>
            <w:r w:rsidRPr="00D77000">
              <w:rPr>
                <w:rFonts w:ascii="Arial" w:hAnsi="Arial" w:cs="Arial"/>
                <w:b/>
                <w:bCs/>
                <w:sz w:val="16"/>
                <w:szCs w:val="16"/>
              </w:rPr>
              <w:t>2024</w:t>
            </w:r>
            <w:r w:rsidR="008D4F6B">
              <w:rPr>
                <w:rFonts w:ascii="Arial" w:hAnsi="Arial" w:cs="Arial"/>
                <w:b/>
                <w:bCs/>
                <w:sz w:val="16"/>
                <w:szCs w:val="16"/>
              </w:rPr>
              <w:noBreakHyphen/>
            </w:r>
            <w:r w:rsidRPr="00D77000">
              <w:rPr>
                <w:rFonts w:ascii="Arial" w:hAnsi="Arial" w:cs="Arial"/>
                <w:b/>
                <w:bCs/>
                <w:sz w:val="16"/>
                <w:szCs w:val="16"/>
              </w:rPr>
              <w:t>25 Budget</w:t>
            </w:r>
          </w:p>
        </w:tc>
        <w:tc>
          <w:tcPr>
            <w:tcW w:w="470" w:type="pct"/>
            <w:tcBorders>
              <w:top w:val="nil"/>
              <w:left w:val="nil"/>
              <w:bottom w:val="nil"/>
              <w:right w:val="nil"/>
            </w:tcBorders>
            <w:shd w:val="clear" w:color="000000" w:fill="FFFFFF"/>
            <w:noWrap/>
            <w:vAlign w:val="center"/>
            <w:hideMark/>
          </w:tcPr>
          <w:p w14:paraId="0421F5BF" w14:textId="77777777" w:rsidR="00D77000" w:rsidRPr="00D77000" w:rsidRDefault="00D77000" w:rsidP="00D77000">
            <w:pPr>
              <w:spacing w:before="0" w:after="0" w:line="240" w:lineRule="auto"/>
              <w:rPr>
                <w:rFonts w:ascii="Arial" w:hAnsi="Arial" w:cs="Arial"/>
                <w:i/>
                <w:iCs/>
                <w:color w:val="0066CC"/>
                <w:sz w:val="16"/>
                <w:szCs w:val="16"/>
              </w:rPr>
            </w:pPr>
            <w:r w:rsidRPr="00D77000">
              <w:rPr>
                <w:rFonts w:ascii="Arial" w:hAnsi="Arial" w:cs="Arial"/>
                <w:i/>
                <w:iCs/>
                <w:color w:val="0066CC"/>
                <w:sz w:val="16"/>
                <w:szCs w:val="16"/>
              </w:rPr>
              <w:t> </w:t>
            </w:r>
          </w:p>
        </w:tc>
        <w:tc>
          <w:tcPr>
            <w:tcW w:w="470" w:type="pct"/>
            <w:tcBorders>
              <w:top w:val="nil"/>
              <w:left w:val="nil"/>
              <w:bottom w:val="nil"/>
              <w:right w:val="nil"/>
            </w:tcBorders>
            <w:shd w:val="clear" w:color="000000" w:fill="E6F2FF"/>
            <w:noWrap/>
            <w:vAlign w:val="center"/>
            <w:hideMark/>
          </w:tcPr>
          <w:p w14:paraId="25DD6027" w14:textId="77777777" w:rsidR="00D77000" w:rsidRPr="00D77000" w:rsidRDefault="00D77000" w:rsidP="00D77000">
            <w:pPr>
              <w:spacing w:before="0" w:after="0" w:line="240" w:lineRule="auto"/>
              <w:rPr>
                <w:rFonts w:ascii="Arial" w:hAnsi="Arial" w:cs="Arial"/>
                <w:i/>
                <w:iCs/>
                <w:color w:val="0066CC"/>
                <w:sz w:val="16"/>
                <w:szCs w:val="16"/>
              </w:rPr>
            </w:pPr>
            <w:r w:rsidRPr="00D77000">
              <w:rPr>
                <w:rFonts w:ascii="Arial" w:hAnsi="Arial" w:cs="Arial"/>
                <w:i/>
                <w:iCs/>
                <w:color w:val="0066CC"/>
                <w:sz w:val="16"/>
                <w:szCs w:val="16"/>
              </w:rPr>
              <w:t> </w:t>
            </w:r>
          </w:p>
        </w:tc>
        <w:tc>
          <w:tcPr>
            <w:tcW w:w="470" w:type="pct"/>
            <w:tcBorders>
              <w:top w:val="nil"/>
              <w:left w:val="nil"/>
              <w:bottom w:val="nil"/>
              <w:right w:val="nil"/>
            </w:tcBorders>
            <w:shd w:val="clear" w:color="000000" w:fill="FFFFFF"/>
            <w:noWrap/>
            <w:vAlign w:val="center"/>
            <w:hideMark/>
          </w:tcPr>
          <w:p w14:paraId="38BE81C0" w14:textId="77777777" w:rsidR="00D77000" w:rsidRPr="00D77000" w:rsidRDefault="00D77000" w:rsidP="00D77000">
            <w:pPr>
              <w:spacing w:before="0" w:after="0" w:line="240" w:lineRule="auto"/>
              <w:rPr>
                <w:rFonts w:ascii="Arial" w:hAnsi="Arial" w:cs="Arial"/>
                <w:i/>
                <w:iCs/>
                <w:color w:val="0066CC"/>
                <w:sz w:val="16"/>
                <w:szCs w:val="16"/>
              </w:rPr>
            </w:pPr>
            <w:r w:rsidRPr="00D77000">
              <w:rPr>
                <w:rFonts w:ascii="Arial" w:hAnsi="Arial" w:cs="Arial"/>
                <w:i/>
                <w:iCs/>
                <w:color w:val="0066CC"/>
                <w:sz w:val="16"/>
                <w:szCs w:val="16"/>
              </w:rPr>
              <w:t> </w:t>
            </w:r>
          </w:p>
        </w:tc>
        <w:tc>
          <w:tcPr>
            <w:tcW w:w="470" w:type="pct"/>
            <w:tcBorders>
              <w:top w:val="nil"/>
              <w:left w:val="nil"/>
              <w:bottom w:val="nil"/>
              <w:right w:val="nil"/>
            </w:tcBorders>
            <w:shd w:val="clear" w:color="000000" w:fill="FFFFFF"/>
            <w:noWrap/>
            <w:vAlign w:val="center"/>
            <w:hideMark/>
          </w:tcPr>
          <w:p w14:paraId="7F846475" w14:textId="77777777" w:rsidR="00D77000" w:rsidRPr="00D77000" w:rsidRDefault="00D77000" w:rsidP="00D77000">
            <w:pPr>
              <w:spacing w:before="0" w:after="0" w:line="240" w:lineRule="auto"/>
              <w:rPr>
                <w:rFonts w:ascii="Arial" w:hAnsi="Arial" w:cs="Arial"/>
                <w:i/>
                <w:iCs/>
                <w:color w:val="0066CC"/>
                <w:sz w:val="16"/>
                <w:szCs w:val="16"/>
              </w:rPr>
            </w:pPr>
            <w:r w:rsidRPr="00D77000">
              <w:rPr>
                <w:rFonts w:ascii="Arial" w:hAnsi="Arial" w:cs="Arial"/>
                <w:i/>
                <w:iCs/>
                <w:color w:val="0066CC"/>
                <w:sz w:val="16"/>
                <w:szCs w:val="16"/>
              </w:rPr>
              <w:t> </w:t>
            </w:r>
          </w:p>
        </w:tc>
        <w:tc>
          <w:tcPr>
            <w:tcW w:w="67" w:type="pct"/>
            <w:tcBorders>
              <w:top w:val="nil"/>
              <w:left w:val="nil"/>
              <w:bottom w:val="nil"/>
              <w:right w:val="nil"/>
            </w:tcBorders>
            <w:shd w:val="clear" w:color="000000" w:fill="FFFFFF"/>
            <w:noWrap/>
            <w:vAlign w:val="center"/>
            <w:hideMark/>
          </w:tcPr>
          <w:p w14:paraId="150EE82C" w14:textId="77777777" w:rsidR="00D77000" w:rsidRPr="00D77000" w:rsidRDefault="00D77000" w:rsidP="00D77000">
            <w:pPr>
              <w:spacing w:before="0" w:after="0" w:line="240" w:lineRule="auto"/>
              <w:rPr>
                <w:rFonts w:ascii="Arial" w:hAnsi="Arial" w:cs="Arial"/>
                <w:i/>
                <w:iCs/>
                <w:color w:val="0066CC"/>
                <w:sz w:val="16"/>
                <w:szCs w:val="16"/>
              </w:rPr>
            </w:pPr>
            <w:r w:rsidRPr="00D77000">
              <w:rPr>
                <w:rFonts w:ascii="Arial" w:hAnsi="Arial" w:cs="Arial"/>
                <w:i/>
                <w:iCs/>
                <w:color w:val="0066CC"/>
                <w:sz w:val="16"/>
                <w:szCs w:val="16"/>
              </w:rPr>
              <w:t> </w:t>
            </w:r>
          </w:p>
        </w:tc>
        <w:tc>
          <w:tcPr>
            <w:tcW w:w="466" w:type="pct"/>
            <w:tcBorders>
              <w:top w:val="nil"/>
              <w:left w:val="nil"/>
              <w:bottom w:val="nil"/>
              <w:right w:val="nil"/>
            </w:tcBorders>
            <w:shd w:val="clear" w:color="000000" w:fill="FFFFFF"/>
            <w:noWrap/>
            <w:vAlign w:val="center"/>
            <w:hideMark/>
          </w:tcPr>
          <w:p w14:paraId="77EDA9A3" w14:textId="77777777" w:rsidR="00D77000" w:rsidRPr="00D77000" w:rsidRDefault="00D77000" w:rsidP="00D77000">
            <w:pPr>
              <w:spacing w:before="0" w:after="0" w:line="240" w:lineRule="auto"/>
              <w:jc w:val="right"/>
              <w:rPr>
                <w:rFonts w:ascii="Arial" w:hAnsi="Arial" w:cs="Arial"/>
                <w:sz w:val="16"/>
                <w:szCs w:val="16"/>
              </w:rPr>
            </w:pPr>
            <w:r w:rsidRPr="00D77000">
              <w:rPr>
                <w:rFonts w:ascii="Arial" w:hAnsi="Arial" w:cs="Arial"/>
                <w:sz w:val="16"/>
                <w:szCs w:val="16"/>
              </w:rPr>
              <w:t> </w:t>
            </w:r>
          </w:p>
        </w:tc>
      </w:tr>
      <w:tr w:rsidR="00D77000" w:rsidRPr="00D77000" w14:paraId="089ACBE4" w14:textId="77777777" w:rsidTr="00D77000">
        <w:trPr>
          <w:trHeight w:hRule="exact" w:val="225"/>
        </w:trPr>
        <w:tc>
          <w:tcPr>
            <w:tcW w:w="2586" w:type="pct"/>
            <w:tcBorders>
              <w:top w:val="nil"/>
              <w:left w:val="nil"/>
              <w:bottom w:val="nil"/>
              <w:right w:val="nil"/>
            </w:tcBorders>
            <w:shd w:val="clear" w:color="000000" w:fill="FFFFFF"/>
            <w:noWrap/>
            <w:vAlign w:val="center"/>
            <w:hideMark/>
          </w:tcPr>
          <w:p w14:paraId="39AFE24F" w14:textId="77777777" w:rsidR="00D77000" w:rsidRPr="00D77000" w:rsidRDefault="00D77000" w:rsidP="00D77000">
            <w:pPr>
              <w:spacing w:before="0" w:after="0" w:line="240" w:lineRule="auto"/>
              <w:rPr>
                <w:rFonts w:ascii="Arial" w:hAnsi="Arial" w:cs="Arial"/>
                <w:sz w:val="16"/>
                <w:szCs w:val="16"/>
              </w:rPr>
            </w:pPr>
            <w:r w:rsidRPr="00D77000">
              <w:rPr>
                <w:rFonts w:ascii="Arial" w:hAnsi="Arial" w:cs="Arial"/>
                <w:sz w:val="16"/>
                <w:szCs w:val="16"/>
              </w:rPr>
              <w:t>Effect of policy decisions(a)</w:t>
            </w:r>
          </w:p>
        </w:tc>
        <w:tc>
          <w:tcPr>
            <w:tcW w:w="470" w:type="pct"/>
            <w:tcBorders>
              <w:top w:val="nil"/>
              <w:left w:val="nil"/>
              <w:bottom w:val="nil"/>
              <w:right w:val="nil"/>
            </w:tcBorders>
            <w:shd w:val="clear" w:color="000000" w:fill="FFFFFF"/>
            <w:noWrap/>
            <w:vAlign w:val="center"/>
            <w:hideMark/>
          </w:tcPr>
          <w:p w14:paraId="2B89C8BE" w14:textId="77777777" w:rsidR="00D77000" w:rsidRPr="00D77000" w:rsidRDefault="00D77000" w:rsidP="00D77000">
            <w:pPr>
              <w:spacing w:before="0" w:after="0" w:line="240" w:lineRule="auto"/>
              <w:jc w:val="right"/>
              <w:rPr>
                <w:rFonts w:ascii="Arial" w:hAnsi="Arial" w:cs="Arial"/>
                <w:sz w:val="16"/>
                <w:szCs w:val="16"/>
              </w:rPr>
            </w:pPr>
            <w:r w:rsidRPr="00D77000">
              <w:rPr>
                <w:rFonts w:ascii="Arial" w:hAnsi="Arial" w:cs="Arial"/>
                <w:sz w:val="16"/>
                <w:szCs w:val="16"/>
              </w:rPr>
              <w:t>12</w:t>
            </w:r>
          </w:p>
        </w:tc>
        <w:tc>
          <w:tcPr>
            <w:tcW w:w="470" w:type="pct"/>
            <w:tcBorders>
              <w:top w:val="nil"/>
              <w:left w:val="nil"/>
              <w:bottom w:val="nil"/>
              <w:right w:val="nil"/>
            </w:tcBorders>
            <w:shd w:val="clear" w:color="000000" w:fill="E6F2FF"/>
            <w:noWrap/>
            <w:vAlign w:val="center"/>
            <w:hideMark/>
          </w:tcPr>
          <w:p w14:paraId="5FE6E4E8" w14:textId="77777777" w:rsidR="00D77000" w:rsidRPr="00D77000" w:rsidRDefault="00D77000" w:rsidP="00D77000">
            <w:pPr>
              <w:spacing w:before="0" w:after="0" w:line="240" w:lineRule="auto"/>
              <w:jc w:val="right"/>
              <w:rPr>
                <w:rFonts w:ascii="Arial" w:hAnsi="Arial" w:cs="Arial"/>
                <w:sz w:val="16"/>
                <w:szCs w:val="16"/>
              </w:rPr>
            </w:pPr>
            <w:r w:rsidRPr="00D77000">
              <w:rPr>
                <w:rFonts w:ascii="Arial" w:hAnsi="Arial" w:cs="Arial"/>
                <w:sz w:val="16"/>
                <w:szCs w:val="16"/>
              </w:rPr>
              <w:t>1,587</w:t>
            </w:r>
          </w:p>
        </w:tc>
        <w:tc>
          <w:tcPr>
            <w:tcW w:w="470" w:type="pct"/>
            <w:tcBorders>
              <w:top w:val="nil"/>
              <w:left w:val="nil"/>
              <w:bottom w:val="nil"/>
              <w:right w:val="nil"/>
            </w:tcBorders>
            <w:shd w:val="clear" w:color="000000" w:fill="FFFFFF"/>
            <w:noWrap/>
            <w:vAlign w:val="center"/>
            <w:hideMark/>
          </w:tcPr>
          <w:p w14:paraId="37E887DA" w14:textId="77777777" w:rsidR="00D77000" w:rsidRPr="00D77000" w:rsidRDefault="00D77000" w:rsidP="00D77000">
            <w:pPr>
              <w:spacing w:before="0" w:after="0" w:line="240" w:lineRule="auto"/>
              <w:jc w:val="right"/>
              <w:rPr>
                <w:rFonts w:ascii="Arial" w:hAnsi="Arial" w:cs="Arial"/>
                <w:sz w:val="16"/>
                <w:szCs w:val="16"/>
              </w:rPr>
            </w:pPr>
            <w:r w:rsidRPr="00D77000">
              <w:rPr>
                <w:rFonts w:ascii="Arial" w:hAnsi="Arial" w:cs="Arial"/>
                <w:sz w:val="16"/>
                <w:szCs w:val="16"/>
              </w:rPr>
              <w:t>1,843</w:t>
            </w:r>
          </w:p>
        </w:tc>
        <w:tc>
          <w:tcPr>
            <w:tcW w:w="470" w:type="pct"/>
            <w:tcBorders>
              <w:top w:val="nil"/>
              <w:left w:val="nil"/>
              <w:bottom w:val="nil"/>
              <w:right w:val="nil"/>
            </w:tcBorders>
            <w:shd w:val="clear" w:color="000000" w:fill="FFFFFF"/>
            <w:noWrap/>
            <w:vAlign w:val="center"/>
            <w:hideMark/>
          </w:tcPr>
          <w:p w14:paraId="6EB07B6D" w14:textId="77777777" w:rsidR="00D77000" w:rsidRPr="00D77000" w:rsidRDefault="00D77000" w:rsidP="00D77000">
            <w:pPr>
              <w:spacing w:before="0" w:after="0" w:line="240" w:lineRule="auto"/>
              <w:jc w:val="right"/>
              <w:rPr>
                <w:rFonts w:ascii="Arial" w:hAnsi="Arial" w:cs="Arial"/>
                <w:sz w:val="16"/>
                <w:szCs w:val="16"/>
              </w:rPr>
            </w:pPr>
            <w:r w:rsidRPr="00D77000">
              <w:rPr>
                <w:rFonts w:ascii="Arial" w:hAnsi="Arial" w:cs="Arial"/>
                <w:sz w:val="16"/>
                <w:szCs w:val="16"/>
              </w:rPr>
              <w:t>1,028</w:t>
            </w:r>
          </w:p>
        </w:tc>
        <w:tc>
          <w:tcPr>
            <w:tcW w:w="67" w:type="pct"/>
            <w:tcBorders>
              <w:top w:val="nil"/>
              <w:left w:val="nil"/>
              <w:bottom w:val="nil"/>
              <w:right w:val="nil"/>
            </w:tcBorders>
            <w:shd w:val="clear" w:color="000000" w:fill="FFFFFF"/>
            <w:noWrap/>
            <w:vAlign w:val="center"/>
            <w:hideMark/>
          </w:tcPr>
          <w:p w14:paraId="037BFE83" w14:textId="77777777" w:rsidR="00D77000" w:rsidRPr="00D77000" w:rsidRDefault="00D77000" w:rsidP="00D77000">
            <w:pPr>
              <w:spacing w:before="0" w:after="0" w:line="240" w:lineRule="auto"/>
              <w:jc w:val="right"/>
              <w:rPr>
                <w:rFonts w:ascii="Arial" w:hAnsi="Arial" w:cs="Arial"/>
                <w:sz w:val="16"/>
                <w:szCs w:val="16"/>
              </w:rPr>
            </w:pPr>
            <w:r w:rsidRPr="00D77000">
              <w:rPr>
                <w:rFonts w:ascii="Arial" w:hAnsi="Arial" w:cs="Arial"/>
                <w:sz w:val="16"/>
                <w:szCs w:val="16"/>
              </w:rPr>
              <w:t> </w:t>
            </w:r>
          </w:p>
        </w:tc>
        <w:tc>
          <w:tcPr>
            <w:tcW w:w="466" w:type="pct"/>
            <w:tcBorders>
              <w:top w:val="nil"/>
              <w:left w:val="nil"/>
              <w:bottom w:val="nil"/>
              <w:right w:val="nil"/>
            </w:tcBorders>
            <w:shd w:val="clear" w:color="000000" w:fill="FFFFFF"/>
            <w:noWrap/>
            <w:vAlign w:val="center"/>
            <w:hideMark/>
          </w:tcPr>
          <w:p w14:paraId="46DF8915" w14:textId="77777777" w:rsidR="00D77000" w:rsidRPr="00D77000" w:rsidRDefault="00D77000" w:rsidP="00D77000">
            <w:pPr>
              <w:spacing w:before="0" w:after="0" w:line="240" w:lineRule="auto"/>
              <w:jc w:val="right"/>
              <w:rPr>
                <w:rFonts w:ascii="Arial" w:hAnsi="Arial" w:cs="Arial"/>
                <w:sz w:val="16"/>
                <w:szCs w:val="16"/>
              </w:rPr>
            </w:pPr>
            <w:r w:rsidRPr="00D77000">
              <w:rPr>
                <w:rFonts w:ascii="Arial" w:hAnsi="Arial" w:cs="Arial"/>
                <w:sz w:val="16"/>
                <w:szCs w:val="16"/>
              </w:rPr>
              <w:t>4,469</w:t>
            </w:r>
          </w:p>
        </w:tc>
      </w:tr>
      <w:tr w:rsidR="00D77000" w:rsidRPr="00D77000" w14:paraId="356E2932" w14:textId="77777777" w:rsidTr="00D77000">
        <w:trPr>
          <w:trHeight w:hRule="exact" w:val="225"/>
        </w:trPr>
        <w:tc>
          <w:tcPr>
            <w:tcW w:w="2586" w:type="pct"/>
            <w:tcBorders>
              <w:top w:val="nil"/>
              <w:left w:val="nil"/>
              <w:bottom w:val="nil"/>
              <w:right w:val="nil"/>
            </w:tcBorders>
            <w:shd w:val="clear" w:color="000000" w:fill="FFFFFF"/>
            <w:noWrap/>
            <w:vAlign w:val="center"/>
            <w:hideMark/>
          </w:tcPr>
          <w:p w14:paraId="358C9477" w14:textId="77777777" w:rsidR="00D77000" w:rsidRPr="00D77000" w:rsidRDefault="00D77000" w:rsidP="00D77000">
            <w:pPr>
              <w:spacing w:before="0" w:after="0" w:line="240" w:lineRule="auto"/>
              <w:rPr>
                <w:rFonts w:ascii="Arial" w:hAnsi="Arial" w:cs="Arial"/>
                <w:sz w:val="16"/>
                <w:szCs w:val="16"/>
              </w:rPr>
            </w:pPr>
            <w:r w:rsidRPr="00D77000">
              <w:rPr>
                <w:rFonts w:ascii="Arial" w:hAnsi="Arial" w:cs="Arial"/>
                <w:sz w:val="16"/>
                <w:szCs w:val="16"/>
              </w:rPr>
              <w:t>Effect of parameter and other variations</w:t>
            </w:r>
          </w:p>
        </w:tc>
        <w:tc>
          <w:tcPr>
            <w:tcW w:w="470" w:type="pct"/>
            <w:tcBorders>
              <w:top w:val="nil"/>
              <w:left w:val="nil"/>
              <w:bottom w:val="single" w:sz="4" w:space="0" w:color="293F5B"/>
              <w:right w:val="nil"/>
            </w:tcBorders>
            <w:shd w:val="clear" w:color="000000" w:fill="FFFFFF"/>
            <w:noWrap/>
            <w:vAlign w:val="center"/>
            <w:hideMark/>
          </w:tcPr>
          <w:p w14:paraId="6D285A44" w14:textId="7D150E0D" w:rsidR="00D77000" w:rsidRPr="00D77000" w:rsidRDefault="008D4F6B" w:rsidP="00D77000">
            <w:pPr>
              <w:spacing w:before="0" w:after="0" w:line="240" w:lineRule="auto"/>
              <w:jc w:val="right"/>
              <w:rPr>
                <w:rFonts w:ascii="Arial" w:hAnsi="Arial" w:cs="Arial"/>
                <w:sz w:val="16"/>
                <w:szCs w:val="16"/>
              </w:rPr>
            </w:pPr>
            <w:r>
              <w:rPr>
                <w:rFonts w:ascii="Arial" w:hAnsi="Arial" w:cs="Arial"/>
                <w:sz w:val="16"/>
                <w:szCs w:val="16"/>
              </w:rPr>
              <w:noBreakHyphen/>
            </w:r>
            <w:r w:rsidR="00D77000" w:rsidRPr="00D77000">
              <w:rPr>
                <w:rFonts w:ascii="Arial" w:hAnsi="Arial" w:cs="Arial"/>
                <w:sz w:val="16"/>
                <w:szCs w:val="16"/>
              </w:rPr>
              <w:t>1,153</w:t>
            </w:r>
          </w:p>
        </w:tc>
        <w:tc>
          <w:tcPr>
            <w:tcW w:w="470" w:type="pct"/>
            <w:tcBorders>
              <w:top w:val="nil"/>
              <w:left w:val="nil"/>
              <w:bottom w:val="single" w:sz="4" w:space="0" w:color="293F5B"/>
              <w:right w:val="nil"/>
            </w:tcBorders>
            <w:shd w:val="clear" w:color="000000" w:fill="E6F2FF"/>
            <w:noWrap/>
            <w:vAlign w:val="center"/>
            <w:hideMark/>
          </w:tcPr>
          <w:p w14:paraId="401BD605" w14:textId="57ECFA80" w:rsidR="00D77000" w:rsidRPr="00D77000" w:rsidRDefault="008D4F6B" w:rsidP="00D77000">
            <w:pPr>
              <w:spacing w:before="0" w:after="0" w:line="240" w:lineRule="auto"/>
              <w:jc w:val="right"/>
              <w:rPr>
                <w:rFonts w:ascii="Arial" w:hAnsi="Arial" w:cs="Arial"/>
                <w:sz w:val="16"/>
                <w:szCs w:val="16"/>
              </w:rPr>
            </w:pPr>
            <w:r>
              <w:rPr>
                <w:rFonts w:ascii="Arial" w:hAnsi="Arial" w:cs="Arial"/>
                <w:sz w:val="16"/>
                <w:szCs w:val="16"/>
              </w:rPr>
              <w:noBreakHyphen/>
            </w:r>
            <w:r w:rsidR="00D77000" w:rsidRPr="00D77000">
              <w:rPr>
                <w:rFonts w:ascii="Arial" w:hAnsi="Arial" w:cs="Arial"/>
                <w:sz w:val="16"/>
                <w:szCs w:val="16"/>
              </w:rPr>
              <w:t>4,362</w:t>
            </w:r>
          </w:p>
        </w:tc>
        <w:tc>
          <w:tcPr>
            <w:tcW w:w="470" w:type="pct"/>
            <w:tcBorders>
              <w:top w:val="nil"/>
              <w:left w:val="nil"/>
              <w:bottom w:val="single" w:sz="4" w:space="0" w:color="293F5B"/>
              <w:right w:val="nil"/>
            </w:tcBorders>
            <w:shd w:val="clear" w:color="000000" w:fill="FFFFFF"/>
            <w:noWrap/>
            <w:vAlign w:val="center"/>
            <w:hideMark/>
          </w:tcPr>
          <w:p w14:paraId="06EE4647" w14:textId="3B162733" w:rsidR="00D77000" w:rsidRPr="00D77000" w:rsidRDefault="008D4F6B" w:rsidP="00D77000">
            <w:pPr>
              <w:spacing w:before="0" w:after="0" w:line="240" w:lineRule="auto"/>
              <w:jc w:val="right"/>
              <w:rPr>
                <w:rFonts w:ascii="Arial" w:hAnsi="Arial" w:cs="Arial"/>
                <w:sz w:val="16"/>
                <w:szCs w:val="16"/>
              </w:rPr>
            </w:pPr>
            <w:r>
              <w:rPr>
                <w:rFonts w:ascii="Arial" w:hAnsi="Arial" w:cs="Arial"/>
                <w:sz w:val="16"/>
                <w:szCs w:val="16"/>
              </w:rPr>
              <w:noBreakHyphen/>
            </w:r>
            <w:r w:rsidR="00D77000" w:rsidRPr="00D77000">
              <w:rPr>
                <w:rFonts w:ascii="Arial" w:hAnsi="Arial" w:cs="Arial"/>
                <w:sz w:val="16"/>
                <w:szCs w:val="16"/>
              </w:rPr>
              <w:t>862</w:t>
            </w:r>
          </w:p>
        </w:tc>
        <w:tc>
          <w:tcPr>
            <w:tcW w:w="470" w:type="pct"/>
            <w:tcBorders>
              <w:top w:val="nil"/>
              <w:left w:val="nil"/>
              <w:bottom w:val="single" w:sz="4" w:space="0" w:color="293F5B"/>
              <w:right w:val="nil"/>
            </w:tcBorders>
            <w:shd w:val="clear" w:color="000000" w:fill="FFFFFF"/>
            <w:noWrap/>
            <w:vAlign w:val="center"/>
            <w:hideMark/>
          </w:tcPr>
          <w:p w14:paraId="7E0AB7B4" w14:textId="541730D4" w:rsidR="00D77000" w:rsidRPr="00D77000" w:rsidRDefault="008D4F6B" w:rsidP="00D77000">
            <w:pPr>
              <w:spacing w:before="0" w:after="0" w:line="240" w:lineRule="auto"/>
              <w:jc w:val="right"/>
              <w:rPr>
                <w:rFonts w:ascii="Arial" w:hAnsi="Arial" w:cs="Arial"/>
                <w:sz w:val="16"/>
                <w:szCs w:val="16"/>
              </w:rPr>
            </w:pPr>
            <w:r>
              <w:rPr>
                <w:rFonts w:ascii="Arial" w:hAnsi="Arial" w:cs="Arial"/>
                <w:sz w:val="16"/>
                <w:szCs w:val="16"/>
              </w:rPr>
              <w:noBreakHyphen/>
            </w:r>
            <w:r w:rsidR="00D77000" w:rsidRPr="00D77000">
              <w:rPr>
                <w:rFonts w:ascii="Arial" w:hAnsi="Arial" w:cs="Arial"/>
                <w:sz w:val="16"/>
                <w:szCs w:val="16"/>
              </w:rPr>
              <w:t>1,722</w:t>
            </w:r>
          </w:p>
        </w:tc>
        <w:tc>
          <w:tcPr>
            <w:tcW w:w="67" w:type="pct"/>
            <w:tcBorders>
              <w:top w:val="nil"/>
              <w:left w:val="nil"/>
              <w:bottom w:val="nil"/>
              <w:right w:val="nil"/>
            </w:tcBorders>
            <w:shd w:val="clear" w:color="000000" w:fill="FFFFFF"/>
            <w:noWrap/>
            <w:vAlign w:val="center"/>
            <w:hideMark/>
          </w:tcPr>
          <w:p w14:paraId="7C367125" w14:textId="77777777" w:rsidR="00D77000" w:rsidRPr="00D77000" w:rsidRDefault="00D77000" w:rsidP="00D77000">
            <w:pPr>
              <w:spacing w:before="0" w:after="0" w:line="240" w:lineRule="auto"/>
              <w:jc w:val="right"/>
              <w:rPr>
                <w:rFonts w:ascii="Arial" w:hAnsi="Arial" w:cs="Arial"/>
                <w:sz w:val="16"/>
                <w:szCs w:val="16"/>
              </w:rPr>
            </w:pPr>
            <w:r w:rsidRPr="00D77000">
              <w:rPr>
                <w:rFonts w:ascii="Arial" w:hAnsi="Arial" w:cs="Arial"/>
                <w:sz w:val="16"/>
                <w:szCs w:val="16"/>
              </w:rPr>
              <w:t> </w:t>
            </w:r>
          </w:p>
        </w:tc>
        <w:tc>
          <w:tcPr>
            <w:tcW w:w="466" w:type="pct"/>
            <w:tcBorders>
              <w:top w:val="nil"/>
              <w:left w:val="nil"/>
              <w:bottom w:val="single" w:sz="4" w:space="0" w:color="293F5B"/>
              <w:right w:val="nil"/>
            </w:tcBorders>
            <w:shd w:val="clear" w:color="000000" w:fill="FFFFFF"/>
            <w:noWrap/>
            <w:vAlign w:val="center"/>
            <w:hideMark/>
          </w:tcPr>
          <w:p w14:paraId="4F9F82EA" w14:textId="10504427" w:rsidR="00D77000" w:rsidRPr="00D77000" w:rsidRDefault="008D4F6B" w:rsidP="00D77000">
            <w:pPr>
              <w:spacing w:before="0" w:after="0" w:line="240" w:lineRule="auto"/>
              <w:jc w:val="right"/>
              <w:rPr>
                <w:rFonts w:ascii="Arial" w:hAnsi="Arial" w:cs="Arial"/>
                <w:sz w:val="16"/>
                <w:szCs w:val="16"/>
              </w:rPr>
            </w:pPr>
            <w:r>
              <w:rPr>
                <w:rFonts w:ascii="Arial" w:hAnsi="Arial" w:cs="Arial"/>
                <w:sz w:val="16"/>
                <w:szCs w:val="16"/>
              </w:rPr>
              <w:noBreakHyphen/>
            </w:r>
            <w:r w:rsidR="00D77000" w:rsidRPr="00D77000">
              <w:rPr>
                <w:rFonts w:ascii="Arial" w:hAnsi="Arial" w:cs="Arial"/>
                <w:sz w:val="16"/>
                <w:szCs w:val="16"/>
              </w:rPr>
              <w:t>8,099</w:t>
            </w:r>
          </w:p>
        </w:tc>
      </w:tr>
      <w:tr w:rsidR="00D77000" w:rsidRPr="00D77000" w14:paraId="12E4192D" w14:textId="77777777" w:rsidTr="00D77000">
        <w:trPr>
          <w:trHeight w:hRule="exact" w:val="225"/>
        </w:trPr>
        <w:tc>
          <w:tcPr>
            <w:tcW w:w="2586" w:type="pct"/>
            <w:tcBorders>
              <w:top w:val="nil"/>
              <w:left w:val="nil"/>
              <w:bottom w:val="nil"/>
              <w:right w:val="nil"/>
            </w:tcBorders>
            <w:shd w:val="clear" w:color="000000" w:fill="FFFFFF"/>
            <w:noWrap/>
            <w:vAlign w:val="center"/>
            <w:hideMark/>
          </w:tcPr>
          <w:p w14:paraId="5E2F2300" w14:textId="77777777" w:rsidR="00D77000" w:rsidRPr="00D77000" w:rsidRDefault="00D77000" w:rsidP="00D77000">
            <w:pPr>
              <w:spacing w:before="0" w:after="0" w:line="240" w:lineRule="auto"/>
              <w:rPr>
                <w:rFonts w:ascii="Arial" w:hAnsi="Arial" w:cs="Arial"/>
                <w:b/>
                <w:bCs/>
                <w:sz w:val="16"/>
                <w:szCs w:val="16"/>
              </w:rPr>
            </w:pPr>
            <w:r w:rsidRPr="00D77000">
              <w:rPr>
                <w:rFonts w:ascii="Arial" w:hAnsi="Arial" w:cs="Arial"/>
                <w:b/>
                <w:bCs/>
                <w:sz w:val="16"/>
                <w:szCs w:val="16"/>
              </w:rPr>
              <w:t>Total variations</w:t>
            </w:r>
          </w:p>
        </w:tc>
        <w:tc>
          <w:tcPr>
            <w:tcW w:w="470" w:type="pct"/>
            <w:tcBorders>
              <w:top w:val="single" w:sz="4" w:space="0" w:color="293F5B"/>
              <w:left w:val="nil"/>
              <w:bottom w:val="single" w:sz="4" w:space="0" w:color="293F5B"/>
              <w:right w:val="nil"/>
            </w:tcBorders>
            <w:shd w:val="clear" w:color="000000" w:fill="FFFFFF"/>
            <w:noWrap/>
            <w:vAlign w:val="center"/>
            <w:hideMark/>
          </w:tcPr>
          <w:p w14:paraId="515EADE9" w14:textId="017DAEEF" w:rsidR="00D77000" w:rsidRPr="00D77000" w:rsidRDefault="008D4F6B" w:rsidP="00D77000">
            <w:pPr>
              <w:spacing w:before="0" w:after="0" w:line="240" w:lineRule="auto"/>
              <w:jc w:val="right"/>
              <w:rPr>
                <w:rFonts w:ascii="Arial" w:hAnsi="Arial" w:cs="Arial"/>
                <w:b/>
                <w:bCs/>
                <w:sz w:val="16"/>
                <w:szCs w:val="16"/>
              </w:rPr>
            </w:pPr>
            <w:r>
              <w:rPr>
                <w:rFonts w:ascii="Arial" w:hAnsi="Arial" w:cs="Arial"/>
                <w:b/>
                <w:bCs/>
                <w:sz w:val="16"/>
                <w:szCs w:val="16"/>
              </w:rPr>
              <w:noBreakHyphen/>
            </w:r>
            <w:r w:rsidR="00D77000" w:rsidRPr="00D77000">
              <w:rPr>
                <w:rFonts w:ascii="Arial" w:hAnsi="Arial" w:cs="Arial"/>
                <w:b/>
                <w:bCs/>
                <w:sz w:val="16"/>
                <w:szCs w:val="16"/>
              </w:rPr>
              <w:t>1,141</w:t>
            </w:r>
          </w:p>
        </w:tc>
        <w:tc>
          <w:tcPr>
            <w:tcW w:w="470" w:type="pct"/>
            <w:tcBorders>
              <w:top w:val="single" w:sz="4" w:space="0" w:color="293F5B"/>
              <w:left w:val="nil"/>
              <w:bottom w:val="single" w:sz="4" w:space="0" w:color="293F5B"/>
              <w:right w:val="nil"/>
            </w:tcBorders>
            <w:shd w:val="clear" w:color="000000" w:fill="E6F2FF"/>
            <w:noWrap/>
            <w:vAlign w:val="center"/>
            <w:hideMark/>
          </w:tcPr>
          <w:p w14:paraId="3842A79A" w14:textId="7491035F" w:rsidR="00D77000" w:rsidRPr="00D77000" w:rsidRDefault="008D4F6B" w:rsidP="00D77000">
            <w:pPr>
              <w:spacing w:before="0" w:after="0" w:line="240" w:lineRule="auto"/>
              <w:jc w:val="right"/>
              <w:rPr>
                <w:rFonts w:ascii="Arial" w:hAnsi="Arial" w:cs="Arial"/>
                <w:b/>
                <w:bCs/>
                <w:sz w:val="16"/>
                <w:szCs w:val="16"/>
              </w:rPr>
            </w:pPr>
            <w:r>
              <w:rPr>
                <w:rFonts w:ascii="Arial" w:hAnsi="Arial" w:cs="Arial"/>
                <w:b/>
                <w:bCs/>
                <w:sz w:val="16"/>
                <w:szCs w:val="16"/>
              </w:rPr>
              <w:noBreakHyphen/>
            </w:r>
            <w:r w:rsidR="00D77000" w:rsidRPr="00D77000">
              <w:rPr>
                <w:rFonts w:ascii="Arial" w:hAnsi="Arial" w:cs="Arial"/>
                <w:b/>
                <w:bCs/>
                <w:sz w:val="16"/>
                <w:szCs w:val="16"/>
              </w:rPr>
              <w:t>2,775</w:t>
            </w:r>
          </w:p>
        </w:tc>
        <w:tc>
          <w:tcPr>
            <w:tcW w:w="470" w:type="pct"/>
            <w:tcBorders>
              <w:top w:val="single" w:sz="4" w:space="0" w:color="293F5B"/>
              <w:left w:val="nil"/>
              <w:bottom w:val="single" w:sz="4" w:space="0" w:color="293F5B"/>
              <w:right w:val="nil"/>
            </w:tcBorders>
            <w:shd w:val="clear" w:color="000000" w:fill="FFFFFF"/>
            <w:noWrap/>
            <w:vAlign w:val="center"/>
            <w:hideMark/>
          </w:tcPr>
          <w:p w14:paraId="70247E42" w14:textId="77777777" w:rsidR="00D77000" w:rsidRPr="00D77000" w:rsidRDefault="00D77000" w:rsidP="00D77000">
            <w:pPr>
              <w:spacing w:before="0" w:after="0" w:line="240" w:lineRule="auto"/>
              <w:jc w:val="right"/>
              <w:rPr>
                <w:rFonts w:ascii="Arial" w:hAnsi="Arial" w:cs="Arial"/>
                <w:b/>
                <w:bCs/>
                <w:sz w:val="16"/>
                <w:szCs w:val="16"/>
              </w:rPr>
            </w:pPr>
            <w:r w:rsidRPr="00D77000">
              <w:rPr>
                <w:rFonts w:ascii="Arial" w:hAnsi="Arial" w:cs="Arial"/>
                <w:b/>
                <w:bCs/>
                <w:sz w:val="16"/>
                <w:szCs w:val="16"/>
              </w:rPr>
              <w:t>981</w:t>
            </w:r>
          </w:p>
        </w:tc>
        <w:tc>
          <w:tcPr>
            <w:tcW w:w="470" w:type="pct"/>
            <w:tcBorders>
              <w:top w:val="single" w:sz="4" w:space="0" w:color="293F5B"/>
              <w:left w:val="nil"/>
              <w:bottom w:val="single" w:sz="4" w:space="0" w:color="293F5B"/>
              <w:right w:val="nil"/>
            </w:tcBorders>
            <w:shd w:val="clear" w:color="000000" w:fill="FFFFFF"/>
            <w:noWrap/>
            <w:vAlign w:val="center"/>
            <w:hideMark/>
          </w:tcPr>
          <w:p w14:paraId="430C9679" w14:textId="4D333167" w:rsidR="00D77000" w:rsidRPr="00D77000" w:rsidRDefault="008D4F6B" w:rsidP="00D77000">
            <w:pPr>
              <w:spacing w:before="0" w:after="0" w:line="240" w:lineRule="auto"/>
              <w:jc w:val="right"/>
              <w:rPr>
                <w:rFonts w:ascii="Arial" w:hAnsi="Arial" w:cs="Arial"/>
                <w:b/>
                <w:bCs/>
                <w:sz w:val="16"/>
                <w:szCs w:val="16"/>
              </w:rPr>
            </w:pPr>
            <w:r>
              <w:rPr>
                <w:rFonts w:ascii="Arial" w:hAnsi="Arial" w:cs="Arial"/>
                <w:b/>
                <w:bCs/>
                <w:sz w:val="16"/>
                <w:szCs w:val="16"/>
              </w:rPr>
              <w:noBreakHyphen/>
            </w:r>
            <w:r w:rsidR="00D77000" w:rsidRPr="00D77000">
              <w:rPr>
                <w:rFonts w:ascii="Arial" w:hAnsi="Arial" w:cs="Arial"/>
                <w:b/>
                <w:bCs/>
                <w:sz w:val="16"/>
                <w:szCs w:val="16"/>
              </w:rPr>
              <w:t>693</w:t>
            </w:r>
          </w:p>
        </w:tc>
        <w:tc>
          <w:tcPr>
            <w:tcW w:w="67" w:type="pct"/>
            <w:tcBorders>
              <w:top w:val="nil"/>
              <w:left w:val="nil"/>
              <w:bottom w:val="nil"/>
              <w:right w:val="nil"/>
            </w:tcBorders>
            <w:shd w:val="clear" w:color="000000" w:fill="FFFFFF"/>
            <w:noWrap/>
            <w:vAlign w:val="center"/>
            <w:hideMark/>
          </w:tcPr>
          <w:p w14:paraId="54F57A65" w14:textId="77777777" w:rsidR="00D77000" w:rsidRPr="00D77000" w:rsidRDefault="00D77000" w:rsidP="00D77000">
            <w:pPr>
              <w:spacing w:before="0" w:after="0" w:line="240" w:lineRule="auto"/>
              <w:rPr>
                <w:rFonts w:ascii="Arial" w:hAnsi="Arial" w:cs="Arial"/>
                <w:b/>
                <w:bCs/>
                <w:sz w:val="16"/>
                <w:szCs w:val="16"/>
              </w:rPr>
            </w:pPr>
            <w:r w:rsidRPr="00D77000">
              <w:rPr>
                <w:rFonts w:ascii="Arial" w:hAnsi="Arial" w:cs="Arial"/>
                <w:b/>
                <w:bCs/>
                <w:sz w:val="16"/>
                <w:szCs w:val="16"/>
              </w:rPr>
              <w:t> </w:t>
            </w:r>
          </w:p>
        </w:tc>
        <w:tc>
          <w:tcPr>
            <w:tcW w:w="466" w:type="pct"/>
            <w:tcBorders>
              <w:top w:val="single" w:sz="4" w:space="0" w:color="293F5B"/>
              <w:left w:val="nil"/>
              <w:bottom w:val="nil"/>
              <w:right w:val="nil"/>
            </w:tcBorders>
            <w:shd w:val="clear" w:color="000000" w:fill="FFFFFF"/>
            <w:noWrap/>
            <w:vAlign w:val="center"/>
            <w:hideMark/>
          </w:tcPr>
          <w:p w14:paraId="686557BF" w14:textId="1E7AB4AF" w:rsidR="00D77000" w:rsidRPr="00D77000" w:rsidRDefault="008D4F6B" w:rsidP="00D77000">
            <w:pPr>
              <w:spacing w:before="0" w:after="0" w:line="240" w:lineRule="auto"/>
              <w:jc w:val="right"/>
              <w:rPr>
                <w:rFonts w:ascii="Arial" w:hAnsi="Arial" w:cs="Arial"/>
                <w:b/>
                <w:bCs/>
                <w:sz w:val="16"/>
                <w:szCs w:val="16"/>
              </w:rPr>
            </w:pPr>
            <w:r>
              <w:rPr>
                <w:rFonts w:ascii="Arial" w:hAnsi="Arial" w:cs="Arial"/>
                <w:b/>
                <w:bCs/>
                <w:sz w:val="16"/>
                <w:szCs w:val="16"/>
              </w:rPr>
              <w:noBreakHyphen/>
            </w:r>
            <w:r w:rsidR="00D77000" w:rsidRPr="00D77000">
              <w:rPr>
                <w:rFonts w:ascii="Arial" w:hAnsi="Arial" w:cs="Arial"/>
                <w:b/>
                <w:bCs/>
                <w:sz w:val="16"/>
                <w:szCs w:val="16"/>
              </w:rPr>
              <w:t>3,629</w:t>
            </w:r>
          </w:p>
        </w:tc>
      </w:tr>
      <w:tr w:rsidR="00D77000" w:rsidRPr="00D77000" w14:paraId="16AC8B6E" w14:textId="77777777" w:rsidTr="00236E34">
        <w:trPr>
          <w:trHeight w:hRule="exact" w:val="60"/>
        </w:trPr>
        <w:tc>
          <w:tcPr>
            <w:tcW w:w="2586" w:type="pct"/>
            <w:tcBorders>
              <w:top w:val="nil"/>
              <w:left w:val="nil"/>
              <w:bottom w:val="nil"/>
              <w:right w:val="nil"/>
            </w:tcBorders>
            <w:shd w:val="clear" w:color="000000" w:fill="FFFFFF"/>
            <w:noWrap/>
            <w:vAlign w:val="center"/>
            <w:hideMark/>
          </w:tcPr>
          <w:p w14:paraId="53A67E35" w14:textId="77777777" w:rsidR="00D77000" w:rsidRPr="00D77000" w:rsidRDefault="00D77000" w:rsidP="00D77000">
            <w:pPr>
              <w:spacing w:before="0" w:after="0" w:line="240" w:lineRule="auto"/>
              <w:rPr>
                <w:rFonts w:ascii="Arial" w:hAnsi="Arial" w:cs="Arial"/>
                <w:b/>
                <w:bCs/>
                <w:color w:val="0066CC"/>
                <w:sz w:val="16"/>
                <w:szCs w:val="16"/>
              </w:rPr>
            </w:pPr>
            <w:r w:rsidRPr="00D77000">
              <w:rPr>
                <w:rFonts w:ascii="Arial" w:hAnsi="Arial" w:cs="Arial"/>
                <w:b/>
                <w:bCs/>
                <w:color w:val="0066CC"/>
                <w:sz w:val="16"/>
                <w:szCs w:val="16"/>
              </w:rPr>
              <w:t> </w:t>
            </w:r>
          </w:p>
        </w:tc>
        <w:tc>
          <w:tcPr>
            <w:tcW w:w="470" w:type="pct"/>
            <w:tcBorders>
              <w:top w:val="single" w:sz="4" w:space="0" w:color="293F5B"/>
              <w:left w:val="nil"/>
              <w:bottom w:val="nil"/>
              <w:right w:val="nil"/>
            </w:tcBorders>
            <w:shd w:val="clear" w:color="000000" w:fill="FFFFFF"/>
            <w:noWrap/>
            <w:vAlign w:val="center"/>
            <w:hideMark/>
          </w:tcPr>
          <w:p w14:paraId="35448D33" w14:textId="77777777" w:rsidR="00D77000" w:rsidRPr="00D77000" w:rsidRDefault="00D77000" w:rsidP="00D77000">
            <w:pPr>
              <w:spacing w:before="0" w:after="0" w:line="240" w:lineRule="auto"/>
              <w:rPr>
                <w:rFonts w:ascii="Arial" w:hAnsi="Arial" w:cs="Arial"/>
                <w:color w:val="0066CC"/>
                <w:sz w:val="16"/>
                <w:szCs w:val="16"/>
              </w:rPr>
            </w:pPr>
            <w:r w:rsidRPr="00D77000">
              <w:rPr>
                <w:rFonts w:ascii="Arial" w:hAnsi="Arial" w:cs="Arial"/>
                <w:color w:val="0066CC"/>
                <w:sz w:val="16"/>
                <w:szCs w:val="16"/>
              </w:rPr>
              <w:t> </w:t>
            </w:r>
          </w:p>
        </w:tc>
        <w:tc>
          <w:tcPr>
            <w:tcW w:w="470" w:type="pct"/>
            <w:tcBorders>
              <w:top w:val="single" w:sz="4" w:space="0" w:color="293F5B"/>
              <w:left w:val="nil"/>
              <w:bottom w:val="nil"/>
              <w:right w:val="nil"/>
            </w:tcBorders>
            <w:shd w:val="clear" w:color="000000" w:fill="E6F2FF"/>
            <w:noWrap/>
            <w:vAlign w:val="center"/>
            <w:hideMark/>
          </w:tcPr>
          <w:p w14:paraId="21E99E1E" w14:textId="77777777" w:rsidR="00D77000" w:rsidRPr="00D77000" w:rsidRDefault="00D77000" w:rsidP="00D77000">
            <w:pPr>
              <w:spacing w:before="0" w:after="0" w:line="240" w:lineRule="auto"/>
              <w:rPr>
                <w:rFonts w:ascii="Arial" w:hAnsi="Arial" w:cs="Arial"/>
                <w:color w:val="0066CC"/>
                <w:sz w:val="16"/>
                <w:szCs w:val="16"/>
              </w:rPr>
            </w:pPr>
            <w:r w:rsidRPr="00D77000">
              <w:rPr>
                <w:rFonts w:ascii="Arial" w:hAnsi="Arial" w:cs="Arial"/>
                <w:color w:val="0066CC"/>
                <w:sz w:val="16"/>
                <w:szCs w:val="16"/>
              </w:rPr>
              <w:t> </w:t>
            </w:r>
          </w:p>
        </w:tc>
        <w:tc>
          <w:tcPr>
            <w:tcW w:w="470" w:type="pct"/>
            <w:tcBorders>
              <w:top w:val="single" w:sz="4" w:space="0" w:color="293F5B"/>
              <w:left w:val="nil"/>
              <w:bottom w:val="nil"/>
              <w:right w:val="nil"/>
            </w:tcBorders>
            <w:shd w:val="clear" w:color="000000" w:fill="FFFFFF"/>
            <w:noWrap/>
            <w:vAlign w:val="center"/>
            <w:hideMark/>
          </w:tcPr>
          <w:p w14:paraId="1A63AE68" w14:textId="77777777" w:rsidR="00D77000" w:rsidRPr="00D77000" w:rsidRDefault="00D77000" w:rsidP="00D77000">
            <w:pPr>
              <w:spacing w:before="0" w:after="0" w:line="240" w:lineRule="auto"/>
              <w:rPr>
                <w:rFonts w:ascii="Arial" w:hAnsi="Arial" w:cs="Arial"/>
                <w:color w:val="0066CC"/>
                <w:sz w:val="16"/>
                <w:szCs w:val="16"/>
              </w:rPr>
            </w:pPr>
            <w:r w:rsidRPr="00D77000">
              <w:rPr>
                <w:rFonts w:ascii="Arial" w:hAnsi="Arial" w:cs="Arial"/>
                <w:color w:val="0066CC"/>
                <w:sz w:val="16"/>
                <w:szCs w:val="16"/>
              </w:rPr>
              <w:t> </w:t>
            </w:r>
          </w:p>
        </w:tc>
        <w:tc>
          <w:tcPr>
            <w:tcW w:w="470" w:type="pct"/>
            <w:tcBorders>
              <w:top w:val="single" w:sz="4" w:space="0" w:color="293F5B"/>
              <w:left w:val="nil"/>
              <w:bottom w:val="nil"/>
              <w:right w:val="nil"/>
            </w:tcBorders>
            <w:shd w:val="clear" w:color="000000" w:fill="FFFFFF"/>
            <w:noWrap/>
            <w:vAlign w:val="center"/>
            <w:hideMark/>
          </w:tcPr>
          <w:p w14:paraId="7D268686" w14:textId="77777777" w:rsidR="00D77000" w:rsidRPr="00D77000" w:rsidRDefault="00D77000" w:rsidP="00D77000">
            <w:pPr>
              <w:spacing w:before="0" w:after="0" w:line="240" w:lineRule="auto"/>
              <w:rPr>
                <w:rFonts w:ascii="Arial" w:hAnsi="Arial" w:cs="Arial"/>
                <w:color w:val="0066CC"/>
                <w:sz w:val="16"/>
                <w:szCs w:val="16"/>
              </w:rPr>
            </w:pPr>
            <w:r w:rsidRPr="00D77000">
              <w:rPr>
                <w:rFonts w:ascii="Arial" w:hAnsi="Arial" w:cs="Arial"/>
                <w:color w:val="0066CC"/>
                <w:sz w:val="16"/>
                <w:szCs w:val="16"/>
              </w:rPr>
              <w:t> </w:t>
            </w:r>
          </w:p>
        </w:tc>
        <w:tc>
          <w:tcPr>
            <w:tcW w:w="67" w:type="pct"/>
            <w:tcBorders>
              <w:top w:val="nil"/>
              <w:left w:val="nil"/>
              <w:bottom w:val="nil"/>
              <w:right w:val="nil"/>
            </w:tcBorders>
            <w:shd w:val="clear" w:color="000000" w:fill="FFFFFF"/>
            <w:noWrap/>
            <w:vAlign w:val="center"/>
            <w:hideMark/>
          </w:tcPr>
          <w:p w14:paraId="4A03AC1A" w14:textId="77777777" w:rsidR="00D77000" w:rsidRPr="00D77000" w:rsidRDefault="00D77000" w:rsidP="00D77000">
            <w:pPr>
              <w:spacing w:before="0" w:after="0" w:line="240" w:lineRule="auto"/>
              <w:rPr>
                <w:rFonts w:ascii="Arial" w:hAnsi="Arial" w:cs="Arial"/>
                <w:color w:val="0066CC"/>
                <w:sz w:val="16"/>
                <w:szCs w:val="16"/>
              </w:rPr>
            </w:pPr>
            <w:r w:rsidRPr="00D77000">
              <w:rPr>
                <w:rFonts w:ascii="Arial" w:hAnsi="Arial" w:cs="Arial"/>
                <w:color w:val="0066CC"/>
                <w:sz w:val="16"/>
                <w:szCs w:val="16"/>
              </w:rPr>
              <w:t> </w:t>
            </w:r>
          </w:p>
        </w:tc>
        <w:tc>
          <w:tcPr>
            <w:tcW w:w="466" w:type="pct"/>
            <w:tcBorders>
              <w:top w:val="single" w:sz="4" w:space="0" w:color="293F5B"/>
              <w:left w:val="nil"/>
              <w:bottom w:val="nil"/>
              <w:right w:val="nil"/>
            </w:tcBorders>
            <w:shd w:val="clear" w:color="000000" w:fill="FFFFFF"/>
            <w:noWrap/>
            <w:vAlign w:val="center"/>
            <w:hideMark/>
          </w:tcPr>
          <w:p w14:paraId="09EE512B" w14:textId="77777777" w:rsidR="00D77000" w:rsidRPr="00D77000" w:rsidRDefault="00D77000" w:rsidP="00D77000">
            <w:pPr>
              <w:spacing w:before="0" w:after="0" w:line="240" w:lineRule="auto"/>
              <w:jc w:val="right"/>
              <w:rPr>
                <w:rFonts w:ascii="Arial" w:hAnsi="Arial" w:cs="Arial"/>
                <w:sz w:val="16"/>
                <w:szCs w:val="16"/>
              </w:rPr>
            </w:pPr>
            <w:r w:rsidRPr="00D77000">
              <w:rPr>
                <w:rFonts w:ascii="Arial" w:hAnsi="Arial" w:cs="Arial"/>
                <w:sz w:val="16"/>
                <w:szCs w:val="16"/>
              </w:rPr>
              <w:t> </w:t>
            </w:r>
          </w:p>
        </w:tc>
      </w:tr>
      <w:tr w:rsidR="00D77000" w:rsidRPr="00D77000" w14:paraId="13834409" w14:textId="77777777" w:rsidTr="00D77000">
        <w:trPr>
          <w:trHeight w:hRule="exact" w:val="225"/>
        </w:trPr>
        <w:tc>
          <w:tcPr>
            <w:tcW w:w="2586" w:type="pct"/>
            <w:tcBorders>
              <w:top w:val="nil"/>
              <w:left w:val="nil"/>
              <w:bottom w:val="single" w:sz="4" w:space="0" w:color="293F5B"/>
              <w:right w:val="nil"/>
            </w:tcBorders>
            <w:shd w:val="clear" w:color="000000" w:fill="FFFFFF"/>
            <w:noWrap/>
            <w:vAlign w:val="center"/>
            <w:hideMark/>
          </w:tcPr>
          <w:p w14:paraId="746DC643" w14:textId="157BB945" w:rsidR="00D77000" w:rsidRPr="00D77000" w:rsidRDefault="00D77000" w:rsidP="00D77000">
            <w:pPr>
              <w:spacing w:before="0" w:after="0" w:line="240" w:lineRule="auto"/>
              <w:rPr>
                <w:rFonts w:ascii="Arial" w:hAnsi="Arial" w:cs="Arial"/>
                <w:b/>
                <w:bCs/>
                <w:sz w:val="16"/>
                <w:szCs w:val="16"/>
              </w:rPr>
            </w:pPr>
            <w:r w:rsidRPr="00D77000">
              <w:rPr>
                <w:rFonts w:ascii="Arial" w:hAnsi="Arial" w:cs="Arial"/>
                <w:b/>
                <w:bCs/>
                <w:sz w:val="16"/>
                <w:szCs w:val="16"/>
              </w:rPr>
              <w:t>2024</w:t>
            </w:r>
            <w:r w:rsidR="008D4F6B">
              <w:rPr>
                <w:rFonts w:ascii="Arial" w:hAnsi="Arial" w:cs="Arial"/>
                <w:b/>
                <w:bCs/>
                <w:sz w:val="16"/>
                <w:szCs w:val="16"/>
              </w:rPr>
              <w:noBreakHyphen/>
            </w:r>
            <w:r w:rsidRPr="00D77000">
              <w:rPr>
                <w:rFonts w:ascii="Arial" w:hAnsi="Arial" w:cs="Arial"/>
                <w:b/>
                <w:bCs/>
                <w:sz w:val="16"/>
                <w:szCs w:val="16"/>
              </w:rPr>
              <w:t>25 Budget net capital investment</w:t>
            </w:r>
          </w:p>
        </w:tc>
        <w:tc>
          <w:tcPr>
            <w:tcW w:w="470" w:type="pct"/>
            <w:tcBorders>
              <w:top w:val="nil"/>
              <w:left w:val="nil"/>
              <w:bottom w:val="single" w:sz="4" w:space="0" w:color="293F5B"/>
              <w:right w:val="nil"/>
            </w:tcBorders>
            <w:shd w:val="clear" w:color="000000" w:fill="FFFFFF"/>
            <w:noWrap/>
            <w:vAlign w:val="center"/>
            <w:hideMark/>
          </w:tcPr>
          <w:p w14:paraId="325BE73C" w14:textId="77777777" w:rsidR="00D77000" w:rsidRPr="00D77000" w:rsidRDefault="00D77000" w:rsidP="00D77000">
            <w:pPr>
              <w:spacing w:before="0" w:after="0" w:line="240" w:lineRule="auto"/>
              <w:jc w:val="right"/>
              <w:rPr>
                <w:rFonts w:ascii="Arial" w:hAnsi="Arial" w:cs="Arial"/>
                <w:b/>
                <w:bCs/>
                <w:sz w:val="16"/>
                <w:szCs w:val="16"/>
              </w:rPr>
            </w:pPr>
            <w:r w:rsidRPr="00D77000">
              <w:rPr>
                <w:rFonts w:ascii="Arial" w:hAnsi="Arial" w:cs="Arial"/>
                <w:b/>
                <w:bCs/>
                <w:sz w:val="16"/>
                <w:szCs w:val="16"/>
              </w:rPr>
              <w:t>7,754</w:t>
            </w:r>
          </w:p>
        </w:tc>
        <w:tc>
          <w:tcPr>
            <w:tcW w:w="470" w:type="pct"/>
            <w:tcBorders>
              <w:top w:val="nil"/>
              <w:left w:val="nil"/>
              <w:bottom w:val="single" w:sz="4" w:space="0" w:color="293F5B"/>
              <w:right w:val="nil"/>
            </w:tcBorders>
            <w:shd w:val="clear" w:color="000000" w:fill="E6F2FF"/>
            <w:noWrap/>
            <w:vAlign w:val="center"/>
            <w:hideMark/>
          </w:tcPr>
          <w:p w14:paraId="0AC2BC0C" w14:textId="77777777" w:rsidR="00D77000" w:rsidRPr="00D77000" w:rsidRDefault="00D77000" w:rsidP="00D77000">
            <w:pPr>
              <w:spacing w:before="0" w:after="0" w:line="240" w:lineRule="auto"/>
              <w:jc w:val="right"/>
              <w:rPr>
                <w:rFonts w:ascii="Arial" w:hAnsi="Arial" w:cs="Arial"/>
                <w:b/>
                <w:bCs/>
                <w:sz w:val="16"/>
                <w:szCs w:val="16"/>
              </w:rPr>
            </w:pPr>
            <w:r w:rsidRPr="00D77000">
              <w:rPr>
                <w:rFonts w:ascii="Arial" w:hAnsi="Arial" w:cs="Arial"/>
                <w:b/>
                <w:bCs/>
                <w:sz w:val="16"/>
                <w:szCs w:val="16"/>
              </w:rPr>
              <w:t>6,303</w:t>
            </w:r>
          </w:p>
        </w:tc>
        <w:tc>
          <w:tcPr>
            <w:tcW w:w="470" w:type="pct"/>
            <w:tcBorders>
              <w:top w:val="nil"/>
              <w:left w:val="nil"/>
              <w:bottom w:val="single" w:sz="4" w:space="0" w:color="293F5B"/>
              <w:right w:val="nil"/>
            </w:tcBorders>
            <w:shd w:val="clear" w:color="000000" w:fill="FFFFFF"/>
            <w:noWrap/>
            <w:vAlign w:val="center"/>
            <w:hideMark/>
          </w:tcPr>
          <w:p w14:paraId="6BB4C444" w14:textId="77777777" w:rsidR="00D77000" w:rsidRPr="00D77000" w:rsidRDefault="00D77000" w:rsidP="00D77000">
            <w:pPr>
              <w:spacing w:before="0" w:after="0" w:line="240" w:lineRule="auto"/>
              <w:jc w:val="right"/>
              <w:rPr>
                <w:rFonts w:ascii="Arial" w:hAnsi="Arial" w:cs="Arial"/>
                <w:b/>
                <w:bCs/>
                <w:sz w:val="16"/>
                <w:szCs w:val="16"/>
              </w:rPr>
            </w:pPr>
            <w:r w:rsidRPr="00D77000">
              <w:rPr>
                <w:rFonts w:ascii="Arial" w:hAnsi="Arial" w:cs="Arial"/>
                <w:b/>
                <w:bCs/>
                <w:sz w:val="16"/>
                <w:szCs w:val="16"/>
              </w:rPr>
              <w:t>8,055</w:t>
            </w:r>
          </w:p>
        </w:tc>
        <w:tc>
          <w:tcPr>
            <w:tcW w:w="470" w:type="pct"/>
            <w:tcBorders>
              <w:top w:val="nil"/>
              <w:left w:val="nil"/>
              <w:bottom w:val="single" w:sz="4" w:space="0" w:color="293F5B"/>
              <w:right w:val="nil"/>
            </w:tcBorders>
            <w:shd w:val="clear" w:color="000000" w:fill="FFFFFF"/>
            <w:noWrap/>
            <w:vAlign w:val="center"/>
            <w:hideMark/>
          </w:tcPr>
          <w:p w14:paraId="10DA4F7B" w14:textId="77777777" w:rsidR="00D77000" w:rsidRPr="00D77000" w:rsidRDefault="00D77000" w:rsidP="00D77000">
            <w:pPr>
              <w:spacing w:before="0" w:after="0" w:line="240" w:lineRule="auto"/>
              <w:jc w:val="right"/>
              <w:rPr>
                <w:rFonts w:ascii="Arial" w:hAnsi="Arial" w:cs="Arial"/>
                <w:b/>
                <w:bCs/>
                <w:sz w:val="16"/>
                <w:szCs w:val="16"/>
              </w:rPr>
            </w:pPr>
            <w:r w:rsidRPr="00D77000">
              <w:rPr>
                <w:rFonts w:ascii="Arial" w:hAnsi="Arial" w:cs="Arial"/>
                <w:b/>
                <w:bCs/>
                <w:sz w:val="16"/>
                <w:szCs w:val="16"/>
              </w:rPr>
              <w:t>8,988</w:t>
            </w:r>
          </w:p>
        </w:tc>
        <w:tc>
          <w:tcPr>
            <w:tcW w:w="67" w:type="pct"/>
            <w:tcBorders>
              <w:top w:val="nil"/>
              <w:left w:val="nil"/>
              <w:bottom w:val="single" w:sz="4" w:space="0" w:color="293F5B"/>
              <w:right w:val="nil"/>
            </w:tcBorders>
            <w:shd w:val="clear" w:color="000000" w:fill="FFFFFF"/>
            <w:noWrap/>
            <w:vAlign w:val="center"/>
            <w:hideMark/>
          </w:tcPr>
          <w:p w14:paraId="2227CF04" w14:textId="77777777" w:rsidR="00D77000" w:rsidRPr="00D77000" w:rsidRDefault="00D77000" w:rsidP="00D77000">
            <w:pPr>
              <w:spacing w:before="0" w:after="0" w:line="240" w:lineRule="auto"/>
              <w:rPr>
                <w:rFonts w:ascii="Arial" w:hAnsi="Arial" w:cs="Arial"/>
                <w:b/>
                <w:bCs/>
                <w:sz w:val="16"/>
                <w:szCs w:val="16"/>
              </w:rPr>
            </w:pPr>
            <w:r w:rsidRPr="00D77000">
              <w:rPr>
                <w:rFonts w:ascii="Arial" w:hAnsi="Arial" w:cs="Arial"/>
                <w:b/>
                <w:bCs/>
                <w:sz w:val="16"/>
                <w:szCs w:val="16"/>
              </w:rPr>
              <w:t> </w:t>
            </w:r>
          </w:p>
        </w:tc>
        <w:tc>
          <w:tcPr>
            <w:tcW w:w="466" w:type="pct"/>
            <w:tcBorders>
              <w:top w:val="nil"/>
              <w:left w:val="nil"/>
              <w:bottom w:val="single" w:sz="4" w:space="0" w:color="293F5B"/>
              <w:right w:val="nil"/>
            </w:tcBorders>
            <w:shd w:val="clear" w:color="000000" w:fill="FFFFFF"/>
            <w:noWrap/>
            <w:vAlign w:val="center"/>
            <w:hideMark/>
          </w:tcPr>
          <w:p w14:paraId="6C3DA22B" w14:textId="77777777" w:rsidR="00D77000" w:rsidRPr="00D77000" w:rsidRDefault="00D77000" w:rsidP="00D77000">
            <w:pPr>
              <w:spacing w:before="0" w:after="0" w:line="240" w:lineRule="auto"/>
              <w:jc w:val="right"/>
              <w:rPr>
                <w:rFonts w:ascii="Arial" w:hAnsi="Arial" w:cs="Arial"/>
                <w:b/>
                <w:bCs/>
                <w:sz w:val="16"/>
                <w:szCs w:val="16"/>
              </w:rPr>
            </w:pPr>
            <w:r w:rsidRPr="00D77000">
              <w:rPr>
                <w:rFonts w:ascii="Arial" w:hAnsi="Arial" w:cs="Arial"/>
                <w:b/>
                <w:bCs/>
                <w:sz w:val="16"/>
                <w:szCs w:val="16"/>
              </w:rPr>
              <w:t>31,098</w:t>
            </w:r>
          </w:p>
        </w:tc>
      </w:tr>
    </w:tbl>
    <w:p w14:paraId="5836CAD6" w14:textId="75E5E997" w:rsidR="004C4B96" w:rsidRPr="000177D7" w:rsidRDefault="004C4B96" w:rsidP="00E87DDC">
      <w:pPr>
        <w:pStyle w:val="ChartandTableFootnoteAlpha"/>
        <w:numPr>
          <w:ilvl w:val="0"/>
          <w:numId w:val="8"/>
        </w:numPr>
      </w:pPr>
      <w:r w:rsidRPr="000177D7">
        <w:t>Excludes secondary impacts on public debt interest of policy decisions and offsets from the Contingency Reserve for decisions taken.</w:t>
      </w:r>
    </w:p>
    <w:p w14:paraId="49105D17" w14:textId="77777777" w:rsidR="004C4B96" w:rsidRPr="000177D7" w:rsidRDefault="004C4B96" w:rsidP="00D91079">
      <w:pPr>
        <w:pStyle w:val="TableLine"/>
      </w:pPr>
    </w:p>
    <w:p w14:paraId="03DA769B" w14:textId="47798746" w:rsidR="00A4389A" w:rsidRPr="004F3F39" w:rsidRDefault="005B4CBE" w:rsidP="00A4389A">
      <w:r w:rsidRPr="004F3F39">
        <w:t xml:space="preserve">Estimated </w:t>
      </w:r>
      <w:r w:rsidR="00A4389A" w:rsidRPr="004F3F39">
        <w:t>net capital investment for 2024</w:t>
      </w:r>
      <w:r w:rsidR="00A4389A" w:rsidRPr="004F3F39">
        <w:rPr>
          <w:rFonts w:eastAsia="Book Antiqua" w:cs="Book Antiqua"/>
          <w:lang w:val="en-US"/>
        </w:rPr>
        <w:t>–</w:t>
      </w:r>
      <w:r w:rsidR="00A4389A" w:rsidRPr="004F3F39">
        <w:t>25</w:t>
      </w:r>
      <w:r w:rsidRPr="004F3F39">
        <w:t xml:space="preserve"> is</w:t>
      </w:r>
      <w:r w:rsidR="00A4389A" w:rsidRPr="004F3F39">
        <w:t xml:space="preserve"> $0.9 billion </w:t>
      </w:r>
      <w:r w:rsidRPr="004F3F39">
        <w:t>lower when compared to the estimate for 2024–25 in the 2023–24 Budget.</w:t>
      </w:r>
      <w:r w:rsidR="00A4389A" w:rsidRPr="004F3F39">
        <w:t xml:space="preserve"> This</w:t>
      </w:r>
      <w:r w:rsidR="00A4389A" w:rsidRPr="004F3F39" w:rsidDel="00EB4376">
        <w:t xml:space="preserve"> </w:t>
      </w:r>
      <w:r w:rsidR="00A4389A" w:rsidRPr="004F3F39">
        <w:t>is driven by a decrease of $2.7 billion as a result of parameter and other variations and an increase of $1.8</w:t>
      </w:r>
      <w:r w:rsidR="007B6CFB">
        <w:t> </w:t>
      </w:r>
      <w:r w:rsidR="00A4389A" w:rsidRPr="004F3F39">
        <w:t>billion from policy decisions.</w:t>
      </w:r>
    </w:p>
    <w:p w14:paraId="4D45E66A" w14:textId="77777777" w:rsidR="00ED485A" w:rsidRPr="00BC2A6A" w:rsidRDefault="00ED485A" w:rsidP="00ED485A">
      <w:r>
        <w:br w:type="page"/>
      </w:r>
    </w:p>
    <w:p w14:paraId="548CBE83" w14:textId="436A2593" w:rsidR="004C4B96" w:rsidRPr="000177D7" w:rsidRDefault="004C4B96" w:rsidP="004C4B96">
      <w:pPr>
        <w:pStyle w:val="Heading3"/>
      </w:pPr>
      <w:bookmarkStart w:id="197" w:name="_Toc166369434"/>
      <w:bookmarkEnd w:id="192"/>
      <w:bookmarkEnd w:id="193"/>
      <w:r w:rsidRPr="000177D7">
        <w:lastRenderedPageBreak/>
        <w:t>Net capital investment estimates by function</w:t>
      </w:r>
      <w:bookmarkEnd w:id="197"/>
    </w:p>
    <w:p w14:paraId="36758327" w14:textId="2435446B" w:rsidR="004C4B96" w:rsidRPr="000177D7" w:rsidRDefault="004C4B96" w:rsidP="004C4B96">
      <w:r w:rsidRPr="000177D7">
        <w:t xml:space="preserve">Estimates for Australian Government </w:t>
      </w:r>
      <w:r w:rsidR="00D3590A">
        <w:t>general government sector</w:t>
      </w:r>
      <w:r w:rsidRPr="000177D7">
        <w:t xml:space="preserve"> net capital investment by function for the period 202</w:t>
      </w:r>
      <w:r>
        <w:t>3</w:t>
      </w:r>
      <w:r>
        <w:rPr>
          <w:rFonts w:eastAsia="Book Antiqua" w:cs="Book Antiqua"/>
          <w:lang w:val="en-US"/>
        </w:rPr>
        <w:t>–</w:t>
      </w:r>
      <w:r w:rsidRPr="000177D7">
        <w:t>2</w:t>
      </w:r>
      <w:r>
        <w:t>4</w:t>
      </w:r>
      <w:r w:rsidRPr="000177D7">
        <w:t xml:space="preserve"> to 202</w:t>
      </w:r>
      <w:r>
        <w:t>7</w:t>
      </w:r>
      <w:r>
        <w:rPr>
          <w:rFonts w:eastAsia="Book Antiqua" w:cs="Book Antiqua"/>
          <w:lang w:val="en-US"/>
        </w:rPr>
        <w:t>–</w:t>
      </w:r>
      <w:r w:rsidRPr="000177D7">
        <w:t>2</w:t>
      </w:r>
      <w:r>
        <w:t>8</w:t>
      </w:r>
      <w:r w:rsidRPr="000177D7">
        <w:t xml:space="preserve"> are provided in </w:t>
      </w:r>
      <w:r>
        <w:t>Table </w:t>
      </w:r>
      <w:r w:rsidRPr="000177D7">
        <w:t>6.20.</w:t>
      </w:r>
    </w:p>
    <w:p w14:paraId="1E17B66B" w14:textId="6E27549C" w:rsidR="00D77000" w:rsidRDefault="004C4B96" w:rsidP="00D77000">
      <w:pPr>
        <w:pStyle w:val="TableHeading"/>
        <w:rPr>
          <w:rFonts w:asciiTheme="minorHAnsi" w:eastAsiaTheme="minorHAnsi" w:hAnsiTheme="minorHAnsi" w:cstheme="minorBidi"/>
          <w:sz w:val="22"/>
          <w:szCs w:val="22"/>
          <w:lang w:eastAsia="en-US"/>
        </w:rPr>
      </w:pPr>
      <w:r>
        <w:t>Table </w:t>
      </w:r>
      <w:r w:rsidRPr="000177D7">
        <w:t>6.20: Estimates of net capital investment by function</w:t>
      </w:r>
      <w:bookmarkStart w:id="198" w:name="_1727774405"/>
      <w:bookmarkEnd w:id="198"/>
    </w:p>
    <w:tbl>
      <w:tblPr>
        <w:tblW w:w="5000" w:type="pct"/>
        <w:tblCellMar>
          <w:left w:w="0" w:type="dxa"/>
          <w:right w:w="28" w:type="dxa"/>
        </w:tblCellMar>
        <w:tblLook w:val="04A0" w:firstRow="1" w:lastRow="0" w:firstColumn="1" w:lastColumn="0" w:noHBand="0" w:noVBand="1"/>
      </w:tblPr>
      <w:tblGrid>
        <w:gridCol w:w="3683"/>
        <w:gridCol w:w="806"/>
        <w:gridCol w:w="805"/>
        <w:gridCol w:w="805"/>
        <w:gridCol w:w="805"/>
        <w:gridCol w:w="806"/>
      </w:tblGrid>
      <w:tr w:rsidR="00D77000" w:rsidRPr="00D77000" w14:paraId="6E98417F" w14:textId="77777777" w:rsidTr="00D77000">
        <w:trPr>
          <w:trHeight w:hRule="exact" w:val="225"/>
        </w:trPr>
        <w:tc>
          <w:tcPr>
            <w:tcW w:w="2388" w:type="pct"/>
            <w:tcBorders>
              <w:top w:val="single" w:sz="4" w:space="0" w:color="293F5B"/>
              <w:left w:val="nil"/>
              <w:bottom w:val="nil"/>
              <w:right w:val="nil"/>
            </w:tcBorders>
            <w:shd w:val="clear" w:color="000000" w:fill="FFFFFF"/>
            <w:noWrap/>
            <w:vAlign w:val="center"/>
            <w:hideMark/>
          </w:tcPr>
          <w:p w14:paraId="0E990757" w14:textId="2F77B2EB" w:rsidR="00D77000" w:rsidRPr="00D77000" w:rsidRDefault="00D77000" w:rsidP="00D77000">
            <w:pPr>
              <w:spacing w:before="0" w:after="0" w:line="240" w:lineRule="auto"/>
              <w:rPr>
                <w:rFonts w:ascii="Arial" w:hAnsi="Arial" w:cs="Arial"/>
                <w:color w:val="000000"/>
                <w:sz w:val="16"/>
                <w:szCs w:val="16"/>
              </w:rPr>
            </w:pPr>
            <w:r w:rsidRPr="00D77000">
              <w:rPr>
                <w:rFonts w:ascii="Arial" w:hAnsi="Arial" w:cs="Arial"/>
                <w:color w:val="000000"/>
                <w:sz w:val="16"/>
                <w:szCs w:val="16"/>
              </w:rPr>
              <w:t> </w:t>
            </w:r>
          </w:p>
        </w:tc>
        <w:tc>
          <w:tcPr>
            <w:tcW w:w="2612" w:type="pct"/>
            <w:gridSpan w:val="5"/>
            <w:tcBorders>
              <w:top w:val="single" w:sz="4" w:space="0" w:color="293F5B"/>
              <w:left w:val="nil"/>
              <w:bottom w:val="single" w:sz="4" w:space="0" w:color="293F5B"/>
              <w:right w:val="nil"/>
            </w:tcBorders>
            <w:shd w:val="clear" w:color="000000" w:fill="FFFFFF"/>
            <w:noWrap/>
            <w:vAlign w:val="center"/>
            <w:hideMark/>
          </w:tcPr>
          <w:p w14:paraId="1FBB46CF" w14:textId="77777777" w:rsidR="00D77000" w:rsidRPr="00D77000" w:rsidRDefault="00D77000" w:rsidP="00D77000">
            <w:pPr>
              <w:spacing w:before="0" w:after="0" w:line="240" w:lineRule="auto"/>
              <w:jc w:val="center"/>
              <w:rPr>
                <w:rFonts w:ascii="Arial" w:hAnsi="Arial" w:cs="Arial"/>
                <w:sz w:val="16"/>
                <w:szCs w:val="16"/>
              </w:rPr>
            </w:pPr>
            <w:r w:rsidRPr="00D77000">
              <w:rPr>
                <w:rFonts w:ascii="Arial" w:hAnsi="Arial" w:cs="Arial"/>
                <w:sz w:val="16"/>
                <w:szCs w:val="16"/>
              </w:rPr>
              <w:t>Estimates</w:t>
            </w:r>
          </w:p>
        </w:tc>
      </w:tr>
      <w:tr w:rsidR="00D77000" w:rsidRPr="00D77000" w14:paraId="58A59983" w14:textId="77777777" w:rsidTr="00D77000">
        <w:trPr>
          <w:trHeight w:hRule="exact" w:val="225"/>
        </w:trPr>
        <w:tc>
          <w:tcPr>
            <w:tcW w:w="2388" w:type="pct"/>
            <w:tcBorders>
              <w:top w:val="nil"/>
              <w:left w:val="nil"/>
              <w:bottom w:val="nil"/>
              <w:right w:val="nil"/>
            </w:tcBorders>
            <w:shd w:val="clear" w:color="000000" w:fill="FFFFFF"/>
            <w:noWrap/>
            <w:vAlign w:val="center"/>
            <w:hideMark/>
          </w:tcPr>
          <w:p w14:paraId="62159E38" w14:textId="77777777" w:rsidR="00D77000" w:rsidRPr="00D77000" w:rsidRDefault="00D77000" w:rsidP="00D77000">
            <w:pPr>
              <w:spacing w:before="0" w:after="0" w:line="240" w:lineRule="auto"/>
              <w:rPr>
                <w:rFonts w:ascii="Arial" w:hAnsi="Arial" w:cs="Arial"/>
                <w:color w:val="000000"/>
                <w:sz w:val="16"/>
                <w:szCs w:val="16"/>
              </w:rPr>
            </w:pPr>
            <w:r w:rsidRPr="00D77000">
              <w:rPr>
                <w:rFonts w:ascii="Arial" w:hAnsi="Arial" w:cs="Arial"/>
                <w:color w:val="000000"/>
                <w:sz w:val="16"/>
                <w:szCs w:val="16"/>
              </w:rPr>
              <w:t> </w:t>
            </w:r>
          </w:p>
        </w:tc>
        <w:tc>
          <w:tcPr>
            <w:tcW w:w="523" w:type="pct"/>
            <w:tcBorders>
              <w:top w:val="nil"/>
              <w:left w:val="nil"/>
              <w:bottom w:val="nil"/>
              <w:right w:val="nil"/>
            </w:tcBorders>
            <w:shd w:val="clear" w:color="000000" w:fill="FFFFFF"/>
            <w:noWrap/>
            <w:vAlign w:val="center"/>
            <w:hideMark/>
          </w:tcPr>
          <w:p w14:paraId="7263B88F" w14:textId="7DC6458C" w:rsidR="00D77000" w:rsidRPr="00D77000" w:rsidRDefault="00D77000" w:rsidP="00D77000">
            <w:pPr>
              <w:spacing w:before="0" w:after="0" w:line="240" w:lineRule="auto"/>
              <w:jc w:val="right"/>
              <w:rPr>
                <w:rFonts w:ascii="Arial" w:hAnsi="Arial" w:cs="Arial"/>
                <w:sz w:val="16"/>
                <w:szCs w:val="16"/>
              </w:rPr>
            </w:pPr>
            <w:r w:rsidRPr="00D77000">
              <w:rPr>
                <w:rFonts w:ascii="Arial" w:hAnsi="Arial" w:cs="Arial"/>
                <w:sz w:val="16"/>
                <w:szCs w:val="16"/>
              </w:rPr>
              <w:t>2023</w:t>
            </w:r>
            <w:r w:rsidR="008D4F6B">
              <w:rPr>
                <w:rFonts w:ascii="Arial" w:hAnsi="Arial" w:cs="Arial"/>
                <w:sz w:val="16"/>
                <w:szCs w:val="16"/>
              </w:rPr>
              <w:noBreakHyphen/>
            </w:r>
            <w:r w:rsidRPr="00D77000">
              <w:rPr>
                <w:rFonts w:ascii="Arial" w:hAnsi="Arial" w:cs="Arial"/>
                <w:sz w:val="16"/>
                <w:szCs w:val="16"/>
              </w:rPr>
              <w:t>24</w:t>
            </w:r>
          </w:p>
        </w:tc>
        <w:tc>
          <w:tcPr>
            <w:tcW w:w="522" w:type="pct"/>
            <w:tcBorders>
              <w:top w:val="nil"/>
              <w:left w:val="nil"/>
              <w:bottom w:val="nil"/>
              <w:right w:val="nil"/>
            </w:tcBorders>
            <w:shd w:val="clear" w:color="000000" w:fill="E6F2FF"/>
            <w:noWrap/>
            <w:vAlign w:val="center"/>
            <w:hideMark/>
          </w:tcPr>
          <w:p w14:paraId="76AC4D91" w14:textId="1C5829CE" w:rsidR="00D77000" w:rsidRPr="00D77000" w:rsidRDefault="00D77000" w:rsidP="00D77000">
            <w:pPr>
              <w:spacing w:before="0" w:after="0" w:line="240" w:lineRule="auto"/>
              <w:jc w:val="right"/>
              <w:rPr>
                <w:rFonts w:ascii="Arial" w:hAnsi="Arial" w:cs="Arial"/>
                <w:sz w:val="16"/>
                <w:szCs w:val="16"/>
              </w:rPr>
            </w:pPr>
            <w:r w:rsidRPr="00D77000">
              <w:rPr>
                <w:rFonts w:ascii="Arial" w:hAnsi="Arial" w:cs="Arial"/>
                <w:sz w:val="16"/>
                <w:szCs w:val="16"/>
              </w:rPr>
              <w:t>2024</w:t>
            </w:r>
            <w:r w:rsidR="008D4F6B">
              <w:rPr>
                <w:rFonts w:ascii="Arial" w:hAnsi="Arial" w:cs="Arial"/>
                <w:sz w:val="16"/>
                <w:szCs w:val="16"/>
              </w:rPr>
              <w:noBreakHyphen/>
            </w:r>
            <w:r w:rsidRPr="00D77000">
              <w:rPr>
                <w:rFonts w:ascii="Arial" w:hAnsi="Arial" w:cs="Arial"/>
                <w:sz w:val="16"/>
                <w:szCs w:val="16"/>
              </w:rPr>
              <w:t>25</w:t>
            </w:r>
          </w:p>
        </w:tc>
        <w:tc>
          <w:tcPr>
            <w:tcW w:w="522" w:type="pct"/>
            <w:tcBorders>
              <w:top w:val="nil"/>
              <w:left w:val="nil"/>
              <w:bottom w:val="nil"/>
              <w:right w:val="nil"/>
            </w:tcBorders>
            <w:shd w:val="clear" w:color="000000" w:fill="FFFFFF"/>
            <w:noWrap/>
            <w:vAlign w:val="center"/>
            <w:hideMark/>
          </w:tcPr>
          <w:p w14:paraId="4B28AB30" w14:textId="63CD7EED" w:rsidR="00D77000" w:rsidRPr="00D77000" w:rsidRDefault="00D77000" w:rsidP="00D77000">
            <w:pPr>
              <w:spacing w:before="0" w:after="0" w:line="240" w:lineRule="auto"/>
              <w:jc w:val="right"/>
              <w:rPr>
                <w:rFonts w:ascii="Arial" w:hAnsi="Arial" w:cs="Arial"/>
                <w:sz w:val="16"/>
                <w:szCs w:val="16"/>
              </w:rPr>
            </w:pPr>
            <w:r w:rsidRPr="00D77000">
              <w:rPr>
                <w:rFonts w:ascii="Arial" w:hAnsi="Arial" w:cs="Arial"/>
                <w:sz w:val="16"/>
                <w:szCs w:val="16"/>
              </w:rPr>
              <w:t>2025</w:t>
            </w:r>
            <w:r w:rsidR="008D4F6B">
              <w:rPr>
                <w:rFonts w:ascii="Arial" w:hAnsi="Arial" w:cs="Arial"/>
                <w:sz w:val="16"/>
                <w:szCs w:val="16"/>
              </w:rPr>
              <w:noBreakHyphen/>
            </w:r>
            <w:r w:rsidRPr="00D77000">
              <w:rPr>
                <w:rFonts w:ascii="Arial" w:hAnsi="Arial" w:cs="Arial"/>
                <w:sz w:val="16"/>
                <w:szCs w:val="16"/>
              </w:rPr>
              <w:t>26</w:t>
            </w:r>
          </w:p>
        </w:tc>
        <w:tc>
          <w:tcPr>
            <w:tcW w:w="522" w:type="pct"/>
            <w:tcBorders>
              <w:top w:val="nil"/>
              <w:left w:val="nil"/>
              <w:bottom w:val="nil"/>
              <w:right w:val="nil"/>
            </w:tcBorders>
            <w:shd w:val="clear" w:color="000000" w:fill="FFFFFF"/>
            <w:noWrap/>
            <w:vAlign w:val="center"/>
            <w:hideMark/>
          </w:tcPr>
          <w:p w14:paraId="723C1F7C" w14:textId="406CA326" w:rsidR="00D77000" w:rsidRPr="00D77000" w:rsidRDefault="00D77000" w:rsidP="00D77000">
            <w:pPr>
              <w:spacing w:before="0" w:after="0" w:line="240" w:lineRule="auto"/>
              <w:jc w:val="right"/>
              <w:rPr>
                <w:rFonts w:ascii="Arial" w:hAnsi="Arial" w:cs="Arial"/>
                <w:sz w:val="16"/>
                <w:szCs w:val="16"/>
              </w:rPr>
            </w:pPr>
            <w:r w:rsidRPr="00D77000">
              <w:rPr>
                <w:rFonts w:ascii="Arial" w:hAnsi="Arial" w:cs="Arial"/>
                <w:sz w:val="16"/>
                <w:szCs w:val="16"/>
              </w:rPr>
              <w:t>2026</w:t>
            </w:r>
            <w:r w:rsidR="008D4F6B">
              <w:rPr>
                <w:rFonts w:ascii="Arial" w:hAnsi="Arial" w:cs="Arial"/>
                <w:sz w:val="16"/>
                <w:szCs w:val="16"/>
              </w:rPr>
              <w:noBreakHyphen/>
            </w:r>
            <w:r w:rsidRPr="00D77000">
              <w:rPr>
                <w:rFonts w:ascii="Arial" w:hAnsi="Arial" w:cs="Arial"/>
                <w:sz w:val="16"/>
                <w:szCs w:val="16"/>
              </w:rPr>
              <w:t>27</w:t>
            </w:r>
          </w:p>
        </w:tc>
        <w:tc>
          <w:tcPr>
            <w:tcW w:w="522" w:type="pct"/>
            <w:tcBorders>
              <w:top w:val="nil"/>
              <w:left w:val="nil"/>
              <w:bottom w:val="nil"/>
              <w:right w:val="nil"/>
            </w:tcBorders>
            <w:shd w:val="clear" w:color="000000" w:fill="FFFFFF"/>
            <w:noWrap/>
            <w:vAlign w:val="center"/>
            <w:hideMark/>
          </w:tcPr>
          <w:p w14:paraId="0790CA17" w14:textId="18F5FC4E" w:rsidR="00D77000" w:rsidRPr="00D77000" w:rsidRDefault="00D77000" w:rsidP="00D77000">
            <w:pPr>
              <w:spacing w:before="0" w:after="0" w:line="240" w:lineRule="auto"/>
              <w:jc w:val="right"/>
              <w:rPr>
                <w:rFonts w:ascii="Arial" w:hAnsi="Arial" w:cs="Arial"/>
                <w:color w:val="000000"/>
                <w:sz w:val="16"/>
                <w:szCs w:val="16"/>
              </w:rPr>
            </w:pPr>
            <w:r w:rsidRPr="00D77000">
              <w:rPr>
                <w:rFonts w:ascii="Arial" w:hAnsi="Arial" w:cs="Arial"/>
                <w:color w:val="000000"/>
                <w:sz w:val="16"/>
                <w:szCs w:val="16"/>
              </w:rPr>
              <w:t>2027</w:t>
            </w:r>
            <w:r w:rsidR="008D4F6B">
              <w:rPr>
                <w:rFonts w:ascii="Arial" w:hAnsi="Arial" w:cs="Arial"/>
                <w:color w:val="000000"/>
                <w:sz w:val="16"/>
                <w:szCs w:val="16"/>
              </w:rPr>
              <w:noBreakHyphen/>
            </w:r>
            <w:r w:rsidRPr="00D77000">
              <w:rPr>
                <w:rFonts w:ascii="Arial" w:hAnsi="Arial" w:cs="Arial"/>
                <w:color w:val="000000"/>
                <w:sz w:val="16"/>
                <w:szCs w:val="16"/>
              </w:rPr>
              <w:t>28</w:t>
            </w:r>
          </w:p>
        </w:tc>
      </w:tr>
      <w:tr w:rsidR="00D77000" w:rsidRPr="00D77000" w14:paraId="6E6276BA" w14:textId="77777777" w:rsidTr="00D77000">
        <w:trPr>
          <w:trHeight w:hRule="exact" w:val="225"/>
        </w:trPr>
        <w:tc>
          <w:tcPr>
            <w:tcW w:w="2388" w:type="pct"/>
            <w:tcBorders>
              <w:top w:val="nil"/>
              <w:left w:val="nil"/>
              <w:bottom w:val="nil"/>
              <w:right w:val="nil"/>
            </w:tcBorders>
            <w:shd w:val="clear" w:color="000000" w:fill="FFFFFF"/>
            <w:noWrap/>
            <w:vAlign w:val="center"/>
            <w:hideMark/>
          </w:tcPr>
          <w:p w14:paraId="63FF2987" w14:textId="77777777" w:rsidR="00D77000" w:rsidRPr="00D77000" w:rsidRDefault="00D77000" w:rsidP="00D77000">
            <w:pPr>
              <w:spacing w:before="0" w:after="0" w:line="240" w:lineRule="auto"/>
              <w:rPr>
                <w:rFonts w:ascii="Arial" w:hAnsi="Arial" w:cs="Arial"/>
                <w:color w:val="000000"/>
                <w:sz w:val="16"/>
                <w:szCs w:val="16"/>
              </w:rPr>
            </w:pPr>
            <w:r w:rsidRPr="00D77000">
              <w:rPr>
                <w:rFonts w:ascii="Arial" w:hAnsi="Arial" w:cs="Arial"/>
                <w:color w:val="000000"/>
                <w:sz w:val="16"/>
                <w:szCs w:val="16"/>
              </w:rPr>
              <w:t> </w:t>
            </w:r>
          </w:p>
        </w:tc>
        <w:tc>
          <w:tcPr>
            <w:tcW w:w="523" w:type="pct"/>
            <w:tcBorders>
              <w:top w:val="nil"/>
              <w:left w:val="nil"/>
              <w:bottom w:val="single" w:sz="4" w:space="0" w:color="293F5B"/>
              <w:right w:val="nil"/>
            </w:tcBorders>
            <w:shd w:val="clear" w:color="000000" w:fill="FFFFFF"/>
            <w:noWrap/>
            <w:vAlign w:val="center"/>
            <w:hideMark/>
          </w:tcPr>
          <w:p w14:paraId="4EE9124F" w14:textId="77777777" w:rsidR="00D77000" w:rsidRPr="00D77000" w:rsidRDefault="00D77000" w:rsidP="00D77000">
            <w:pPr>
              <w:spacing w:before="0" w:after="0" w:line="240" w:lineRule="auto"/>
              <w:jc w:val="right"/>
              <w:rPr>
                <w:rFonts w:ascii="Arial" w:hAnsi="Arial" w:cs="Arial"/>
                <w:color w:val="000000"/>
                <w:sz w:val="16"/>
                <w:szCs w:val="16"/>
              </w:rPr>
            </w:pPr>
            <w:r w:rsidRPr="00D77000">
              <w:rPr>
                <w:rFonts w:ascii="Arial" w:hAnsi="Arial" w:cs="Arial"/>
                <w:color w:val="000000"/>
                <w:sz w:val="16"/>
                <w:szCs w:val="16"/>
              </w:rPr>
              <w:t>$m</w:t>
            </w:r>
          </w:p>
        </w:tc>
        <w:tc>
          <w:tcPr>
            <w:tcW w:w="522" w:type="pct"/>
            <w:tcBorders>
              <w:top w:val="nil"/>
              <w:left w:val="nil"/>
              <w:bottom w:val="single" w:sz="4" w:space="0" w:color="293F5B"/>
              <w:right w:val="nil"/>
            </w:tcBorders>
            <w:shd w:val="clear" w:color="000000" w:fill="E6F2FF"/>
            <w:noWrap/>
            <w:vAlign w:val="center"/>
            <w:hideMark/>
          </w:tcPr>
          <w:p w14:paraId="5E703A9D" w14:textId="77777777" w:rsidR="00D77000" w:rsidRPr="00D77000" w:rsidRDefault="00D77000" w:rsidP="00D77000">
            <w:pPr>
              <w:spacing w:before="0" w:after="0" w:line="240" w:lineRule="auto"/>
              <w:jc w:val="right"/>
              <w:rPr>
                <w:rFonts w:ascii="Arial" w:hAnsi="Arial" w:cs="Arial"/>
                <w:color w:val="000000"/>
                <w:sz w:val="16"/>
                <w:szCs w:val="16"/>
              </w:rPr>
            </w:pPr>
            <w:r w:rsidRPr="00D77000">
              <w:rPr>
                <w:rFonts w:ascii="Arial" w:hAnsi="Arial" w:cs="Arial"/>
                <w:color w:val="000000"/>
                <w:sz w:val="16"/>
                <w:szCs w:val="16"/>
              </w:rPr>
              <w:t>$m</w:t>
            </w:r>
          </w:p>
        </w:tc>
        <w:tc>
          <w:tcPr>
            <w:tcW w:w="522" w:type="pct"/>
            <w:tcBorders>
              <w:top w:val="nil"/>
              <w:left w:val="nil"/>
              <w:bottom w:val="single" w:sz="4" w:space="0" w:color="293F5B"/>
              <w:right w:val="nil"/>
            </w:tcBorders>
            <w:shd w:val="clear" w:color="000000" w:fill="FFFFFF"/>
            <w:noWrap/>
            <w:vAlign w:val="center"/>
            <w:hideMark/>
          </w:tcPr>
          <w:p w14:paraId="128571AE" w14:textId="77777777" w:rsidR="00D77000" w:rsidRPr="00D77000" w:rsidRDefault="00D77000" w:rsidP="00D77000">
            <w:pPr>
              <w:spacing w:before="0" w:after="0" w:line="240" w:lineRule="auto"/>
              <w:jc w:val="right"/>
              <w:rPr>
                <w:rFonts w:ascii="Arial" w:hAnsi="Arial" w:cs="Arial"/>
                <w:color w:val="000000"/>
                <w:sz w:val="16"/>
                <w:szCs w:val="16"/>
              </w:rPr>
            </w:pPr>
            <w:r w:rsidRPr="00D77000">
              <w:rPr>
                <w:rFonts w:ascii="Arial" w:hAnsi="Arial" w:cs="Arial"/>
                <w:color w:val="000000"/>
                <w:sz w:val="16"/>
                <w:szCs w:val="16"/>
              </w:rPr>
              <w:t>$m</w:t>
            </w:r>
          </w:p>
        </w:tc>
        <w:tc>
          <w:tcPr>
            <w:tcW w:w="522" w:type="pct"/>
            <w:tcBorders>
              <w:top w:val="nil"/>
              <w:left w:val="nil"/>
              <w:bottom w:val="single" w:sz="4" w:space="0" w:color="293F5B"/>
              <w:right w:val="nil"/>
            </w:tcBorders>
            <w:shd w:val="clear" w:color="000000" w:fill="FFFFFF"/>
            <w:noWrap/>
            <w:vAlign w:val="center"/>
            <w:hideMark/>
          </w:tcPr>
          <w:p w14:paraId="2466CF1E" w14:textId="77777777" w:rsidR="00D77000" w:rsidRPr="00D77000" w:rsidRDefault="00D77000" w:rsidP="00D77000">
            <w:pPr>
              <w:spacing w:before="0" w:after="0" w:line="240" w:lineRule="auto"/>
              <w:jc w:val="right"/>
              <w:rPr>
                <w:rFonts w:ascii="Arial" w:hAnsi="Arial" w:cs="Arial"/>
                <w:sz w:val="16"/>
                <w:szCs w:val="16"/>
              </w:rPr>
            </w:pPr>
            <w:r w:rsidRPr="00D77000">
              <w:rPr>
                <w:rFonts w:ascii="Arial" w:hAnsi="Arial" w:cs="Arial"/>
                <w:sz w:val="16"/>
                <w:szCs w:val="16"/>
              </w:rPr>
              <w:t>$m</w:t>
            </w:r>
          </w:p>
        </w:tc>
        <w:tc>
          <w:tcPr>
            <w:tcW w:w="522" w:type="pct"/>
            <w:tcBorders>
              <w:top w:val="nil"/>
              <w:left w:val="nil"/>
              <w:bottom w:val="single" w:sz="4" w:space="0" w:color="293F5B"/>
              <w:right w:val="nil"/>
            </w:tcBorders>
            <w:shd w:val="clear" w:color="000000" w:fill="FFFFFF"/>
            <w:noWrap/>
            <w:vAlign w:val="center"/>
            <w:hideMark/>
          </w:tcPr>
          <w:p w14:paraId="17248080" w14:textId="77777777" w:rsidR="00D77000" w:rsidRPr="00D77000" w:rsidRDefault="00D77000" w:rsidP="00D77000">
            <w:pPr>
              <w:spacing w:before="0" w:after="0" w:line="240" w:lineRule="auto"/>
              <w:jc w:val="right"/>
              <w:rPr>
                <w:rFonts w:ascii="Arial" w:hAnsi="Arial" w:cs="Arial"/>
                <w:sz w:val="16"/>
                <w:szCs w:val="16"/>
              </w:rPr>
            </w:pPr>
            <w:r w:rsidRPr="00D77000">
              <w:rPr>
                <w:rFonts w:ascii="Arial" w:hAnsi="Arial" w:cs="Arial"/>
                <w:sz w:val="16"/>
                <w:szCs w:val="16"/>
              </w:rPr>
              <w:t>$m</w:t>
            </w:r>
          </w:p>
        </w:tc>
      </w:tr>
      <w:tr w:rsidR="00D77000" w:rsidRPr="00D77000" w14:paraId="52335BED" w14:textId="77777777" w:rsidTr="00D77000">
        <w:trPr>
          <w:trHeight w:hRule="exact" w:val="225"/>
        </w:trPr>
        <w:tc>
          <w:tcPr>
            <w:tcW w:w="2388" w:type="pct"/>
            <w:tcBorders>
              <w:top w:val="nil"/>
              <w:left w:val="nil"/>
              <w:bottom w:val="nil"/>
              <w:right w:val="nil"/>
            </w:tcBorders>
            <w:shd w:val="clear" w:color="000000" w:fill="FFFFFF"/>
            <w:noWrap/>
            <w:vAlign w:val="center"/>
            <w:hideMark/>
          </w:tcPr>
          <w:p w14:paraId="5271C1AB" w14:textId="77777777" w:rsidR="00D77000" w:rsidRPr="00D77000" w:rsidRDefault="00D77000" w:rsidP="00D77000">
            <w:pPr>
              <w:spacing w:before="0" w:after="0" w:line="240" w:lineRule="auto"/>
              <w:rPr>
                <w:rFonts w:ascii="Arial" w:hAnsi="Arial" w:cs="Arial"/>
                <w:color w:val="000000"/>
                <w:sz w:val="16"/>
                <w:szCs w:val="16"/>
              </w:rPr>
            </w:pPr>
            <w:r w:rsidRPr="00D77000">
              <w:rPr>
                <w:rFonts w:ascii="Arial" w:hAnsi="Arial" w:cs="Arial"/>
                <w:color w:val="000000"/>
                <w:sz w:val="16"/>
                <w:szCs w:val="16"/>
              </w:rPr>
              <w:t>General public services</w:t>
            </w:r>
          </w:p>
        </w:tc>
        <w:tc>
          <w:tcPr>
            <w:tcW w:w="523" w:type="pct"/>
            <w:tcBorders>
              <w:top w:val="nil"/>
              <w:left w:val="nil"/>
              <w:bottom w:val="nil"/>
              <w:right w:val="nil"/>
            </w:tcBorders>
            <w:shd w:val="clear" w:color="000000" w:fill="FFFFFF"/>
            <w:noWrap/>
            <w:vAlign w:val="center"/>
            <w:hideMark/>
          </w:tcPr>
          <w:p w14:paraId="711F9FF3" w14:textId="77777777" w:rsidR="00D77000" w:rsidRPr="00D77000" w:rsidRDefault="00D77000" w:rsidP="00D77000">
            <w:pPr>
              <w:spacing w:before="0" w:after="0" w:line="240" w:lineRule="auto"/>
              <w:jc w:val="right"/>
              <w:rPr>
                <w:rFonts w:ascii="Arial" w:hAnsi="Arial" w:cs="Arial"/>
                <w:color w:val="000000"/>
                <w:sz w:val="16"/>
                <w:szCs w:val="16"/>
              </w:rPr>
            </w:pPr>
            <w:r w:rsidRPr="00D77000">
              <w:rPr>
                <w:rFonts w:ascii="Arial" w:hAnsi="Arial" w:cs="Arial"/>
                <w:color w:val="000000"/>
                <w:sz w:val="16"/>
                <w:szCs w:val="16"/>
              </w:rPr>
              <w:t>346</w:t>
            </w:r>
          </w:p>
        </w:tc>
        <w:tc>
          <w:tcPr>
            <w:tcW w:w="522" w:type="pct"/>
            <w:tcBorders>
              <w:top w:val="nil"/>
              <w:left w:val="nil"/>
              <w:bottom w:val="nil"/>
              <w:right w:val="nil"/>
            </w:tcBorders>
            <w:shd w:val="clear" w:color="000000" w:fill="E6F2FF"/>
            <w:noWrap/>
            <w:vAlign w:val="center"/>
            <w:hideMark/>
          </w:tcPr>
          <w:p w14:paraId="65481D85" w14:textId="77777777" w:rsidR="00D77000" w:rsidRPr="00D77000" w:rsidRDefault="00D77000" w:rsidP="00D77000">
            <w:pPr>
              <w:spacing w:before="0" w:after="0" w:line="240" w:lineRule="auto"/>
              <w:jc w:val="right"/>
              <w:rPr>
                <w:rFonts w:ascii="Arial" w:hAnsi="Arial" w:cs="Arial"/>
                <w:color w:val="000000"/>
                <w:sz w:val="16"/>
                <w:szCs w:val="16"/>
              </w:rPr>
            </w:pPr>
            <w:r w:rsidRPr="00D77000">
              <w:rPr>
                <w:rFonts w:ascii="Arial" w:hAnsi="Arial" w:cs="Arial"/>
                <w:color w:val="000000"/>
                <w:sz w:val="16"/>
                <w:szCs w:val="16"/>
              </w:rPr>
              <w:t>423</w:t>
            </w:r>
          </w:p>
        </w:tc>
        <w:tc>
          <w:tcPr>
            <w:tcW w:w="522" w:type="pct"/>
            <w:tcBorders>
              <w:top w:val="nil"/>
              <w:left w:val="nil"/>
              <w:bottom w:val="nil"/>
              <w:right w:val="nil"/>
            </w:tcBorders>
            <w:shd w:val="clear" w:color="000000" w:fill="FFFFFF"/>
            <w:noWrap/>
            <w:vAlign w:val="center"/>
            <w:hideMark/>
          </w:tcPr>
          <w:p w14:paraId="1AA1550E" w14:textId="77777777" w:rsidR="00D77000" w:rsidRPr="00D77000" w:rsidRDefault="00D77000" w:rsidP="00D77000">
            <w:pPr>
              <w:spacing w:before="0" w:after="0" w:line="240" w:lineRule="auto"/>
              <w:jc w:val="right"/>
              <w:rPr>
                <w:rFonts w:ascii="Arial" w:hAnsi="Arial" w:cs="Arial"/>
                <w:color w:val="000000"/>
                <w:sz w:val="16"/>
                <w:szCs w:val="16"/>
              </w:rPr>
            </w:pPr>
            <w:r w:rsidRPr="00D77000">
              <w:rPr>
                <w:rFonts w:ascii="Arial" w:hAnsi="Arial" w:cs="Arial"/>
                <w:color w:val="000000"/>
                <w:sz w:val="16"/>
                <w:szCs w:val="16"/>
              </w:rPr>
              <w:t>256</w:t>
            </w:r>
          </w:p>
        </w:tc>
        <w:tc>
          <w:tcPr>
            <w:tcW w:w="522" w:type="pct"/>
            <w:tcBorders>
              <w:top w:val="nil"/>
              <w:left w:val="nil"/>
              <w:bottom w:val="nil"/>
              <w:right w:val="nil"/>
            </w:tcBorders>
            <w:shd w:val="clear" w:color="000000" w:fill="FFFFFF"/>
            <w:noWrap/>
            <w:vAlign w:val="center"/>
            <w:hideMark/>
          </w:tcPr>
          <w:p w14:paraId="3A48B67B" w14:textId="77777777" w:rsidR="00D77000" w:rsidRPr="00D77000" w:rsidRDefault="00D77000" w:rsidP="00D77000">
            <w:pPr>
              <w:spacing w:before="0" w:after="0" w:line="240" w:lineRule="auto"/>
              <w:jc w:val="right"/>
              <w:rPr>
                <w:rFonts w:ascii="Arial" w:hAnsi="Arial" w:cs="Arial"/>
                <w:sz w:val="16"/>
                <w:szCs w:val="16"/>
              </w:rPr>
            </w:pPr>
            <w:r w:rsidRPr="00D77000">
              <w:rPr>
                <w:rFonts w:ascii="Arial" w:hAnsi="Arial" w:cs="Arial"/>
                <w:sz w:val="16"/>
                <w:szCs w:val="16"/>
              </w:rPr>
              <w:t>791</w:t>
            </w:r>
          </w:p>
        </w:tc>
        <w:tc>
          <w:tcPr>
            <w:tcW w:w="522" w:type="pct"/>
            <w:tcBorders>
              <w:top w:val="nil"/>
              <w:left w:val="nil"/>
              <w:bottom w:val="nil"/>
              <w:right w:val="nil"/>
            </w:tcBorders>
            <w:shd w:val="clear" w:color="000000" w:fill="FFFFFF"/>
            <w:noWrap/>
            <w:vAlign w:val="center"/>
            <w:hideMark/>
          </w:tcPr>
          <w:p w14:paraId="128D4F99" w14:textId="77777777" w:rsidR="00D77000" w:rsidRPr="00D77000" w:rsidRDefault="00D77000" w:rsidP="00D77000">
            <w:pPr>
              <w:spacing w:before="0" w:after="0" w:line="240" w:lineRule="auto"/>
              <w:jc w:val="right"/>
              <w:rPr>
                <w:rFonts w:ascii="Arial" w:hAnsi="Arial" w:cs="Arial"/>
                <w:sz w:val="16"/>
                <w:szCs w:val="16"/>
              </w:rPr>
            </w:pPr>
            <w:r w:rsidRPr="00D77000">
              <w:rPr>
                <w:rFonts w:ascii="Arial" w:hAnsi="Arial" w:cs="Arial"/>
                <w:sz w:val="16"/>
                <w:szCs w:val="16"/>
              </w:rPr>
              <w:t>1,052</w:t>
            </w:r>
          </w:p>
        </w:tc>
      </w:tr>
      <w:tr w:rsidR="00D77000" w:rsidRPr="00D77000" w14:paraId="65759CFE" w14:textId="77777777" w:rsidTr="00D77000">
        <w:trPr>
          <w:trHeight w:hRule="exact" w:val="225"/>
        </w:trPr>
        <w:tc>
          <w:tcPr>
            <w:tcW w:w="2388" w:type="pct"/>
            <w:tcBorders>
              <w:top w:val="nil"/>
              <w:left w:val="nil"/>
              <w:bottom w:val="nil"/>
              <w:right w:val="nil"/>
            </w:tcBorders>
            <w:shd w:val="clear" w:color="000000" w:fill="FFFFFF"/>
            <w:noWrap/>
            <w:vAlign w:val="center"/>
            <w:hideMark/>
          </w:tcPr>
          <w:p w14:paraId="175A678B" w14:textId="77777777" w:rsidR="00D77000" w:rsidRPr="00D77000" w:rsidRDefault="00D77000" w:rsidP="00D77000">
            <w:pPr>
              <w:spacing w:before="0" w:after="0" w:line="240" w:lineRule="auto"/>
              <w:rPr>
                <w:rFonts w:ascii="Arial" w:hAnsi="Arial" w:cs="Arial"/>
                <w:color w:val="000000"/>
                <w:sz w:val="16"/>
                <w:szCs w:val="16"/>
              </w:rPr>
            </w:pPr>
            <w:r w:rsidRPr="00D77000">
              <w:rPr>
                <w:rFonts w:ascii="Arial" w:hAnsi="Arial" w:cs="Arial"/>
                <w:color w:val="000000"/>
                <w:sz w:val="16"/>
                <w:szCs w:val="16"/>
              </w:rPr>
              <w:t>Defence</w:t>
            </w:r>
          </w:p>
        </w:tc>
        <w:tc>
          <w:tcPr>
            <w:tcW w:w="523" w:type="pct"/>
            <w:tcBorders>
              <w:top w:val="nil"/>
              <w:left w:val="nil"/>
              <w:bottom w:val="nil"/>
              <w:right w:val="nil"/>
            </w:tcBorders>
            <w:shd w:val="clear" w:color="000000" w:fill="FFFFFF"/>
            <w:noWrap/>
            <w:vAlign w:val="center"/>
            <w:hideMark/>
          </w:tcPr>
          <w:p w14:paraId="02430E2D" w14:textId="77777777" w:rsidR="00D77000" w:rsidRPr="00D77000" w:rsidRDefault="00D77000" w:rsidP="00D77000">
            <w:pPr>
              <w:spacing w:before="0" w:after="0" w:line="240" w:lineRule="auto"/>
              <w:jc w:val="right"/>
              <w:rPr>
                <w:rFonts w:ascii="Arial" w:hAnsi="Arial" w:cs="Arial"/>
                <w:color w:val="000000"/>
                <w:sz w:val="16"/>
                <w:szCs w:val="16"/>
              </w:rPr>
            </w:pPr>
            <w:r w:rsidRPr="00D77000">
              <w:rPr>
                <w:rFonts w:ascii="Arial" w:hAnsi="Arial" w:cs="Arial"/>
                <w:color w:val="000000"/>
                <w:sz w:val="16"/>
                <w:szCs w:val="16"/>
              </w:rPr>
              <w:t>7,409</w:t>
            </w:r>
          </w:p>
        </w:tc>
        <w:tc>
          <w:tcPr>
            <w:tcW w:w="522" w:type="pct"/>
            <w:tcBorders>
              <w:top w:val="nil"/>
              <w:left w:val="nil"/>
              <w:bottom w:val="nil"/>
              <w:right w:val="nil"/>
            </w:tcBorders>
            <w:shd w:val="clear" w:color="000000" w:fill="E6F2FF"/>
            <w:noWrap/>
            <w:vAlign w:val="center"/>
            <w:hideMark/>
          </w:tcPr>
          <w:p w14:paraId="61837D2F" w14:textId="77777777" w:rsidR="00D77000" w:rsidRPr="00D77000" w:rsidRDefault="00D77000" w:rsidP="00D77000">
            <w:pPr>
              <w:spacing w:before="0" w:after="0" w:line="240" w:lineRule="auto"/>
              <w:jc w:val="right"/>
              <w:rPr>
                <w:rFonts w:ascii="Arial" w:hAnsi="Arial" w:cs="Arial"/>
                <w:color w:val="000000"/>
                <w:sz w:val="16"/>
                <w:szCs w:val="16"/>
              </w:rPr>
            </w:pPr>
            <w:r w:rsidRPr="00D77000">
              <w:rPr>
                <w:rFonts w:ascii="Arial" w:hAnsi="Arial" w:cs="Arial"/>
                <w:color w:val="000000"/>
                <w:sz w:val="16"/>
                <w:szCs w:val="16"/>
              </w:rPr>
              <w:t>6,853</w:t>
            </w:r>
          </w:p>
        </w:tc>
        <w:tc>
          <w:tcPr>
            <w:tcW w:w="522" w:type="pct"/>
            <w:tcBorders>
              <w:top w:val="nil"/>
              <w:left w:val="nil"/>
              <w:bottom w:val="nil"/>
              <w:right w:val="nil"/>
            </w:tcBorders>
            <w:shd w:val="clear" w:color="000000" w:fill="FFFFFF"/>
            <w:noWrap/>
            <w:vAlign w:val="center"/>
            <w:hideMark/>
          </w:tcPr>
          <w:p w14:paraId="0C664DB2" w14:textId="77777777" w:rsidR="00D77000" w:rsidRPr="00D77000" w:rsidRDefault="00D77000" w:rsidP="00D77000">
            <w:pPr>
              <w:spacing w:before="0" w:after="0" w:line="240" w:lineRule="auto"/>
              <w:jc w:val="right"/>
              <w:rPr>
                <w:rFonts w:ascii="Arial" w:hAnsi="Arial" w:cs="Arial"/>
                <w:color w:val="000000"/>
                <w:sz w:val="16"/>
                <w:szCs w:val="16"/>
              </w:rPr>
            </w:pPr>
            <w:r w:rsidRPr="00D77000">
              <w:rPr>
                <w:rFonts w:ascii="Arial" w:hAnsi="Arial" w:cs="Arial"/>
                <w:color w:val="000000"/>
                <w:sz w:val="16"/>
                <w:szCs w:val="16"/>
              </w:rPr>
              <w:t>7,504</w:t>
            </w:r>
          </w:p>
        </w:tc>
        <w:tc>
          <w:tcPr>
            <w:tcW w:w="522" w:type="pct"/>
            <w:tcBorders>
              <w:top w:val="nil"/>
              <w:left w:val="nil"/>
              <w:bottom w:val="nil"/>
              <w:right w:val="nil"/>
            </w:tcBorders>
            <w:shd w:val="clear" w:color="000000" w:fill="FFFFFF"/>
            <w:noWrap/>
            <w:vAlign w:val="center"/>
            <w:hideMark/>
          </w:tcPr>
          <w:p w14:paraId="4BBF5312" w14:textId="77777777" w:rsidR="00D77000" w:rsidRPr="00D77000" w:rsidRDefault="00D77000" w:rsidP="00D77000">
            <w:pPr>
              <w:spacing w:before="0" w:after="0" w:line="240" w:lineRule="auto"/>
              <w:jc w:val="right"/>
              <w:rPr>
                <w:rFonts w:ascii="Arial" w:hAnsi="Arial" w:cs="Arial"/>
                <w:sz w:val="16"/>
                <w:szCs w:val="16"/>
              </w:rPr>
            </w:pPr>
            <w:r w:rsidRPr="00D77000">
              <w:rPr>
                <w:rFonts w:ascii="Arial" w:hAnsi="Arial" w:cs="Arial"/>
                <w:sz w:val="16"/>
                <w:szCs w:val="16"/>
              </w:rPr>
              <w:t>9,018</w:t>
            </w:r>
          </w:p>
        </w:tc>
        <w:tc>
          <w:tcPr>
            <w:tcW w:w="522" w:type="pct"/>
            <w:tcBorders>
              <w:top w:val="nil"/>
              <w:left w:val="nil"/>
              <w:bottom w:val="nil"/>
              <w:right w:val="nil"/>
            </w:tcBorders>
            <w:shd w:val="clear" w:color="000000" w:fill="FFFFFF"/>
            <w:noWrap/>
            <w:vAlign w:val="center"/>
            <w:hideMark/>
          </w:tcPr>
          <w:p w14:paraId="05E2B63B" w14:textId="77777777" w:rsidR="00D77000" w:rsidRPr="00D77000" w:rsidRDefault="00D77000" w:rsidP="00D77000">
            <w:pPr>
              <w:spacing w:before="0" w:after="0" w:line="240" w:lineRule="auto"/>
              <w:jc w:val="right"/>
              <w:rPr>
                <w:rFonts w:ascii="Arial" w:hAnsi="Arial" w:cs="Arial"/>
                <w:sz w:val="16"/>
                <w:szCs w:val="16"/>
              </w:rPr>
            </w:pPr>
            <w:r w:rsidRPr="00D77000">
              <w:rPr>
                <w:rFonts w:ascii="Arial" w:hAnsi="Arial" w:cs="Arial"/>
                <w:sz w:val="16"/>
                <w:szCs w:val="16"/>
              </w:rPr>
              <w:t>11,550</w:t>
            </w:r>
          </w:p>
        </w:tc>
      </w:tr>
      <w:tr w:rsidR="00D77000" w:rsidRPr="00D77000" w14:paraId="330887B0" w14:textId="77777777" w:rsidTr="00D77000">
        <w:trPr>
          <w:trHeight w:hRule="exact" w:val="225"/>
        </w:trPr>
        <w:tc>
          <w:tcPr>
            <w:tcW w:w="2388" w:type="pct"/>
            <w:tcBorders>
              <w:top w:val="nil"/>
              <w:left w:val="nil"/>
              <w:bottom w:val="nil"/>
              <w:right w:val="nil"/>
            </w:tcBorders>
            <w:shd w:val="clear" w:color="000000" w:fill="FFFFFF"/>
            <w:noWrap/>
            <w:vAlign w:val="center"/>
            <w:hideMark/>
          </w:tcPr>
          <w:p w14:paraId="6C14B8E0" w14:textId="77777777" w:rsidR="00D77000" w:rsidRPr="00D77000" w:rsidRDefault="00D77000" w:rsidP="00D77000">
            <w:pPr>
              <w:spacing w:before="0" w:after="0" w:line="240" w:lineRule="auto"/>
              <w:rPr>
                <w:rFonts w:ascii="Arial" w:hAnsi="Arial" w:cs="Arial"/>
                <w:color w:val="000000"/>
                <w:sz w:val="16"/>
                <w:szCs w:val="16"/>
              </w:rPr>
            </w:pPr>
            <w:r w:rsidRPr="00D77000">
              <w:rPr>
                <w:rFonts w:ascii="Arial" w:hAnsi="Arial" w:cs="Arial"/>
                <w:color w:val="000000"/>
                <w:sz w:val="16"/>
                <w:szCs w:val="16"/>
              </w:rPr>
              <w:t>Public order and safety</w:t>
            </w:r>
          </w:p>
        </w:tc>
        <w:tc>
          <w:tcPr>
            <w:tcW w:w="523" w:type="pct"/>
            <w:tcBorders>
              <w:top w:val="nil"/>
              <w:left w:val="nil"/>
              <w:bottom w:val="nil"/>
              <w:right w:val="nil"/>
            </w:tcBorders>
            <w:shd w:val="clear" w:color="000000" w:fill="FFFFFF"/>
            <w:noWrap/>
            <w:vAlign w:val="center"/>
            <w:hideMark/>
          </w:tcPr>
          <w:p w14:paraId="72056C32" w14:textId="77777777" w:rsidR="00D77000" w:rsidRPr="00D77000" w:rsidRDefault="00D77000" w:rsidP="00D77000">
            <w:pPr>
              <w:spacing w:before="0" w:after="0" w:line="240" w:lineRule="auto"/>
              <w:jc w:val="right"/>
              <w:rPr>
                <w:rFonts w:ascii="Arial" w:hAnsi="Arial" w:cs="Arial"/>
                <w:color w:val="000000"/>
                <w:sz w:val="16"/>
                <w:szCs w:val="16"/>
              </w:rPr>
            </w:pPr>
            <w:r w:rsidRPr="00D77000">
              <w:rPr>
                <w:rFonts w:ascii="Arial" w:hAnsi="Arial" w:cs="Arial"/>
                <w:color w:val="000000"/>
                <w:sz w:val="16"/>
                <w:szCs w:val="16"/>
              </w:rPr>
              <w:t>78</w:t>
            </w:r>
          </w:p>
        </w:tc>
        <w:tc>
          <w:tcPr>
            <w:tcW w:w="522" w:type="pct"/>
            <w:tcBorders>
              <w:top w:val="nil"/>
              <w:left w:val="nil"/>
              <w:bottom w:val="nil"/>
              <w:right w:val="nil"/>
            </w:tcBorders>
            <w:shd w:val="clear" w:color="000000" w:fill="E6F2FF"/>
            <w:noWrap/>
            <w:vAlign w:val="center"/>
            <w:hideMark/>
          </w:tcPr>
          <w:p w14:paraId="5514C00F" w14:textId="77777777" w:rsidR="00D77000" w:rsidRPr="00D77000" w:rsidRDefault="00D77000" w:rsidP="00D77000">
            <w:pPr>
              <w:spacing w:before="0" w:after="0" w:line="240" w:lineRule="auto"/>
              <w:jc w:val="right"/>
              <w:rPr>
                <w:rFonts w:ascii="Arial" w:hAnsi="Arial" w:cs="Arial"/>
                <w:color w:val="000000"/>
                <w:sz w:val="16"/>
                <w:szCs w:val="16"/>
              </w:rPr>
            </w:pPr>
            <w:r w:rsidRPr="00D77000">
              <w:rPr>
                <w:rFonts w:ascii="Arial" w:hAnsi="Arial" w:cs="Arial"/>
                <w:color w:val="000000"/>
                <w:sz w:val="16"/>
                <w:szCs w:val="16"/>
              </w:rPr>
              <w:t>28</w:t>
            </w:r>
          </w:p>
        </w:tc>
        <w:tc>
          <w:tcPr>
            <w:tcW w:w="522" w:type="pct"/>
            <w:tcBorders>
              <w:top w:val="nil"/>
              <w:left w:val="nil"/>
              <w:bottom w:val="nil"/>
              <w:right w:val="nil"/>
            </w:tcBorders>
            <w:shd w:val="clear" w:color="000000" w:fill="FFFFFF"/>
            <w:noWrap/>
            <w:vAlign w:val="center"/>
            <w:hideMark/>
          </w:tcPr>
          <w:p w14:paraId="1818F012" w14:textId="4B5E7F6C" w:rsidR="00D77000" w:rsidRPr="00D77000" w:rsidRDefault="008D4F6B" w:rsidP="00D7700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D77000" w:rsidRPr="00D77000">
              <w:rPr>
                <w:rFonts w:ascii="Arial" w:hAnsi="Arial" w:cs="Arial"/>
                <w:color w:val="000000"/>
                <w:sz w:val="16"/>
                <w:szCs w:val="16"/>
              </w:rPr>
              <w:t>23</w:t>
            </w:r>
          </w:p>
        </w:tc>
        <w:tc>
          <w:tcPr>
            <w:tcW w:w="522" w:type="pct"/>
            <w:tcBorders>
              <w:top w:val="nil"/>
              <w:left w:val="nil"/>
              <w:bottom w:val="nil"/>
              <w:right w:val="nil"/>
            </w:tcBorders>
            <w:shd w:val="clear" w:color="000000" w:fill="FFFFFF"/>
            <w:noWrap/>
            <w:vAlign w:val="center"/>
            <w:hideMark/>
          </w:tcPr>
          <w:p w14:paraId="0FBE963E" w14:textId="76092505" w:rsidR="00D77000" w:rsidRPr="00D77000" w:rsidRDefault="008D4F6B" w:rsidP="00D77000">
            <w:pPr>
              <w:spacing w:before="0" w:after="0" w:line="240" w:lineRule="auto"/>
              <w:jc w:val="right"/>
              <w:rPr>
                <w:rFonts w:ascii="Arial" w:hAnsi="Arial" w:cs="Arial"/>
                <w:sz w:val="16"/>
                <w:szCs w:val="16"/>
              </w:rPr>
            </w:pPr>
            <w:r>
              <w:rPr>
                <w:rFonts w:ascii="Arial" w:hAnsi="Arial" w:cs="Arial"/>
                <w:sz w:val="16"/>
                <w:szCs w:val="16"/>
              </w:rPr>
              <w:noBreakHyphen/>
            </w:r>
            <w:r w:rsidR="00D77000" w:rsidRPr="00D77000">
              <w:rPr>
                <w:rFonts w:ascii="Arial" w:hAnsi="Arial" w:cs="Arial"/>
                <w:sz w:val="16"/>
                <w:szCs w:val="16"/>
              </w:rPr>
              <w:t>143</w:t>
            </w:r>
          </w:p>
        </w:tc>
        <w:tc>
          <w:tcPr>
            <w:tcW w:w="522" w:type="pct"/>
            <w:tcBorders>
              <w:top w:val="nil"/>
              <w:left w:val="nil"/>
              <w:bottom w:val="nil"/>
              <w:right w:val="nil"/>
            </w:tcBorders>
            <w:shd w:val="clear" w:color="000000" w:fill="FFFFFF"/>
            <w:noWrap/>
            <w:vAlign w:val="center"/>
            <w:hideMark/>
          </w:tcPr>
          <w:p w14:paraId="1D9688BD" w14:textId="0050C969" w:rsidR="00D77000" w:rsidRPr="00D77000" w:rsidRDefault="008D4F6B" w:rsidP="00D77000">
            <w:pPr>
              <w:spacing w:before="0" w:after="0" w:line="240" w:lineRule="auto"/>
              <w:jc w:val="right"/>
              <w:rPr>
                <w:rFonts w:ascii="Arial" w:hAnsi="Arial" w:cs="Arial"/>
                <w:sz w:val="16"/>
                <w:szCs w:val="16"/>
              </w:rPr>
            </w:pPr>
            <w:r>
              <w:rPr>
                <w:rFonts w:ascii="Arial" w:hAnsi="Arial" w:cs="Arial"/>
                <w:sz w:val="16"/>
                <w:szCs w:val="16"/>
              </w:rPr>
              <w:noBreakHyphen/>
            </w:r>
            <w:r w:rsidR="00D77000" w:rsidRPr="00D77000">
              <w:rPr>
                <w:rFonts w:ascii="Arial" w:hAnsi="Arial" w:cs="Arial"/>
                <w:sz w:val="16"/>
                <w:szCs w:val="16"/>
              </w:rPr>
              <w:t>87</w:t>
            </w:r>
          </w:p>
        </w:tc>
      </w:tr>
      <w:tr w:rsidR="00D77000" w:rsidRPr="00D77000" w14:paraId="4BFF5A34" w14:textId="77777777" w:rsidTr="00D77000">
        <w:trPr>
          <w:trHeight w:hRule="exact" w:val="225"/>
        </w:trPr>
        <w:tc>
          <w:tcPr>
            <w:tcW w:w="2388" w:type="pct"/>
            <w:tcBorders>
              <w:top w:val="nil"/>
              <w:left w:val="nil"/>
              <w:bottom w:val="nil"/>
              <w:right w:val="nil"/>
            </w:tcBorders>
            <w:shd w:val="clear" w:color="000000" w:fill="FFFFFF"/>
            <w:noWrap/>
            <w:vAlign w:val="center"/>
            <w:hideMark/>
          </w:tcPr>
          <w:p w14:paraId="694A3A49" w14:textId="77777777" w:rsidR="00D77000" w:rsidRPr="00D77000" w:rsidRDefault="00D77000" w:rsidP="00D77000">
            <w:pPr>
              <w:spacing w:before="0" w:after="0" w:line="240" w:lineRule="auto"/>
              <w:rPr>
                <w:rFonts w:ascii="Arial" w:hAnsi="Arial" w:cs="Arial"/>
                <w:color w:val="000000"/>
                <w:sz w:val="16"/>
                <w:szCs w:val="16"/>
              </w:rPr>
            </w:pPr>
            <w:r w:rsidRPr="00D77000">
              <w:rPr>
                <w:rFonts w:ascii="Arial" w:hAnsi="Arial" w:cs="Arial"/>
                <w:color w:val="000000"/>
                <w:sz w:val="16"/>
                <w:szCs w:val="16"/>
              </w:rPr>
              <w:t>Education</w:t>
            </w:r>
          </w:p>
        </w:tc>
        <w:tc>
          <w:tcPr>
            <w:tcW w:w="523" w:type="pct"/>
            <w:tcBorders>
              <w:top w:val="nil"/>
              <w:left w:val="nil"/>
              <w:bottom w:val="nil"/>
              <w:right w:val="nil"/>
            </w:tcBorders>
            <w:shd w:val="clear" w:color="000000" w:fill="FFFFFF"/>
            <w:noWrap/>
            <w:vAlign w:val="center"/>
            <w:hideMark/>
          </w:tcPr>
          <w:p w14:paraId="5FAAEA12" w14:textId="77777777" w:rsidR="00D77000" w:rsidRPr="00D77000" w:rsidRDefault="00D77000" w:rsidP="00D77000">
            <w:pPr>
              <w:spacing w:before="0" w:after="0" w:line="240" w:lineRule="auto"/>
              <w:jc w:val="right"/>
              <w:rPr>
                <w:rFonts w:ascii="Arial" w:hAnsi="Arial" w:cs="Arial"/>
                <w:color w:val="000000"/>
                <w:sz w:val="16"/>
                <w:szCs w:val="16"/>
              </w:rPr>
            </w:pPr>
            <w:r w:rsidRPr="00D77000">
              <w:rPr>
                <w:rFonts w:ascii="Arial" w:hAnsi="Arial" w:cs="Arial"/>
                <w:color w:val="000000"/>
                <w:sz w:val="16"/>
                <w:szCs w:val="16"/>
              </w:rPr>
              <w:t>34</w:t>
            </w:r>
          </w:p>
        </w:tc>
        <w:tc>
          <w:tcPr>
            <w:tcW w:w="522" w:type="pct"/>
            <w:tcBorders>
              <w:top w:val="nil"/>
              <w:left w:val="nil"/>
              <w:bottom w:val="nil"/>
              <w:right w:val="nil"/>
            </w:tcBorders>
            <w:shd w:val="clear" w:color="000000" w:fill="E6F2FF"/>
            <w:noWrap/>
            <w:vAlign w:val="center"/>
            <w:hideMark/>
          </w:tcPr>
          <w:p w14:paraId="3AE28F6D" w14:textId="77777777" w:rsidR="00D77000" w:rsidRPr="00D77000" w:rsidRDefault="00D77000" w:rsidP="00D77000">
            <w:pPr>
              <w:spacing w:before="0" w:after="0" w:line="240" w:lineRule="auto"/>
              <w:jc w:val="right"/>
              <w:rPr>
                <w:rFonts w:ascii="Arial" w:hAnsi="Arial" w:cs="Arial"/>
                <w:color w:val="000000"/>
                <w:sz w:val="16"/>
                <w:szCs w:val="16"/>
              </w:rPr>
            </w:pPr>
            <w:r w:rsidRPr="00D77000">
              <w:rPr>
                <w:rFonts w:ascii="Arial" w:hAnsi="Arial" w:cs="Arial"/>
                <w:color w:val="000000"/>
                <w:sz w:val="16"/>
                <w:szCs w:val="16"/>
              </w:rPr>
              <w:t>50</w:t>
            </w:r>
          </w:p>
        </w:tc>
        <w:tc>
          <w:tcPr>
            <w:tcW w:w="522" w:type="pct"/>
            <w:tcBorders>
              <w:top w:val="nil"/>
              <w:left w:val="nil"/>
              <w:bottom w:val="nil"/>
              <w:right w:val="nil"/>
            </w:tcBorders>
            <w:shd w:val="clear" w:color="000000" w:fill="FFFFFF"/>
            <w:noWrap/>
            <w:vAlign w:val="center"/>
            <w:hideMark/>
          </w:tcPr>
          <w:p w14:paraId="20A52F1A" w14:textId="77777777" w:rsidR="00D77000" w:rsidRPr="00D77000" w:rsidRDefault="00D77000" w:rsidP="00D77000">
            <w:pPr>
              <w:spacing w:before="0" w:after="0" w:line="240" w:lineRule="auto"/>
              <w:jc w:val="right"/>
              <w:rPr>
                <w:rFonts w:ascii="Arial" w:hAnsi="Arial" w:cs="Arial"/>
                <w:color w:val="000000"/>
                <w:sz w:val="16"/>
                <w:szCs w:val="16"/>
              </w:rPr>
            </w:pPr>
            <w:r w:rsidRPr="00D77000">
              <w:rPr>
                <w:rFonts w:ascii="Arial" w:hAnsi="Arial" w:cs="Arial"/>
                <w:color w:val="000000"/>
                <w:sz w:val="16"/>
                <w:szCs w:val="16"/>
              </w:rPr>
              <w:t>33</w:t>
            </w:r>
          </w:p>
        </w:tc>
        <w:tc>
          <w:tcPr>
            <w:tcW w:w="522" w:type="pct"/>
            <w:tcBorders>
              <w:top w:val="nil"/>
              <w:left w:val="nil"/>
              <w:bottom w:val="nil"/>
              <w:right w:val="nil"/>
            </w:tcBorders>
            <w:shd w:val="clear" w:color="000000" w:fill="FFFFFF"/>
            <w:noWrap/>
            <w:vAlign w:val="center"/>
            <w:hideMark/>
          </w:tcPr>
          <w:p w14:paraId="7C0CBE80" w14:textId="77777777" w:rsidR="00D77000" w:rsidRPr="00D77000" w:rsidRDefault="00D77000" w:rsidP="00D77000">
            <w:pPr>
              <w:spacing w:before="0" w:after="0" w:line="240" w:lineRule="auto"/>
              <w:jc w:val="right"/>
              <w:rPr>
                <w:rFonts w:ascii="Arial" w:hAnsi="Arial" w:cs="Arial"/>
                <w:sz w:val="16"/>
                <w:szCs w:val="16"/>
              </w:rPr>
            </w:pPr>
            <w:r w:rsidRPr="00D77000">
              <w:rPr>
                <w:rFonts w:ascii="Arial" w:hAnsi="Arial" w:cs="Arial"/>
                <w:sz w:val="16"/>
                <w:szCs w:val="16"/>
              </w:rPr>
              <w:t>1</w:t>
            </w:r>
          </w:p>
        </w:tc>
        <w:tc>
          <w:tcPr>
            <w:tcW w:w="522" w:type="pct"/>
            <w:tcBorders>
              <w:top w:val="nil"/>
              <w:left w:val="nil"/>
              <w:bottom w:val="nil"/>
              <w:right w:val="nil"/>
            </w:tcBorders>
            <w:shd w:val="clear" w:color="000000" w:fill="FFFFFF"/>
            <w:noWrap/>
            <w:vAlign w:val="center"/>
            <w:hideMark/>
          </w:tcPr>
          <w:p w14:paraId="0FF52E56" w14:textId="77777777" w:rsidR="00D77000" w:rsidRPr="00D77000" w:rsidRDefault="00D77000" w:rsidP="00D77000">
            <w:pPr>
              <w:spacing w:before="0" w:after="0" w:line="240" w:lineRule="auto"/>
              <w:jc w:val="right"/>
              <w:rPr>
                <w:rFonts w:ascii="Arial" w:hAnsi="Arial" w:cs="Arial"/>
                <w:sz w:val="16"/>
                <w:szCs w:val="16"/>
              </w:rPr>
            </w:pPr>
            <w:r w:rsidRPr="00D77000">
              <w:rPr>
                <w:rFonts w:ascii="Arial" w:hAnsi="Arial" w:cs="Arial"/>
                <w:sz w:val="16"/>
                <w:szCs w:val="16"/>
              </w:rPr>
              <w:t>1</w:t>
            </w:r>
          </w:p>
        </w:tc>
      </w:tr>
      <w:tr w:rsidR="00D77000" w:rsidRPr="00D77000" w14:paraId="67DA40B2" w14:textId="77777777" w:rsidTr="00D77000">
        <w:trPr>
          <w:trHeight w:hRule="exact" w:val="225"/>
        </w:trPr>
        <w:tc>
          <w:tcPr>
            <w:tcW w:w="2388" w:type="pct"/>
            <w:tcBorders>
              <w:top w:val="nil"/>
              <w:left w:val="nil"/>
              <w:bottom w:val="nil"/>
              <w:right w:val="nil"/>
            </w:tcBorders>
            <w:shd w:val="clear" w:color="000000" w:fill="FFFFFF"/>
            <w:noWrap/>
            <w:vAlign w:val="center"/>
            <w:hideMark/>
          </w:tcPr>
          <w:p w14:paraId="1E34693D" w14:textId="77777777" w:rsidR="00D77000" w:rsidRPr="00D77000" w:rsidRDefault="00D77000" w:rsidP="00D77000">
            <w:pPr>
              <w:spacing w:before="0" w:after="0" w:line="240" w:lineRule="auto"/>
              <w:rPr>
                <w:rFonts w:ascii="Arial" w:hAnsi="Arial" w:cs="Arial"/>
                <w:color w:val="000000"/>
                <w:sz w:val="16"/>
                <w:szCs w:val="16"/>
              </w:rPr>
            </w:pPr>
            <w:r w:rsidRPr="00D77000">
              <w:rPr>
                <w:rFonts w:ascii="Arial" w:hAnsi="Arial" w:cs="Arial"/>
                <w:color w:val="000000"/>
                <w:sz w:val="16"/>
                <w:szCs w:val="16"/>
              </w:rPr>
              <w:t>Health</w:t>
            </w:r>
          </w:p>
        </w:tc>
        <w:tc>
          <w:tcPr>
            <w:tcW w:w="523" w:type="pct"/>
            <w:tcBorders>
              <w:top w:val="nil"/>
              <w:left w:val="nil"/>
              <w:bottom w:val="nil"/>
              <w:right w:val="nil"/>
            </w:tcBorders>
            <w:shd w:val="clear" w:color="000000" w:fill="FFFFFF"/>
            <w:noWrap/>
            <w:vAlign w:val="center"/>
            <w:hideMark/>
          </w:tcPr>
          <w:p w14:paraId="5BB615A9" w14:textId="0977D5E9" w:rsidR="00D77000" w:rsidRPr="00D77000" w:rsidRDefault="008D4F6B" w:rsidP="00D7700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D77000" w:rsidRPr="00D77000">
              <w:rPr>
                <w:rFonts w:ascii="Arial" w:hAnsi="Arial" w:cs="Arial"/>
                <w:color w:val="000000"/>
                <w:sz w:val="16"/>
                <w:szCs w:val="16"/>
              </w:rPr>
              <w:t>123</w:t>
            </w:r>
          </w:p>
        </w:tc>
        <w:tc>
          <w:tcPr>
            <w:tcW w:w="522" w:type="pct"/>
            <w:tcBorders>
              <w:top w:val="nil"/>
              <w:left w:val="nil"/>
              <w:bottom w:val="nil"/>
              <w:right w:val="nil"/>
            </w:tcBorders>
            <w:shd w:val="clear" w:color="000000" w:fill="E6F2FF"/>
            <w:noWrap/>
            <w:vAlign w:val="center"/>
            <w:hideMark/>
          </w:tcPr>
          <w:p w14:paraId="7369DFB0" w14:textId="77777777" w:rsidR="00D77000" w:rsidRPr="00D77000" w:rsidRDefault="00D77000" w:rsidP="00D77000">
            <w:pPr>
              <w:spacing w:before="0" w:after="0" w:line="240" w:lineRule="auto"/>
              <w:jc w:val="right"/>
              <w:rPr>
                <w:rFonts w:ascii="Arial" w:hAnsi="Arial" w:cs="Arial"/>
                <w:color w:val="000000"/>
                <w:sz w:val="16"/>
                <w:szCs w:val="16"/>
              </w:rPr>
            </w:pPr>
            <w:r w:rsidRPr="00D77000">
              <w:rPr>
                <w:rFonts w:ascii="Arial" w:hAnsi="Arial" w:cs="Arial"/>
                <w:color w:val="000000"/>
                <w:sz w:val="16"/>
                <w:szCs w:val="16"/>
              </w:rPr>
              <w:t>133</w:t>
            </w:r>
          </w:p>
        </w:tc>
        <w:tc>
          <w:tcPr>
            <w:tcW w:w="522" w:type="pct"/>
            <w:tcBorders>
              <w:top w:val="nil"/>
              <w:left w:val="nil"/>
              <w:bottom w:val="nil"/>
              <w:right w:val="nil"/>
            </w:tcBorders>
            <w:shd w:val="clear" w:color="000000" w:fill="FFFFFF"/>
            <w:noWrap/>
            <w:vAlign w:val="center"/>
            <w:hideMark/>
          </w:tcPr>
          <w:p w14:paraId="3FB76756" w14:textId="77777777" w:rsidR="00D77000" w:rsidRPr="00D77000" w:rsidRDefault="00D77000" w:rsidP="00D77000">
            <w:pPr>
              <w:spacing w:before="0" w:after="0" w:line="240" w:lineRule="auto"/>
              <w:jc w:val="right"/>
              <w:rPr>
                <w:rFonts w:ascii="Arial" w:hAnsi="Arial" w:cs="Arial"/>
                <w:color w:val="000000"/>
                <w:sz w:val="16"/>
                <w:szCs w:val="16"/>
              </w:rPr>
            </w:pPr>
            <w:r w:rsidRPr="00D77000">
              <w:rPr>
                <w:rFonts w:ascii="Arial" w:hAnsi="Arial" w:cs="Arial"/>
                <w:color w:val="000000"/>
                <w:sz w:val="16"/>
                <w:szCs w:val="16"/>
              </w:rPr>
              <w:t>182</w:t>
            </w:r>
          </w:p>
        </w:tc>
        <w:tc>
          <w:tcPr>
            <w:tcW w:w="522" w:type="pct"/>
            <w:tcBorders>
              <w:top w:val="nil"/>
              <w:left w:val="nil"/>
              <w:bottom w:val="nil"/>
              <w:right w:val="nil"/>
            </w:tcBorders>
            <w:shd w:val="clear" w:color="000000" w:fill="FFFFFF"/>
            <w:noWrap/>
            <w:vAlign w:val="center"/>
            <w:hideMark/>
          </w:tcPr>
          <w:p w14:paraId="7A042694" w14:textId="5FFAF07E" w:rsidR="00D77000" w:rsidRPr="00D77000" w:rsidRDefault="008D4F6B" w:rsidP="00D77000">
            <w:pPr>
              <w:spacing w:before="0" w:after="0" w:line="240" w:lineRule="auto"/>
              <w:jc w:val="right"/>
              <w:rPr>
                <w:rFonts w:ascii="Arial" w:hAnsi="Arial" w:cs="Arial"/>
                <w:sz w:val="16"/>
                <w:szCs w:val="16"/>
              </w:rPr>
            </w:pPr>
            <w:r>
              <w:rPr>
                <w:rFonts w:ascii="Arial" w:hAnsi="Arial" w:cs="Arial"/>
                <w:sz w:val="16"/>
                <w:szCs w:val="16"/>
              </w:rPr>
              <w:noBreakHyphen/>
            </w:r>
            <w:r w:rsidR="00D77000" w:rsidRPr="00D77000">
              <w:rPr>
                <w:rFonts w:ascii="Arial" w:hAnsi="Arial" w:cs="Arial"/>
                <w:sz w:val="16"/>
                <w:szCs w:val="16"/>
              </w:rPr>
              <w:t>96</w:t>
            </w:r>
          </w:p>
        </w:tc>
        <w:tc>
          <w:tcPr>
            <w:tcW w:w="522" w:type="pct"/>
            <w:tcBorders>
              <w:top w:val="nil"/>
              <w:left w:val="nil"/>
              <w:bottom w:val="nil"/>
              <w:right w:val="nil"/>
            </w:tcBorders>
            <w:shd w:val="clear" w:color="000000" w:fill="FFFFFF"/>
            <w:noWrap/>
            <w:vAlign w:val="center"/>
            <w:hideMark/>
          </w:tcPr>
          <w:p w14:paraId="0C4901E4" w14:textId="5B7B4E02" w:rsidR="00D77000" w:rsidRPr="00D77000" w:rsidRDefault="008D4F6B" w:rsidP="00D77000">
            <w:pPr>
              <w:spacing w:before="0" w:after="0" w:line="240" w:lineRule="auto"/>
              <w:jc w:val="right"/>
              <w:rPr>
                <w:rFonts w:ascii="Arial" w:hAnsi="Arial" w:cs="Arial"/>
                <w:sz w:val="16"/>
                <w:szCs w:val="16"/>
              </w:rPr>
            </w:pPr>
            <w:r>
              <w:rPr>
                <w:rFonts w:ascii="Arial" w:hAnsi="Arial" w:cs="Arial"/>
                <w:sz w:val="16"/>
                <w:szCs w:val="16"/>
              </w:rPr>
              <w:noBreakHyphen/>
            </w:r>
            <w:r w:rsidR="00D77000" w:rsidRPr="00D77000">
              <w:rPr>
                <w:rFonts w:ascii="Arial" w:hAnsi="Arial" w:cs="Arial"/>
                <w:sz w:val="16"/>
                <w:szCs w:val="16"/>
              </w:rPr>
              <w:t>104</w:t>
            </w:r>
          </w:p>
        </w:tc>
      </w:tr>
      <w:tr w:rsidR="00D77000" w:rsidRPr="00D77000" w14:paraId="78927F02" w14:textId="77777777" w:rsidTr="00D77000">
        <w:trPr>
          <w:trHeight w:hRule="exact" w:val="225"/>
        </w:trPr>
        <w:tc>
          <w:tcPr>
            <w:tcW w:w="2388" w:type="pct"/>
            <w:tcBorders>
              <w:top w:val="nil"/>
              <w:left w:val="nil"/>
              <w:bottom w:val="nil"/>
              <w:right w:val="nil"/>
            </w:tcBorders>
            <w:shd w:val="clear" w:color="000000" w:fill="FFFFFF"/>
            <w:noWrap/>
            <w:vAlign w:val="center"/>
            <w:hideMark/>
          </w:tcPr>
          <w:p w14:paraId="3AF0E7B2" w14:textId="77777777" w:rsidR="00D77000" w:rsidRPr="00D77000" w:rsidRDefault="00D77000" w:rsidP="00D77000">
            <w:pPr>
              <w:spacing w:before="0" w:after="0" w:line="240" w:lineRule="auto"/>
              <w:rPr>
                <w:rFonts w:ascii="Arial" w:hAnsi="Arial" w:cs="Arial"/>
                <w:color w:val="000000"/>
                <w:sz w:val="16"/>
                <w:szCs w:val="16"/>
              </w:rPr>
            </w:pPr>
            <w:r w:rsidRPr="00D77000">
              <w:rPr>
                <w:rFonts w:ascii="Arial" w:hAnsi="Arial" w:cs="Arial"/>
                <w:color w:val="000000"/>
                <w:sz w:val="16"/>
                <w:szCs w:val="16"/>
              </w:rPr>
              <w:t>Social security and welfare</w:t>
            </w:r>
          </w:p>
        </w:tc>
        <w:tc>
          <w:tcPr>
            <w:tcW w:w="523" w:type="pct"/>
            <w:tcBorders>
              <w:top w:val="nil"/>
              <w:left w:val="nil"/>
              <w:bottom w:val="nil"/>
              <w:right w:val="nil"/>
            </w:tcBorders>
            <w:shd w:val="clear" w:color="000000" w:fill="FFFFFF"/>
            <w:noWrap/>
            <w:vAlign w:val="center"/>
            <w:hideMark/>
          </w:tcPr>
          <w:p w14:paraId="46F57B3E" w14:textId="77777777" w:rsidR="00D77000" w:rsidRPr="00D77000" w:rsidRDefault="00D77000" w:rsidP="00D77000">
            <w:pPr>
              <w:spacing w:before="0" w:after="0" w:line="240" w:lineRule="auto"/>
              <w:jc w:val="right"/>
              <w:rPr>
                <w:rFonts w:ascii="Arial" w:hAnsi="Arial" w:cs="Arial"/>
                <w:color w:val="000000"/>
                <w:sz w:val="16"/>
                <w:szCs w:val="16"/>
              </w:rPr>
            </w:pPr>
            <w:r w:rsidRPr="00D77000">
              <w:rPr>
                <w:rFonts w:ascii="Arial" w:hAnsi="Arial" w:cs="Arial"/>
                <w:color w:val="000000"/>
                <w:sz w:val="16"/>
                <w:szCs w:val="16"/>
              </w:rPr>
              <w:t>13</w:t>
            </w:r>
          </w:p>
        </w:tc>
        <w:tc>
          <w:tcPr>
            <w:tcW w:w="522" w:type="pct"/>
            <w:tcBorders>
              <w:top w:val="nil"/>
              <w:left w:val="nil"/>
              <w:bottom w:val="nil"/>
              <w:right w:val="nil"/>
            </w:tcBorders>
            <w:shd w:val="clear" w:color="000000" w:fill="E6F2FF"/>
            <w:noWrap/>
            <w:vAlign w:val="center"/>
            <w:hideMark/>
          </w:tcPr>
          <w:p w14:paraId="5285E2B9" w14:textId="708EFCDF" w:rsidR="00D77000" w:rsidRPr="00D77000" w:rsidRDefault="008D4F6B" w:rsidP="00D7700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D77000" w:rsidRPr="00D77000">
              <w:rPr>
                <w:rFonts w:ascii="Arial" w:hAnsi="Arial" w:cs="Arial"/>
                <w:color w:val="000000"/>
                <w:sz w:val="16"/>
                <w:szCs w:val="16"/>
              </w:rPr>
              <w:t>76</w:t>
            </w:r>
          </w:p>
        </w:tc>
        <w:tc>
          <w:tcPr>
            <w:tcW w:w="522" w:type="pct"/>
            <w:tcBorders>
              <w:top w:val="nil"/>
              <w:left w:val="nil"/>
              <w:bottom w:val="nil"/>
              <w:right w:val="nil"/>
            </w:tcBorders>
            <w:shd w:val="clear" w:color="000000" w:fill="FFFFFF"/>
            <w:noWrap/>
            <w:vAlign w:val="center"/>
            <w:hideMark/>
          </w:tcPr>
          <w:p w14:paraId="7557ADF1" w14:textId="51B0FB7C" w:rsidR="00D77000" w:rsidRPr="00D77000" w:rsidRDefault="008D4F6B" w:rsidP="00D7700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D77000" w:rsidRPr="00D77000">
              <w:rPr>
                <w:rFonts w:ascii="Arial" w:hAnsi="Arial" w:cs="Arial"/>
                <w:color w:val="000000"/>
                <w:sz w:val="16"/>
                <w:szCs w:val="16"/>
              </w:rPr>
              <w:t>400</w:t>
            </w:r>
          </w:p>
        </w:tc>
        <w:tc>
          <w:tcPr>
            <w:tcW w:w="522" w:type="pct"/>
            <w:tcBorders>
              <w:top w:val="nil"/>
              <w:left w:val="nil"/>
              <w:bottom w:val="nil"/>
              <w:right w:val="nil"/>
            </w:tcBorders>
            <w:shd w:val="clear" w:color="000000" w:fill="FFFFFF"/>
            <w:noWrap/>
            <w:vAlign w:val="center"/>
            <w:hideMark/>
          </w:tcPr>
          <w:p w14:paraId="3FB8F57B" w14:textId="3365714D" w:rsidR="00D77000" w:rsidRPr="00D77000" w:rsidRDefault="008D4F6B" w:rsidP="00D77000">
            <w:pPr>
              <w:spacing w:before="0" w:after="0" w:line="240" w:lineRule="auto"/>
              <w:jc w:val="right"/>
              <w:rPr>
                <w:rFonts w:ascii="Arial" w:hAnsi="Arial" w:cs="Arial"/>
                <w:sz w:val="16"/>
                <w:szCs w:val="16"/>
              </w:rPr>
            </w:pPr>
            <w:r>
              <w:rPr>
                <w:rFonts w:ascii="Arial" w:hAnsi="Arial" w:cs="Arial"/>
                <w:sz w:val="16"/>
                <w:szCs w:val="16"/>
              </w:rPr>
              <w:noBreakHyphen/>
            </w:r>
            <w:r w:rsidR="00D77000" w:rsidRPr="00D77000">
              <w:rPr>
                <w:rFonts w:ascii="Arial" w:hAnsi="Arial" w:cs="Arial"/>
                <w:sz w:val="16"/>
                <w:szCs w:val="16"/>
              </w:rPr>
              <w:t>410</w:t>
            </w:r>
          </w:p>
        </w:tc>
        <w:tc>
          <w:tcPr>
            <w:tcW w:w="522" w:type="pct"/>
            <w:tcBorders>
              <w:top w:val="nil"/>
              <w:left w:val="nil"/>
              <w:bottom w:val="nil"/>
              <w:right w:val="nil"/>
            </w:tcBorders>
            <w:shd w:val="clear" w:color="000000" w:fill="FFFFFF"/>
            <w:noWrap/>
            <w:vAlign w:val="center"/>
            <w:hideMark/>
          </w:tcPr>
          <w:p w14:paraId="35AE3E22" w14:textId="1CE42EBB" w:rsidR="00D77000" w:rsidRPr="00D77000" w:rsidRDefault="008D4F6B" w:rsidP="00D77000">
            <w:pPr>
              <w:spacing w:before="0" w:after="0" w:line="240" w:lineRule="auto"/>
              <w:jc w:val="right"/>
              <w:rPr>
                <w:rFonts w:ascii="Arial" w:hAnsi="Arial" w:cs="Arial"/>
                <w:sz w:val="16"/>
                <w:szCs w:val="16"/>
              </w:rPr>
            </w:pPr>
            <w:r>
              <w:rPr>
                <w:rFonts w:ascii="Arial" w:hAnsi="Arial" w:cs="Arial"/>
                <w:sz w:val="16"/>
                <w:szCs w:val="16"/>
              </w:rPr>
              <w:noBreakHyphen/>
            </w:r>
            <w:r w:rsidR="00D77000" w:rsidRPr="00D77000">
              <w:rPr>
                <w:rFonts w:ascii="Arial" w:hAnsi="Arial" w:cs="Arial"/>
                <w:sz w:val="16"/>
                <w:szCs w:val="16"/>
              </w:rPr>
              <w:t>439</w:t>
            </w:r>
          </w:p>
        </w:tc>
      </w:tr>
      <w:tr w:rsidR="00D77000" w:rsidRPr="00D77000" w14:paraId="5989A326" w14:textId="77777777" w:rsidTr="00D77000">
        <w:trPr>
          <w:trHeight w:hRule="exact" w:val="225"/>
        </w:trPr>
        <w:tc>
          <w:tcPr>
            <w:tcW w:w="2388" w:type="pct"/>
            <w:tcBorders>
              <w:top w:val="nil"/>
              <w:left w:val="nil"/>
              <w:bottom w:val="nil"/>
              <w:right w:val="nil"/>
            </w:tcBorders>
            <w:shd w:val="clear" w:color="000000" w:fill="FFFFFF"/>
            <w:noWrap/>
            <w:vAlign w:val="center"/>
            <w:hideMark/>
          </w:tcPr>
          <w:p w14:paraId="271F55B5" w14:textId="77777777" w:rsidR="00D77000" w:rsidRPr="00D77000" w:rsidRDefault="00D77000" w:rsidP="00D77000">
            <w:pPr>
              <w:spacing w:before="0" w:after="0" w:line="240" w:lineRule="auto"/>
              <w:rPr>
                <w:rFonts w:ascii="Arial" w:hAnsi="Arial" w:cs="Arial"/>
                <w:color w:val="000000"/>
                <w:sz w:val="16"/>
                <w:szCs w:val="16"/>
              </w:rPr>
            </w:pPr>
            <w:r w:rsidRPr="00D77000">
              <w:rPr>
                <w:rFonts w:ascii="Arial" w:hAnsi="Arial" w:cs="Arial"/>
                <w:color w:val="000000"/>
                <w:sz w:val="16"/>
                <w:szCs w:val="16"/>
              </w:rPr>
              <w:t>Housing and community amenities</w:t>
            </w:r>
          </w:p>
        </w:tc>
        <w:tc>
          <w:tcPr>
            <w:tcW w:w="523" w:type="pct"/>
            <w:tcBorders>
              <w:top w:val="nil"/>
              <w:left w:val="nil"/>
              <w:bottom w:val="nil"/>
              <w:right w:val="nil"/>
            </w:tcBorders>
            <w:shd w:val="clear" w:color="000000" w:fill="FFFFFF"/>
            <w:noWrap/>
            <w:vAlign w:val="center"/>
            <w:hideMark/>
          </w:tcPr>
          <w:p w14:paraId="7827BC78" w14:textId="77777777" w:rsidR="00D77000" w:rsidRPr="00D77000" w:rsidRDefault="00D77000" w:rsidP="00D77000">
            <w:pPr>
              <w:spacing w:before="0" w:after="0" w:line="240" w:lineRule="auto"/>
              <w:jc w:val="right"/>
              <w:rPr>
                <w:rFonts w:ascii="Arial" w:hAnsi="Arial" w:cs="Arial"/>
                <w:color w:val="000000"/>
                <w:sz w:val="16"/>
                <w:szCs w:val="16"/>
              </w:rPr>
            </w:pPr>
            <w:r w:rsidRPr="00D77000">
              <w:rPr>
                <w:rFonts w:ascii="Arial" w:hAnsi="Arial" w:cs="Arial"/>
                <w:color w:val="000000"/>
                <w:sz w:val="16"/>
                <w:szCs w:val="16"/>
              </w:rPr>
              <w:t>68</w:t>
            </w:r>
          </w:p>
        </w:tc>
        <w:tc>
          <w:tcPr>
            <w:tcW w:w="522" w:type="pct"/>
            <w:tcBorders>
              <w:top w:val="nil"/>
              <w:left w:val="nil"/>
              <w:bottom w:val="nil"/>
              <w:right w:val="nil"/>
            </w:tcBorders>
            <w:shd w:val="clear" w:color="000000" w:fill="E6F2FF"/>
            <w:noWrap/>
            <w:vAlign w:val="center"/>
            <w:hideMark/>
          </w:tcPr>
          <w:p w14:paraId="27763EE2" w14:textId="77777777" w:rsidR="00D77000" w:rsidRPr="00D77000" w:rsidRDefault="00D77000" w:rsidP="00D77000">
            <w:pPr>
              <w:spacing w:before="0" w:after="0" w:line="240" w:lineRule="auto"/>
              <w:jc w:val="right"/>
              <w:rPr>
                <w:rFonts w:ascii="Arial" w:hAnsi="Arial" w:cs="Arial"/>
                <w:color w:val="000000"/>
                <w:sz w:val="16"/>
                <w:szCs w:val="16"/>
              </w:rPr>
            </w:pPr>
            <w:r w:rsidRPr="00D77000">
              <w:rPr>
                <w:rFonts w:ascii="Arial" w:hAnsi="Arial" w:cs="Arial"/>
                <w:color w:val="000000"/>
                <w:sz w:val="16"/>
                <w:szCs w:val="16"/>
              </w:rPr>
              <w:t>74</w:t>
            </w:r>
          </w:p>
        </w:tc>
        <w:tc>
          <w:tcPr>
            <w:tcW w:w="522" w:type="pct"/>
            <w:tcBorders>
              <w:top w:val="nil"/>
              <w:left w:val="nil"/>
              <w:bottom w:val="nil"/>
              <w:right w:val="nil"/>
            </w:tcBorders>
            <w:shd w:val="clear" w:color="000000" w:fill="FFFFFF"/>
            <w:noWrap/>
            <w:vAlign w:val="center"/>
            <w:hideMark/>
          </w:tcPr>
          <w:p w14:paraId="7E571E2B" w14:textId="77777777" w:rsidR="00D77000" w:rsidRPr="00D77000" w:rsidRDefault="00D77000" w:rsidP="00D77000">
            <w:pPr>
              <w:spacing w:before="0" w:after="0" w:line="240" w:lineRule="auto"/>
              <w:jc w:val="right"/>
              <w:rPr>
                <w:rFonts w:ascii="Arial" w:hAnsi="Arial" w:cs="Arial"/>
                <w:color w:val="000000"/>
                <w:sz w:val="16"/>
                <w:szCs w:val="16"/>
              </w:rPr>
            </w:pPr>
            <w:r w:rsidRPr="00D77000">
              <w:rPr>
                <w:rFonts w:ascii="Arial" w:hAnsi="Arial" w:cs="Arial"/>
                <w:color w:val="000000"/>
                <w:sz w:val="16"/>
                <w:szCs w:val="16"/>
              </w:rPr>
              <w:t>88</w:t>
            </w:r>
          </w:p>
        </w:tc>
        <w:tc>
          <w:tcPr>
            <w:tcW w:w="522" w:type="pct"/>
            <w:tcBorders>
              <w:top w:val="nil"/>
              <w:left w:val="nil"/>
              <w:bottom w:val="nil"/>
              <w:right w:val="nil"/>
            </w:tcBorders>
            <w:shd w:val="clear" w:color="000000" w:fill="FFFFFF"/>
            <w:noWrap/>
            <w:vAlign w:val="center"/>
            <w:hideMark/>
          </w:tcPr>
          <w:p w14:paraId="6F2D4F0E" w14:textId="77777777" w:rsidR="00D77000" w:rsidRPr="00D77000" w:rsidRDefault="00D77000" w:rsidP="00D77000">
            <w:pPr>
              <w:spacing w:before="0" w:after="0" w:line="240" w:lineRule="auto"/>
              <w:jc w:val="right"/>
              <w:rPr>
                <w:rFonts w:ascii="Arial" w:hAnsi="Arial" w:cs="Arial"/>
                <w:sz w:val="16"/>
                <w:szCs w:val="16"/>
              </w:rPr>
            </w:pPr>
            <w:r w:rsidRPr="00D77000">
              <w:rPr>
                <w:rFonts w:ascii="Arial" w:hAnsi="Arial" w:cs="Arial"/>
                <w:sz w:val="16"/>
                <w:szCs w:val="16"/>
              </w:rPr>
              <w:t>55</w:t>
            </w:r>
          </w:p>
        </w:tc>
        <w:tc>
          <w:tcPr>
            <w:tcW w:w="522" w:type="pct"/>
            <w:tcBorders>
              <w:top w:val="nil"/>
              <w:left w:val="nil"/>
              <w:bottom w:val="nil"/>
              <w:right w:val="nil"/>
            </w:tcBorders>
            <w:shd w:val="clear" w:color="000000" w:fill="FFFFFF"/>
            <w:noWrap/>
            <w:vAlign w:val="center"/>
            <w:hideMark/>
          </w:tcPr>
          <w:p w14:paraId="383EBA9B" w14:textId="77777777" w:rsidR="00D77000" w:rsidRPr="00D77000" w:rsidRDefault="00D77000" w:rsidP="00D77000">
            <w:pPr>
              <w:spacing w:before="0" w:after="0" w:line="240" w:lineRule="auto"/>
              <w:jc w:val="right"/>
              <w:rPr>
                <w:rFonts w:ascii="Arial" w:hAnsi="Arial" w:cs="Arial"/>
                <w:sz w:val="16"/>
                <w:szCs w:val="16"/>
              </w:rPr>
            </w:pPr>
            <w:r w:rsidRPr="00D77000">
              <w:rPr>
                <w:rFonts w:ascii="Arial" w:hAnsi="Arial" w:cs="Arial"/>
                <w:sz w:val="16"/>
                <w:szCs w:val="16"/>
              </w:rPr>
              <w:t>79</w:t>
            </w:r>
          </w:p>
        </w:tc>
      </w:tr>
      <w:tr w:rsidR="00D77000" w:rsidRPr="00D77000" w14:paraId="1B134358" w14:textId="77777777" w:rsidTr="00D77000">
        <w:trPr>
          <w:trHeight w:hRule="exact" w:val="225"/>
        </w:trPr>
        <w:tc>
          <w:tcPr>
            <w:tcW w:w="2388" w:type="pct"/>
            <w:tcBorders>
              <w:top w:val="nil"/>
              <w:left w:val="nil"/>
              <w:bottom w:val="nil"/>
              <w:right w:val="nil"/>
            </w:tcBorders>
            <w:shd w:val="clear" w:color="000000" w:fill="FFFFFF"/>
            <w:noWrap/>
            <w:vAlign w:val="center"/>
            <w:hideMark/>
          </w:tcPr>
          <w:p w14:paraId="1044D6A7" w14:textId="77777777" w:rsidR="00D77000" w:rsidRPr="00D77000" w:rsidRDefault="00D77000" w:rsidP="00D77000">
            <w:pPr>
              <w:spacing w:before="0" w:after="0" w:line="240" w:lineRule="auto"/>
              <w:rPr>
                <w:rFonts w:ascii="Arial" w:hAnsi="Arial" w:cs="Arial"/>
                <w:color w:val="000000"/>
                <w:sz w:val="16"/>
                <w:szCs w:val="16"/>
              </w:rPr>
            </w:pPr>
            <w:r w:rsidRPr="00D77000">
              <w:rPr>
                <w:rFonts w:ascii="Arial" w:hAnsi="Arial" w:cs="Arial"/>
                <w:color w:val="000000"/>
                <w:sz w:val="16"/>
                <w:szCs w:val="16"/>
              </w:rPr>
              <w:t>Recreation and culture</w:t>
            </w:r>
          </w:p>
        </w:tc>
        <w:tc>
          <w:tcPr>
            <w:tcW w:w="523" w:type="pct"/>
            <w:tcBorders>
              <w:top w:val="nil"/>
              <w:left w:val="nil"/>
              <w:bottom w:val="nil"/>
              <w:right w:val="nil"/>
            </w:tcBorders>
            <w:shd w:val="clear" w:color="000000" w:fill="FFFFFF"/>
            <w:noWrap/>
            <w:vAlign w:val="center"/>
            <w:hideMark/>
          </w:tcPr>
          <w:p w14:paraId="3BEB8315" w14:textId="77777777" w:rsidR="00D77000" w:rsidRPr="00D77000" w:rsidRDefault="00D77000" w:rsidP="00D77000">
            <w:pPr>
              <w:spacing w:before="0" w:after="0" w:line="240" w:lineRule="auto"/>
              <w:jc w:val="right"/>
              <w:rPr>
                <w:rFonts w:ascii="Arial" w:hAnsi="Arial" w:cs="Arial"/>
                <w:color w:val="000000"/>
                <w:sz w:val="16"/>
                <w:szCs w:val="16"/>
              </w:rPr>
            </w:pPr>
            <w:r w:rsidRPr="00D77000">
              <w:rPr>
                <w:rFonts w:ascii="Arial" w:hAnsi="Arial" w:cs="Arial"/>
                <w:color w:val="000000"/>
                <w:sz w:val="16"/>
                <w:szCs w:val="16"/>
              </w:rPr>
              <w:t>385</w:t>
            </w:r>
          </w:p>
        </w:tc>
        <w:tc>
          <w:tcPr>
            <w:tcW w:w="522" w:type="pct"/>
            <w:tcBorders>
              <w:top w:val="nil"/>
              <w:left w:val="nil"/>
              <w:bottom w:val="nil"/>
              <w:right w:val="nil"/>
            </w:tcBorders>
            <w:shd w:val="clear" w:color="000000" w:fill="E6F2FF"/>
            <w:noWrap/>
            <w:vAlign w:val="center"/>
            <w:hideMark/>
          </w:tcPr>
          <w:p w14:paraId="5510A23B" w14:textId="77777777" w:rsidR="00D77000" w:rsidRPr="00D77000" w:rsidRDefault="00D77000" w:rsidP="00D77000">
            <w:pPr>
              <w:spacing w:before="0" w:after="0" w:line="240" w:lineRule="auto"/>
              <w:jc w:val="right"/>
              <w:rPr>
                <w:rFonts w:ascii="Arial" w:hAnsi="Arial" w:cs="Arial"/>
                <w:color w:val="000000"/>
                <w:sz w:val="16"/>
                <w:szCs w:val="16"/>
              </w:rPr>
            </w:pPr>
            <w:r w:rsidRPr="00D77000">
              <w:rPr>
                <w:rFonts w:ascii="Arial" w:hAnsi="Arial" w:cs="Arial"/>
                <w:color w:val="000000"/>
                <w:sz w:val="16"/>
                <w:szCs w:val="16"/>
              </w:rPr>
              <w:t>372</w:t>
            </w:r>
          </w:p>
        </w:tc>
        <w:tc>
          <w:tcPr>
            <w:tcW w:w="522" w:type="pct"/>
            <w:tcBorders>
              <w:top w:val="nil"/>
              <w:left w:val="nil"/>
              <w:bottom w:val="nil"/>
              <w:right w:val="nil"/>
            </w:tcBorders>
            <w:shd w:val="clear" w:color="000000" w:fill="FFFFFF"/>
            <w:noWrap/>
            <w:vAlign w:val="center"/>
            <w:hideMark/>
          </w:tcPr>
          <w:p w14:paraId="7A2C96F5" w14:textId="77777777" w:rsidR="00D77000" w:rsidRPr="00D77000" w:rsidRDefault="00D77000" w:rsidP="00D77000">
            <w:pPr>
              <w:spacing w:before="0" w:after="0" w:line="240" w:lineRule="auto"/>
              <w:jc w:val="right"/>
              <w:rPr>
                <w:rFonts w:ascii="Arial" w:hAnsi="Arial" w:cs="Arial"/>
                <w:color w:val="000000"/>
                <w:sz w:val="16"/>
                <w:szCs w:val="16"/>
              </w:rPr>
            </w:pPr>
            <w:r w:rsidRPr="00D77000">
              <w:rPr>
                <w:rFonts w:ascii="Arial" w:hAnsi="Arial" w:cs="Arial"/>
                <w:color w:val="000000"/>
                <w:sz w:val="16"/>
                <w:szCs w:val="16"/>
              </w:rPr>
              <w:t>130</w:t>
            </w:r>
          </w:p>
        </w:tc>
        <w:tc>
          <w:tcPr>
            <w:tcW w:w="522" w:type="pct"/>
            <w:tcBorders>
              <w:top w:val="nil"/>
              <w:left w:val="nil"/>
              <w:bottom w:val="nil"/>
              <w:right w:val="nil"/>
            </w:tcBorders>
            <w:shd w:val="clear" w:color="000000" w:fill="FFFFFF"/>
            <w:noWrap/>
            <w:vAlign w:val="center"/>
            <w:hideMark/>
          </w:tcPr>
          <w:p w14:paraId="1BA839EE" w14:textId="0024CB26" w:rsidR="00D77000" w:rsidRPr="00D77000" w:rsidRDefault="008D4F6B" w:rsidP="00D77000">
            <w:pPr>
              <w:spacing w:before="0" w:after="0" w:line="240" w:lineRule="auto"/>
              <w:jc w:val="right"/>
              <w:rPr>
                <w:rFonts w:ascii="Arial" w:hAnsi="Arial" w:cs="Arial"/>
                <w:sz w:val="16"/>
                <w:szCs w:val="16"/>
              </w:rPr>
            </w:pPr>
            <w:r>
              <w:rPr>
                <w:rFonts w:ascii="Arial" w:hAnsi="Arial" w:cs="Arial"/>
                <w:sz w:val="16"/>
                <w:szCs w:val="16"/>
              </w:rPr>
              <w:noBreakHyphen/>
            </w:r>
            <w:r w:rsidR="00D77000" w:rsidRPr="00D77000">
              <w:rPr>
                <w:rFonts w:ascii="Arial" w:hAnsi="Arial" w:cs="Arial"/>
                <w:sz w:val="16"/>
                <w:szCs w:val="16"/>
              </w:rPr>
              <w:t>14</w:t>
            </w:r>
          </w:p>
        </w:tc>
        <w:tc>
          <w:tcPr>
            <w:tcW w:w="522" w:type="pct"/>
            <w:tcBorders>
              <w:top w:val="nil"/>
              <w:left w:val="nil"/>
              <w:bottom w:val="nil"/>
              <w:right w:val="nil"/>
            </w:tcBorders>
            <w:shd w:val="clear" w:color="000000" w:fill="FFFFFF"/>
            <w:noWrap/>
            <w:vAlign w:val="center"/>
            <w:hideMark/>
          </w:tcPr>
          <w:p w14:paraId="1FC31BEE" w14:textId="69E254AB" w:rsidR="00D77000" w:rsidRPr="00D77000" w:rsidRDefault="008D4F6B" w:rsidP="00D77000">
            <w:pPr>
              <w:spacing w:before="0" w:after="0" w:line="240" w:lineRule="auto"/>
              <w:jc w:val="right"/>
              <w:rPr>
                <w:rFonts w:ascii="Arial" w:hAnsi="Arial" w:cs="Arial"/>
                <w:sz w:val="16"/>
                <w:szCs w:val="16"/>
              </w:rPr>
            </w:pPr>
            <w:r>
              <w:rPr>
                <w:rFonts w:ascii="Arial" w:hAnsi="Arial" w:cs="Arial"/>
                <w:sz w:val="16"/>
                <w:szCs w:val="16"/>
              </w:rPr>
              <w:noBreakHyphen/>
            </w:r>
            <w:r w:rsidR="00D77000" w:rsidRPr="00D77000">
              <w:rPr>
                <w:rFonts w:ascii="Arial" w:hAnsi="Arial" w:cs="Arial"/>
                <w:sz w:val="16"/>
                <w:szCs w:val="16"/>
              </w:rPr>
              <w:t>44</w:t>
            </w:r>
          </w:p>
        </w:tc>
      </w:tr>
      <w:tr w:rsidR="00D77000" w:rsidRPr="00D77000" w14:paraId="6D3CB8E1" w14:textId="77777777" w:rsidTr="00D77000">
        <w:trPr>
          <w:trHeight w:hRule="exact" w:val="225"/>
        </w:trPr>
        <w:tc>
          <w:tcPr>
            <w:tcW w:w="2388" w:type="pct"/>
            <w:tcBorders>
              <w:top w:val="nil"/>
              <w:left w:val="nil"/>
              <w:bottom w:val="nil"/>
              <w:right w:val="nil"/>
            </w:tcBorders>
            <w:shd w:val="clear" w:color="000000" w:fill="FFFFFF"/>
            <w:noWrap/>
            <w:vAlign w:val="center"/>
            <w:hideMark/>
          </w:tcPr>
          <w:p w14:paraId="4D0B3E31" w14:textId="77777777" w:rsidR="00D77000" w:rsidRPr="00D77000" w:rsidRDefault="00D77000" w:rsidP="00D77000">
            <w:pPr>
              <w:spacing w:before="0" w:after="0" w:line="240" w:lineRule="auto"/>
              <w:rPr>
                <w:rFonts w:ascii="Arial" w:hAnsi="Arial" w:cs="Arial"/>
                <w:color w:val="000000"/>
                <w:sz w:val="16"/>
                <w:szCs w:val="16"/>
              </w:rPr>
            </w:pPr>
            <w:r w:rsidRPr="00D77000">
              <w:rPr>
                <w:rFonts w:ascii="Arial" w:hAnsi="Arial" w:cs="Arial"/>
                <w:color w:val="000000"/>
                <w:sz w:val="16"/>
                <w:szCs w:val="16"/>
              </w:rPr>
              <w:t>Fuel and energy</w:t>
            </w:r>
          </w:p>
        </w:tc>
        <w:tc>
          <w:tcPr>
            <w:tcW w:w="523" w:type="pct"/>
            <w:tcBorders>
              <w:top w:val="nil"/>
              <w:left w:val="nil"/>
              <w:bottom w:val="nil"/>
              <w:right w:val="nil"/>
            </w:tcBorders>
            <w:shd w:val="clear" w:color="000000" w:fill="FFFFFF"/>
            <w:noWrap/>
            <w:vAlign w:val="center"/>
            <w:hideMark/>
          </w:tcPr>
          <w:p w14:paraId="435DB29F" w14:textId="1979E2C2" w:rsidR="00D77000" w:rsidRPr="00D77000" w:rsidRDefault="008D4F6B" w:rsidP="00D7700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D77000" w:rsidRPr="00D77000">
              <w:rPr>
                <w:rFonts w:ascii="Arial" w:hAnsi="Arial" w:cs="Arial"/>
                <w:color w:val="000000"/>
                <w:sz w:val="16"/>
                <w:szCs w:val="16"/>
              </w:rPr>
              <w:t>1</w:t>
            </w:r>
          </w:p>
        </w:tc>
        <w:tc>
          <w:tcPr>
            <w:tcW w:w="522" w:type="pct"/>
            <w:tcBorders>
              <w:top w:val="nil"/>
              <w:left w:val="nil"/>
              <w:bottom w:val="nil"/>
              <w:right w:val="nil"/>
            </w:tcBorders>
            <w:shd w:val="clear" w:color="000000" w:fill="E6F2FF"/>
            <w:noWrap/>
            <w:vAlign w:val="center"/>
            <w:hideMark/>
          </w:tcPr>
          <w:p w14:paraId="7C9A48E9" w14:textId="4B5B74F2" w:rsidR="00D77000" w:rsidRPr="00D77000" w:rsidRDefault="008D4F6B" w:rsidP="00D7700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D77000" w:rsidRPr="00D77000">
              <w:rPr>
                <w:rFonts w:ascii="Arial" w:hAnsi="Arial" w:cs="Arial"/>
                <w:color w:val="000000"/>
                <w:sz w:val="16"/>
                <w:szCs w:val="16"/>
              </w:rPr>
              <w:t>1</w:t>
            </w:r>
          </w:p>
        </w:tc>
        <w:tc>
          <w:tcPr>
            <w:tcW w:w="522" w:type="pct"/>
            <w:tcBorders>
              <w:top w:val="nil"/>
              <w:left w:val="nil"/>
              <w:bottom w:val="nil"/>
              <w:right w:val="nil"/>
            </w:tcBorders>
            <w:shd w:val="clear" w:color="000000" w:fill="FFFFFF"/>
            <w:noWrap/>
            <w:vAlign w:val="center"/>
            <w:hideMark/>
          </w:tcPr>
          <w:p w14:paraId="45EC19F7" w14:textId="77777777" w:rsidR="00D77000" w:rsidRPr="00D77000" w:rsidRDefault="00D77000" w:rsidP="00D77000">
            <w:pPr>
              <w:spacing w:before="0" w:after="0" w:line="240" w:lineRule="auto"/>
              <w:jc w:val="right"/>
              <w:rPr>
                <w:rFonts w:ascii="Arial" w:hAnsi="Arial" w:cs="Arial"/>
                <w:color w:val="000000"/>
                <w:sz w:val="16"/>
                <w:szCs w:val="16"/>
              </w:rPr>
            </w:pPr>
            <w:r w:rsidRPr="00D77000">
              <w:rPr>
                <w:rFonts w:ascii="Arial" w:hAnsi="Arial" w:cs="Arial"/>
                <w:color w:val="000000"/>
                <w:sz w:val="16"/>
                <w:szCs w:val="16"/>
              </w:rPr>
              <w:t>3</w:t>
            </w:r>
          </w:p>
        </w:tc>
        <w:tc>
          <w:tcPr>
            <w:tcW w:w="522" w:type="pct"/>
            <w:tcBorders>
              <w:top w:val="nil"/>
              <w:left w:val="nil"/>
              <w:bottom w:val="nil"/>
              <w:right w:val="nil"/>
            </w:tcBorders>
            <w:shd w:val="clear" w:color="000000" w:fill="FFFFFF"/>
            <w:noWrap/>
            <w:vAlign w:val="center"/>
            <w:hideMark/>
          </w:tcPr>
          <w:p w14:paraId="0DACF45F" w14:textId="00AD6734" w:rsidR="00D77000" w:rsidRPr="00D77000" w:rsidRDefault="008D4F6B" w:rsidP="00D77000">
            <w:pPr>
              <w:spacing w:before="0" w:after="0" w:line="240" w:lineRule="auto"/>
              <w:jc w:val="right"/>
              <w:rPr>
                <w:rFonts w:ascii="Arial" w:hAnsi="Arial" w:cs="Arial"/>
                <w:sz w:val="16"/>
                <w:szCs w:val="16"/>
              </w:rPr>
            </w:pPr>
            <w:r>
              <w:rPr>
                <w:rFonts w:ascii="Arial" w:hAnsi="Arial" w:cs="Arial"/>
                <w:sz w:val="16"/>
                <w:szCs w:val="16"/>
              </w:rPr>
              <w:noBreakHyphen/>
            </w:r>
            <w:r w:rsidR="00D77000" w:rsidRPr="00D77000">
              <w:rPr>
                <w:rFonts w:ascii="Arial" w:hAnsi="Arial" w:cs="Arial"/>
                <w:sz w:val="16"/>
                <w:szCs w:val="16"/>
              </w:rPr>
              <w:t>9</w:t>
            </w:r>
          </w:p>
        </w:tc>
        <w:tc>
          <w:tcPr>
            <w:tcW w:w="522" w:type="pct"/>
            <w:tcBorders>
              <w:top w:val="nil"/>
              <w:left w:val="nil"/>
              <w:bottom w:val="nil"/>
              <w:right w:val="nil"/>
            </w:tcBorders>
            <w:shd w:val="clear" w:color="000000" w:fill="FFFFFF"/>
            <w:noWrap/>
            <w:vAlign w:val="center"/>
            <w:hideMark/>
          </w:tcPr>
          <w:p w14:paraId="3F27999C" w14:textId="642C38E7" w:rsidR="00D77000" w:rsidRPr="00D77000" w:rsidRDefault="008D4F6B" w:rsidP="00D77000">
            <w:pPr>
              <w:spacing w:before="0" w:after="0" w:line="240" w:lineRule="auto"/>
              <w:jc w:val="right"/>
              <w:rPr>
                <w:rFonts w:ascii="Arial" w:hAnsi="Arial" w:cs="Arial"/>
                <w:sz w:val="16"/>
                <w:szCs w:val="16"/>
              </w:rPr>
            </w:pPr>
            <w:r>
              <w:rPr>
                <w:rFonts w:ascii="Arial" w:hAnsi="Arial" w:cs="Arial"/>
                <w:sz w:val="16"/>
                <w:szCs w:val="16"/>
              </w:rPr>
              <w:noBreakHyphen/>
            </w:r>
            <w:r w:rsidR="00D77000" w:rsidRPr="00D77000">
              <w:rPr>
                <w:rFonts w:ascii="Arial" w:hAnsi="Arial" w:cs="Arial"/>
                <w:sz w:val="16"/>
                <w:szCs w:val="16"/>
              </w:rPr>
              <w:t>2</w:t>
            </w:r>
          </w:p>
        </w:tc>
      </w:tr>
      <w:tr w:rsidR="00D77000" w:rsidRPr="00D77000" w14:paraId="43F8A160" w14:textId="77777777" w:rsidTr="00D77000">
        <w:trPr>
          <w:trHeight w:hRule="exact" w:val="225"/>
        </w:trPr>
        <w:tc>
          <w:tcPr>
            <w:tcW w:w="2388" w:type="pct"/>
            <w:tcBorders>
              <w:top w:val="nil"/>
              <w:left w:val="nil"/>
              <w:bottom w:val="nil"/>
              <w:right w:val="nil"/>
            </w:tcBorders>
            <w:shd w:val="clear" w:color="000000" w:fill="FFFFFF"/>
            <w:noWrap/>
            <w:vAlign w:val="center"/>
            <w:hideMark/>
          </w:tcPr>
          <w:p w14:paraId="4D8D8D51" w14:textId="77777777" w:rsidR="00D77000" w:rsidRPr="00D77000" w:rsidRDefault="00D77000" w:rsidP="00D77000">
            <w:pPr>
              <w:spacing w:before="0" w:after="0" w:line="240" w:lineRule="auto"/>
              <w:rPr>
                <w:rFonts w:ascii="Arial" w:hAnsi="Arial" w:cs="Arial"/>
                <w:color w:val="000000"/>
                <w:sz w:val="16"/>
                <w:szCs w:val="16"/>
              </w:rPr>
            </w:pPr>
            <w:r w:rsidRPr="00D77000">
              <w:rPr>
                <w:rFonts w:ascii="Arial" w:hAnsi="Arial" w:cs="Arial"/>
                <w:color w:val="000000"/>
                <w:sz w:val="16"/>
                <w:szCs w:val="16"/>
              </w:rPr>
              <w:t>Agriculture, forestry and fishing</w:t>
            </w:r>
          </w:p>
        </w:tc>
        <w:tc>
          <w:tcPr>
            <w:tcW w:w="523" w:type="pct"/>
            <w:tcBorders>
              <w:top w:val="nil"/>
              <w:left w:val="nil"/>
              <w:bottom w:val="nil"/>
              <w:right w:val="nil"/>
            </w:tcBorders>
            <w:shd w:val="clear" w:color="000000" w:fill="FFFFFF"/>
            <w:noWrap/>
            <w:vAlign w:val="center"/>
            <w:hideMark/>
          </w:tcPr>
          <w:p w14:paraId="4A7346C0" w14:textId="77777777" w:rsidR="00D77000" w:rsidRPr="00D77000" w:rsidRDefault="00D77000" w:rsidP="00D77000">
            <w:pPr>
              <w:spacing w:before="0" w:after="0" w:line="240" w:lineRule="auto"/>
              <w:jc w:val="right"/>
              <w:rPr>
                <w:rFonts w:ascii="Arial" w:hAnsi="Arial" w:cs="Arial"/>
                <w:color w:val="000000"/>
                <w:sz w:val="16"/>
                <w:szCs w:val="16"/>
              </w:rPr>
            </w:pPr>
            <w:r w:rsidRPr="00D77000">
              <w:rPr>
                <w:rFonts w:ascii="Arial" w:hAnsi="Arial" w:cs="Arial"/>
                <w:color w:val="000000"/>
                <w:sz w:val="16"/>
                <w:szCs w:val="16"/>
              </w:rPr>
              <w:t>212</w:t>
            </w:r>
          </w:p>
        </w:tc>
        <w:tc>
          <w:tcPr>
            <w:tcW w:w="522" w:type="pct"/>
            <w:tcBorders>
              <w:top w:val="nil"/>
              <w:left w:val="nil"/>
              <w:bottom w:val="nil"/>
              <w:right w:val="nil"/>
            </w:tcBorders>
            <w:shd w:val="clear" w:color="000000" w:fill="E6F2FF"/>
            <w:noWrap/>
            <w:vAlign w:val="center"/>
            <w:hideMark/>
          </w:tcPr>
          <w:p w14:paraId="436E03EC" w14:textId="77777777" w:rsidR="00D77000" w:rsidRPr="00D77000" w:rsidRDefault="00D77000" w:rsidP="00D77000">
            <w:pPr>
              <w:spacing w:before="0" w:after="0" w:line="240" w:lineRule="auto"/>
              <w:jc w:val="right"/>
              <w:rPr>
                <w:rFonts w:ascii="Arial" w:hAnsi="Arial" w:cs="Arial"/>
                <w:color w:val="000000"/>
                <w:sz w:val="16"/>
                <w:szCs w:val="16"/>
              </w:rPr>
            </w:pPr>
            <w:r w:rsidRPr="00D77000">
              <w:rPr>
                <w:rFonts w:ascii="Arial" w:hAnsi="Arial" w:cs="Arial"/>
                <w:color w:val="000000"/>
                <w:sz w:val="16"/>
                <w:szCs w:val="16"/>
              </w:rPr>
              <w:t>539</w:t>
            </w:r>
          </w:p>
        </w:tc>
        <w:tc>
          <w:tcPr>
            <w:tcW w:w="522" w:type="pct"/>
            <w:tcBorders>
              <w:top w:val="nil"/>
              <w:left w:val="nil"/>
              <w:bottom w:val="nil"/>
              <w:right w:val="nil"/>
            </w:tcBorders>
            <w:shd w:val="clear" w:color="000000" w:fill="FFFFFF"/>
            <w:noWrap/>
            <w:vAlign w:val="center"/>
            <w:hideMark/>
          </w:tcPr>
          <w:p w14:paraId="6E995C35" w14:textId="77777777" w:rsidR="00D77000" w:rsidRPr="00D77000" w:rsidRDefault="00D77000" w:rsidP="00D77000">
            <w:pPr>
              <w:spacing w:before="0" w:after="0" w:line="240" w:lineRule="auto"/>
              <w:jc w:val="right"/>
              <w:rPr>
                <w:rFonts w:ascii="Arial" w:hAnsi="Arial" w:cs="Arial"/>
                <w:color w:val="000000"/>
                <w:sz w:val="16"/>
                <w:szCs w:val="16"/>
              </w:rPr>
            </w:pPr>
            <w:r w:rsidRPr="00D77000">
              <w:rPr>
                <w:rFonts w:ascii="Arial" w:hAnsi="Arial" w:cs="Arial"/>
                <w:color w:val="000000"/>
                <w:sz w:val="16"/>
                <w:szCs w:val="16"/>
              </w:rPr>
              <w:t>297</w:t>
            </w:r>
          </w:p>
        </w:tc>
        <w:tc>
          <w:tcPr>
            <w:tcW w:w="522" w:type="pct"/>
            <w:tcBorders>
              <w:top w:val="nil"/>
              <w:left w:val="nil"/>
              <w:bottom w:val="nil"/>
              <w:right w:val="nil"/>
            </w:tcBorders>
            <w:shd w:val="clear" w:color="000000" w:fill="FFFFFF"/>
            <w:noWrap/>
            <w:vAlign w:val="center"/>
            <w:hideMark/>
          </w:tcPr>
          <w:p w14:paraId="0C73578A" w14:textId="77777777" w:rsidR="00D77000" w:rsidRPr="00D77000" w:rsidRDefault="00D77000" w:rsidP="00D77000">
            <w:pPr>
              <w:spacing w:before="0" w:after="0" w:line="240" w:lineRule="auto"/>
              <w:jc w:val="right"/>
              <w:rPr>
                <w:rFonts w:ascii="Arial" w:hAnsi="Arial" w:cs="Arial"/>
                <w:sz w:val="16"/>
                <w:szCs w:val="16"/>
              </w:rPr>
            </w:pPr>
            <w:r w:rsidRPr="00D77000">
              <w:rPr>
                <w:rFonts w:ascii="Arial" w:hAnsi="Arial" w:cs="Arial"/>
                <w:sz w:val="16"/>
                <w:szCs w:val="16"/>
              </w:rPr>
              <w:t>24</w:t>
            </w:r>
          </w:p>
        </w:tc>
        <w:tc>
          <w:tcPr>
            <w:tcW w:w="522" w:type="pct"/>
            <w:tcBorders>
              <w:top w:val="nil"/>
              <w:left w:val="nil"/>
              <w:bottom w:val="nil"/>
              <w:right w:val="nil"/>
            </w:tcBorders>
            <w:shd w:val="clear" w:color="000000" w:fill="FFFFFF"/>
            <w:noWrap/>
            <w:vAlign w:val="center"/>
            <w:hideMark/>
          </w:tcPr>
          <w:p w14:paraId="3FF20D65" w14:textId="77777777" w:rsidR="00D77000" w:rsidRPr="00D77000" w:rsidRDefault="00D77000" w:rsidP="00D77000">
            <w:pPr>
              <w:spacing w:before="0" w:after="0" w:line="240" w:lineRule="auto"/>
              <w:jc w:val="right"/>
              <w:rPr>
                <w:rFonts w:ascii="Arial" w:hAnsi="Arial" w:cs="Arial"/>
                <w:sz w:val="16"/>
                <w:szCs w:val="16"/>
              </w:rPr>
            </w:pPr>
            <w:r w:rsidRPr="00D77000">
              <w:rPr>
                <w:rFonts w:ascii="Arial" w:hAnsi="Arial" w:cs="Arial"/>
                <w:sz w:val="16"/>
                <w:szCs w:val="16"/>
              </w:rPr>
              <w:t>12</w:t>
            </w:r>
          </w:p>
        </w:tc>
      </w:tr>
      <w:tr w:rsidR="00D77000" w:rsidRPr="00D77000" w14:paraId="367308E6" w14:textId="77777777" w:rsidTr="00D77000">
        <w:trPr>
          <w:trHeight w:hRule="exact" w:val="225"/>
        </w:trPr>
        <w:tc>
          <w:tcPr>
            <w:tcW w:w="2388" w:type="pct"/>
            <w:tcBorders>
              <w:top w:val="nil"/>
              <w:left w:val="nil"/>
              <w:bottom w:val="nil"/>
              <w:right w:val="nil"/>
            </w:tcBorders>
            <w:shd w:val="clear" w:color="000000" w:fill="FFFFFF"/>
            <w:noWrap/>
            <w:vAlign w:val="center"/>
            <w:hideMark/>
          </w:tcPr>
          <w:p w14:paraId="3453B6DE" w14:textId="77777777" w:rsidR="00D77000" w:rsidRPr="00D77000" w:rsidRDefault="00D77000" w:rsidP="00D77000">
            <w:pPr>
              <w:spacing w:before="0" w:after="0" w:line="240" w:lineRule="auto"/>
              <w:rPr>
                <w:rFonts w:ascii="Arial" w:hAnsi="Arial" w:cs="Arial"/>
                <w:color w:val="000000"/>
                <w:sz w:val="16"/>
                <w:szCs w:val="16"/>
              </w:rPr>
            </w:pPr>
            <w:r w:rsidRPr="00D77000">
              <w:rPr>
                <w:rFonts w:ascii="Arial" w:hAnsi="Arial" w:cs="Arial"/>
                <w:color w:val="000000"/>
                <w:sz w:val="16"/>
                <w:szCs w:val="16"/>
              </w:rPr>
              <w:t>Mining, manufacturing and construction</w:t>
            </w:r>
          </w:p>
        </w:tc>
        <w:tc>
          <w:tcPr>
            <w:tcW w:w="523" w:type="pct"/>
            <w:tcBorders>
              <w:top w:val="nil"/>
              <w:left w:val="nil"/>
              <w:bottom w:val="nil"/>
              <w:right w:val="nil"/>
            </w:tcBorders>
            <w:shd w:val="clear" w:color="000000" w:fill="FFFFFF"/>
            <w:noWrap/>
            <w:vAlign w:val="center"/>
            <w:hideMark/>
          </w:tcPr>
          <w:p w14:paraId="0A9B3812" w14:textId="1F6AB5DA" w:rsidR="00D77000" w:rsidRPr="00D77000" w:rsidRDefault="008D4F6B" w:rsidP="00D7700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D77000" w:rsidRPr="00D77000">
              <w:rPr>
                <w:rFonts w:ascii="Arial" w:hAnsi="Arial" w:cs="Arial"/>
                <w:color w:val="000000"/>
                <w:sz w:val="16"/>
                <w:szCs w:val="16"/>
              </w:rPr>
              <w:t>15</w:t>
            </w:r>
          </w:p>
        </w:tc>
        <w:tc>
          <w:tcPr>
            <w:tcW w:w="522" w:type="pct"/>
            <w:tcBorders>
              <w:top w:val="nil"/>
              <w:left w:val="nil"/>
              <w:bottom w:val="nil"/>
              <w:right w:val="nil"/>
            </w:tcBorders>
            <w:shd w:val="clear" w:color="000000" w:fill="E6F2FF"/>
            <w:noWrap/>
            <w:vAlign w:val="center"/>
            <w:hideMark/>
          </w:tcPr>
          <w:p w14:paraId="7FC2C0B5" w14:textId="348E94B1" w:rsidR="00D77000" w:rsidRPr="00D77000" w:rsidRDefault="008D4F6B" w:rsidP="00D7700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D77000" w:rsidRPr="00D77000">
              <w:rPr>
                <w:rFonts w:ascii="Arial" w:hAnsi="Arial" w:cs="Arial"/>
                <w:color w:val="000000"/>
                <w:sz w:val="16"/>
                <w:szCs w:val="16"/>
              </w:rPr>
              <w:t>9</w:t>
            </w:r>
          </w:p>
        </w:tc>
        <w:tc>
          <w:tcPr>
            <w:tcW w:w="522" w:type="pct"/>
            <w:tcBorders>
              <w:top w:val="nil"/>
              <w:left w:val="nil"/>
              <w:bottom w:val="nil"/>
              <w:right w:val="nil"/>
            </w:tcBorders>
            <w:shd w:val="clear" w:color="000000" w:fill="FFFFFF"/>
            <w:noWrap/>
            <w:vAlign w:val="center"/>
            <w:hideMark/>
          </w:tcPr>
          <w:p w14:paraId="6D67EC78" w14:textId="41A2E419" w:rsidR="00D77000" w:rsidRPr="00D77000" w:rsidRDefault="008D4F6B" w:rsidP="00D7700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D77000" w:rsidRPr="00D77000">
              <w:rPr>
                <w:rFonts w:ascii="Arial" w:hAnsi="Arial" w:cs="Arial"/>
                <w:color w:val="000000"/>
                <w:sz w:val="16"/>
                <w:szCs w:val="16"/>
              </w:rPr>
              <w:t>10</w:t>
            </w:r>
          </w:p>
        </w:tc>
        <w:tc>
          <w:tcPr>
            <w:tcW w:w="522" w:type="pct"/>
            <w:tcBorders>
              <w:top w:val="nil"/>
              <w:left w:val="nil"/>
              <w:bottom w:val="nil"/>
              <w:right w:val="nil"/>
            </w:tcBorders>
            <w:shd w:val="clear" w:color="000000" w:fill="FFFFFF"/>
            <w:noWrap/>
            <w:vAlign w:val="center"/>
            <w:hideMark/>
          </w:tcPr>
          <w:p w14:paraId="46E7963A" w14:textId="4E3FA88F" w:rsidR="00D77000" w:rsidRPr="00D77000" w:rsidRDefault="008D4F6B" w:rsidP="00D77000">
            <w:pPr>
              <w:spacing w:before="0" w:after="0" w:line="240" w:lineRule="auto"/>
              <w:jc w:val="right"/>
              <w:rPr>
                <w:rFonts w:ascii="Arial" w:hAnsi="Arial" w:cs="Arial"/>
                <w:sz w:val="16"/>
                <w:szCs w:val="16"/>
              </w:rPr>
            </w:pPr>
            <w:r>
              <w:rPr>
                <w:rFonts w:ascii="Arial" w:hAnsi="Arial" w:cs="Arial"/>
                <w:sz w:val="16"/>
                <w:szCs w:val="16"/>
              </w:rPr>
              <w:noBreakHyphen/>
            </w:r>
            <w:r w:rsidR="00D77000" w:rsidRPr="00D77000">
              <w:rPr>
                <w:rFonts w:ascii="Arial" w:hAnsi="Arial" w:cs="Arial"/>
                <w:sz w:val="16"/>
                <w:szCs w:val="16"/>
              </w:rPr>
              <w:t>12</w:t>
            </w:r>
          </w:p>
        </w:tc>
        <w:tc>
          <w:tcPr>
            <w:tcW w:w="522" w:type="pct"/>
            <w:tcBorders>
              <w:top w:val="nil"/>
              <w:left w:val="nil"/>
              <w:bottom w:val="nil"/>
              <w:right w:val="nil"/>
            </w:tcBorders>
            <w:shd w:val="clear" w:color="000000" w:fill="FFFFFF"/>
            <w:noWrap/>
            <w:vAlign w:val="center"/>
            <w:hideMark/>
          </w:tcPr>
          <w:p w14:paraId="3D7B18CB" w14:textId="57C3A0AB" w:rsidR="00D77000" w:rsidRPr="00D77000" w:rsidRDefault="008D4F6B" w:rsidP="00D77000">
            <w:pPr>
              <w:spacing w:before="0" w:after="0" w:line="240" w:lineRule="auto"/>
              <w:jc w:val="right"/>
              <w:rPr>
                <w:rFonts w:ascii="Arial" w:hAnsi="Arial" w:cs="Arial"/>
                <w:sz w:val="16"/>
                <w:szCs w:val="16"/>
              </w:rPr>
            </w:pPr>
            <w:r>
              <w:rPr>
                <w:rFonts w:ascii="Arial" w:hAnsi="Arial" w:cs="Arial"/>
                <w:sz w:val="16"/>
                <w:szCs w:val="16"/>
              </w:rPr>
              <w:noBreakHyphen/>
            </w:r>
            <w:r w:rsidR="00D77000" w:rsidRPr="00D77000">
              <w:rPr>
                <w:rFonts w:ascii="Arial" w:hAnsi="Arial" w:cs="Arial"/>
                <w:sz w:val="16"/>
                <w:szCs w:val="16"/>
              </w:rPr>
              <w:t>24</w:t>
            </w:r>
          </w:p>
        </w:tc>
      </w:tr>
      <w:tr w:rsidR="00D77000" w:rsidRPr="00D77000" w14:paraId="64DF4419" w14:textId="77777777" w:rsidTr="00D77000">
        <w:trPr>
          <w:trHeight w:hRule="exact" w:val="225"/>
        </w:trPr>
        <w:tc>
          <w:tcPr>
            <w:tcW w:w="2388" w:type="pct"/>
            <w:tcBorders>
              <w:top w:val="nil"/>
              <w:left w:val="nil"/>
              <w:bottom w:val="nil"/>
              <w:right w:val="nil"/>
            </w:tcBorders>
            <w:shd w:val="clear" w:color="000000" w:fill="FFFFFF"/>
            <w:noWrap/>
            <w:vAlign w:val="center"/>
            <w:hideMark/>
          </w:tcPr>
          <w:p w14:paraId="762941A2" w14:textId="77777777" w:rsidR="00D77000" w:rsidRPr="00D77000" w:rsidRDefault="00D77000" w:rsidP="00D77000">
            <w:pPr>
              <w:spacing w:before="0" w:after="0" w:line="240" w:lineRule="auto"/>
              <w:rPr>
                <w:rFonts w:ascii="Arial" w:hAnsi="Arial" w:cs="Arial"/>
                <w:color w:val="000000"/>
                <w:sz w:val="16"/>
                <w:szCs w:val="16"/>
              </w:rPr>
            </w:pPr>
            <w:r w:rsidRPr="00D77000">
              <w:rPr>
                <w:rFonts w:ascii="Arial" w:hAnsi="Arial" w:cs="Arial"/>
                <w:color w:val="000000"/>
                <w:sz w:val="16"/>
                <w:szCs w:val="16"/>
              </w:rPr>
              <w:t>Transport and communication</w:t>
            </w:r>
          </w:p>
        </w:tc>
        <w:tc>
          <w:tcPr>
            <w:tcW w:w="523" w:type="pct"/>
            <w:tcBorders>
              <w:top w:val="nil"/>
              <w:left w:val="nil"/>
              <w:bottom w:val="nil"/>
              <w:right w:val="nil"/>
            </w:tcBorders>
            <w:shd w:val="clear" w:color="000000" w:fill="FFFFFF"/>
            <w:noWrap/>
            <w:vAlign w:val="center"/>
            <w:hideMark/>
          </w:tcPr>
          <w:p w14:paraId="27C7DB24" w14:textId="67669B2C" w:rsidR="00D77000" w:rsidRPr="00D77000" w:rsidRDefault="008D4F6B" w:rsidP="00D7700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D77000" w:rsidRPr="00D77000">
              <w:rPr>
                <w:rFonts w:ascii="Arial" w:hAnsi="Arial" w:cs="Arial"/>
                <w:color w:val="000000"/>
                <w:sz w:val="16"/>
                <w:szCs w:val="16"/>
              </w:rPr>
              <w:t>625</w:t>
            </w:r>
          </w:p>
        </w:tc>
        <w:tc>
          <w:tcPr>
            <w:tcW w:w="522" w:type="pct"/>
            <w:tcBorders>
              <w:top w:val="nil"/>
              <w:left w:val="nil"/>
              <w:bottom w:val="nil"/>
              <w:right w:val="nil"/>
            </w:tcBorders>
            <w:shd w:val="clear" w:color="000000" w:fill="E6F2FF"/>
            <w:noWrap/>
            <w:vAlign w:val="center"/>
            <w:hideMark/>
          </w:tcPr>
          <w:p w14:paraId="392EAE26" w14:textId="69406D7A" w:rsidR="00D77000" w:rsidRPr="00D77000" w:rsidRDefault="008D4F6B" w:rsidP="00D7700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D77000" w:rsidRPr="00D77000">
              <w:rPr>
                <w:rFonts w:ascii="Arial" w:hAnsi="Arial" w:cs="Arial"/>
                <w:color w:val="000000"/>
                <w:sz w:val="16"/>
                <w:szCs w:val="16"/>
              </w:rPr>
              <w:t>2,107</w:t>
            </w:r>
          </w:p>
        </w:tc>
        <w:tc>
          <w:tcPr>
            <w:tcW w:w="522" w:type="pct"/>
            <w:tcBorders>
              <w:top w:val="nil"/>
              <w:left w:val="nil"/>
              <w:bottom w:val="nil"/>
              <w:right w:val="nil"/>
            </w:tcBorders>
            <w:shd w:val="clear" w:color="000000" w:fill="FFFFFF"/>
            <w:noWrap/>
            <w:vAlign w:val="center"/>
            <w:hideMark/>
          </w:tcPr>
          <w:p w14:paraId="4EDBB8E0" w14:textId="1F14BC2F" w:rsidR="00D77000" w:rsidRPr="00D77000" w:rsidRDefault="008D4F6B" w:rsidP="00D7700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D77000" w:rsidRPr="00D77000">
              <w:rPr>
                <w:rFonts w:ascii="Arial" w:hAnsi="Arial" w:cs="Arial"/>
                <w:color w:val="000000"/>
                <w:sz w:val="16"/>
                <w:szCs w:val="16"/>
              </w:rPr>
              <w:t>35</w:t>
            </w:r>
          </w:p>
        </w:tc>
        <w:tc>
          <w:tcPr>
            <w:tcW w:w="522" w:type="pct"/>
            <w:tcBorders>
              <w:top w:val="nil"/>
              <w:left w:val="nil"/>
              <w:bottom w:val="nil"/>
              <w:right w:val="nil"/>
            </w:tcBorders>
            <w:shd w:val="clear" w:color="000000" w:fill="FFFFFF"/>
            <w:noWrap/>
            <w:vAlign w:val="center"/>
            <w:hideMark/>
          </w:tcPr>
          <w:p w14:paraId="5E5057BE" w14:textId="5D1C2C49" w:rsidR="00D77000" w:rsidRPr="00D77000" w:rsidRDefault="008D4F6B" w:rsidP="00D77000">
            <w:pPr>
              <w:spacing w:before="0" w:after="0" w:line="240" w:lineRule="auto"/>
              <w:jc w:val="right"/>
              <w:rPr>
                <w:rFonts w:ascii="Arial" w:hAnsi="Arial" w:cs="Arial"/>
                <w:sz w:val="16"/>
                <w:szCs w:val="16"/>
              </w:rPr>
            </w:pPr>
            <w:r>
              <w:rPr>
                <w:rFonts w:ascii="Arial" w:hAnsi="Arial" w:cs="Arial"/>
                <w:sz w:val="16"/>
                <w:szCs w:val="16"/>
              </w:rPr>
              <w:noBreakHyphen/>
            </w:r>
            <w:r w:rsidR="00D77000" w:rsidRPr="00D77000">
              <w:rPr>
                <w:rFonts w:ascii="Arial" w:hAnsi="Arial" w:cs="Arial"/>
                <w:sz w:val="16"/>
                <w:szCs w:val="16"/>
              </w:rPr>
              <w:t>64</w:t>
            </w:r>
          </w:p>
        </w:tc>
        <w:tc>
          <w:tcPr>
            <w:tcW w:w="522" w:type="pct"/>
            <w:tcBorders>
              <w:top w:val="nil"/>
              <w:left w:val="nil"/>
              <w:bottom w:val="nil"/>
              <w:right w:val="nil"/>
            </w:tcBorders>
            <w:shd w:val="clear" w:color="000000" w:fill="FFFFFF"/>
            <w:noWrap/>
            <w:vAlign w:val="center"/>
            <w:hideMark/>
          </w:tcPr>
          <w:p w14:paraId="4B430337" w14:textId="37D0F806" w:rsidR="00D77000" w:rsidRPr="00D77000" w:rsidRDefault="008D4F6B" w:rsidP="00D77000">
            <w:pPr>
              <w:spacing w:before="0" w:after="0" w:line="240" w:lineRule="auto"/>
              <w:jc w:val="right"/>
              <w:rPr>
                <w:rFonts w:ascii="Arial" w:hAnsi="Arial" w:cs="Arial"/>
                <w:sz w:val="16"/>
                <w:szCs w:val="16"/>
              </w:rPr>
            </w:pPr>
            <w:r>
              <w:rPr>
                <w:rFonts w:ascii="Arial" w:hAnsi="Arial" w:cs="Arial"/>
                <w:sz w:val="16"/>
                <w:szCs w:val="16"/>
              </w:rPr>
              <w:noBreakHyphen/>
            </w:r>
            <w:r w:rsidR="00D77000" w:rsidRPr="00D77000">
              <w:rPr>
                <w:rFonts w:ascii="Arial" w:hAnsi="Arial" w:cs="Arial"/>
                <w:sz w:val="16"/>
                <w:szCs w:val="16"/>
              </w:rPr>
              <w:t>39</w:t>
            </w:r>
          </w:p>
        </w:tc>
      </w:tr>
      <w:tr w:rsidR="00D77000" w:rsidRPr="00D77000" w14:paraId="5015A8CB" w14:textId="77777777" w:rsidTr="00D77000">
        <w:trPr>
          <w:trHeight w:hRule="exact" w:val="225"/>
        </w:trPr>
        <w:tc>
          <w:tcPr>
            <w:tcW w:w="2388" w:type="pct"/>
            <w:tcBorders>
              <w:top w:val="nil"/>
              <w:left w:val="nil"/>
              <w:bottom w:val="nil"/>
              <w:right w:val="nil"/>
            </w:tcBorders>
            <w:shd w:val="clear" w:color="000000" w:fill="FFFFFF"/>
            <w:noWrap/>
            <w:vAlign w:val="center"/>
            <w:hideMark/>
          </w:tcPr>
          <w:p w14:paraId="64445B3B" w14:textId="77777777" w:rsidR="00D77000" w:rsidRPr="00D77000" w:rsidRDefault="00D77000" w:rsidP="00D77000">
            <w:pPr>
              <w:spacing w:before="0" w:after="0" w:line="240" w:lineRule="auto"/>
              <w:rPr>
                <w:rFonts w:ascii="Arial" w:hAnsi="Arial" w:cs="Arial"/>
                <w:color w:val="000000"/>
                <w:sz w:val="16"/>
                <w:szCs w:val="16"/>
              </w:rPr>
            </w:pPr>
            <w:r w:rsidRPr="00D77000">
              <w:rPr>
                <w:rFonts w:ascii="Arial" w:hAnsi="Arial" w:cs="Arial"/>
                <w:color w:val="000000"/>
                <w:sz w:val="16"/>
                <w:szCs w:val="16"/>
              </w:rPr>
              <w:t>Other economic affairs</w:t>
            </w:r>
          </w:p>
        </w:tc>
        <w:tc>
          <w:tcPr>
            <w:tcW w:w="523" w:type="pct"/>
            <w:tcBorders>
              <w:top w:val="nil"/>
              <w:left w:val="nil"/>
              <w:bottom w:val="nil"/>
              <w:right w:val="nil"/>
            </w:tcBorders>
            <w:shd w:val="clear" w:color="000000" w:fill="FFFFFF"/>
            <w:noWrap/>
            <w:vAlign w:val="center"/>
            <w:hideMark/>
          </w:tcPr>
          <w:p w14:paraId="2D6CD2B5" w14:textId="1A9D562A" w:rsidR="00D77000" w:rsidRPr="00D77000" w:rsidRDefault="008D4F6B" w:rsidP="00D7700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D77000" w:rsidRPr="00D77000">
              <w:rPr>
                <w:rFonts w:ascii="Arial" w:hAnsi="Arial" w:cs="Arial"/>
                <w:color w:val="000000"/>
                <w:sz w:val="16"/>
                <w:szCs w:val="16"/>
              </w:rPr>
              <w:t>34</w:t>
            </w:r>
          </w:p>
        </w:tc>
        <w:tc>
          <w:tcPr>
            <w:tcW w:w="522" w:type="pct"/>
            <w:tcBorders>
              <w:top w:val="nil"/>
              <w:left w:val="nil"/>
              <w:bottom w:val="nil"/>
              <w:right w:val="nil"/>
            </w:tcBorders>
            <w:shd w:val="clear" w:color="000000" w:fill="E6F2FF"/>
            <w:noWrap/>
            <w:vAlign w:val="center"/>
            <w:hideMark/>
          </w:tcPr>
          <w:p w14:paraId="42DC2F4A" w14:textId="7DC0A7D3" w:rsidR="00D77000" w:rsidRPr="00D77000" w:rsidRDefault="008D4F6B" w:rsidP="00D7700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D77000" w:rsidRPr="00D77000">
              <w:rPr>
                <w:rFonts w:ascii="Arial" w:hAnsi="Arial" w:cs="Arial"/>
                <w:color w:val="000000"/>
                <w:sz w:val="16"/>
                <w:szCs w:val="16"/>
              </w:rPr>
              <w:t>53</w:t>
            </w:r>
          </w:p>
        </w:tc>
        <w:tc>
          <w:tcPr>
            <w:tcW w:w="522" w:type="pct"/>
            <w:tcBorders>
              <w:top w:val="nil"/>
              <w:left w:val="nil"/>
              <w:bottom w:val="nil"/>
              <w:right w:val="nil"/>
            </w:tcBorders>
            <w:shd w:val="clear" w:color="000000" w:fill="FFFFFF"/>
            <w:noWrap/>
            <w:vAlign w:val="center"/>
            <w:hideMark/>
          </w:tcPr>
          <w:p w14:paraId="140EF2F1" w14:textId="284300E1" w:rsidR="00D77000" w:rsidRPr="00D77000" w:rsidRDefault="008D4F6B" w:rsidP="00D7700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D77000" w:rsidRPr="00D77000">
              <w:rPr>
                <w:rFonts w:ascii="Arial" w:hAnsi="Arial" w:cs="Arial"/>
                <w:color w:val="000000"/>
                <w:sz w:val="16"/>
                <w:szCs w:val="16"/>
              </w:rPr>
              <w:t>182</w:t>
            </w:r>
          </w:p>
        </w:tc>
        <w:tc>
          <w:tcPr>
            <w:tcW w:w="522" w:type="pct"/>
            <w:tcBorders>
              <w:top w:val="nil"/>
              <w:left w:val="nil"/>
              <w:bottom w:val="nil"/>
              <w:right w:val="nil"/>
            </w:tcBorders>
            <w:shd w:val="clear" w:color="000000" w:fill="FFFFFF"/>
            <w:noWrap/>
            <w:vAlign w:val="center"/>
            <w:hideMark/>
          </w:tcPr>
          <w:p w14:paraId="1C8ABEDA" w14:textId="75C4A83D" w:rsidR="00D77000" w:rsidRPr="00D77000" w:rsidRDefault="008D4F6B" w:rsidP="00D77000">
            <w:pPr>
              <w:spacing w:before="0" w:after="0" w:line="240" w:lineRule="auto"/>
              <w:jc w:val="right"/>
              <w:rPr>
                <w:rFonts w:ascii="Arial" w:hAnsi="Arial" w:cs="Arial"/>
                <w:sz w:val="16"/>
                <w:szCs w:val="16"/>
              </w:rPr>
            </w:pPr>
            <w:r>
              <w:rPr>
                <w:rFonts w:ascii="Arial" w:hAnsi="Arial" w:cs="Arial"/>
                <w:sz w:val="16"/>
                <w:szCs w:val="16"/>
              </w:rPr>
              <w:noBreakHyphen/>
            </w:r>
            <w:r w:rsidR="00D77000" w:rsidRPr="00D77000">
              <w:rPr>
                <w:rFonts w:ascii="Arial" w:hAnsi="Arial" w:cs="Arial"/>
                <w:sz w:val="16"/>
                <w:szCs w:val="16"/>
              </w:rPr>
              <w:t>394</w:t>
            </w:r>
          </w:p>
        </w:tc>
        <w:tc>
          <w:tcPr>
            <w:tcW w:w="522" w:type="pct"/>
            <w:tcBorders>
              <w:top w:val="nil"/>
              <w:left w:val="nil"/>
              <w:bottom w:val="nil"/>
              <w:right w:val="nil"/>
            </w:tcBorders>
            <w:shd w:val="clear" w:color="000000" w:fill="FFFFFF"/>
            <w:noWrap/>
            <w:vAlign w:val="center"/>
            <w:hideMark/>
          </w:tcPr>
          <w:p w14:paraId="11C8669F" w14:textId="3B69580C" w:rsidR="00D77000" w:rsidRPr="00D77000" w:rsidRDefault="008D4F6B" w:rsidP="00D77000">
            <w:pPr>
              <w:spacing w:before="0" w:after="0" w:line="240" w:lineRule="auto"/>
              <w:jc w:val="right"/>
              <w:rPr>
                <w:rFonts w:ascii="Arial" w:hAnsi="Arial" w:cs="Arial"/>
                <w:sz w:val="16"/>
                <w:szCs w:val="16"/>
              </w:rPr>
            </w:pPr>
            <w:r>
              <w:rPr>
                <w:rFonts w:ascii="Arial" w:hAnsi="Arial" w:cs="Arial"/>
                <w:sz w:val="16"/>
                <w:szCs w:val="16"/>
              </w:rPr>
              <w:noBreakHyphen/>
            </w:r>
            <w:r w:rsidR="00D77000" w:rsidRPr="00D77000">
              <w:rPr>
                <w:rFonts w:ascii="Arial" w:hAnsi="Arial" w:cs="Arial"/>
                <w:sz w:val="16"/>
                <w:szCs w:val="16"/>
              </w:rPr>
              <w:t>129</w:t>
            </w:r>
          </w:p>
        </w:tc>
      </w:tr>
      <w:tr w:rsidR="00D77000" w:rsidRPr="00D77000" w14:paraId="7F416B35" w14:textId="77777777" w:rsidTr="00D77000">
        <w:trPr>
          <w:trHeight w:hRule="exact" w:val="225"/>
        </w:trPr>
        <w:tc>
          <w:tcPr>
            <w:tcW w:w="2388" w:type="pct"/>
            <w:tcBorders>
              <w:top w:val="nil"/>
              <w:left w:val="nil"/>
              <w:bottom w:val="nil"/>
              <w:right w:val="nil"/>
            </w:tcBorders>
            <w:shd w:val="clear" w:color="000000" w:fill="FFFFFF"/>
            <w:noWrap/>
            <w:vAlign w:val="center"/>
            <w:hideMark/>
          </w:tcPr>
          <w:p w14:paraId="69F95513" w14:textId="77777777" w:rsidR="00D77000" w:rsidRPr="00D77000" w:rsidRDefault="00D77000" w:rsidP="00D77000">
            <w:pPr>
              <w:spacing w:before="0" w:after="0" w:line="240" w:lineRule="auto"/>
              <w:rPr>
                <w:rFonts w:ascii="Arial" w:hAnsi="Arial" w:cs="Arial"/>
                <w:color w:val="000000"/>
                <w:sz w:val="16"/>
                <w:szCs w:val="16"/>
              </w:rPr>
            </w:pPr>
            <w:r w:rsidRPr="00D77000">
              <w:rPr>
                <w:rFonts w:ascii="Arial" w:hAnsi="Arial" w:cs="Arial"/>
                <w:color w:val="000000"/>
                <w:sz w:val="16"/>
                <w:szCs w:val="16"/>
              </w:rPr>
              <w:t>Other purposes</w:t>
            </w:r>
          </w:p>
        </w:tc>
        <w:tc>
          <w:tcPr>
            <w:tcW w:w="523" w:type="pct"/>
            <w:tcBorders>
              <w:top w:val="nil"/>
              <w:left w:val="nil"/>
              <w:bottom w:val="single" w:sz="4" w:space="0" w:color="293F5B"/>
              <w:right w:val="nil"/>
            </w:tcBorders>
            <w:shd w:val="clear" w:color="000000" w:fill="FFFFFF"/>
            <w:noWrap/>
            <w:vAlign w:val="center"/>
            <w:hideMark/>
          </w:tcPr>
          <w:p w14:paraId="1D41B83C" w14:textId="77777777" w:rsidR="00D77000" w:rsidRPr="00D77000" w:rsidRDefault="00D77000" w:rsidP="00D77000">
            <w:pPr>
              <w:spacing w:before="0" w:after="0" w:line="240" w:lineRule="auto"/>
              <w:jc w:val="right"/>
              <w:rPr>
                <w:rFonts w:ascii="Arial" w:hAnsi="Arial" w:cs="Arial"/>
                <w:color w:val="000000"/>
                <w:sz w:val="16"/>
                <w:szCs w:val="16"/>
              </w:rPr>
            </w:pPr>
            <w:r w:rsidRPr="00D77000">
              <w:rPr>
                <w:rFonts w:ascii="Arial" w:hAnsi="Arial" w:cs="Arial"/>
                <w:color w:val="000000"/>
                <w:sz w:val="16"/>
                <w:szCs w:val="16"/>
              </w:rPr>
              <w:t>8</w:t>
            </w:r>
          </w:p>
        </w:tc>
        <w:tc>
          <w:tcPr>
            <w:tcW w:w="522" w:type="pct"/>
            <w:tcBorders>
              <w:top w:val="nil"/>
              <w:left w:val="nil"/>
              <w:bottom w:val="single" w:sz="4" w:space="0" w:color="293F5B"/>
              <w:right w:val="nil"/>
            </w:tcBorders>
            <w:shd w:val="clear" w:color="000000" w:fill="E6F2FF"/>
            <w:noWrap/>
            <w:vAlign w:val="center"/>
            <w:hideMark/>
          </w:tcPr>
          <w:p w14:paraId="7D4592B6" w14:textId="77777777" w:rsidR="00D77000" w:rsidRPr="00D77000" w:rsidRDefault="00D77000" w:rsidP="00D77000">
            <w:pPr>
              <w:spacing w:before="0" w:after="0" w:line="240" w:lineRule="auto"/>
              <w:jc w:val="right"/>
              <w:rPr>
                <w:rFonts w:ascii="Arial" w:hAnsi="Arial" w:cs="Arial"/>
                <w:color w:val="000000"/>
                <w:sz w:val="16"/>
                <w:szCs w:val="16"/>
              </w:rPr>
            </w:pPr>
            <w:r w:rsidRPr="00D77000">
              <w:rPr>
                <w:rFonts w:ascii="Arial" w:hAnsi="Arial" w:cs="Arial"/>
                <w:color w:val="000000"/>
                <w:sz w:val="16"/>
                <w:szCs w:val="16"/>
              </w:rPr>
              <w:t>75</w:t>
            </w:r>
          </w:p>
        </w:tc>
        <w:tc>
          <w:tcPr>
            <w:tcW w:w="522" w:type="pct"/>
            <w:tcBorders>
              <w:top w:val="nil"/>
              <w:left w:val="nil"/>
              <w:bottom w:val="single" w:sz="4" w:space="0" w:color="293F5B"/>
              <w:right w:val="nil"/>
            </w:tcBorders>
            <w:shd w:val="clear" w:color="000000" w:fill="FFFFFF"/>
            <w:noWrap/>
            <w:vAlign w:val="center"/>
            <w:hideMark/>
          </w:tcPr>
          <w:p w14:paraId="711A43CE" w14:textId="77777777" w:rsidR="00D77000" w:rsidRPr="00D77000" w:rsidRDefault="00D77000" w:rsidP="00D77000">
            <w:pPr>
              <w:spacing w:before="0" w:after="0" w:line="240" w:lineRule="auto"/>
              <w:jc w:val="right"/>
              <w:rPr>
                <w:rFonts w:ascii="Arial" w:hAnsi="Arial" w:cs="Arial"/>
                <w:color w:val="000000"/>
                <w:sz w:val="16"/>
                <w:szCs w:val="16"/>
              </w:rPr>
            </w:pPr>
            <w:r w:rsidRPr="00D77000">
              <w:rPr>
                <w:rFonts w:ascii="Arial" w:hAnsi="Arial" w:cs="Arial"/>
                <w:color w:val="000000"/>
                <w:sz w:val="16"/>
                <w:szCs w:val="16"/>
              </w:rPr>
              <w:t>212</w:t>
            </w:r>
          </w:p>
        </w:tc>
        <w:tc>
          <w:tcPr>
            <w:tcW w:w="522" w:type="pct"/>
            <w:tcBorders>
              <w:top w:val="nil"/>
              <w:left w:val="nil"/>
              <w:bottom w:val="single" w:sz="4" w:space="0" w:color="293F5B"/>
              <w:right w:val="nil"/>
            </w:tcBorders>
            <w:shd w:val="clear" w:color="000000" w:fill="FFFFFF"/>
            <w:noWrap/>
            <w:vAlign w:val="center"/>
            <w:hideMark/>
          </w:tcPr>
          <w:p w14:paraId="17A82110" w14:textId="77777777" w:rsidR="00D77000" w:rsidRPr="00D77000" w:rsidRDefault="00D77000" w:rsidP="00D77000">
            <w:pPr>
              <w:spacing w:before="0" w:after="0" w:line="240" w:lineRule="auto"/>
              <w:jc w:val="right"/>
              <w:rPr>
                <w:rFonts w:ascii="Arial" w:hAnsi="Arial" w:cs="Arial"/>
                <w:sz w:val="16"/>
                <w:szCs w:val="16"/>
              </w:rPr>
            </w:pPr>
            <w:r w:rsidRPr="00D77000">
              <w:rPr>
                <w:rFonts w:ascii="Arial" w:hAnsi="Arial" w:cs="Arial"/>
                <w:sz w:val="16"/>
                <w:szCs w:val="16"/>
              </w:rPr>
              <w:t>240</w:t>
            </w:r>
          </w:p>
        </w:tc>
        <w:tc>
          <w:tcPr>
            <w:tcW w:w="522" w:type="pct"/>
            <w:tcBorders>
              <w:top w:val="nil"/>
              <w:left w:val="nil"/>
              <w:bottom w:val="single" w:sz="4" w:space="0" w:color="293F5B"/>
              <w:right w:val="nil"/>
            </w:tcBorders>
            <w:shd w:val="clear" w:color="000000" w:fill="FFFFFF"/>
            <w:noWrap/>
            <w:vAlign w:val="center"/>
            <w:hideMark/>
          </w:tcPr>
          <w:p w14:paraId="28091398" w14:textId="77777777" w:rsidR="00D77000" w:rsidRPr="00D77000" w:rsidRDefault="00D77000" w:rsidP="00D77000">
            <w:pPr>
              <w:spacing w:before="0" w:after="0" w:line="240" w:lineRule="auto"/>
              <w:jc w:val="right"/>
              <w:rPr>
                <w:rFonts w:ascii="Arial" w:hAnsi="Arial" w:cs="Arial"/>
                <w:sz w:val="16"/>
                <w:szCs w:val="16"/>
              </w:rPr>
            </w:pPr>
            <w:r w:rsidRPr="00D77000">
              <w:rPr>
                <w:rFonts w:ascii="Arial" w:hAnsi="Arial" w:cs="Arial"/>
                <w:sz w:val="16"/>
                <w:szCs w:val="16"/>
              </w:rPr>
              <w:t>72</w:t>
            </w:r>
          </w:p>
        </w:tc>
      </w:tr>
      <w:tr w:rsidR="00D77000" w:rsidRPr="00D77000" w14:paraId="57A02B26" w14:textId="77777777" w:rsidTr="00D77000">
        <w:trPr>
          <w:trHeight w:hRule="exact" w:val="225"/>
        </w:trPr>
        <w:tc>
          <w:tcPr>
            <w:tcW w:w="2388" w:type="pct"/>
            <w:tcBorders>
              <w:top w:val="nil"/>
              <w:left w:val="nil"/>
              <w:bottom w:val="single" w:sz="4" w:space="0" w:color="293F5B"/>
              <w:right w:val="nil"/>
            </w:tcBorders>
            <w:shd w:val="clear" w:color="000000" w:fill="FFFFFF"/>
            <w:noWrap/>
            <w:vAlign w:val="center"/>
            <w:hideMark/>
          </w:tcPr>
          <w:p w14:paraId="0BBACAEA" w14:textId="77777777" w:rsidR="00D77000" w:rsidRPr="00D77000" w:rsidRDefault="00D77000" w:rsidP="00D77000">
            <w:pPr>
              <w:spacing w:before="0" w:after="0" w:line="240" w:lineRule="auto"/>
              <w:rPr>
                <w:rFonts w:ascii="Arial" w:hAnsi="Arial" w:cs="Arial"/>
                <w:b/>
                <w:bCs/>
                <w:color w:val="000000"/>
                <w:sz w:val="16"/>
                <w:szCs w:val="16"/>
              </w:rPr>
            </w:pPr>
            <w:r w:rsidRPr="00D77000">
              <w:rPr>
                <w:rFonts w:ascii="Arial" w:hAnsi="Arial" w:cs="Arial"/>
                <w:b/>
                <w:bCs/>
                <w:color w:val="000000"/>
                <w:sz w:val="16"/>
                <w:szCs w:val="16"/>
              </w:rPr>
              <w:t>Total net capital investment</w:t>
            </w:r>
          </w:p>
        </w:tc>
        <w:tc>
          <w:tcPr>
            <w:tcW w:w="523" w:type="pct"/>
            <w:tcBorders>
              <w:top w:val="nil"/>
              <w:left w:val="nil"/>
              <w:bottom w:val="single" w:sz="4" w:space="0" w:color="293F5B"/>
              <w:right w:val="nil"/>
            </w:tcBorders>
            <w:shd w:val="clear" w:color="000000" w:fill="FFFFFF"/>
            <w:noWrap/>
            <w:vAlign w:val="center"/>
            <w:hideMark/>
          </w:tcPr>
          <w:p w14:paraId="180733D3" w14:textId="77777777" w:rsidR="00D77000" w:rsidRPr="00D77000" w:rsidRDefault="00D77000" w:rsidP="00D77000">
            <w:pPr>
              <w:spacing w:before="0" w:after="0" w:line="240" w:lineRule="auto"/>
              <w:jc w:val="right"/>
              <w:rPr>
                <w:rFonts w:ascii="Arial" w:hAnsi="Arial" w:cs="Arial"/>
                <w:b/>
                <w:bCs/>
                <w:color w:val="000000"/>
                <w:sz w:val="16"/>
                <w:szCs w:val="16"/>
              </w:rPr>
            </w:pPr>
            <w:r w:rsidRPr="00D77000">
              <w:rPr>
                <w:rFonts w:ascii="Arial" w:hAnsi="Arial" w:cs="Arial"/>
                <w:b/>
                <w:bCs/>
                <w:color w:val="000000"/>
                <w:sz w:val="16"/>
                <w:szCs w:val="16"/>
              </w:rPr>
              <w:t>7,754</w:t>
            </w:r>
          </w:p>
        </w:tc>
        <w:tc>
          <w:tcPr>
            <w:tcW w:w="522" w:type="pct"/>
            <w:tcBorders>
              <w:top w:val="nil"/>
              <w:left w:val="nil"/>
              <w:bottom w:val="single" w:sz="4" w:space="0" w:color="293F5B"/>
              <w:right w:val="nil"/>
            </w:tcBorders>
            <w:shd w:val="clear" w:color="000000" w:fill="E6F2FF"/>
            <w:noWrap/>
            <w:vAlign w:val="center"/>
            <w:hideMark/>
          </w:tcPr>
          <w:p w14:paraId="675BDDB2" w14:textId="77777777" w:rsidR="00D77000" w:rsidRPr="00D77000" w:rsidRDefault="00D77000" w:rsidP="00D77000">
            <w:pPr>
              <w:spacing w:before="0" w:after="0" w:line="240" w:lineRule="auto"/>
              <w:jc w:val="right"/>
              <w:rPr>
                <w:rFonts w:ascii="Arial" w:hAnsi="Arial" w:cs="Arial"/>
                <w:b/>
                <w:bCs/>
                <w:color w:val="000000"/>
                <w:sz w:val="16"/>
                <w:szCs w:val="16"/>
              </w:rPr>
            </w:pPr>
            <w:r w:rsidRPr="00D77000">
              <w:rPr>
                <w:rFonts w:ascii="Arial" w:hAnsi="Arial" w:cs="Arial"/>
                <w:b/>
                <w:bCs/>
                <w:color w:val="000000"/>
                <w:sz w:val="16"/>
                <w:szCs w:val="16"/>
              </w:rPr>
              <w:t>6,303</w:t>
            </w:r>
          </w:p>
        </w:tc>
        <w:tc>
          <w:tcPr>
            <w:tcW w:w="522" w:type="pct"/>
            <w:tcBorders>
              <w:top w:val="nil"/>
              <w:left w:val="nil"/>
              <w:bottom w:val="single" w:sz="4" w:space="0" w:color="293F5B"/>
              <w:right w:val="nil"/>
            </w:tcBorders>
            <w:shd w:val="clear" w:color="000000" w:fill="FFFFFF"/>
            <w:noWrap/>
            <w:vAlign w:val="center"/>
            <w:hideMark/>
          </w:tcPr>
          <w:p w14:paraId="4A54F0C5" w14:textId="77777777" w:rsidR="00D77000" w:rsidRPr="00D77000" w:rsidRDefault="00D77000" w:rsidP="00D77000">
            <w:pPr>
              <w:spacing w:before="0" w:after="0" w:line="240" w:lineRule="auto"/>
              <w:jc w:val="right"/>
              <w:rPr>
                <w:rFonts w:ascii="Arial" w:hAnsi="Arial" w:cs="Arial"/>
                <w:b/>
                <w:bCs/>
                <w:color w:val="000000"/>
                <w:sz w:val="16"/>
                <w:szCs w:val="16"/>
              </w:rPr>
            </w:pPr>
            <w:r w:rsidRPr="00D77000">
              <w:rPr>
                <w:rFonts w:ascii="Arial" w:hAnsi="Arial" w:cs="Arial"/>
                <w:b/>
                <w:bCs/>
                <w:color w:val="000000"/>
                <w:sz w:val="16"/>
                <w:szCs w:val="16"/>
              </w:rPr>
              <w:t>8,055</w:t>
            </w:r>
          </w:p>
        </w:tc>
        <w:tc>
          <w:tcPr>
            <w:tcW w:w="522" w:type="pct"/>
            <w:tcBorders>
              <w:top w:val="nil"/>
              <w:left w:val="nil"/>
              <w:bottom w:val="single" w:sz="4" w:space="0" w:color="293F5B"/>
              <w:right w:val="nil"/>
            </w:tcBorders>
            <w:shd w:val="clear" w:color="000000" w:fill="FFFFFF"/>
            <w:noWrap/>
            <w:vAlign w:val="center"/>
            <w:hideMark/>
          </w:tcPr>
          <w:p w14:paraId="37A5A01E" w14:textId="77777777" w:rsidR="00D77000" w:rsidRPr="00D77000" w:rsidRDefault="00D77000" w:rsidP="00D77000">
            <w:pPr>
              <w:spacing w:before="0" w:after="0" w:line="240" w:lineRule="auto"/>
              <w:jc w:val="right"/>
              <w:rPr>
                <w:rFonts w:ascii="Arial" w:hAnsi="Arial" w:cs="Arial"/>
                <w:b/>
                <w:bCs/>
                <w:sz w:val="16"/>
                <w:szCs w:val="16"/>
              </w:rPr>
            </w:pPr>
            <w:r w:rsidRPr="00D77000">
              <w:rPr>
                <w:rFonts w:ascii="Arial" w:hAnsi="Arial" w:cs="Arial"/>
                <w:b/>
                <w:bCs/>
                <w:sz w:val="16"/>
                <w:szCs w:val="16"/>
              </w:rPr>
              <w:t>8,988</w:t>
            </w:r>
          </w:p>
        </w:tc>
        <w:tc>
          <w:tcPr>
            <w:tcW w:w="522" w:type="pct"/>
            <w:tcBorders>
              <w:top w:val="nil"/>
              <w:left w:val="nil"/>
              <w:bottom w:val="single" w:sz="4" w:space="0" w:color="293F5B"/>
              <w:right w:val="nil"/>
            </w:tcBorders>
            <w:shd w:val="clear" w:color="000000" w:fill="FFFFFF"/>
            <w:noWrap/>
            <w:vAlign w:val="center"/>
            <w:hideMark/>
          </w:tcPr>
          <w:p w14:paraId="67FC5D9C" w14:textId="77777777" w:rsidR="00D77000" w:rsidRPr="00D77000" w:rsidRDefault="00D77000" w:rsidP="00D77000">
            <w:pPr>
              <w:spacing w:before="0" w:after="0" w:line="240" w:lineRule="auto"/>
              <w:jc w:val="right"/>
              <w:rPr>
                <w:rFonts w:ascii="Arial" w:hAnsi="Arial" w:cs="Arial"/>
                <w:b/>
                <w:bCs/>
                <w:sz w:val="16"/>
                <w:szCs w:val="16"/>
              </w:rPr>
            </w:pPr>
            <w:r w:rsidRPr="00D77000">
              <w:rPr>
                <w:rFonts w:ascii="Arial" w:hAnsi="Arial" w:cs="Arial"/>
                <w:b/>
                <w:bCs/>
                <w:sz w:val="16"/>
                <w:szCs w:val="16"/>
              </w:rPr>
              <w:t>11,899</w:t>
            </w:r>
          </w:p>
        </w:tc>
      </w:tr>
    </w:tbl>
    <w:p w14:paraId="1BB8E0F9" w14:textId="1E884E0F" w:rsidR="00437DB1" w:rsidRPr="001F377A" w:rsidRDefault="00437DB1" w:rsidP="006C3C3E">
      <w:r w:rsidRPr="000177D7">
        <w:t>A significant component of the Government</w:t>
      </w:r>
      <w:r w:rsidR="008D4F6B">
        <w:t>’</w:t>
      </w:r>
      <w:r w:rsidRPr="000177D7">
        <w:t xml:space="preserve">s net capital investment occurs in the defence function and </w:t>
      </w:r>
      <w:r w:rsidRPr="00A4389A">
        <w:t xml:space="preserve">primarily </w:t>
      </w:r>
      <w:r w:rsidR="007F6FA8">
        <w:t xml:space="preserve">relates </w:t>
      </w:r>
      <w:r w:rsidRPr="00A4389A">
        <w:t>to Defence capability investments</w:t>
      </w:r>
      <w:r w:rsidRPr="000177D7">
        <w:t>. Major factors contributing to changes in net capital investment</w:t>
      </w:r>
      <w:r w:rsidR="00046A8F">
        <w:t xml:space="preserve"> are </w:t>
      </w:r>
      <w:r w:rsidRPr="000177D7">
        <w:t>expected to occur in the following functions</w:t>
      </w:r>
      <w:r w:rsidR="00046A8F">
        <w:t>:</w:t>
      </w:r>
    </w:p>
    <w:p w14:paraId="1E9B7F95" w14:textId="45996236" w:rsidR="00437DB1" w:rsidRPr="00561796" w:rsidRDefault="00437DB1" w:rsidP="00A4389A">
      <w:pPr>
        <w:pStyle w:val="Bullet"/>
      </w:pPr>
      <w:r w:rsidRPr="009F3E09">
        <w:rPr>
          <w:rStyle w:val="Strong"/>
        </w:rPr>
        <w:t>Defence</w:t>
      </w:r>
      <w:r>
        <w:t> – the increase in net capital investment from 2024</w:t>
      </w:r>
      <w:r>
        <w:rPr>
          <w:rFonts w:eastAsia="Book Antiqua" w:cs="Book Antiqua"/>
          <w:lang w:val="en-US"/>
        </w:rPr>
        <w:t>–</w:t>
      </w:r>
      <w:r>
        <w:t>25 to 2027</w:t>
      </w:r>
      <w:r>
        <w:rPr>
          <w:rFonts w:eastAsia="Book Antiqua" w:cs="Book Antiqua"/>
          <w:lang w:val="en-US"/>
        </w:rPr>
        <w:t>–</w:t>
      </w:r>
      <w:r>
        <w:t xml:space="preserve">28 reflects funding for capability investments prioritised in </w:t>
      </w:r>
      <w:r w:rsidRPr="00561796">
        <w:t xml:space="preserve">the </w:t>
      </w:r>
      <w:r w:rsidRPr="009F3E09">
        <w:rPr>
          <w:rStyle w:val="Emphasis"/>
        </w:rPr>
        <w:t>2024 National Defence Strategy and Integrated Investment Program</w:t>
      </w:r>
      <w:r w:rsidR="008D4F6B">
        <w:rPr>
          <w:i/>
          <w:iCs/>
        </w:rPr>
        <w:t>.</w:t>
      </w:r>
    </w:p>
    <w:p w14:paraId="13FF47CD" w14:textId="1C475F59" w:rsidR="00166B29" w:rsidRDefault="00166B29" w:rsidP="00A4389A">
      <w:pPr>
        <w:pStyle w:val="Bullet"/>
      </w:pPr>
      <w:r w:rsidRPr="009F3E09">
        <w:rPr>
          <w:rStyle w:val="Strong"/>
        </w:rPr>
        <w:t>General public services</w:t>
      </w:r>
      <w:r w:rsidR="00046A8F">
        <w:rPr>
          <w:b/>
        </w:rPr>
        <w:t xml:space="preserve"> </w:t>
      </w:r>
      <w:r w:rsidR="00046A8F">
        <w:rPr>
          <w:bCs/>
        </w:rPr>
        <w:t xml:space="preserve">– </w:t>
      </w:r>
      <w:r w:rsidRPr="000177D7">
        <w:t xml:space="preserve">the </w:t>
      </w:r>
      <w:r w:rsidR="00E97811">
        <w:t>increase</w:t>
      </w:r>
      <w:r w:rsidRPr="4515837F">
        <w:t xml:space="preserve"> in net capital investment from 2024</w:t>
      </w:r>
      <w:r>
        <w:t>–</w:t>
      </w:r>
      <w:r w:rsidRPr="4515837F">
        <w:t xml:space="preserve">25 to </w:t>
      </w:r>
      <w:r w:rsidR="001D5EC0">
        <w:br/>
      </w:r>
      <w:r w:rsidRPr="4515837F">
        <w:t>2027</w:t>
      </w:r>
      <w:r>
        <w:rPr>
          <w:rFonts w:cs="Book Antiqua"/>
        </w:rPr>
        <w:t>–</w:t>
      </w:r>
      <w:r w:rsidRPr="4515837F">
        <w:t xml:space="preserve">28 </w:t>
      </w:r>
      <w:bookmarkStart w:id="199" w:name="_Hlk165658962"/>
      <w:r w:rsidRPr="004E09B7">
        <w:t xml:space="preserve">largely reflects </w:t>
      </w:r>
      <w:r>
        <w:t>the</w:t>
      </w:r>
      <w:r w:rsidR="00E97811">
        <w:t xml:space="preserve"> timing of</w:t>
      </w:r>
      <w:r>
        <w:t xml:space="preserve"> estimated renewal of property leases that are due to expire</w:t>
      </w:r>
      <w:r w:rsidRPr="004E09B7">
        <w:t xml:space="preserve"> and the timing of building and equipment purchases.</w:t>
      </w:r>
      <w:bookmarkEnd w:id="199"/>
    </w:p>
    <w:p w14:paraId="084B91D9" w14:textId="31EB5335" w:rsidR="00370237" w:rsidRPr="00561796" w:rsidRDefault="00370237" w:rsidP="00370237">
      <w:pPr>
        <w:pStyle w:val="Bullet"/>
      </w:pPr>
      <w:r w:rsidRPr="009F3E09">
        <w:rPr>
          <w:rStyle w:val="Strong"/>
        </w:rPr>
        <w:t>Health</w:t>
      </w:r>
      <w:r>
        <w:t xml:space="preserve"> – net capital investment </w:t>
      </w:r>
      <w:r w:rsidR="00CC64A6">
        <w:t xml:space="preserve">is estimated to </w:t>
      </w:r>
      <w:r>
        <w:t>increase in 2024–25 and 2025–26</w:t>
      </w:r>
      <w:r w:rsidR="00046A8F">
        <w:t>,</w:t>
      </w:r>
      <w:r>
        <w:t xml:space="preserve"> largely reflecting funding for </w:t>
      </w:r>
      <w:r w:rsidRPr="00EE402F">
        <w:t>system enhancements to the My Aged Care Gateway system and the Government Provider Management System</w:t>
      </w:r>
      <w:r w:rsidR="009E5DBD">
        <w:t xml:space="preserve"> to support</w:t>
      </w:r>
      <w:r>
        <w:t xml:space="preserve"> the implementation of the new </w:t>
      </w:r>
      <w:r w:rsidRPr="00204B48">
        <w:rPr>
          <w:rStyle w:val="Emphasis"/>
          <w:i w:val="0"/>
        </w:rPr>
        <w:t>Aged</w:t>
      </w:r>
      <w:r w:rsidR="0016027E" w:rsidRPr="00204B48">
        <w:rPr>
          <w:rStyle w:val="Emphasis"/>
          <w:i w:val="0"/>
        </w:rPr>
        <w:t> </w:t>
      </w:r>
      <w:r w:rsidRPr="00204B48">
        <w:rPr>
          <w:rStyle w:val="Emphasis"/>
          <w:i w:val="0"/>
        </w:rPr>
        <w:t>Care</w:t>
      </w:r>
      <w:r w:rsidR="0016027E" w:rsidRPr="00204B48">
        <w:rPr>
          <w:rStyle w:val="Emphasis"/>
          <w:i w:val="0"/>
        </w:rPr>
        <w:t> </w:t>
      </w:r>
      <w:r w:rsidRPr="00204B48">
        <w:rPr>
          <w:rStyle w:val="Emphasis"/>
          <w:i w:val="0"/>
        </w:rPr>
        <w:t>Act</w:t>
      </w:r>
      <w:r w:rsidRPr="00204B48">
        <w:rPr>
          <w:i/>
        </w:rPr>
        <w:t>,</w:t>
      </w:r>
      <w:r w:rsidRPr="00EE402F">
        <w:t xml:space="preserve"> the new</w:t>
      </w:r>
      <w:r>
        <w:t xml:space="preserve"> aged care</w:t>
      </w:r>
      <w:r w:rsidRPr="00EE402F">
        <w:t xml:space="preserve"> regulatory model and </w:t>
      </w:r>
      <w:r>
        <w:t xml:space="preserve">the </w:t>
      </w:r>
      <w:r w:rsidRPr="009F3E09">
        <w:rPr>
          <w:rStyle w:val="Emphasis"/>
        </w:rPr>
        <w:t>Support at Home Program</w:t>
      </w:r>
      <w:r w:rsidRPr="00561796">
        <w:t xml:space="preserve"> from 1</w:t>
      </w:r>
      <w:r w:rsidR="00304994" w:rsidRPr="00561796">
        <w:t> </w:t>
      </w:r>
      <w:r w:rsidRPr="00561796">
        <w:t>July</w:t>
      </w:r>
      <w:r w:rsidR="00304994" w:rsidRPr="00561796">
        <w:t> </w:t>
      </w:r>
      <w:r w:rsidRPr="00561796">
        <w:t>2025</w:t>
      </w:r>
      <w:r w:rsidR="009E5DBD" w:rsidRPr="00561796">
        <w:t xml:space="preserve">. </w:t>
      </w:r>
      <w:r w:rsidRPr="00561796">
        <w:t>The increase in 2024–25 and 2025–26 is also driven by routine replenishment of the National Medical Stockpile.</w:t>
      </w:r>
    </w:p>
    <w:p w14:paraId="70329C48" w14:textId="20C5EC35" w:rsidR="00452072" w:rsidRPr="000177D7" w:rsidRDefault="00452072" w:rsidP="00452072">
      <w:pPr>
        <w:pStyle w:val="Bullet"/>
      </w:pPr>
      <w:r w:rsidRPr="009F3E09">
        <w:rPr>
          <w:rStyle w:val="Strong"/>
        </w:rPr>
        <w:t>Social security and welfare</w:t>
      </w:r>
      <w:r>
        <w:t> </w:t>
      </w:r>
      <w:r w:rsidRPr="0005742E">
        <w:rPr>
          <w:szCs w:val="19"/>
        </w:rPr>
        <w:t xml:space="preserve">– </w:t>
      </w:r>
      <w:r w:rsidR="00EC1DA1">
        <w:rPr>
          <w:szCs w:val="19"/>
          <w:shd w:val="clear" w:color="auto" w:fill="FFFFFF"/>
        </w:rPr>
        <w:t>t</w:t>
      </w:r>
      <w:r w:rsidRPr="008D5438">
        <w:rPr>
          <w:szCs w:val="19"/>
          <w:shd w:val="clear" w:color="auto" w:fill="FFFFFF"/>
        </w:rPr>
        <w:t>he decrease in net capital investment from 2024</w:t>
      </w:r>
      <w:r>
        <w:t>–</w:t>
      </w:r>
      <w:r w:rsidRPr="008D5438">
        <w:rPr>
          <w:szCs w:val="19"/>
          <w:shd w:val="clear" w:color="auto" w:fill="FFFFFF"/>
        </w:rPr>
        <w:t>25 to 2027</w:t>
      </w:r>
      <w:r>
        <w:t>–</w:t>
      </w:r>
      <w:r w:rsidRPr="008D5438">
        <w:rPr>
          <w:szCs w:val="19"/>
          <w:shd w:val="clear" w:color="auto" w:fill="FFFFFF"/>
        </w:rPr>
        <w:t>28 is largely driven by the depreciation and amortisation of prior Commonwealth investments into Services Australia</w:t>
      </w:r>
      <w:r w:rsidR="008D4F6B">
        <w:rPr>
          <w:szCs w:val="19"/>
          <w:shd w:val="clear" w:color="auto" w:fill="FFFFFF"/>
        </w:rPr>
        <w:t>’</w:t>
      </w:r>
      <w:r w:rsidRPr="008D5438">
        <w:rPr>
          <w:szCs w:val="19"/>
          <w:shd w:val="clear" w:color="auto" w:fill="FFFFFF"/>
        </w:rPr>
        <w:t>s assets</w:t>
      </w:r>
      <w:r w:rsidR="00D86513">
        <w:rPr>
          <w:szCs w:val="19"/>
          <w:shd w:val="clear" w:color="auto" w:fill="FFFFFF"/>
        </w:rPr>
        <w:t>, including</w:t>
      </w:r>
      <w:r w:rsidRPr="008D5438">
        <w:rPr>
          <w:szCs w:val="19"/>
          <w:shd w:val="clear" w:color="auto" w:fill="FFFFFF"/>
        </w:rPr>
        <w:t xml:space="preserve"> ICT capabilities and infrastructure</w:t>
      </w:r>
      <w:r w:rsidR="00D86513">
        <w:rPr>
          <w:szCs w:val="19"/>
          <w:shd w:val="clear" w:color="auto" w:fill="FFFFFF"/>
        </w:rPr>
        <w:t>.</w:t>
      </w:r>
    </w:p>
    <w:p w14:paraId="44508CBC" w14:textId="5D6CE3DA" w:rsidR="00216542" w:rsidRPr="000177D7" w:rsidRDefault="00216542" w:rsidP="00A4389A">
      <w:pPr>
        <w:pStyle w:val="Bullet"/>
      </w:pPr>
      <w:r w:rsidRPr="00A74225">
        <w:rPr>
          <w:rStyle w:val="Strong"/>
        </w:rPr>
        <w:lastRenderedPageBreak/>
        <w:t>Housing and community amenities</w:t>
      </w:r>
      <w:r>
        <w:t> – t</w:t>
      </w:r>
      <w:r w:rsidRPr="00A40D53">
        <w:t xml:space="preserve">he </w:t>
      </w:r>
      <w:r w:rsidRPr="00FB2D67">
        <w:t>increase</w:t>
      </w:r>
      <w:r w:rsidRPr="009C6772">
        <w:t xml:space="preserve"> in</w:t>
      </w:r>
      <w:r>
        <w:t xml:space="preserve"> net capital investment over the period </w:t>
      </w:r>
      <w:r w:rsidRPr="00FB2D67">
        <w:t>2024</w:t>
      </w:r>
      <w:r>
        <w:t>–</w:t>
      </w:r>
      <w:r w:rsidRPr="00FB2D67">
        <w:t>25 to 2027</w:t>
      </w:r>
      <w:r>
        <w:t>–</w:t>
      </w:r>
      <w:r w:rsidRPr="00FB2D67">
        <w:t>28</w:t>
      </w:r>
      <w:r>
        <w:t xml:space="preserve"> largely reflects changes in Defence Housing Australia</w:t>
      </w:r>
      <w:r w:rsidR="008D4F6B">
        <w:t>’</w:t>
      </w:r>
      <w:r>
        <w:t>s property investment strategy to meet the housing needs of Australian Defence Force personnel</w:t>
      </w:r>
      <w:r w:rsidR="008D4F6B">
        <w:t>.</w:t>
      </w:r>
    </w:p>
    <w:p w14:paraId="07ED49B0" w14:textId="571B6036" w:rsidR="00A4389A" w:rsidRPr="000177D7" w:rsidRDefault="00A4389A" w:rsidP="00A4389A">
      <w:pPr>
        <w:pStyle w:val="Bullet"/>
        <w:spacing w:line="240" w:lineRule="auto"/>
      </w:pPr>
      <w:r w:rsidRPr="002262EF">
        <w:rPr>
          <w:rStyle w:val="Strong"/>
        </w:rPr>
        <w:t>Recreation and culture</w:t>
      </w:r>
      <w:r>
        <w:t> – the decrease in net capital investment from 2023–24 to 2027</w:t>
      </w:r>
      <w:r w:rsidRPr="557BF5D5">
        <w:rPr>
          <w:rFonts w:cs="Book Antiqua"/>
        </w:rPr>
        <w:t>–</w:t>
      </w:r>
      <w:r>
        <w:t xml:space="preserve">28 reflects the expected completion of capital investments at the Australian War Memorial and projects within various Commonwealth national parks funded under the </w:t>
      </w:r>
      <w:r w:rsidRPr="002262EF">
        <w:rPr>
          <w:rStyle w:val="Emphasis"/>
        </w:rPr>
        <w:t>Protecting Australia</w:t>
      </w:r>
      <w:r w:rsidR="008D4F6B" w:rsidRPr="002262EF">
        <w:rPr>
          <w:rStyle w:val="Emphasis"/>
        </w:rPr>
        <w:t>’</w:t>
      </w:r>
      <w:r w:rsidRPr="002262EF">
        <w:rPr>
          <w:rStyle w:val="Emphasis"/>
        </w:rPr>
        <w:t xml:space="preserve">s Iconic National Parks </w:t>
      </w:r>
      <w:r>
        <w:t>measure. The decrease is also driven by anticipated completion of projects under the 2023</w:t>
      </w:r>
      <w:r w:rsidR="00046A8F">
        <w:t>–</w:t>
      </w:r>
      <w:r>
        <w:t xml:space="preserve">24 Budget measure </w:t>
      </w:r>
      <w:r w:rsidRPr="009566EC">
        <w:rPr>
          <w:rStyle w:val="Emphasis"/>
        </w:rPr>
        <w:t>Sydney Harbour Federation Trust – infrastructure improvements</w:t>
      </w:r>
      <w:r>
        <w:rPr>
          <w:i/>
          <w:iCs/>
        </w:rPr>
        <w:t xml:space="preserve"> </w:t>
      </w:r>
      <w:r>
        <w:t xml:space="preserve">and completion of the various projects led by the </w:t>
      </w:r>
      <w:r w:rsidRPr="557BF5D5">
        <w:t xml:space="preserve">Australian Antarctic Division and </w:t>
      </w:r>
      <w:r>
        <w:t xml:space="preserve">the Director of National Parks, delays in </w:t>
      </w:r>
      <w:r w:rsidRPr="557BF5D5">
        <w:t xml:space="preserve">the refurbishment of the </w:t>
      </w:r>
      <w:r>
        <w:t>Great Barrier Reef Marine Park Authority</w:t>
      </w:r>
      <w:r w:rsidR="008D4F6B">
        <w:t>’</w:t>
      </w:r>
      <w:r>
        <w:t xml:space="preserve">s </w:t>
      </w:r>
      <w:r w:rsidRPr="557BF5D5">
        <w:t>Reef HQ Aquarium</w:t>
      </w:r>
      <w:r>
        <w:t>, and</w:t>
      </w:r>
      <w:r w:rsidRPr="557BF5D5">
        <w:t xml:space="preserve"> </w:t>
      </w:r>
      <w:r>
        <w:t>the timing of</w:t>
      </w:r>
      <w:r w:rsidRPr="557BF5D5">
        <w:t xml:space="preserve"> capital works at the National Collecting Institutions</w:t>
      </w:r>
      <w:r>
        <w:t>.</w:t>
      </w:r>
    </w:p>
    <w:p w14:paraId="4DFAD64E" w14:textId="2E2F0DEB" w:rsidR="00921359" w:rsidRPr="000177D7" w:rsidRDefault="00921359" w:rsidP="00921359">
      <w:pPr>
        <w:pStyle w:val="Bullet"/>
      </w:pPr>
      <w:r w:rsidRPr="000036E0">
        <w:rPr>
          <w:rStyle w:val="Strong"/>
        </w:rPr>
        <w:t>Transport and communication</w:t>
      </w:r>
      <w:r>
        <w:t xml:space="preserve"> – </w:t>
      </w:r>
      <w:r w:rsidRPr="000177D7">
        <w:t>the variable profile of net capital investment reflects the sale of non</w:t>
      </w:r>
      <w:r w:rsidR="008D4F6B">
        <w:noBreakHyphen/>
      </w:r>
      <w:r w:rsidRPr="000177D7">
        <w:t xml:space="preserve">financial assets through the 850/900 MHz and </w:t>
      </w:r>
      <w:r>
        <w:t xml:space="preserve">the 3.4/3.7 GHz </w:t>
      </w:r>
      <w:r w:rsidRPr="000177D7">
        <w:t>Spectrum</w:t>
      </w:r>
      <w:r>
        <w:t xml:space="preserve"> </w:t>
      </w:r>
      <w:r w:rsidRPr="000177D7">
        <w:t>Auctions.</w:t>
      </w:r>
    </w:p>
    <w:p w14:paraId="2CC49A77" w14:textId="335732FA" w:rsidR="00ED485A" w:rsidRPr="000177D7" w:rsidRDefault="00ED485A" w:rsidP="00ED485A">
      <w:pPr>
        <w:pStyle w:val="Bullet"/>
      </w:pPr>
      <w:r w:rsidRPr="000036E0">
        <w:rPr>
          <w:rStyle w:val="Strong"/>
        </w:rPr>
        <w:t>Other economic affairs</w:t>
      </w:r>
      <w:r w:rsidR="00314D06">
        <w:t xml:space="preserve"> – </w:t>
      </w:r>
      <w:r w:rsidR="007D7259">
        <w:t xml:space="preserve">the decrease in net capital investment from 2023–24 to 2024–25 </w:t>
      </w:r>
      <w:r w:rsidR="007D7259" w:rsidRPr="0707AB8A">
        <w:t>reflect</w:t>
      </w:r>
      <w:r w:rsidR="00182803">
        <w:t>s</w:t>
      </w:r>
      <w:r w:rsidR="007D7259" w:rsidRPr="0707AB8A">
        <w:t xml:space="preserve"> the anticipated completion of the </w:t>
      </w:r>
      <w:r w:rsidR="007D7259">
        <w:t>Bureau of Meteorology</w:t>
      </w:r>
      <w:r w:rsidR="008D4F6B">
        <w:t>’</w:t>
      </w:r>
      <w:r w:rsidR="007D7259">
        <w:t>s digital transformation program</w:t>
      </w:r>
      <w:r w:rsidR="008D4F6B">
        <w:t>.</w:t>
      </w:r>
    </w:p>
    <w:p w14:paraId="2188825F" w14:textId="4EE93ED1" w:rsidR="004C4B96" w:rsidRPr="000177D7" w:rsidRDefault="004C4B96" w:rsidP="004C4B96">
      <w:bookmarkStart w:id="200" w:name="_Toc4577285"/>
      <w:bookmarkStart w:id="201" w:name="_Toc4689197"/>
      <w:bookmarkStart w:id="202" w:name="_Toc99203696"/>
      <w:bookmarkStart w:id="203" w:name="_Toc117358189"/>
      <w:r>
        <w:t>Table </w:t>
      </w:r>
      <w:r w:rsidRPr="000177D7">
        <w:t>6.21 reports the acquisition of non</w:t>
      </w:r>
      <w:r w:rsidR="008D4F6B">
        <w:noBreakHyphen/>
      </w:r>
      <w:r w:rsidRPr="000177D7">
        <w:t>financial assets by function before taking into account depreciation or amortisation.</w:t>
      </w:r>
    </w:p>
    <w:p w14:paraId="308C595C" w14:textId="483B1B04" w:rsidR="006206F4" w:rsidRDefault="004C4B96" w:rsidP="006206F4">
      <w:pPr>
        <w:pStyle w:val="TableHeading"/>
        <w:rPr>
          <w:rFonts w:asciiTheme="minorHAnsi" w:eastAsiaTheme="minorHAnsi" w:hAnsiTheme="minorHAnsi" w:cstheme="minorBidi"/>
          <w:sz w:val="22"/>
          <w:szCs w:val="22"/>
          <w:lang w:eastAsia="en-US"/>
        </w:rPr>
      </w:pPr>
      <w:r>
        <w:t>Table </w:t>
      </w:r>
      <w:r w:rsidRPr="000177D7">
        <w:t>6.21: Australian Government general government sector purchases of non</w:t>
      </w:r>
      <w:r w:rsidR="008D4F6B">
        <w:noBreakHyphen/>
      </w:r>
      <w:r w:rsidRPr="000177D7">
        <w:t>financial assets by function</w:t>
      </w:r>
      <w:bookmarkStart w:id="204" w:name="_1727774413"/>
      <w:bookmarkEnd w:id="204"/>
    </w:p>
    <w:tbl>
      <w:tblPr>
        <w:tblW w:w="5000" w:type="pct"/>
        <w:tblCellMar>
          <w:left w:w="0" w:type="dxa"/>
          <w:right w:w="28" w:type="dxa"/>
        </w:tblCellMar>
        <w:tblLook w:val="04A0" w:firstRow="1" w:lastRow="0" w:firstColumn="1" w:lastColumn="0" w:noHBand="0" w:noVBand="1"/>
      </w:tblPr>
      <w:tblGrid>
        <w:gridCol w:w="3683"/>
        <w:gridCol w:w="806"/>
        <w:gridCol w:w="805"/>
        <w:gridCol w:w="805"/>
        <w:gridCol w:w="805"/>
        <w:gridCol w:w="806"/>
      </w:tblGrid>
      <w:tr w:rsidR="006206F4" w:rsidRPr="006206F4" w14:paraId="0C123C86" w14:textId="77777777" w:rsidTr="00D556DF">
        <w:trPr>
          <w:trHeight w:hRule="exact" w:val="225"/>
        </w:trPr>
        <w:tc>
          <w:tcPr>
            <w:tcW w:w="2388" w:type="pct"/>
            <w:tcBorders>
              <w:top w:val="single" w:sz="4" w:space="0" w:color="293F5B"/>
              <w:left w:val="nil"/>
              <w:bottom w:val="nil"/>
              <w:right w:val="nil"/>
            </w:tcBorders>
            <w:shd w:val="clear" w:color="000000" w:fill="FFFFFF"/>
            <w:noWrap/>
            <w:vAlign w:val="center"/>
            <w:hideMark/>
          </w:tcPr>
          <w:p w14:paraId="7FE447D4" w14:textId="78CECC9B" w:rsidR="006206F4" w:rsidRPr="006206F4" w:rsidRDefault="006206F4" w:rsidP="006206F4">
            <w:pPr>
              <w:spacing w:before="0" w:after="0" w:line="240" w:lineRule="auto"/>
              <w:rPr>
                <w:rFonts w:ascii="Arial" w:hAnsi="Arial" w:cs="Arial"/>
                <w:color w:val="000000"/>
                <w:sz w:val="16"/>
                <w:szCs w:val="16"/>
              </w:rPr>
            </w:pPr>
            <w:r w:rsidRPr="006206F4">
              <w:rPr>
                <w:rFonts w:ascii="Arial" w:hAnsi="Arial" w:cs="Arial"/>
                <w:color w:val="000000"/>
                <w:sz w:val="16"/>
                <w:szCs w:val="16"/>
              </w:rPr>
              <w:t> </w:t>
            </w:r>
          </w:p>
        </w:tc>
        <w:tc>
          <w:tcPr>
            <w:tcW w:w="2612" w:type="pct"/>
            <w:gridSpan w:val="5"/>
            <w:tcBorders>
              <w:top w:val="single" w:sz="4" w:space="0" w:color="293F5B"/>
              <w:left w:val="nil"/>
              <w:bottom w:val="nil"/>
              <w:right w:val="nil"/>
            </w:tcBorders>
            <w:shd w:val="clear" w:color="000000" w:fill="FFFFFF"/>
            <w:noWrap/>
            <w:vAlign w:val="center"/>
            <w:hideMark/>
          </w:tcPr>
          <w:p w14:paraId="73A495C3" w14:textId="77777777" w:rsidR="006206F4" w:rsidRPr="006206F4" w:rsidRDefault="006206F4" w:rsidP="006206F4">
            <w:pPr>
              <w:spacing w:before="0" w:after="0" w:line="240" w:lineRule="auto"/>
              <w:jc w:val="center"/>
              <w:rPr>
                <w:rFonts w:ascii="Arial" w:hAnsi="Arial" w:cs="Arial"/>
                <w:sz w:val="16"/>
                <w:szCs w:val="16"/>
              </w:rPr>
            </w:pPr>
            <w:r w:rsidRPr="006206F4">
              <w:rPr>
                <w:rFonts w:ascii="Arial" w:hAnsi="Arial" w:cs="Arial"/>
                <w:sz w:val="16"/>
                <w:szCs w:val="16"/>
              </w:rPr>
              <w:t>Estimates</w:t>
            </w:r>
          </w:p>
        </w:tc>
      </w:tr>
      <w:tr w:rsidR="006206F4" w:rsidRPr="006206F4" w14:paraId="1B3F456A" w14:textId="77777777" w:rsidTr="00D556DF">
        <w:trPr>
          <w:trHeight w:hRule="exact" w:val="225"/>
        </w:trPr>
        <w:tc>
          <w:tcPr>
            <w:tcW w:w="2388" w:type="pct"/>
            <w:tcBorders>
              <w:top w:val="nil"/>
              <w:left w:val="nil"/>
              <w:bottom w:val="nil"/>
              <w:right w:val="nil"/>
            </w:tcBorders>
            <w:shd w:val="clear" w:color="000000" w:fill="FFFFFF"/>
            <w:noWrap/>
            <w:vAlign w:val="center"/>
            <w:hideMark/>
          </w:tcPr>
          <w:p w14:paraId="32A89CB3" w14:textId="77777777" w:rsidR="006206F4" w:rsidRPr="006206F4" w:rsidRDefault="006206F4" w:rsidP="006206F4">
            <w:pPr>
              <w:spacing w:before="0" w:after="0" w:line="240" w:lineRule="auto"/>
              <w:rPr>
                <w:rFonts w:ascii="Arial" w:hAnsi="Arial" w:cs="Arial"/>
                <w:color w:val="000000"/>
                <w:sz w:val="16"/>
                <w:szCs w:val="16"/>
              </w:rPr>
            </w:pPr>
            <w:r w:rsidRPr="006206F4">
              <w:rPr>
                <w:rFonts w:ascii="Arial" w:hAnsi="Arial" w:cs="Arial"/>
                <w:color w:val="000000"/>
                <w:sz w:val="16"/>
                <w:szCs w:val="16"/>
              </w:rPr>
              <w:t> </w:t>
            </w:r>
          </w:p>
        </w:tc>
        <w:tc>
          <w:tcPr>
            <w:tcW w:w="523" w:type="pct"/>
            <w:tcBorders>
              <w:top w:val="single" w:sz="4" w:space="0" w:color="293F5B"/>
              <w:left w:val="nil"/>
              <w:bottom w:val="nil"/>
              <w:right w:val="nil"/>
            </w:tcBorders>
            <w:shd w:val="clear" w:color="000000" w:fill="FFFFFF"/>
            <w:noWrap/>
            <w:vAlign w:val="center"/>
            <w:hideMark/>
          </w:tcPr>
          <w:p w14:paraId="09904577" w14:textId="77777777" w:rsidR="006206F4" w:rsidRPr="006206F4" w:rsidRDefault="006206F4" w:rsidP="006206F4">
            <w:pPr>
              <w:spacing w:before="0" w:after="0" w:line="240" w:lineRule="auto"/>
              <w:jc w:val="right"/>
              <w:rPr>
                <w:rFonts w:ascii="Arial" w:hAnsi="Arial" w:cs="Arial"/>
                <w:sz w:val="16"/>
                <w:szCs w:val="16"/>
              </w:rPr>
            </w:pPr>
            <w:r w:rsidRPr="006206F4">
              <w:rPr>
                <w:rFonts w:ascii="Arial" w:hAnsi="Arial" w:cs="Arial"/>
                <w:sz w:val="16"/>
                <w:szCs w:val="16"/>
              </w:rPr>
              <w:t>2023-24</w:t>
            </w:r>
          </w:p>
        </w:tc>
        <w:tc>
          <w:tcPr>
            <w:tcW w:w="522" w:type="pct"/>
            <w:tcBorders>
              <w:top w:val="single" w:sz="4" w:space="0" w:color="293F5B"/>
              <w:left w:val="nil"/>
              <w:bottom w:val="nil"/>
              <w:right w:val="nil"/>
            </w:tcBorders>
            <w:shd w:val="clear" w:color="000000" w:fill="E6F2FF"/>
            <w:noWrap/>
            <w:vAlign w:val="center"/>
            <w:hideMark/>
          </w:tcPr>
          <w:p w14:paraId="7EC58FD0" w14:textId="77777777" w:rsidR="006206F4" w:rsidRPr="006206F4" w:rsidRDefault="006206F4" w:rsidP="006206F4">
            <w:pPr>
              <w:spacing w:before="0" w:after="0" w:line="240" w:lineRule="auto"/>
              <w:jc w:val="right"/>
              <w:rPr>
                <w:rFonts w:ascii="Arial" w:hAnsi="Arial" w:cs="Arial"/>
                <w:sz w:val="16"/>
                <w:szCs w:val="16"/>
              </w:rPr>
            </w:pPr>
            <w:r w:rsidRPr="006206F4">
              <w:rPr>
                <w:rFonts w:ascii="Arial" w:hAnsi="Arial" w:cs="Arial"/>
                <w:sz w:val="16"/>
                <w:szCs w:val="16"/>
              </w:rPr>
              <w:t>2024-25</w:t>
            </w:r>
          </w:p>
        </w:tc>
        <w:tc>
          <w:tcPr>
            <w:tcW w:w="522" w:type="pct"/>
            <w:tcBorders>
              <w:top w:val="single" w:sz="4" w:space="0" w:color="293F5B"/>
              <w:left w:val="nil"/>
              <w:bottom w:val="nil"/>
              <w:right w:val="nil"/>
            </w:tcBorders>
            <w:shd w:val="clear" w:color="000000" w:fill="FFFFFF"/>
            <w:noWrap/>
            <w:vAlign w:val="center"/>
            <w:hideMark/>
          </w:tcPr>
          <w:p w14:paraId="7C2B177E" w14:textId="77777777" w:rsidR="006206F4" w:rsidRPr="006206F4" w:rsidRDefault="006206F4" w:rsidP="006206F4">
            <w:pPr>
              <w:spacing w:before="0" w:after="0" w:line="240" w:lineRule="auto"/>
              <w:jc w:val="right"/>
              <w:rPr>
                <w:rFonts w:ascii="Arial" w:hAnsi="Arial" w:cs="Arial"/>
                <w:sz w:val="16"/>
                <w:szCs w:val="16"/>
              </w:rPr>
            </w:pPr>
            <w:r w:rsidRPr="006206F4">
              <w:rPr>
                <w:rFonts w:ascii="Arial" w:hAnsi="Arial" w:cs="Arial"/>
                <w:sz w:val="16"/>
                <w:szCs w:val="16"/>
              </w:rPr>
              <w:t>2025-26</w:t>
            </w:r>
          </w:p>
        </w:tc>
        <w:tc>
          <w:tcPr>
            <w:tcW w:w="522" w:type="pct"/>
            <w:tcBorders>
              <w:top w:val="single" w:sz="4" w:space="0" w:color="293F5B"/>
              <w:left w:val="nil"/>
              <w:bottom w:val="nil"/>
              <w:right w:val="nil"/>
            </w:tcBorders>
            <w:shd w:val="clear" w:color="000000" w:fill="FFFFFF"/>
            <w:noWrap/>
            <w:vAlign w:val="center"/>
            <w:hideMark/>
          </w:tcPr>
          <w:p w14:paraId="1C314392" w14:textId="77777777" w:rsidR="006206F4" w:rsidRPr="006206F4" w:rsidRDefault="006206F4" w:rsidP="006206F4">
            <w:pPr>
              <w:spacing w:before="0" w:after="0" w:line="240" w:lineRule="auto"/>
              <w:jc w:val="right"/>
              <w:rPr>
                <w:rFonts w:ascii="Arial" w:hAnsi="Arial" w:cs="Arial"/>
                <w:sz w:val="16"/>
                <w:szCs w:val="16"/>
              </w:rPr>
            </w:pPr>
            <w:r w:rsidRPr="006206F4">
              <w:rPr>
                <w:rFonts w:ascii="Arial" w:hAnsi="Arial" w:cs="Arial"/>
                <w:sz w:val="16"/>
                <w:szCs w:val="16"/>
              </w:rPr>
              <w:t>2026-27</w:t>
            </w:r>
          </w:p>
        </w:tc>
        <w:tc>
          <w:tcPr>
            <w:tcW w:w="522" w:type="pct"/>
            <w:tcBorders>
              <w:top w:val="single" w:sz="4" w:space="0" w:color="293F5B"/>
              <w:left w:val="nil"/>
              <w:bottom w:val="nil"/>
              <w:right w:val="nil"/>
            </w:tcBorders>
            <w:shd w:val="clear" w:color="000000" w:fill="FFFFFF"/>
            <w:noWrap/>
            <w:vAlign w:val="center"/>
            <w:hideMark/>
          </w:tcPr>
          <w:p w14:paraId="28FA0930" w14:textId="77777777" w:rsidR="006206F4" w:rsidRPr="006206F4" w:rsidRDefault="006206F4" w:rsidP="006206F4">
            <w:pPr>
              <w:spacing w:before="0" w:after="0" w:line="240" w:lineRule="auto"/>
              <w:jc w:val="right"/>
              <w:rPr>
                <w:rFonts w:ascii="Arial" w:hAnsi="Arial" w:cs="Arial"/>
                <w:color w:val="000000"/>
                <w:sz w:val="16"/>
                <w:szCs w:val="16"/>
              </w:rPr>
            </w:pPr>
            <w:r w:rsidRPr="006206F4">
              <w:rPr>
                <w:rFonts w:ascii="Arial" w:hAnsi="Arial" w:cs="Arial"/>
                <w:color w:val="000000"/>
                <w:sz w:val="16"/>
                <w:szCs w:val="16"/>
              </w:rPr>
              <w:t>2027-28</w:t>
            </w:r>
          </w:p>
        </w:tc>
      </w:tr>
      <w:tr w:rsidR="006206F4" w:rsidRPr="006206F4" w14:paraId="7B166E07" w14:textId="77777777" w:rsidTr="00D556DF">
        <w:trPr>
          <w:trHeight w:hRule="exact" w:val="225"/>
        </w:trPr>
        <w:tc>
          <w:tcPr>
            <w:tcW w:w="2388" w:type="pct"/>
            <w:tcBorders>
              <w:top w:val="nil"/>
              <w:left w:val="nil"/>
              <w:bottom w:val="nil"/>
              <w:right w:val="nil"/>
            </w:tcBorders>
            <w:shd w:val="clear" w:color="000000" w:fill="FFFFFF"/>
            <w:noWrap/>
            <w:vAlign w:val="center"/>
            <w:hideMark/>
          </w:tcPr>
          <w:p w14:paraId="6556B837" w14:textId="77777777" w:rsidR="006206F4" w:rsidRPr="006206F4" w:rsidRDefault="006206F4" w:rsidP="006206F4">
            <w:pPr>
              <w:spacing w:before="0" w:after="0" w:line="240" w:lineRule="auto"/>
              <w:rPr>
                <w:rFonts w:ascii="Arial" w:hAnsi="Arial" w:cs="Arial"/>
                <w:color w:val="000000"/>
                <w:sz w:val="16"/>
                <w:szCs w:val="16"/>
              </w:rPr>
            </w:pPr>
            <w:r w:rsidRPr="006206F4">
              <w:rPr>
                <w:rFonts w:ascii="Arial" w:hAnsi="Arial" w:cs="Arial"/>
                <w:color w:val="000000"/>
                <w:sz w:val="16"/>
                <w:szCs w:val="16"/>
              </w:rPr>
              <w:t> </w:t>
            </w:r>
          </w:p>
        </w:tc>
        <w:tc>
          <w:tcPr>
            <w:tcW w:w="523" w:type="pct"/>
            <w:tcBorders>
              <w:top w:val="nil"/>
              <w:left w:val="nil"/>
              <w:bottom w:val="single" w:sz="4" w:space="0" w:color="293F5B"/>
              <w:right w:val="nil"/>
            </w:tcBorders>
            <w:shd w:val="clear" w:color="000000" w:fill="FFFFFF"/>
            <w:noWrap/>
            <w:vAlign w:val="center"/>
            <w:hideMark/>
          </w:tcPr>
          <w:p w14:paraId="4AE60579" w14:textId="77777777" w:rsidR="006206F4" w:rsidRPr="006206F4" w:rsidRDefault="006206F4" w:rsidP="006206F4">
            <w:pPr>
              <w:spacing w:before="0" w:after="0" w:line="240" w:lineRule="auto"/>
              <w:jc w:val="right"/>
              <w:rPr>
                <w:rFonts w:ascii="Arial" w:hAnsi="Arial" w:cs="Arial"/>
                <w:color w:val="000000"/>
                <w:sz w:val="16"/>
                <w:szCs w:val="16"/>
              </w:rPr>
            </w:pPr>
            <w:r w:rsidRPr="006206F4">
              <w:rPr>
                <w:rFonts w:ascii="Arial" w:hAnsi="Arial" w:cs="Arial"/>
                <w:color w:val="000000"/>
                <w:sz w:val="16"/>
                <w:szCs w:val="16"/>
              </w:rPr>
              <w:t>$m</w:t>
            </w:r>
          </w:p>
        </w:tc>
        <w:tc>
          <w:tcPr>
            <w:tcW w:w="522" w:type="pct"/>
            <w:tcBorders>
              <w:top w:val="nil"/>
              <w:left w:val="nil"/>
              <w:bottom w:val="single" w:sz="4" w:space="0" w:color="293F5B"/>
              <w:right w:val="nil"/>
            </w:tcBorders>
            <w:shd w:val="clear" w:color="000000" w:fill="E6F2FF"/>
            <w:noWrap/>
            <w:vAlign w:val="center"/>
            <w:hideMark/>
          </w:tcPr>
          <w:p w14:paraId="756CD795" w14:textId="77777777" w:rsidR="006206F4" w:rsidRPr="006206F4" w:rsidRDefault="006206F4" w:rsidP="006206F4">
            <w:pPr>
              <w:spacing w:before="0" w:after="0" w:line="240" w:lineRule="auto"/>
              <w:jc w:val="right"/>
              <w:rPr>
                <w:rFonts w:ascii="Arial" w:hAnsi="Arial" w:cs="Arial"/>
                <w:color w:val="000000"/>
                <w:sz w:val="16"/>
                <w:szCs w:val="16"/>
              </w:rPr>
            </w:pPr>
            <w:r w:rsidRPr="006206F4">
              <w:rPr>
                <w:rFonts w:ascii="Arial" w:hAnsi="Arial" w:cs="Arial"/>
                <w:color w:val="000000"/>
                <w:sz w:val="16"/>
                <w:szCs w:val="16"/>
              </w:rPr>
              <w:t>$m</w:t>
            </w:r>
          </w:p>
        </w:tc>
        <w:tc>
          <w:tcPr>
            <w:tcW w:w="522" w:type="pct"/>
            <w:tcBorders>
              <w:top w:val="nil"/>
              <w:left w:val="nil"/>
              <w:bottom w:val="single" w:sz="4" w:space="0" w:color="293F5B"/>
              <w:right w:val="nil"/>
            </w:tcBorders>
            <w:shd w:val="clear" w:color="000000" w:fill="FFFFFF"/>
            <w:noWrap/>
            <w:vAlign w:val="center"/>
            <w:hideMark/>
          </w:tcPr>
          <w:p w14:paraId="6B976D28" w14:textId="77777777" w:rsidR="006206F4" w:rsidRPr="006206F4" w:rsidRDefault="006206F4" w:rsidP="006206F4">
            <w:pPr>
              <w:spacing w:before="0" w:after="0" w:line="240" w:lineRule="auto"/>
              <w:jc w:val="right"/>
              <w:rPr>
                <w:rFonts w:ascii="Arial" w:hAnsi="Arial" w:cs="Arial"/>
                <w:color w:val="000000"/>
                <w:sz w:val="16"/>
                <w:szCs w:val="16"/>
              </w:rPr>
            </w:pPr>
            <w:r w:rsidRPr="006206F4">
              <w:rPr>
                <w:rFonts w:ascii="Arial" w:hAnsi="Arial" w:cs="Arial"/>
                <w:color w:val="000000"/>
                <w:sz w:val="16"/>
                <w:szCs w:val="16"/>
              </w:rPr>
              <w:t>$m</w:t>
            </w:r>
          </w:p>
        </w:tc>
        <w:tc>
          <w:tcPr>
            <w:tcW w:w="522" w:type="pct"/>
            <w:tcBorders>
              <w:top w:val="nil"/>
              <w:left w:val="nil"/>
              <w:bottom w:val="single" w:sz="4" w:space="0" w:color="293F5B"/>
              <w:right w:val="nil"/>
            </w:tcBorders>
            <w:shd w:val="clear" w:color="000000" w:fill="FFFFFF"/>
            <w:noWrap/>
            <w:vAlign w:val="center"/>
            <w:hideMark/>
          </w:tcPr>
          <w:p w14:paraId="2B438574" w14:textId="77777777" w:rsidR="006206F4" w:rsidRPr="006206F4" w:rsidRDefault="006206F4" w:rsidP="006206F4">
            <w:pPr>
              <w:spacing w:before="0" w:after="0" w:line="240" w:lineRule="auto"/>
              <w:jc w:val="right"/>
              <w:rPr>
                <w:rFonts w:ascii="Arial" w:hAnsi="Arial" w:cs="Arial"/>
                <w:sz w:val="16"/>
                <w:szCs w:val="16"/>
              </w:rPr>
            </w:pPr>
            <w:r w:rsidRPr="006206F4">
              <w:rPr>
                <w:rFonts w:ascii="Arial" w:hAnsi="Arial" w:cs="Arial"/>
                <w:sz w:val="16"/>
                <w:szCs w:val="16"/>
              </w:rPr>
              <w:t>$m</w:t>
            </w:r>
          </w:p>
        </w:tc>
        <w:tc>
          <w:tcPr>
            <w:tcW w:w="522" w:type="pct"/>
            <w:tcBorders>
              <w:top w:val="nil"/>
              <w:left w:val="nil"/>
              <w:bottom w:val="single" w:sz="4" w:space="0" w:color="293F5B"/>
              <w:right w:val="nil"/>
            </w:tcBorders>
            <w:shd w:val="clear" w:color="000000" w:fill="FFFFFF"/>
            <w:noWrap/>
            <w:vAlign w:val="center"/>
            <w:hideMark/>
          </w:tcPr>
          <w:p w14:paraId="58637899" w14:textId="77777777" w:rsidR="006206F4" w:rsidRPr="006206F4" w:rsidRDefault="006206F4" w:rsidP="006206F4">
            <w:pPr>
              <w:spacing w:before="0" w:after="0" w:line="240" w:lineRule="auto"/>
              <w:jc w:val="right"/>
              <w:rPr>
                <w:rFonts w:ascii="Arial" w:hAnsi="Arial" w:cs="Arial"/>
                <w:sz w:val="16"/>
                <w:szCs w:val="16"/>
              </w:rPr>
            </w:pPr>
            <w:r w:rsidRPr="006206F4">
              <w:rPr>
                <w:rFonts w:ascii="Arial" w:hAnsi="Arial" w:cs="Arial"/>
                <w:sz w:val="16"/>
                <w:szCs w:val="16"/>
              </w:rPr>
              <w:t>$m</w:t>
            </w:r>
          </w:p>
        </w:tc>
      </w:tr>
      <w:tr w:rsidR="006206F4" w:rsidRPr="006206F4" w14:paraId="3FD5BA11" w14:textId="77777777" w:rsidTr="00D556DF">
        <w:trPr>
          <w:trHeight w:hRule="exact" w:val="225"/>
        </w:trPr>
        <w:tc>
          <w:tcPr>
            <w:tcW w:w="2388" w:type="pct"/>
            <w:tcBorders>
              <w:top w:val="nil"/>
              <w:left w:val="nil"/>
              <w:bottom w:val="nil"/>
              <w:right w:val="nil"/>
            </w:tcBorders>
            <w:shd w:val="clear" w:color="000000" w:fill="FFFFFF"/>
            <w:noWrap/>
            <w:vAlign w:val="center"/>
            <w:hideMark/>
          </w:tcPr>
          <w:p w14:paraId="26880AB1" w14:textId="77777777" w:rsidR="006206F4" w:rsidRPr="006206F4" w:rsidRDefault="006206F4" w:rsidP="006206F4">
            <w:pPr>
              <w:spacing w:before="0" w:after="0" w:line="240" w:lineRule="auto"/>
              <w:rPr>
                <w:rFonts w:ascii="Arial" w:hAnsi="Arial" w:cs="Arial"/>
                <w:color w:val="000000"/>
                <w:sz w:val="16"/>
                <w:szCs w:val="16"/>
              </w:rPr>
            </w:pPr>
            <w:r w:rsidRPr="006206F4">
              <w:rPr>
                <w:rFonts w:ascii="Arial" w:hAnsi="Arial" w:cs="Arial"/>
                <w:color w:val="000000"/>
                <w:sz w:val="16"/>
                <w:szCs w:val="16"/>
              </w:rPr>
              <w:t>General public services</w:t>
            </w:r>
          </w:p>
        </w:tc>
        <w:tc>
          <w:tcPr>
            <w:tcW w:w="523" w:type="pct"/>
            <w:tcBorders>
              <w:top w:val="nil"/>
              <w:left w:val="nil"/>
              <w:bottom w:val="nil"/>
              <w:right w:val="nil"/>
            </w:tcBorders>
            <w:shd w:val="clear" w:color="000000" w:fill="FFFFFF"/>
            <w:noWrap/>
            <w:vAlign w:val="center"/>
            <w:hideMark/>
          </w:tcPr>
          <w:p w14:paraId="4C0EDD6D" w14:textId="77777777" w:rsidR="006206F4" w:rsidRPr="006206F4" w:rsidRDefault="006206F4" w:rsidP="006206F4">
            <w:pPr>
              <w:spacing w:before="0" w:after="0" w:line="240" w:lineRule="auto"/>
              <w:jc w:val="right"/>
              <w:rPr>
                <w:rFonts w:ascii="Arial" w:hAnsi="Arial" w:cs="Arial"/>
                <w:color w:val="000000"/>
                <w:sz w:val="16"/>
                <w:szCs w:val="16"/>
              </w:rPr>
            </w:pPr>
            <w:r w:rsidRPr="006206F4">
              <w:rPr>
                <w:rFonts w:ascii="Arial" w:hAnsi="Arial" w:cs="Arial"/>
                <w:color w:val="000000"/>
                <w:sz w:val="16"/>
                <w:szCs w:val="16"/>
              </w:rPr>
              <w:t>1,888</w:t>
            </w:r>
          </w:p>
        </w:tc>
        <w:tc>
          <w:tcPr>
            <w:tcW w:w="522" w:type="pct"/>
            <w:tcBorders>
              <w:top w:val="nil"/>
              <w:left w:val="nil"/>
              <w:bottom w:val="nil"/>
              <w:right w:val="nil"/>
            </w:tcBorders>
            <w:shd w:val="clear" w:color="000000" w:fill="E6F2FF"/>
            <w:noWrap/>
            <w:vAlign w:val="center"/>
            <w:hideMark/>
          </w:tcPr>
          <w:p w14:paraId="7151701E" w14:textId="77777777" w:rsidR="006206F4" w:rsidRPr="006206F4" w:rsidRDefault="006206F4" w:rsidP="006206F4">
            <w:pPr>
              <w:spacing w:before="0" w:after="0" w:line="240" w:lineRule="auto"/>
              <w:jc w:val="right"/>
              <w:rPr>
                <w:rFonts w:ascii="Arial" w:hAnsi="Arial" w:cs="Arial"/>
                <w:color w:val="000000"/>
                <w:sz w:val="16"/>
                <w:szCs w:val="16"/>
              </w:rPr>
            </w:pPr>
            <w:r w:rsidRPr="006206F4">
              <w:rPr>
                <w:rFonts w:ascii="Arial" w:hAnsi="Arial" w:cs="Arial"/>
                <w:color w:val="000000"/>
                <w:sz w:val="16"/>
                <w:szCs w:val="16"/>
              </w:rPr>
              <w:t>2,243</w:t>
            </w:r>
          </w:p>
        </w:tc>
        <w:tc>
          <w:tcPr>
            <w:tcW w:w="522" w:type="pct"/>
            <w:tcBorders>
              <w:top w:val="nil"/>
              <w:left w:val="nil"/>
              <w:bottom w:val="nil"/>
              <w:right w:val="nil"/>
            </w:tcBorders>
            <w:shd w:val="clear" w:color="000000" w:fill="FFFFFF"/>
            <w:noWrap/>
            <w:vAlign w:val="center"/>
            <w:hideMark/>
          </w:tcPr>
          <w:p w14:paraId="5C4720B7" w14:textId="77777777" w:rsidR="006206F4" w:rsidRPr="006206F4" w:rsidRDefault="006206F4" w:rsidP="006206F4">
            <w:pPr>
              <w:spacing w:before="0" w:after="0" w:line="240" w:lineRule="auto"/>
              <w:jc w:val="right"/>
              <w:rPr>
                <w:rFonts w:ascii="Arial" w:hAnsi="Arial" w:cs="Arial"/>
                <w:color w:val="000000"/>
                <w:sz w:val="16"/>
                <w:szCs w:val="16"/>
              </w:rPr>
            </w:pPr>
            <w:r w:rsidRPr="006206F4">
              <w:rPr>
                <w:rFonts w:ascii="Arial" w:hAnsi="Arial" w:cs="Arial"/>
                <w:color w:val="000000"/>
                <w:sz w:val="16"/>
                <w:szCs w:val="16"/>
              </w:rPr>
              <w:t>1,872</w:t>
            </w:r>
          </w:p>
        </w:tc>
        <w:tc>
          <w:tcPr>
            <w:tcW w:w="522" w:type="pct"/>
            <w:tcBorders>
              <w:top w:val="nil"/>
              <w:left w:val="nil"/>
              <w:bottom w:val="nil"/>
              <w:right w:val="nil"/>
            </w:tcBorders>
            <w:shd w:val="clear" w:color="000000" w:fill="FFFFFF"/>
            <w:noWrap/>
            <w:vAlign w:val="center"/>
            <w:hideMark/>
          </w:tcPr>
          <w:p w14:paraId="2FBEE306" w14:textId="77777777" w:rsidR="006206F4" w:rsidRPr="006206F4" w:rsidRDefault="006206F4" w:rsidP="006206F4">
            <w:pPr>
              <w:spacing w:before="0" w:after="0" w:line="240" w:lineRule="auto"/>
              <w:jc w:val="right"/>
              <w:rPr>
                <w:rFonts w:ascii="Arial" w:hAnsi="Arial" w:cs="Arial"/>
                <w:color w:val="000000"/>
                <w:sz w:val="16"/>
                <w:szCs w:val="16"/>
              </w:rPr>
            </w:pPr>
            <w:r w:rsidRPr="006206F4">
              <w:rPr>
                <w:rFonts w:ascii="Arial" w:hAnsi="Arial" w:cs="Arial"/>
                <w:color w:val="000000"/>
                <w:sz w:val="16"/>
                <w:szCs w:val="16"/>
              </w:rPr>
              <w:t>2,355</w:t>
            </w:r>
          </w:p>
        </w:tc>
        <w:tc>
          <w:tcPr>
            <w:tcW w:w="522" w:type="pct"/>
            <w:tcBorders>
              <w:top w:val="nil"/>
              <w:left w:val="nil"/>
              <w:bottom w:val="nil"/>
              <w:right w:val="nil"/>
            </w:tcBorders>
            <w:shd w:val="clear" w:color="000000" w:fill="FFFFFF"/>
            <w:noWrap/>
            <w:vAlign w:val="center"/>
            <w:hideMark/>
          </w:tcPr>
          <w:p w14:paraId="49182F27" w14:textId="77777777" w:rsidR="006206F4" w:rsidRPr="006206F4" w:rsidRDefault="006206F4" w:rsidP="006206F4">
            <w:pPr>
              <w:spacing w:before="0" w:after="0" w:line="240" w:lineRule="auto"/>
              <w:jc w:val="right"/>
              <w:rPr>
                <w:rFonts w:ascii="Arial" w:hAnsi="Arial" w:cs="Arial"/>
                <w:color w:val="000000"/>
                <w:sz w:val="16"/>
                <w:szCs w:val="16"/>
              </w:rPr>
            </w:pPr>
            <w:r w:rsidRPr="006206F4">
              <w:rPr>
                <w:rFonts w:ascii="Arial" w:hAnsi="Arial" w:cs="Arial"/>
                <w:color w:val="000000"/>
                <w:sz w:val="16"/>
                <w:szCs w:val="16"/>
              </w:rPr>
              <w:t>2,605</w:t>
            </w:r>
          </w:p>
        </w:tc>
      </w:tr>
      <w:tr w:rsidR="006206F4" w:rsidRPr="006206F4" w14:paraId="125455CD" w14:textId="77777777" w:rsidTr="00D556DF">
        <w:trPr>
          <w:trHeight w:hRule="exact" w:val="225"/>
        </w:trPr>
        <w:tc>
          <w:tcPr>
            <w:tcW w:w="2388" w:type="pct"/>
            <w:tcBorders>
              <w:top w:val="nil"/>
              <w:left w:val="nil"/>
              <w:bottom w:val="nil"/>
              <w:right w:val="nil"/>
            </w:tcBorders>
            <w:shd w:val="clear" w:color="000000" w:fill="FFFFFF"/>
            <w:noWrap/>
            <w:vAlign w:val="center"/>
            <w:hideMark/>
          </w:tcPr>
          <w:p w14:paraId="05500249" w14:textId="77777777" w:rsidR="006206F4" w:rsidRPr="006206F4" w:rsidRDefault="006206F4" w:rsidP="006206F4">
            <w:pPr>
              <w:spacing w:before="0" w:after="0" w:line="240" w:lineRule="auto"/>
              <w:rPr>
                <w:rFonts w:ascii="Arial" w:hAnsi="Arial" w:cs="Arial"/>
                <w:color w:val="000000"/>
                <w:sz w:val="16"/>
                <w:szCs w:val="16"/>
              </w:rPr>
            </w:pPr>
            <w:r w:rsidRPr="006206F4">
              <w:rPr>
                <w:rFonts w:ascii="Arial" w:hAnsi="Arial" w:cs="Arial"/>
                <w:color w:val="000000"/>
                <w:sz w:val="16"/>
                <w:szCs w:val="16"/>
              </w:rPr>
              <w:t>Defence</w:t>
            </w:r>
          </w:p>
        </w:tc>
        <w:tc>
          <w:tcPr>
            <w:tcW w:w="523" w:type="pct"/>
            <w:tcBorders>
              <w:top w:val="nil"/>
              <w:left w:val="nil"/>
              <w:bottom w:val="nil"/>
              <w:right w:val="nil"/>
            </w:tcBorders>
            <w:shd w:val="clear" w:color="000000" w:fill="FFFFFF"/>
            <w:noWrap/>
            <w:vAlign w:val="center"/>
            <w:hideMark/>
          </w:tcPr>
          <w:p w14:paraId="69745168" w14:textId="77777777" w:rsidR="006206F4" w:rsidRPr="006206F4" w:rsidRDefault="006206F4" w:rsidP="006206F4">
            <w:pPr>
              <w:spacing w:before="0" w:after="0" w:line="240" w:lineRule="auto"/>
              <w:jc w:val="right"/>
              <w:rPr>
                <w:rFonts w:ascii="Arial" w:hAnsi="Arial" w:cs="Arial"/>
                <w:color w:val="000000"/>
                <w:sz w:val="16"/>
                <w:szCs w:val="16"/>
              </w:rPr>
            </w:pPr>
            <w:r w:rsidRPr="006206F4">
              <w:rPr>
                <w:rFonts w:ascii="Arial" w:hAnsi="Arial" w:cs="Arial"/>
                <w:color w:val="000000"/>
                <w:sz w:val="16"/>
                <w:szCs w:val="16"/>
              </w:rPr>
              <w:t>14,805</w:t>
            </w:r>
          </w:p>
        </w:tc>
        <w:tc>
          <w:tcPr>
            <w:tcW w:w="522" w:type="pct"/>
            <w:tcBorders>
              <w:top w:val="nil"/>
              <w:left w:val="nil"/>
              <w:bottom w:val="nil"/>
              <w:right w:val="nil"/>
            </w:tcBorders>
            <w:shd w:val="clear" w:color="000000" w:fill="E6F2FF"/>
            <w:noWrap/>
            <w:vAlign w:val="center"/>
            <w:hideMark/>
          </w:tcPr>
          <w:p w14:paraId="2E63E709" w14:textId="77777777" w:rsidR="006206F4" w:rsidRPr="006206F4" w:rsidRDefault="006206F4" w:rsidP="006206F4">
            <w:pPr>
              <w:spacing w:before="0" w:after="0" w:line="240" w:lineRule="auto"/>
              <w:jc w:val="right"/>
              <w:rPr>
                <w:rFonts w:ascii="Arial" w:hAnsi="Arial" w:cs="Arial"/>
                <w:color w:val="000000"/>
                <w:sz w:val="16"/>
                <w:szCs w:val="16"/>
              </w:rPr>
            </w:pPr>
            <w:r w:rsidRPr="006206F4">
              <w:rPr>
                <w:rFonts w:ascii="Arial" w:hAnsi="Arial" w:cs="Arial"/>
                <w:color w:val="000000"/>
                <w:sz w:val="16"/>
                <w:szCs w:val="16"/>
              </w:rPr>
              <w:t>14,292</w:t>
            </w:r>
          </w:p>
        </w:tc>
        <w:tc>
          <w:tcPr>
            <w:tcW w:w="522" w:type="pct"/>
            <w:tcBorders>
              <w:top w:val="nil"/>
              <w:left w:val="nil"/>
              <w:bottom w:val="nil"/>
              <w:right w:val="nil"/>
            </w:tcBorders>
            <w:shd w:val="clear" w:color="000000" w:fill="FFFFFF"/>
            <w:noWrap/>
            <w:vAlign w:val="center"/>
            <w:hideMark/>
          </w:tcPr>
          <w:p w14:paraId="49A31F75" w14:textId="77777777" w:rsidR="006206F4" w:rsidRPr="006206F4" w:rsidRDefault="006206F4" w:rsidP="006206F4">
            <w:pPr>
              <w:spacing w:before="0" w:after="0" w:line="240" w:lineRule="auto"/>
              <w:jc w:val="right"/>
              <w:rPr>
                <w:rFonts w:ascii="Arial" w:hAnsi="Arial" w:cs="Arial"/>
                <w:color w:val="000000"/>
                <w:sz w:val="16"/>
                <w:szCs w:val="16"/>
              </w:rPr>
            </w:pPr>
            <w:r w:rsidRPr="006206F4">
              <w:rPr>
                <w:rFonts w:ascii="Arial" w:hAnsi="Arial" w:cs="Arial"/>
                <w:color w:val="000000"/>
                <w:sz w:val="16"/>
                <w:szCs w:val="16"/>
              </w:rPr>
              <w:t>14,540</w:t>
            </w:r>
          </w:p>
        </w:tc>
        <w:tc>
          <w:tcPr>
            <w:tcW w:w="522" w:type="pct"/>
            <w:tcBorders>
              <w:top w:val="nil"/>
              <w:left w:val="nil"/>
              <w:bottom w:val="nil"/>
              <w:right w:val="nil"/>
            </w:tcBorders>
            <w:shd w:val="clear" w:color="000000" w:fill="FFFFFF"/>
            <w:noWrap/>
            <w:vAlign w:val="center"/>
            <w:hideMark/>
          </w:tcPr>
          <w:p w14:paraId="11FAA785" w14:textId="77777777" w:rsidR="006206F4" w:rsidRPr="006206F4" w:rsidRDefault="006206F4" w:rsidP="006206F4">
            <w:pPr>
              <w:spacing w:before="0" w:after="0" w:line="240" w:lineRule="auto"/>
              <w:jc w:val="right"/>
              <w:rPr>
                <w:rFonts w:ascii="Arial" w:hAnsi="Arial" w:cs="Arial"/>
                <w:color w:val="000000"/>
                <w:sz w:val="16"/>
                <w:szCs w:val="16"/>
              </w:rPr>
            </w:pPr>
            <w:r w:rsidRPr="006206F4">
              <w:rPr>
                <w:rFonts w:ascii="Arial" w:hAnsi="Arial" w:cs="Arial"/>
                <w:color w:val="000000"/>
                <w:sz w:val="16"/>
                <w:szCs w:val="16"/>
              </w:rPr>
              <w:t>16,309</w:t>
            </w:r>
          </w:p>
        </w:tc>
        <w:tc>
          <w:tcPr>
            <w:tcW w:w="522" w:type="pct"/>
            <w:tcBorders>
              <w:top w:val="nil"/>
              <w:left w:val="nil"/>
              <w:bottom w:val="nil"/>
              <w:right w:val="nil"/>
            </w:tcBorders>
            <w:shd w:val="clear" w:color="000000" w:fill="FFFFFF"/>
            <w:noWrap/>
            <w:vAlign w:val="center"/>
            <w:hideMark/>
          </w:tcPr>
          <w:p w14:paraId="57F94EE4" w14:textId="77777777" w:rsidR="006206F4" w:rsidRPr="006206F4" w:rsidRDefault="006206F4" w:rsidP="006206F4">
            <w:pPr>
              <w:spacing w:before="0" w:after="0" w:line="240" w:lineRule="auto"/>
              <w:jc w:val="right"/>
              <w:rPr>
                <w:rFonts w:ascii="Arial" w:hAnsi="Arial" w:cs="Arial"/>
                <w:color w:val="000000"/>
                <w:sz w:val="16"/>
                <w:szCs w:val="16"/>
              </w:rPr>
            </w:pPr>
            <w:r w:rsidRPr="006206F4">
              <w:rPr>
                <w:rFonts w:ascii="Arial" w:hAnsi="Arial" w:cs="Arial"/>
                <w:color w:val="000000"/>
                <w:sz w:val="16"/>
                <w:szCs w:val="16"/>
              </w:rPr>
              <w:t>19,115</w:t>
            </w:r>
          </w:p>
        </w:tc>
      </w:tr>
      <w:tr w:rsidR="006206F4" w:rsidRPr="006206F4" w14:paraId="116106E6" w14:textId="77777777" w:rsidTr="00D556DF">
        <w:trPr>
          <w:trHeight w:hRule="exact" w:val="225"/>
        </w:trPr>
        <w:tc>
          <w:tcPr>
            <w:tcW w:w="2388" w:type="pct"/>
            <w:tcBorders>
              <w:top w:val="nil"/>
              <w:left w:val="nil"/>
              <w:bottom w:val="nil"/>
              <w:right w:val="nil"/>
            </w:tcBorders>
            <w:shd w:val="clear" w:color="000000" w:fill="FFFFFF"/>
            <w:noWrap/>
            <w:vAlign w:val="center"/>
            <w:hideMark/>
          </w:tcPr>
          <w:p w14:paraId="486C4C33" w14:textId="77777777" w:rsidR="006206F4" w:rsidRPr="006206F4" w:rsidRDefault="006206F4" w:rsidP="006206F4">
            <w:pPr>
              <w:spacing w:before="0" w:after="0" w:line="240" w:lineRule="auto"/>
              <w:rPr>
                <w:rFonts w:ascii="Arial" w:hAnsi="Arial" w:cs="Arial"/>
                <w:color w:val="000000"/>
                <w:sz w:val="16"/>
                <w:szCs w:val="16"/>
              </w:rPr>
            </w:pPr>
            <w:r w:rsidRPr="006206F4">
              <w:rPr>
                <w:rFonts w:ascii="Arial" w:hAnsi="Arial" w:cs="Arial"/>
                <w:color w:val="000000"/>
                <w:sz w:val="16"/>
                <w:szCs w:val="16"/>
              </w:rPr>
              <w:t>Public order and safety</w:t>
            </w:r>
          </w:p>
        </w:tc>
        <w:tc>
          <w:tcPr>
            <w:tcW w:w="523" w:type="pct"/>
            <w:tcBorders>
              <w:top w:val="nil"/>
              <w:left w:val="nil"/>
              <w:bottom w:val="nil"/>
              <w:right w:val="nil"/>
            </w:tcBorders>
            <w:shd w:val="clear" w:color="000000" w:fill="FFFFFF"/>
            <w:noWrap/>
            <w:vAlign w:val="center"/>
            <w:hideMark/>
          </w:tcPr>
          <w:p w14:paraId="7DB4193D" w14:textId="77777777" w:rsidR="006206F4" w:rsidRPr="006206F4" w:rsidRDefault="006206F4" w:rsidP="006206F4">
            <w:pPr>
              <w:spacing w:before="0" w:after="0" w:line="240" w:lineRule="auto"/>
              <w:jc w:val="right"/>
              <w:rPr>
                <w:rFonts w:ascii="Arial" w:hAnsi="Arial" w:cs="Arial"/>
                <w:color w:val="000000"/>
                <w:sz w:val="16"/>
                <w:szCs w:val="16"/>
              </w:rPr>
            </w:pPr>
            <w:r w:rsidRPr="006206F4">
              <w:rPr>
                <w:rFonts w:ascii="Arial" w:hAnsi="Arial" w:cs="Arial"/>
                <w:color w:val="000000"/>
                <w:sz w:val="16"/>
                <w:szCs w:val="16"/>
              </w:rPr>
              <w:t>944</w:t>
            </w:r>
          </w:p>
        </w:tc>
        <w:tc>
          <w:tcPr>
            <w:tcW w:w="522" w:type="pct"/>
            <w:tcBorders>
              <w:top w:val="nil"/>
              <w:left w:val="nil"/>
              <w:bottom w:val="nil"/>
              <w:right w:val="nil"/>
            </w:tcBorders>
            <w:shd w:val="clear" w:color="000000" w:fill="E6F2FF"/>
            <w:noWrap/>
            <w:vAlign w:val="center"/>
            <w:hideMark/>
          </w:tcPr>
          <w:p w14:paraId="01393BC4" w14:textId="77777777" w:rsidR="006206F4" w:rsidRPr="006206F4" w:rsidRDefault="006206F4" w:rsidP="006206F4">
            <w:pPr>
              <w:spacing w:before="0" w:after="0" w:line="240" w:lineRule="auto"/>
              <w:jc w:val="right"/>
              <w:rPr>
                <w:rFonts w:ascii="Arial" w:hAnsi="Arial" w:cs="Arial"/>
                <w:color w:val="000000"/>
                <w:sz w:val="16"/>
                <w:szCs w:val="16"/>
              </w:rPr>
            </w:pPr>
            <w:r w:rsidRPr="006206F4">
              <w:rPr>
                <w:rFonts w:ascii="Arial" w:hAnsi="Arial" w:cs="Arial"/>
                <w:color w:val="000000"/>
                <w:sz w:val="16"/>
                <w:szCs w:val="16"/>
              </w:rPr>
              <w:t>894</w:t>
            </w:r>
          </w:p>
        </w:tc>
        <w:tc>
          <w:tcPr>
            <w:tcW w:w="522" w:type="pct"/>
            <w:tcBorders>
              <w:top w:val="nil"/>
              <w:left w:val="nil"/>
              <w:bottom w:val="nil"/>
              <w:right w:val="nil"/>
            </w:tcBorders>
            <w:shd w:val="clear" w:color="000000" w:fill="FFFFFF"/>
            <w:noWrap/>
            <w:vAlign w:val="center"/>
            <w:hideMark/>
          </w:tcPr>
          <w:p w14:paraId="0BB67266" w14:textId="77777777" w:rsidR="006206F4" w:rsidRPr="006206F4" w:rsidRDefault="006206F4" w:rsidP="006206F4">
            <w:pPr>
              <w:spacing w:before="0" w:after="0" w:line="240" w:lineRule="auto"/>
              <w:jc w:val="right"/>
              <w:rPr>
                <w:rFonts w:ascii="Arial" w:hAnsi="Arial" w:cs="Arial"/>
                <w:color w:val="000000"/>
                <w:sz w:val="16"/>
                <w:szCs w:val="16"/>
              </w:rPr>
            </w:pPr>
            <w:r w:rsidRPr="006206F4">
              <w:rPr>
                <w:rFonts w:ascii="Arial" w:hAnsi="Arial" w:cs="Arial"/>
                <w:color w:val="000000"/>
                <w:sz w:val="16"/>
                <w:szCs w:val="16"/>
              </w:rPr>
              <w:t>837</w:t>
            </w:r>
          </w:p>
        </w:tc>
        <w:tc>
          <w:tcPr>
            <w:tcW w:w="522" w:type="pct"/>
            <w:tcBorders>
              <w:top w:val="nil"/>
              <w:left w:val="nil"/>
              <w:bottom w:val="nil"/>
              <w:right w:val="nil"/>
            </w:tcBorders>
            <w:shd w:val="clear" w:color="000000" w:fill="FFFFFF"/>
            <w:noWrap/>
            <w:vAlign w:val="center"/>
            <w:hideMark/>
          </w:tcPr>
          <w:p w14:paraId="714F5C44" w14:textId="77777777" w:rsidR="006206F4" w:rsidRPr="006206F4" w:rsidRDefault="006206F4" w:rsidP="006206F4">
            <w:pPr>
              <w:spacing w:before="0" w:after="0" w:line="240" w:lineRule="auto"/>
              <w:jc w:val="right"/>
              <w:rPr>
                <w:rFonts w:ascii="Arial" w:hAnsi="Arial" w:cs="Arial"/>
                <w:color w:val="000000"/>
                <w:sz w:val="16"/>
                <w:szCs w:val="16"/>
              </w:rPr>
            </w:pPr>
            <w:r w:rsidRPr="006206F4">
              <w:rPr>
                <w:rFonts w:ascii="Arial" w:hAnsi="Arial" w:cs="Arial"/>
                <w:color w:val="000000"/>
                <w:sz w:val="16"/>
                <w:szCs w:val="16"/>
              </w:rPr>
              <w:t>723</w:t>
            </w:r>
          </w:p>
        </w:tc>
        <w:tc>
          <w:tcPr>
            <w:tcW w:w="522" w:type="pct"/>
            <w:tcBorders>
              <w:top w:val="nil"/>
              <w:left w:val="nil"/>
              <w:bottom w:val="nil"/>
              <w:right w:val="nil"/>
            </w:tcBorders>
            <w:shd w:val="clear" w:color="000000" w:fill="FFFFFF"/>
            <w:noWrap/>
            <w:vAlign w:val="center"/>
            <w:hideMark/>
          </w:tcPr>
          <w:p w14:paraId="0C937E4D" w14:textId="77777777" w:rsidR="006206F4" w:rsidRPr="006206F4" w:rsidRDefault="006206F4" w:rsidP="006206F4">
            <w:pPr>
              <w:spacing w:before="0" w:after="0" w:line="240" w:lineRule="auto"/>
              <w:jc w:val="right"/>
              <w:rPr>
                <w:rFonts w:ascii="Arial" w:hAnsi="Arial" w:cs="Arial"/>
                <w:color w:val="000000"/>
                <w:sz w:val="16"/>
                <w:szCs w:val="16"/>
              </w:rPr>
            </w:pPr>
            <w:r w:rsidRPr="006206F4">
              <w:rPr>
                <w:rFonts w:ascii="Arial" w:hAnsi="Arial" w:cs="Arial"/>
                <w:color w:val="000000"/>
                <w:sz w:val="16"/>
                <w:szCs w:val="16"/>
              </w:rPr>
              <w:t>783</w:t>
            </w:r>
          </w:p>
        </w:tc>
      </w:tr>
      <w:tr w:rsidR="006206F4" w:rsidRPr="006206F4" w14:paraId="5847054D" w14:textId="77777777" w:rsidTr="00D556DF">
        <w:trPr>
          <w:trHeight w:hRule="exact" w:val="225"/>
        </w:trPr>
        <w:tc>
          <w:tcPr>
            <w:tcW w:w="2388" w:type="pct"/>
            <w:tcBorders>
              <w:top w:val="nil"/>
              <w:left w:val="nil"/>
              <w:bottom w:val="nil"/>
              <w:right w:val="nil"/>
            </w:tcBorders>
            <w:shd w:val="clear" w:color="000000" w:fill="FFFFFF"/>
            <w:noWrap/>
            <w:vAlign w:val="center"/>
            <w:hideMark/>
          </w:tcPr>
          <w:p w14:paraId="52525E80" w14:textId="77777777" w:rsidR="006206F4" w:rsidRPr="006206F4" w:rsidRDefault="006206F4" w:rsidP="006206F4">
            <w:pPr>
              <w:spacing w:before="0" w:after="0" w:line="240" w:lineRule="auto"/>
              <w:rPr>
                <w:rFonts w:ascii="Arial" w:hAnsi="Arial" w:cs="Arial"/>
                <w:color w:val="000000"/>
                <w:sz w:val="16"/>
                <w:szCs w:val="16"/>
              </w:rPr>
            </w:pPr>
            <w:r w:rsidRPr="006206F4">
              <w:rPr>
                <w:rFonts w:ascii="Arial" w:hAnsi="Arial" w:cs="Arial"/>
                <w:color w:val="000000"/>
                <w:sz w:val="16"/>
                <w:szCs w:val="16"/>
              </w:rPr>
              <w:t>Education</w:t>
            </w:r>
          </w:p>
        </w:tc>
        <w:tc>
          <w:tcPr>
            <w:tcW w:w="523" w:type="pct"/>
            <w:tcBorders>
              <w:top w:val="nil"/>
              <w:left w:val="nil"/>
              <w:bottom w:val="nil"/>
              <w:right w:val="nil"/>
            </w:tcBorders>
            <w:shd w:val="clear" w:color="000000" w:fill="FFFFFF"/>
            <w:noWrap/>
            <w:vAlign w:val="center"/>
            <w:hideMark/>
          </w:tcPr>
          <w:p w14:paraId="3D003023" w14:textId="77777777" w:rsidR="006206F4" w:rsidRPr="006206F4" w:rsidRDefault="006206F4" w:rsidP="006206F4">
            <w:pPr>
              <w:spacing w:before="0" w:after="0" w:line="240" w:lineRule="auto"/>
              <w:jc w:val="right"/>
              <w:rPr>
                <w:rFonts w:ascii="Arial" w:hAnsi="Arial" w:cs="Arial"/>
                <w:color w:val="000000"/>
                <w:sz w:val="16"/>
                <w:szCs w:val="16"/>
              </w:rPr>
            </w:pPr>
            <w:r w:rsidRPr="006206F4">
              <w:rPr>
                <w:rFonts w:ascii="Arial" w:hAnsi="Arial" w:cs="Arial"/>
                <w:color w:val="000000"/>
                <w:sz w:val="16"/>
                <w:szCs w:val="16"/>
              </w:rPr>
              <w:t>51</w:t>
            </w:r>
          </w:p>
        </w:tc>
        <w:tc>
          <w:tcPr>
            <w:tcW w:w="522" w:type="pct"/>
            <w:tcBorders>
              <w:top w:val="nil"/>
              <w:left w:val="nil"/>
              <w:bottom w:val="nil"/>
              <w:right w:val="nil"/>
            </w:tcBorders>
            <w:shd w:val="clear" w:color="000000" w:fill="E6F2FF"/>
            <w:noWrap/>
            <w:vAlign w:val="center"/>
            <w:hideMark/>
          </w:tcPr>
          <w:p w14:paraId="4B438E2C" w14:textId="77777777" w:rsidR="006206F4" w:rsidRPr="006206F4" w:rsidRDefault="006206F4" w:rsidP="006206F4">
            <w:pPr>
              <w:spacing w:before="0" w:after="0" w:line="240" w:lineRule="auto"/>
              <w:jc w:val="right"/>
              <w:rPr>
                <w:rFonts w:ascii="Arial" w:hAnsi="Arial" w:cs="Arial"/>
                <w:color w:val="000000"/>
                <w:sz w:val="16"/>
                <w:szCs w:val="16"/>
              </w:rPr>
            </w:pPr>
            <w:r w:rsidRPr="006206F4">
              <w:rPr>
                <w:rFonts w:ascii="Arial" w:hAnsi="Arial" w:cs="Arial"/>
                <w:color w:val="000000"/>
                <w:sz w:val="16"/>
                <w:szCs w:val="16"/>
              </w:rPr>
              <w:t>65</w:t>
            </w:r>
          </w:p>
        </w:tc>
        <w:tc>
          <w:tcPr>
            <w:tcW w:w="522" w:type="pct"/>
            <w:tcBorders>
              <w:top w:val="nil"/>
              <w:left w:val="nil"/>
              <w:bottom w:val="nil"/>
              <w:right w:val="nil"/>
            </w:tcBorders>
            <w:shd w:val="clear" w:color="000000" w:fill="FFFFFF"/>
            <w:noWrap/>
            <w:vAlign w:val="center"/>
            <w:hideMark/>
          </w:tcPr>
          <w:p w14:paraId="79B2178E" w14:textId="77777777" w:rsidR="006206F4" w:rsidRPr="006206F4" w:rsidRDefault="006206F4" w:rsidP="006206F4">
            <w:pPr>
              <w:spacing w:before="0" w:after="0" w:line="240" w:lineRule="auto"/>
              <w:jc w:val="right"/>
              <w:rPr>
                <w:rFonts w:ascii="Arial" w:hAnsi="Arial" w:cs="Arial"/>
                <w:color w:val="000000"/>
                <w:sz w:val="16"/>
                <w:szCs w:val="16"/>
              </w:rPr>
            </w:pPr>
            <w:r w:rsidRPr="006206F4">
              <w:rPr>
                <w:rFonts w:ascii="Arial" w:hAnsi="Arial" w:cs="Arial"/>
                <w:color w:val="000000"/>
                <w:sz w:val="16"/>
                <w:szCs w:val="16"/>
              </w:rPr>
              <w:t>52</w:t>
            </w:r>
          </w:p>
        </w:tc>
        <w:tc>
          <w:tcPr>
            <w:tcW w:w="522" w:type="pct"/>
            <w:tcBorders>
              <w:top w:val="nil"/>
              <w:left w:val="nil"/>
              <w:bottom w:val="nil"/>
              <w:right w:val="nil"/>
            </w:tcBorders>
            <w:shd w:val="clear" w:color="000000" w:fill="FFFFFF"/>
            <w:noWrap/>
            <w:vAlign w:val="center"/>
            <w:hideMark/>
          </w:tcPr>
          <w:p w14:paraId="403EA02B" w14:textId="77777777" w:rsidR="006206F4" w:rsidRPr="006206F4" w:rsidRDefault="006206F4" w:rsidP="006206F4">
            <w:pPr>
              <w:spacing w:before="0" w:after="0" w:line="240" w:lineRule="auto"/>
              <w:jc w:val="right"/>
              <w:rPr>
                <w:rFonts w:ascii="Arial" w:hAnsi="Arial" w:cs="Arial"/>
                <w:color w:val="000000"/>
                <w:sz w:val="16"/>
                <w:szCs w:val="16"/>
              </w:rPr>
            </w:pPr>
            <w:r w:rsidRPr="006206F4">
              <w:rPr>
                <w:rFonts w:ascii="Arial" w:hAnsi="Arial" w:cs="Arial"/>
                <w:color w:val="000000"/>
                <w:sz w:val="16"/>
                <w:szCs w:val="16"/>
              </w:rPr>
              <w:t>20</w:t>
            </w:r>
          </w:p>
        </w:tc>
        <w:tc>
          <w:tcPr>
            <w:tcW w:w="522" w:type="pct"/>
            <w:tcBorders>
              <w:top w:val="nil"/>
              <w:left w:val="nil"/>
              <w:bottom w:val="nil"/>
              <w:right w:val="nil"/>
            </w:tcBorders>
            <w:shd w:val="clear" w:color="000000" w:fill="FFFFFF"/>
            <w:noWrap/>
            <w:vAlign w:val="center"/>
            <w:hideMark/>
          </w:tcPr>
          <w:p w14:paraId="3D935595" w14:textId="77777777" w:rsidR="006206F4" w:rsidRPr="006206F4" w:rsidRDefault="006206F4" w:rsidP="006206F4">
            <w:pPr>
              <w:spacing w:before="0" w:after="0" w:line="240" w:lineRule="auto"/>
              <w:jc w:val="right"/>
              <w:rPr>
                <w:rFonts w:ascii="Arial" w:hAnsi="Arial" w:cs="Arial"/>
                <w:color w:val="000000"/>
                <w:sz w:val="16"/>
                <w:szCs w:val="16"/>
              </w:rPr>
            </w:pPr>
            <w:r w:rsidRPr="006206F4">
              <w:rPr>
                <w:rFonts w:ascii="Arial" w:hAnsi="Arial" w:cs="Arial"/>
                <w:color w:val="000000"/>
                <w:sz w:val="16"/>
                <w:szCs w:val="16"/>
              </w:rPr>
              <w:t>21</w:t>
            </w:r>
          </w:p>
        </w:tc>
      </w:tr>
      <w:tr w:rsidR="006206F4" w:rsidRPr="006206F4" w14:paraId="667CCCAB" w14:textId="77777777" w:rsidTr="00D556DF">
        <w:trPr>
          <w:trHeight w:hRule="exact" w:val="225"/>
        </w:trPr>
        <w:tc>
          <w:tcPr>
            <w:tcW w:w="2388" w:type="pct"/>
            <w:tcBorders>
              <w:top w:val="nil"/>
              <w:left w:val="nil"/>
              <w:bottom w:val="nil"/>
              <w:right w:val="nil"/>
            </w:tcBorders>
            <w:shd w:val="clear" w:color="000000" w:fill="FFFFFF"/>
            <w:noWrap/>
            <w:vAlign w:val="center"/>
            <w:hideMark/>
          </w:tcPr>
          <w:p w14:paraId="37A34273" w14:textId="77777777" w:rsidR="006206F4" w:rsidRPr="006206F4" w:rsidRDefault="006206F4" w:rsidP="006206F4">
            <w:pPr>
              <w:spacing w:before="0" w:after="0" w:line="240" w:lineRule="auto"/>
              <w:rPr>
                <w:rFonts w:ascii="Arial" w:hAnsi="Arial" w:cs="Arial"/>
                <w:color w:val="000000"/>
                <w:sz w:val="16"/>
                <w:szCs w:val="16"/>
              </w:rPr>
            </w:pPr>
            <w:r w:rsidRPr="006206F4">
              <w:rPr>
                <w:rFonts w:ascii="Arial" w:hAnsi="Arial" w:cs="Arial"/>
                <w:color w:val="000000"/>
                <w:sz w:val="16"/>
                <w:szCs w:val="16"/>
              </w:rPr>
              <w:t>Health</w:t>
            </w:r>
          </w:p>
        </w:tc>
        <w:tc>
          <w:tcPr>
            <w:tcW w:w="523" w:type="pct"/>
            <w:tcBorders>
              <w:top w:val="nil"/>
              <w:left w:val="nil"/>
              <w:bottom w:val="nil"/>
              <w:right w:val="nil"/>
            </w:tcBorders>
            <w:shd w:val="clear" w:color="000000" w:fill="FFFFFF"/>
            <w:noWrap/>
            <w:vAlign w:val="center"/>
            <w:hideMark/>
          </w:tcPr>
          <w:p w14:paraId="0D3909B3" w14:textId="77777777" w:rsidR="006206F4" w:rsidRPr="006206F4" w:rsidRDefault="006206F4" w:rsidP="006206F4">
            <w:pPr>
              <w:spacing w:before="0" w:after="0" w:line="240" w:lineRule="auto"/>
              <w:jc w:val="right"/>
              <w:rPr>
                <w:rFonts w:ascii="Arial" w:hAnsi="Arial" w:cs="Arial"/>
                <w:color w:val="000000"/>
                <w:sz w:val="16"/>
                <w:szCs w:val="16"/>
              </w:rPr>
            </w:pPr>
            <w:r w:rsidRPr="006206F4">
              <w:rPr>
                <w:rFonts w:ascii="Arial" w:hAnsi="Arial" w:cs="Arial"/>
                <w:color w:val="000000"/>
                <w:sz w:val="16"/>
                <w:szCs w:val="16"/>
              </w:rPr>
              <w:t>395</w:t>
            </w:r>
          </w:p>
        </w:tc>
        <w:tc>
          <w:tcPr>
            <w:tcW w:w="522" w:type="pct"/>
            <w:tcBorders>
              <w:top w:val="nil"/>
              <w:left w:val="nil"/>
              <w:bottom w:val="nil"/>
              <w:right w:val="nil"/>
            </w:tcBorders>
            <w:shd w:val="clear" w:color="000000" w:fill="E6F2FF"/>
            <w:noWrap/>
            <w:vAlign w:val="center"/>
            <w:hideMark/>
          </w:tcPr>
          <w:p w14:paraId="6035DC49" w14:textId="77777777" w:rsidR="006206F4" w:rsidRPr="006206F4" w:rsidRDefault="006206F4" w:rsidP="006206F4">
            <w:pPr>
              <w:spacing w:before="0" w:after="0" w:line="240" w:lineRule="auto"/>
              <w:jc w:val="right"/>
              <w:rPr>
                <w:rFonts w:ascii="Arial" w:hAnsi="Arial" w:cs="Arial"/>
                <w:color w:val="000000"/>
                <w:sz w:val="16"/>
                <w:szCs w:val="16"/>
              </w:rPr>
            </w:pPr>
            <w:r w:rsidRPr="006206F4">
              <w:rPr>
                <w:rFonts w:ascii="Arial" w:hAnsi="Arial" w:cs="Arial"/>
                <w:color w:val="000000"/>
                <w:sz w:val="16"/>
                <w:szCs w:val="16"/>
              </w:rPr>
              <w:t>550</w:t>
            </w:r>
          </w:p>
        </w:tc>
        <w:tc>
          <w:tcPr>
            <w:tcW w:w="522" w:type="pct"/>
            <w:tcBorders>
              <w:top w:val="nil"/>
              <w:left w:val="nil"/>
              <w:bottom w:val="nil"/>
              <w:right w:val="nil"/>
            </w:tcBorders>
            <w:shd w:val="clear" w:color="000000" w:fill="FFFFFF"/>
            <w:noWrap/>
            <w:vAlign w:val="center"/>
            <w:hideMark/>
          </w:tcPr>
          <w:p w14:paraId="0D50C892" w14:textId="77777777" w:rsidR="006206F4" w:rsidRPr="006206F4" w:rsidRDefault="006206F4" w:rsidP="006206F4">
            <w:pPr>
              <w:spacing w:before="0" w:after="0" w:line="240" w:lineRule="auto"/>
              <w:jc w:val="right"/>
              <w:rPr>
                <w:rFonts w:ascii="Arial" w:hAnsi="Arial" w:cs="Arial"/>
                <w:color w:val="000000"/>
                <w:sz w:val="16"/>
                <w:szCs w:val="16"/>
              </w:rPr>
            </w:pPr>
            <w:r w:rsidRPr="006206F4">
              <w:rPr>
                <w:rFonts w:ascii="Arial" w:hAnsi="Arial" w:cs="Arial"/>
                <w:color w:val="000000"/>
                <w:sz w:val="16"/>
                <w:szCs w:val="16"/>
              </w:rPr>
              <w:t>219</w:t>
            </w:r>
          </w:p>
        </w:tc>
        <w:tc>
          <w:tcPr>
            <w:tcW w:w="522" w:type="pct"/>
            <w:tcBorders>
              <w:top w:val="nil"/>
              <w:left w:val="nil"/>
              <w:bottom w:val="nil"/>
              <w:right w:val="nil"/>
            </w:tcBorders>
            <w:shd w:val="clear" w:color="000000" w:fill="FFFFFF"/>
            <w:noWrap/>
            <w:vAlign w:val="center"/>
            <w:hideMark/>
          </w:tcPr>
          <w:p w14:paraId="6F2B39AA" w14:textId="77777777" w:rsidR="006206F4" w:rsidRPr="006206F4" w:rsidRDefault="006206F4" w:rsidP="006206F4">
            <w:pPr>
              <w:spacing w:before="0" w:after="0" w:line="240" w:lineRule="auto"/>
              <w:jc w:val="right"/>
              <w:rPr>
                <w:rFonts w:ascii="Arial" w:hAnsi="Arial" w:cs="Arial"/>
                <w:color w:val="000000"/>
                <w:sz w:val="16"/>
                <w:szCs w:val="16"/>
              </w:rPr>
            </w:pPr>
            <w:r w:rsidRPr="006206F4">
              <w:rPr>
                <w:rFonts w:ascii="Arial" w:hAnsi="Arial" w:cs="Arial"/>
                <w:color w:val="000000"/>
                <w:sz w:val="16"/>
                <w:szCs w:val="16"/>
              </w:rPr>
              <w:t>63</w:t>
            </w:r>
          </w:p>
        </w:tc>
        <w:tc>
          <w:tcPr>
            <w:tcW w:w="522" w:type="pct"/>
            <w:tcBorders>
              <w:top w:val="nil"/>
              <w:left w:val="nil"/>
              <w:bottom w:val="nil"/>
              <w:right w:val="nil"/>
            </w:tcBorders>
            <w:shd w:val="clear" w:color="000000" w:fill="FFFFFF"/>
            <w:noWrap/>
            <w:vAlign w:val="center"/>
            <w:hideMark/>
          </w:tcPr>
          <w:p w14:paraId="68502A8A" w14:textId="77777777" w:rsidR="006206F4" w:rsidRPr="006206F4" w:rsidRDefault="006206F4" w:rsidP="006206F4">
            <w:pPr>
              <w:spacing w:before="0" w:after="0" w:line="240" w:lineRule="auto"/>
              <w:jc w:val="right"/>
              <w:rPr>
                <w:rFonts w:ascii="Arial" w:hAnsi="Arial" w:cs="Arial"/>
                <w:color w:val="000000"/>
                <w:sz w:val="16"/>
                <w:szCs w:val="16"/>
              </w:rPr>
            </w:pPr>
            <w:r w:rsidRPr="006206F4">
              <w:rPr>
                <w:rFonts w:ascii="Arial" w:hAnsi="Arial" w:cs="Arial"/>
                <w:color w:val="000000"/>
                <w:sz w:val="16"/>
                <w:szCs w:val="16"/>
              </w:rPr>
              <w:t>56</w:t>
            </w:r>
          </w:p>
        </w:tc>
      </w:tr>
      <w:tr w:rsidR="006206F4" w:rsidRPr="006206F4" w14:paraId="1E7B50F5" w14:textId="77777777" w:rsidTr="00D556DF">
        <w:trPr>
          <w:trHeight w:hRule="exact" w:val="225"/>
        </w:trPr>
        <w:tc>
          <w:tcPr>
            <w:tcW w:w="2388" w:type="pct"/>
            <w:tcBorders>
              <w:top w:val="nil"/>
              <w:left w:val="nil"/>
              <w:bottom w:val="nil"/>
              <w:right w:val="nil"/>
            </w:tcBorders>
            <w:shd w:val="clear" w:color="000000" w:fill="FFFFFF"/>
            <w:noWrap/>
            <w:vAlign w:val="center"/>
            <w:hideMark/>
          </w:tcPr>
          <w:p w14:paraId="5CC4A279" w14:textId="77777777" w:rsidR="006206F4" w:rsidRPr="006206F4" w:rsidRDefault="006206F4" w:rsidP="006206F4">
            <w:pPr>
              <w:spacing w:before="0" w:after="0" w:line="240" w:lineRule="auto"/>
              <w:rPr>
                <w:rFonts w:ascii="Arial" w:hAnsi="Arial" w:cs="Arial"/>
                <w:color w:val="000000"/>
                <w:sz w:val="16"/>
                <w:szCs w:val="16"/>
              </w:rPr>
            </w:pPr>
            <w:r w:rsidRPr="006206F4">
              <w:rPr>
                <w:rFonts w:ascii="Arial" w:hAnsi="Arial" w:cs="Arial"/>
                <w:color w:val="000000"/>
                <w:sz w:val="16"/>
                <w:szCs w:val="16"/>
              </w:rPr>
              <w:t>Social security and welfare</w:t>
            </w:r>
          </w:p>
        </w:tc>
        <w:tc>
          <w:tcPr>
            <w:tcW w:w="523" w:type="pct"/>
            <w:tcBorders>
              <w:top w:val="nil"/>
              <w:left w:val="nil"/>
              <w:bottom w:val="nil"/>
              <w:right w:val="nil"/>
            </w:tcBorders>
            <w:shd w:val="clear" w:color="000000" w:fill="FFFFFF"/>
            <w:noWrap/>
            <w:vAlign w:val="center"/>
            <w:hideMark/>
          </w:tcPr>
          <w:p w14:paraId="7E99DA70" w14:textId="77777777" w:rsidR="006206F4" w:rsidRPr="006206F4" w:rsidRDefault="006206F4" w:rsidP="006206F4">
            <w:pPr>
              <w:spacing w:before="0" w:after="0" w:line="240" w:lineRule="auto"/>
              <w:jc w:val="right"/>
              <w:rPr>
                <w:rFonts w:ascii="Arial" w:hAnsi="Arial" w:cs="Arial"/>
                <w:color w:val="000000"/>
                <w:sz w:val="16"/>
                <w:szCs w:val="16"/>
              </w:rPr>
            </w:pPr>
            <w:r w:rsidRPr="006206F4">
              <w:rPr>
                <w:rFonts w:ascii="Arial" w:hAnsi="Arial" w:cs="Arial"/>
                <w:color w:val="000000"/>
                <w:sz w:val="16"/>
                <w:szCs w:val="16"/>
              </w:rPr>
              <w:t>919</w:t>
            </w:r>
          </w:p>
        </w:tc>
        <w:tc>
          <w:tcPr>
            <w:tcW w:w="522" w:type="pct"/>
            <w:tcBorders>
              <w:top w:val="nil"/>
              <w:left w:val="nil"/>
              <w:bottom w:val="nil"/>
              <w:right w:val="nil"/>
            </w:tcBorders>
            <w:shd w:val="clear" w:color="000000" w:fill="E6F2FF"/>
            <w:noWrap/>
            <w:vAlign w:val="center"/>
            <w:hideMark/>
          </w:tcPr>
          <w:p w14:paraId="6F5DFCC3" w14:textId="77777777" w:rsidR="006206F4" w:rsidRPr="006206F4" w:rsidRDefault="006206F4" w:rsidP="006206F4">
            <w:pPr>
              <w:spacing w:before="0" w:after="0" w:line="240" w:lineRule="auto"/>
              <w:jc w:val="right"/>
              <w:rPr>
                <w:rFonts w:ascii="Arial" w:hAnsi="Arial" w:cs="Arial"/>
                <w:color w:val="000000"/>
                <w:sz w:val="16"/>
                <w:szCs w:val="16"/>
              </w:rPr>
            </w:pPr>
            <w:r w:rsidRPr="006206F4">
              <w:rPr>
                <w:rFonts w:ascii="Arial" w:hAnsi="Arial" w:cs="Arial"/>
                <w:color w:val="000000"/>
                <w:sz w:val="16"/>
                <w:szCs w:val="16"/>
              </w:rPr>
              <w:t>803</w:t>
            </w:r>
          </w:p>
        </w:tc>
        <w:tc>
          <w:tcPr>
            <w:tcW w:w="522" w:type="pct"/>
            <w:tcBorders>
              <w:top w:val="nil"/>
              <w:left w:val="nil"/>
              <w:bottom w:val="nil"/>
              <w:right w:val="nil"/>
            </w:tcBorders>
            <w:shd w:val="clear" w:color="000000" w:fill="FFFFFF"/>
            <w:noWrap/>
            <w:vAlign w:val="center"/>
            <w:hideMark/>
          </w:tcPr>
          <w:p w14:paraId="03B6AB45" w14:textId="77777777" w:rsidR="006206F4" w:rsidRPr="006206F4" w:rsidRDefault="006206F4" w:rsidP="006206F4">
            <w:pPr>
              <w:spacing w:before="0" w:after="0" w:line="240" w:lineRule="auto"/>
              <w:jc w:val="right"/>
              <w:rPr>
                <w:rFonts w:ascii="Arial" w:hAnsi="Arial" w:cs="Arial"/>
                <w:color w:val="000000"/>
                <w:sz w:val="16"/>
                <w:szCs w:val="16"/>
              </w:rPr>
            </w:pPr>
            <w:r w:rsidRPr="006206F4">
              <w:rPr>
                <w:rFonts w:ascii="Arial" w:hAnsi="Arial" w:cs="Arial"/>
                <w:color w:val="000000"/>
                <w:sz w:val="16"/>
                <w:szCs w:val="16"/>
              </w:rPr>
              <w:t>443</w:t>
            </w:r>
          </w:p>
        </w:tc>
        <w:tc>
          <w:tcPr>
            <w:tcW w:w="522" w:type="pct"/>
            <w:tcBorders>
              <w:top w:val="nil"/>
              <w:left w:val="nil"/>
              <w:bottom w:val="nil"/>
              <w:right w:val="nil"/>
            </w:tcBorders>
            <w:shd w:val="clear" w:color="000000" w:fill="FFFFFF"/>
            <w:noWrap/>
            <w:vAlign w:val="center"/>
            <w:hideMark/>
          </w:tcPr>
          <w:p w14:paraId="11D5353C" w14:textId="77777777" w:rsidR="006206F4" w:rsidRPr="006206F4" w:rsidRDefault="006206F4" w:rsidP="006206F4">
            <w:pPr>
              <w:spacing w:before="0" w:after="0" w:line="240" w:lineRule="auto"/>
              <w:jc w:val="right"/>
              <w:rPr>
                <w:rFonts w:ascii="Arial" w:hAnsi="Arial" w:cs="Arial"/>
                <w:color w:val="000000"/>
                <w:sz w:val="16"/>
                <w:szCs w:val="16"/>
              </w:rPr>
            </w:pPr>
            <w:r w:rsidRPr="006206F4">
              <w:rPr>
                <w:rFonts w:ascii="Arial" w:hAnsi="Arial" w:cs="Arial"/>
                <w:color w:val="000000"/>
                <w:sz w:val="16"/>
                <w:szCs w:val="16"/>
              </w:rPr>
              <w:t>360</w:t>
            </w:r>
          </w:p>
        </w:tc>
        <w:tc>
          <w:tcPr>
            <w:tcW w:w="522" w:type="pct"/>
            <w:tcBorders>
              <w:top w:val="nil"/>
              <w:left w:val="nil"/>
              <w:bottom w:val="nil"/>
              <w:right w:val="nil"/>
            </w:tcBorders>
            <w:shd w:val="clear" w:color="000000" w:fill="FFFFFF"/>
            <w:noWrap/>
            <w:vAlign w:val="center"/>
            <w:hideMark/>
          </w:tcPr>
          <w:p w14:paraId="3B67F6FE" w14:textId="77777777" w:rsidR="006206F4" w:rsidRPr="006206F4" w:rsidRDefault="006206F4" w:rsidP="006206F4">
            <w:pPr>
              <w:spacing w:before="0" w:after="0" w:line="240" w:lineRule="auto"/>
              <w:jc w:val="right"/>
              <w:rPr>
                <w:rFonts w:ascii="Arial" w:hAnsi="Arial" w:cs="Arial"/>
                <w:color w:val="000000"/>
                <w:sz w:val="16"/>
                <w:szCs w:val="16"/>
              </w:rPr>
            </w:pPr>
            <w:r w:rsidRPr="006206F4">
              <w:rPr>
                <w:rFonts w:ascii="Arial" w:hAnsi="Arial" w:cs="Arial"/>
                <w:color w:val="000000"/>
                <w:sz w:val="16"/>
                <w:szCs w:val="16"/>
              </w:rPr>
              <w:t>312</w:t>
            </w:r>
          </w:p>
        </w:tc>
      </w:tr>
      <w:tr w:rsidR="006206F4" w:rsidRPr="006206F4" w14:paraId="3BFAA706" w14:textId="77777777" w:rsidTr="00D556DF">
        <w:trPr>
          <w:trHeight w:hRule="exact" w:val="225"/>
        </w:trPr>
        <w:tc>
          <w:tcPr>
            <w:tcW w:w="2388" w:type="pct"/>
            <w:tcBorders>
              <w:top w:val="nil"/>
              <w:left w:val="nil"/>
              <w:bottom w:val="nil"/>
              <w:right w:val="nil"/>
            </w:tcBorders>
            <w:shd w:val="clear" w:color="000000" w:fill="FFFFFF"/>
            <w:noWrap/>
            <w:vAlign w:val="center"/>
            <w:hideMark/>
          </w:tcPr>
          <w:p w14:paraId="7BDD82F1" w14:textId="77777777" w:rsidR="006206F4" w:rsidRPr="006206F4" w:rsidRDefault="006206F4" w:rsidP="006206F4">
            <w:pPr>
              <w:spacing w:before="0" w:after="0" w:line="240" w:lineRule="auto"/>
              <w:rPr>
                <w:rFonts w:ascii="Arial" w:hAnsi="Arial" w:cs="Arial"/>
                <w:color w:val="000000"/>
                <w:sz w:val="16"/>
                <w:szCs w:val="16"/>
              </w:rPr>
            </w:pPr>
            <w:r w:rsidRPr="006206F4">
              <w:rPr>
                <w:rFonts w:ascii="Arial" w:hAnsi="Arial" w:cs="Arial"/>
                <w:color w:val="000000"/>
                <w:sz w:val="16"/>
                <w:szCs w:val="16"/>
              </w:rPr>
              <w:t>Housing and community amenities</w:t>
            </w:r>
          </w:p>
        </w:tc>
        <w:tc>
          <w:tcPr>
            <w:tcW w:w="523" w:type="pct"/>
            <w:tcBorders>
              <w:top w:val="nil"/>
              <w:left w:val="nil"/>
              <w:bottom w:val="nil"/>
              <w:right w:val="nil"/>
            </w:tcBorders>
            <w:shd w:val="clear" w:color="000000" w:fill="FFFFFF"/>
            <w:noWrap/>
            <w:vAlign w:val="center"/>
            <w:hideMark/>
          </w:tcPr>
          <w:p w14:paraId="7BF563BD" w14:textId="77777777" w:rsidR="006206F4" w:rsidRPr="006206F4" w:rsidRDefault="006206F4" w:rsidP="006206F4">
            <w:pPr>
              <w:spacing w:before="0" w:after="0" w:line="240" w:lineRule="auto"/>
              <w:jc w:val="right"/>
              <w:rPr>
                <w:rFonts w:ascii="Arial" w:hAnsi="Arial" w:cs="Arial"/>
                <w:color w:val="000000"/>
                <w:sz w:val="16"/>
                <w:szCs w:val="16"/>
              </w:rPr>
            </w:pPr>
            <w:r w:rsidRPr="006206F4">
              <w:rPr>
                <w:rFonts w:ascii="Arial" w:hAnsi="Arial" w:cs="Arial"/>
                <w:color w:val="000000"/>
                <w:sz w:val="16"/>
                <w:szCs w:val="16"/>
              </w:rPr>
              <w:t>507</w:t>
            </w:r>
          </w:p>
        </w:tc>
        <w:tc>
          <w:tcPr>
            <w:tcW w:w="522" w:type="pct"/>
            <w:tcBorders>
              <w:top w:val="nil"/>
              <w:left w:val="nil"/>
              <w:bottom w:val="nil"/>
              <w:right w:val="nil"/>
            </w:tcBorders>
            <w:shd w:val="clear" w:color="000000" w:fill="E6F2FF"/>
            <w:noWrap/>
            <w:vAlign w:val="center"/>
            <w:hideMark/>
          </w:tcPr>
          <w:p w14:paraId="1000442C" w14:textId="77777777" w:rsidR="006206F4" w:rsidRPr="006206F4" w:rsidRDefault="006206F4" w:rsidP="006206F4">
            <w:pPr>
              <w:spacing w:before="0" w:after="0" w:line="240" w:lineRule="auto"/>
              <w:jc w:val="right"/>
              <w:rPr>
                <w:rFonts w:ascii="Arial" w:hAnsi="Arial" w:cs="Arial"/>
                <w:color w:val="000000"/>
                <w:sz w:val="16"/>
                <w:szCs w:val="16"/>
              </w:rPr>
            </w:pPr>
            <w:r w:rsidRPr="006206F4">
              <w:rPr>
                <w:rFonts w:ascii="Arial" w:hAnsi="Arial" w:cs="Arial"/>
                <w:color w:val="000000"/>
                <w:sz w:val="16"/>
                <w:szCs w:val="16"/>
              </w:rPr>
              <w:t>524</w:t>
            </w:r>
          </w:p>
        </w:tc>
        <w:tc>
          <w:tcPr>
            <w:tcW w:w="522" w:type="pct"/>
            <w:tcBorders>
              <w:top w:val="nil"/>
              <w:left w:val="nil"/>
              <w:bottom w:val="nil"/>
              <w:right w:val="nil"/>
            </w:tcBorders>
            <w:shd w:val="clear" w:color="000000" w:fill="FFFFFF"/>
            <w:noWrap/>
            <w:vAlign w:val="center"/>
            <w:hideMark/>
          </w:tcPr>
          <w:p w14:paraId="7543FEDC" w14:textId="77777777" w:rsidR="006206F4" w:rsidRPr="006206F4" w:rsidRDefault="006206F4" w:rsidP="006206F4">
            <w:pPr>
              <w:spacing w:before="0" w:after="0" w:line="240" w:lineRule="auto"/>
              <w:jc w:val="right"/>
              <w:rPr>
                <w:rFonts w:ascii="Arial" w:hAnsi="Arial" w:cs="Arial"/>
                <w:color w:val="000000"/>
                <w:sz w:val="16"/>
                <w:szCs w:val="16"/>
              </w:rPr>
            </w:pPr>
            <w:r w:rsidRPr="006206F4">
              <w:rPr>
                <w:rFonts w:ascii="Arial" w:hAnsi="Arial" w:cs="Arial"/>
                <w:color w:val="000000"/>
                <w:sz w:val="16"/>
                <w:szCs w:val="16"/>
              </w:rPr>
              <w:t>507</w:t>
            </w:r>
          </w:p>
        </w:tc>
        <w:tc>
          <w:tcPr>
            <w:tcW w:w="522" w:type="pct"/>
            <w:tcBorders>
              <w:top w:val="nil"/>
              <w:left w:val="nil"/>
              <w:bottom w:val="nil"/>
              <w:right w:val="nil"/>
            </w:tcBorders>
            <w:shd w:val="clear" w:color="000000" w:fill="FFFFFF"/>
            <w:noWrap/>
            <w:vAlign w:val="center"/>
            <w:hideMark/>
          </w:tcPr>
          <w:p w14:paraId="4C952493" w14:textId="77777777" w:rsidR="006206F4" w:rsidRPr="006206F4" w:rsidRDefault="006206F4" w:rsidP="006206F4">
            <w:pPr>
              <w:spacing w:before="0" w:after="0" w:line="240" w:lineRule="auto"/>
              <w:jc w:val="right"/>
              <w:rPr>
                <w:rFonts w:ascii="Arial" w:hAnsi="Arial" w:cs="Arial"/>
                <w:color w:val="000000"/>
                <w:sz w:val="16"/>
                <w:szCs w:val="16"/>
              </w:rPr>
            </w:pPr>
            <w:r w:rsidRPr="006206F4">
              <w:rPr>
                <w:rFonts w:ascii="Arial" w:hAnsi="Arial" w:cs="Arial"/>
                <w:color w:val="000000"/>
                <w:sz w:val="16"/>
                <w:szCs w:val="16"/>
              </w:rPr>
              <w:t>515</w:t>
            </w:r>
          </w:p>
        </w:tc>
        <w:tc>
          <w:tcPr>
            <w:tcW w:w="522" w:type="pct"/>
            <w:tcBorders>
              <w:top w:val="nil"/>
              <w:left w:val="nil"/>
              <w:bottom w:val="nil"/>
              <w:right w:val="nil"/>
            </w:tcBorders>
            <w:shd w:val="clear" w:color="000000" w:fill="FFFFFF"/>
            <w:noWrap/>
            <w:vAlign w:val="center"/>
            <w:hideMark/>
          </w:tcPr>
          <w:p w14:paraId="10A8EF8D" w14:textId="77777777" w:rsidR="006206F4" w:rsidRPr="006206F4" w:rsidRDefault="006206F4" w:rsidP="006206F4">
            <w:pPr>
              <w:spacing w:before="0" w:after="0" w:line="240" w:lineRule="auto"/>
              <w:jc w:val="right"/>
              <w:rPr>
                <w:rFonts w:ascii="Arial" w:hAnsi="Arial" w:cs="Arial"/>
                <w:color w:val="000000"/>
                <w:sz w:val="16"/>
                <w:szCs w:val="16"/>
              </w:rPr>
            </w:pPr>
            <w:r w:rsidRPr="006206F4">
              <w:rPr>
                <w:rFonts w:ascii="Arial" w:hAnsi="Arial" w:cs="Arial"/>
                <w:color w:val="000000"/>
                <w:sz w:val="16"/>
                <w:szCs w:val="16"/>
              </w:rPr>
              <w:t>540</w:t>
            </w:r>
          </w:p>
        </w:tc>
      </w:tr>
      <w:tr w:rsidR="006206F4" w:rsidRPr="006206F4" w14:paraId="003317C9" w14:textId="77777777" w:rsidTr="00D556DF">
        <w:trPr>
          <w:trHeight w:hRule="exact" w:val="225"/>
        </w:trPr>
        <w:tc>
          <w:tcPr>
            <w:tcW w:w="2388" w:type="pct"/>
            <w:tcBorders>
              <w:top w:val="nil"/>
              <w:left w:val="nil"/>
              <w:bottom w:val="nil"/>
              <w:right w:val="nil"/>
            </w:tcBorders>
            <w:shd w:val="clear" w:color="000000" w:fill="FFFFFF"/>
            <w:noWrap/>
            <w:vAlign w:val="center"/>
            <w:hideMark/>
          </w:tcPr>
          <w:p w14:paraId="19E670DE" w14:textId="77777777" w:rsidR="006206F4" w:rsidRPr="006206F4" w:rsidRDefault="006206F4" w:rsidP="006206F4">
            <w:pPr>
              <w:spacing w:before="0" w:after="0" w:line="240" w:lineRule="auto"/>
              <w:rPr>
                <w:rFonts w:ascii="Arial" w:hAnsi="Arial" w:cs="Arial"/>
                <w:color w:val="000000"/>
                <w:sz w:val="16"/>
                <w:szCs w:val="16"/>
              </w:rPr>
            </w:pPr>
            <w:r w:rsidRPr="006206F4">
              <w:rPr>
                <w:rFonts w:ascii="Arial" w:hAnsi="Arial" w:cs="Arial"/>
                <w:color w:val="000000"/>
                <w:sz w:val="16"/>
                <w:szCs w:val="16"/>
              </w:rPr>
              <w:t>Recreation and culture</w:t>
            </w:r>
          </w:p>
        </w:tc>
        <w:tc>
          <w:tcPr>
            <w:tcW w:w="523" w:type="pct"/>
            <w:tcBorders>
              <w:top w:val="nil"/>
              <w:left w:val="nil"/>
              <w:bottom w:val="nil"/>
              <w:right w:val="nil"/>
            </w:tcBorders>
            <w:shd w:val="clear" w:color="000000" w:fill="FFFFFF"/>
            <w:noWrap/>
            <w:vAlign w:val="center"/>
            <w:hideMark/>
          </w:tcPr>
          <w:p w14:paraId="3884A667" w14:textId="77777777" w:rsidR="006206F4" w:rsidRPr="006206F4" w:rsidRDefault="006206F4" w:rsidP="006206F4">
            <w:pPr>
              <w:spacing w:before="0" w:after="0" w:line="240" w:lineRule="auto"/>
              <w:jc w:val="right"/>
              <w:rPr>
                <w:rFonts w:ascii="Arial" w:hAnsi="Arial" w:cs="Arial"/>
                <w:color w:val="000000"/>
                <w:sz w:val="16"/>
                <w:szCs w:val="16"/>
              </w:rPr>
            </w:pPr>
            <w:r w:rsidRPr="006206F4">
              <w:rPr>
                <w:rFonts w:ascii="Arial" w:hAnsi="Arial" w:cs="Arial"/>
                <w:color w:val="000000"/>
                <w:sz w:val="16"/>
                <w:szCs w:val="16"/>
              </w:rPr>
              <w:t>849</w:t>
            </w:r>
          </w:p>
        </w:tc>
        <w:tc>
          <w:tcPr>
            <w:tcW w:w="522" w:type="pct"/>
            <w:tcBorders>
              <w:top w:val="nil"/>
              <w:left w:val="nil"/>
              <w:bottom w:val="nil"/>
              <w:right w:val="nil"/>
            </w:tcBorders>
            <w:shd w:val="clear" w:color="000000" w:fill="E6F2FF"/>
            <w:noWrap/>
            <w:vAlign w:val="center"/>
            <w:hideMark/>
          </w:tcPr>
          <w:p w14:paraId="53F08845" w14:textId="77777777" w:rsidR="006206F4" w:rsidRPr="006206F4" w:rsidRDefault="006206F4" w:rsidP="006206F4">
            <w:pPr>
              <w:spacing w:before="0" w:after="0" w:line="240" w:lineRule="auto"/>
              <w:jc w:val="right"/>
              <w:rPr>
                <w:rFonts w:ascii="Arial" w:hAnsi="Arial" w:cs="Arial"/>
                <w:color w:val="000000"/>
                <w:sz w:val="16"/>
                <w:szCs w:val="16"/>
              </w:rPr>
            </w:pPr>
            <w:r w:rsidRPr="006206F4">
              <w:rPr>
                <w:rFonts w:ascii="Arial" w:hAnsi="Arial" w:cs="Arial"/>
                <w:color w:val="000000"/>
                <w:sz w:val="16"/>
                <w:szCs w:val="16"/>
              </w:rPr>
              <w:t>848</w:t>
            </w:r>
          </w:p>
        </w:tc>
        <w:tc>
          <w:tcPr>
            <w:tcW w:w="522" w:type="pct"/>
            <w:tcBorders>
              <w:top w:val="nil"/>
              <w:left w:val="nil"/>
              <w:bottom w:val="nil"/>
              <w:right w:val="nil"/>
            </w:tcBorders>
            <w:shd w:val="clear" w:color="000000" w:fill="FFFFFF"/>
            <w:noWrap/>
            <w:vAlign w:val="center"/>
            <w:hideMark/>
          </w:tcPr>
          <w:p w14:paraId="4DA8AA83" w14:textId="77777777" w:rsidR="006206F4" w:rsidRPr="006206F4" w:rsidRDefault="006206F4" w:rsidP="006206F4">
            <w:pPr>
              <w:spacing w:before="0" w:after="0" w:line="240" w:lineRule="auto"/>
              <w:jc w:val="right"/>
              <w:rPr>
                <w:rFonts w:ascii="Arial" w:hAnsi="Arial" w:cs="Arial"/>
                <w:color w:val="000000"/>
                <w:sz w:val="16"/>
                <w:szCs w:val="16"/>
              </w:rPr>
            </w:pPr>
            <w:r w:rsidRPr="006206F4">
              <w:rPr>
                <w:rFonts w:ascii="Arial" w:hAnsi="Arial" w:cs="Arial"/>
                <w:color w:val="000000"/>
                <w:sz w:val="16"/>
                <w:szCs w:val="16"/>
              </w:rPr>
              <w:t>618</w:t>
            </w:r>
          </w:p>
        </w:tc>
        <w:tc>
          <w:tcPr>
            <w:tcW w:w="522" w:type="pct"/>
            <w:tcBorders>
              <w:top w:val="nil"/>
              <w:left w:val="nil"/>
              <w:bottom w:val="nil"/>
              <w:right w:val="nil"/>
            </w:tcBorders>
            <w:shd w:val="clear" w:color="000000" w:fill="FFFFFF"/>
            <w:noWrap/>
            <w:vAlign w:val="center"/>
            <w:hideMark/>
          </w:tcPr>
          <w:p w14:paraId="5AA24F8F" w14:textId="77777777" w:rsidR="006206F4" w:rsidRPr="006206F4" w:rsidRDefault="006206F4" w:rsidP="006206F4">
            <w:pPr>
              <w:spacing w:before="0" w:after="0" w:line="240" w:lineRule="auto"/>
              <w:jc w:val="right"/>
              <w:rPr>
                <w:rFonts w:ascii="Arial" w:hAnsi="Arial" w:cs="Arial"/>
                <w:color w:val="000000"/>
                <w:sz w:val="16"/>
                <w:szCs w:val="16"/>
              </w:rPr>
            </w:pPr>
            <w:r w:rsidRPr="006206F4">
              <w:rPr>
                <w:rFonts w:ascii="Arial" w:hAnsi="Arial" w:cs="Arial"/>
                <w:color w:val="000000"/>
                <w:sz w:val="16"/>
                <w:szCs w:val="16"/>
              </w:rPr>
              <w:t>473</w:t>
            </w:r>
          </w:p>
        </w:tc>
        <w:tc>
          <w:tcPr>
            <w:tcW w:w="522" w:type="pct"/>
            <w:tcBorders>
              <w:top w:val="nil"/>
              <w:left w:val="nil"/>
              <w:bottom w:val="nil"/>
              <w:right w:val="nil"/>
            </w:tcBorders>
            <w:shd w:val="clear" w:color="000000" w:fill="FFFFFF"/>
            <w:noWrap/>
            <w:vAlign w:val="center"/>
            <w:hideMark/>
          </w:tcPr>
          <w:p w14:paraId="1FD31757" w14:textId="77777777" w:rsidR="006206F4" w:rsidRPr="006206F4" w:rsidRDefault="006206F4" w:rsidP="006206F4">
            <w:pPr>
              <w:spacing w:before="0" w:after="0" w:line="240" w:lineRule="auto"/>
              <w:jc w:val="right"/>
              <w:rPr>
                <w:rFonts w:ascii="Arial" w:hAnsi="Arial" w:cs="Arial"/>
                <w:color w:val="000000"/>
                <w:sz w:val="16"/>
                <w:szCs w:val="16"/>
              </w:rPr>
            </w:pPr>
            <w:r w:rsidRPr="006206F4">
              <w:rPr>
                <w:rFonts w:ascii="Arial" w:hAnsi="Arial" w:cs="Arial"/>
                <w:color w:val="000000"/>
                <w:sz w:val="16"/>
                <w:szCs w:val="16"/>
              </w:rPr>
              <w:t>429</w:t>
            </w:r>
          </w:p>
        </w:tc>
      </w:tr>
      <w:tr w:rsidR="006206F4" w:rsidRPr="006206F4" w14:paraId="56727548" w14:textId="77777777" w:rsidTr="00D556DF">
        <w:trPr>
          <w:trHeight w:hRule="exact" w:val="225"/>
        </w:trPr>
        <w:tc>
          <w:tcPr>
            <w:tcW w:w="2388" w:type="pct"/>
            <w:tcBorders>
              <w:top w:val="nil"/>
              <w:left w:val="nil"/>
              <w:bottom w:val="nil"/>
              <w:right w:val="nil"/>
            </w:tcBorders>
            <w:shd w:val="clear" w:color="000000" w:fill="FFFFFF"/>
            <w:noWrap/>
            <w:vAlign w:val="center"/>
            <w:hideMark/>
          </w:tcPr>
          <w:p w14:paraId="43242FD1" w14:textId="77777777" w:rsidR="006206F4" w:rsidRPr="006206F4" w:rsidRDefault="006206F4" w:rsidP="006206F4">
            <w:pPr>
              <w:spacing w:before="0" w:after="0" w:line="240" w:lineRule="auto"/>
              <w:rPr>
                <w:rFonts w:ascii="Arial" w:hAnsi="Arial" w:cs="Arial"/>
                <w:color w:val="000000"/>
                <w:sz w:val="16"/>
                <w:szCs w:val="16"/>
              </w:rPr>
            </w:pPr>
            <w:r w:rsidRPr="006206F4">
              <w:rPr>
                <w:rFonts w:ascii="Arial" w:hAnsi="Arial" w:cs="Arial"/>
                <w:color w:val="000000"/>
                <w:sz w:val="16"/>
                <w:szCs w:val="16"/>
              </w:rPr>
              <w:t>Fuel and energy</w:t>
            </w:r>
          </w:p>
        </w:tc>
        <w:tc>
          <w:tcPr>
            <w:tcW w:w="523" w:type="pct"/>
            <w:tcBorders>
              <w:top w:val="nil"/>
              <w:left w:val="nil"/>
              <w:bottom w:val="nil"/>
              <w:right w:val="nil"/>
            </w:tcBorders>
            <w:shd w:val="clear" w:color="000000" w:fill="FFFFFF"/>
            <w:noWrap/>
            <w:vAlign w:val="center"/>
            <w:hideMark/>
          </w:tcPr>
          <w:p w14:paraId="5E4B4ECD" w14:textId="77777777" w:rsidR="006206F4" w:rsidRPr="006206F4" w:rsidRDefault="006206F4" w:rsidP="006206F4">
            <w:pPr>
              <w:spacing w:before="0" w:after="0" w:line="240" w:lineRule="auto"/>
              <w:jc w:val="right"/>
              <w:rPr>
                <w:rFonts w:ascii="Arial" w:hAnsi="Arial" w:cs="Arial"/>
                <w:color w:val="000000"/>
                <w:sz w:val="16"/>
                <w:szCs w:val="16"/>
              </w:rPr>
            </w:pPr>
            <w:r w:rsidRPr="006206F4">
              <w:rPr>
                <w:rFonts w:ascii="Arial" w:hAnsi="Arial" w:cs="Arial"/>
                <w:color w:val="000000"/>
                <w:sz w:val="16"/>
                <w:szCs w:val="16"/>
              </w:rPr>
              <w:t>9</w:t>
            </w:r>
          </w:p>
        </w:tc>
        <w:tc>
          <w:tcPr>
            <w:tcW w:w="522" w:type="pct"/>
            <w:tcBorders>
              <w:top w:val="nil"/>
              <w:left w:val="nil"/>
              <w:bottom w:val="nil"/>
              <w:right w:val="nil"/>
            </w:tcBorders>
            <w:shd w:val="clear" w:color="000000" w:fill="E6F2FF"/>
            <w:noWrap/>
            <w:vAlign w:val="center"/>
            <w:hideMark/>
          </w:tcPr>
          <w:p w14:paraId="0A1AE997" w14:textId="77777777" w:rsidR="006206F4" w:rsidRPr="006206F4" w:rsidRDefault="006206F4" w:rsidP="006206F4">
            <w:pPr>
              <w:spacing w:before="0" w:after="0" w:line="240" w:lineRule="auto"/>
              <w:jc w:val="right"/>
              <w:rPr>
                <w:rFonts w:ascii="Arial" w:hAnsi="Arial" w:cs="Arial"/>
                <w:color w:val="000000"/>
                <w:sz w:val="16"/>
                <w:szCs w:val="16"/>
              </w:rPr>
            </w:pPr>
            <w:r w:rsidRPr="006206F4">
              <w:rPr>
                <w:rFonts w:ascii="Arial" w:hAnsi="Arial" w:cs="Arial"/>
                <w:color w:val="000000"/>
                <w:sz w:val="16"/>
                <w:szCs w:val="16"/>
              </w:rPr>
              <w:t>11</w:t>
            </w:r>
          </w:p>
        </w:tc>
        <w:tc>
          <w:tcPr>
            <w:tcW w:w="522" w:type="pct"/>
            <w:tcBorders>
              <w:top w:val="nil"/>
              <w:left w:val="nil"/>
              <w:bottom w:val="nil"/>
              <w:right w:val="nil"/>
            </w:tcBorders>
            <w:shd w:val="clear" w:color="000000" w:fill="FFFFFF"/>
            <w:noWrap/>
            <w:vAlign w:val="center"/>
            <w:hideMark/>
          </w:tcPr>
          <w:p w14:paraId="457FF489" w14:textId="77777777" w:rsidR="006206F4" w:rsidRPr="006206F4" w:rsidRDefault="006206F4" w:rsidP="006206F4">
            <w:pPr>
              <w:spacing w:before="0" w:after="0" w:line="240" w:lineRule="auto"/>
              <w:jc w:val="right"/>
              <w:rPr>
                <w:rFonts w:ascii="Arial" w:hAnsi="Arial" w:cs="Arial"/>
                <w:color w:val="000000"/>
                <w:sz w:val="16"/>
                <w:szCs w:val="16"/>
              </w:rPr>
            </w:pPr>
            <w:r w:rsidRPr="006206F4">
              <w:rPr>
                <w:rFonts w:ascii="Arial" w:hAnsi="Arial" w:cs="Arial"/>
                <w:color w:val="000000"/>
                <w:sz w:val="16"/>
                <w:szCs w:val="16"/>
              </w:rPr>
              <w:t>16</w:t>
            </w:r>
          </w:p>
        </w:tc>
        <w:tc>
          <w:tcPr>
            <w:tcW w:w="522" w:type="pct"/>
            <w:tcBorders>
              <w:top w:val="nil"/>
              <w:left w:val="nil"/>
              <w:bottom w:val="nil"/>
              <w:right w:val="nil"/>
            </w:tcBorders>
            <w:shd w:val="clear" w:color="000000" w:fill="FFFFFF"/>
            <w:noWrap/>
            <w:vAlign w:val="center"/>
            <w:hideMark/>
          </w:tcPr>
          <w:p w14:paraId="58D50BD4" w14:textId="77777777" w:rsidR="006206F4" w:rsidRPr="006206F4" w:rsidRDefault="006206F4" w:rsidP="006206F4">
            <w:pPr>
              <w:spacing w:before="0" w:after="0" w:line="240" w:lineRule="auto"/>
              <w:jc w:val="right"/>
              <w:rPr>
                <w:rFonts w:ascii="Arial" w:hAnsi="Arial" w:cs="Arial"/>
                <w:color w:val="000000"/>
                <w:sz w:val="16"/>
                <w:szCs w:val="16"/>
              </w:rPr>
            </w:pPr>
            <w:r w:rsidRPr="006206F4">
              <w:rPr>
                <w:rFonts w:ascii="Arial" w:hAnsi="Arial" w:cs="Arial"/>
                <w:color w:val="000000"/>
                <w:sz w:val="16"/>
                <w:szCs w:val="16"/>
              </w:rPr>
              <w:t>4</w:t>
            </w:r>
          </w:p>
        </w:tc>
        <w:tc>
          <w:tcPr>
            <w:tcW w:w="522" w:type="pct"/>
            <w:tcBorders>
              <w:top w:val="nil"/>
              <w:left w:val="nil"/>
              <w:bottom w:val="nil"/>
              <w:right w:val="nil"/>
            </w:tcBorders>
            <w:shd w:val="clear" w:color="000000" w:fill="FFFFFF"/>
            <w:noWrap/>
            <w:vAlign w:val="center"/>
            <w:hideMark/>
          </w:tcPr>
          <w:p w14:paraId="0033989D" w14:textId="77777777" w:rsidR="006206F4" w:rsidRPr="006206F4" w:rsidRDefault="006206F4" w:rsidP="006206F4">
            <w:pPr>
              <w:spacing w:before="0" w:after="0" w:line="240" w:lineRule="auto"/>
              <w:jc w:val="right"/>
              <w:rPr>
                <w:rFonts w:ascii="Arial" w:hAnsi="Arial" w:cs="Arial"/>
                <w:color w:val="000000"/>
                <w:sz w:val="16"/>
                <w:szCs w:val="16"/>
              </w:rPr>
            </w:pPr>
            <w:r w:rsidRPr="006206F4">
              <w:rPr>
                <w:rFonts w:ascii="Arial" w:hAnsi="Arial" w:cs="Arial"/>
                <w:color w:val="000000"/>
                <w:sz w:val="16"/>
                <w:szCs w:val="16"/>
              </w:rPr>
              <w:t>7</w:t>
            </w:r>
          </w:p>
        </w:tc>
      </w:tr>
      <w:tr w:rsidR="006206F4" w:rsidRPr="006206F4" w14:paraId="59EE042D" w14:textId="77777777" w:rsidTr="00D556DF">
        <w:trPr>
          <w:trHeight w:hRule="exact" w:val="225"/>
        </w:trPr>
        <w:tc>
          <w:tcPr>
            <w:tcW w:w="2388" w:type="pct"/>
            <w:tcBorders>
              <w:top w:val="nil"/>
              <w:left w:val="nil"/>
              <w:bottom w:val="nil"/>
              <w:right w:val="nil"/>
            </w:tcBorders>
            <w:shd w:val="clear" w:color="000000" w:fill="FFFFFF"/>
            <w:noWrap/>
            <w:vAlign w:val="center"/>
            <w:hideMark/>
          </w:tcPr>
          <w:p w14:paraId="000A387B" w14:textId="77777777" w:rsidR="006206F4" w:rsidRPr="006206F4" w:rsidRDefault="006206F4" w:rsidP="006206F4">
            <w:pPr>
              <w:spacing w:before="0" w:after="0" w:line="240" w:lineRule="auto"/>
              <w:rPr>
                <w:rFonts w:ascii="Arial" w:hAnsi="Arial" w:cs="Arial"/>
                <w:color w:val="000000"/>
                <w:sz w:val="16"/>
                <w:szCs w:val="16"/>
              </w:rPr>
            </w:pPr>
            <w:r w:rsidRPr="006206F4">
              <w:rPr>
                <w:rFonts w:ascii="Arial" w:hAnsi="Arial" w:cs="Arial"/>
                <w:color w:val="000000"/>
                <w:sz w:val="16"/>
                <w:szCs w:val="16"/>
              </w:rPr>
              <w:t>Agriculture, forestry and fishing</w:t>
            </w:r>
          </w:p>
        </w:tc>
        <w:tc>
          <w:tcPr>
            <w:tcW w:w="523" w:type="pct"/>
            <w:tcBorders>
              <w:top w:val="nil"/>
              <w:left w:val="nil"/>
              <w:bottom w:val="nil"/>
              <w:right w:val="nil"/>
            </w:tcBorders>
            <w:shd w:val="clear" w:color="000000" w:fill="FFFFFF"/>
            <w:noWrap/>
            <w:vAlign w:val="center"/>
            <w:hideMark/>
          </w:tcPr>
          <w:p w14:paraId="23258912" w14:textId="77777777" w:rsidR="006206F4" w:rsidRPr="006206F4" w:rsidRDefault="006206F4" w:rsidP="006206F4">
            <w:pPr>
              <w:spacing w:before="0" w:after="0" w:line="240" w:lineRule="auto"/>
              <w:jc w:val="right"/>
              <w:rPr>
                <w:rFonts w:ascii="Arial" w:hAnsi="Arial" w:cs="Arial"/>
                <w:color w:val="000000"/>
                <w:sz w:val="16"/>
                <w:szCs w:val="16"/>
              </w:rPr>
            </w:pPr>
            <w:r w:rsidRPr="006206F4">
              <w:rPr>
                <w:rFonts w:ascii="Arial" w:hAnsi="Arial" w:cs="Arial"/>
                <w:color w:val="000000"/>
                <w:sz w:val="16"/>
                <w:szCs w:val="16"/>
              </w:rPr>
              <w:t>320</w:t>
            </w:r>
          </w:p>
        </w:tc>
        <w:tc>
          <w:tcPr>
            <w:tcW w:w="522" w:type="pct"/>
            <w:tcBorders>
              <w:top w:val="nil"/>
              <w:left w:val="nil"/>
              <w:bottom w:val="nil"/>
              <w:right w:val="nil"/>
            </w:tcBorders>
            <w:shd w:val="clear" w:color="000000" w:fill="E6F2FF"/>
            <w:noWrap/>
            <w:vAlign w:val="center"/>
            <w:hideMark/>
          </w:tcPr>
          <w:p w14:paraId="72084ED4" w14:textId="77777777" w:rsidR="006206F4" w:rsidRPr="006206F4" w:rsidRDefault="006206F4" w:rsidP="006206F4">
            <w:pPr>
              <w:spacing w:before="0" w:after="0" w:line="240" w:lineRule="auto"/>
              <w:jc w:val="right"/>
              <w:rPr>
                <w:rFonts w:ascii="Arial" w:hAnsi="Arial" w:cs="Arial"/>
                <w:color w:val="000000"/>
                <w:sz w:val="16"/>
                <w:szCs w:val="16"/>
              </w:rPr>
            </w:pPr>
            <w:r w:rsidRPr="006206F4">
              <w:rPr>
                <w:rFonts w:ascii="Arial" w:hAnsi="Arial" w:cs="Arial"/>
                <w:color w:val="000000"/>
                <w:sz w:val="16"/>
                <w:szCs w:val="16"/>
              </w:rPr>
              <w:t>670</w:t>
            </w:r>
          </w:p>
        </w:tc>
        <w:tc>
          <w:tcPr>
            <w:tcW w:w="522" w:type="pct"/>
            <w:tcBorders>
              <w:top w:val="nil"/>
              <w:left w:val="nil"/>
              <w:bottom w:val="nil"/>
              <w:right w:val="nil"/>
            </w:tcBorders>
            <w:shd w:val="clear" w:color="000000" w:fill="FFFFFF"/>
            <w:noWrap/>
            <w:vAlign w:val="center"/>
            <w:hideMark/>
          </w:tcPr>
          <w:p w14:paraId="43C519F2" w14:textId="77777777" w:rsidR="006206F4" w:rsidRPr="006206F4" w:rsidRDefault="006206F4" w:rsidP="006206F4">
            <w:pPr>
              <w:spacing w:before="0" w:after="0" w:line="240" w:lineRule="auto"/>
              <w:jc w:val="right"/>
              <w:rPr>
                <w:rFonts w:ascii="Arial" w:hAnsi="Arial" w:cs="Arial"/>
                <w:color w:val="000000"/>
                <w:sz w:val="16"/>
                <w:szCs w:val="16"/>
              </w:rPr>
            </w:pPr>
            <w:r w:rsidRPr="006206F4">
              <w:rPr>
                <w:rFonts w:ascii="Arial" w:hAnsi="Arial" w:cs="Arial"/>
                <w:color w:val="000000"/>
                <w:sz w:val="16"/>
                <w:szCs w:val="16"/>
              </w:rPr>
              <w:t>418</w:t>
            </w:r>
          </w:p>
        </w:tc>
        <w:tc>
          <w:tcPr>
            <w:tcW w:w="522" w:type="pct"/>
            <w:tcBorders>
              <w:top w:val="nil"/>
              <w:left w:val="nil"/>
              <w:bottom w:val="nil"/>
              <w:right w:val="nil"/>
            </w:tcBorders>
            <w:shd w:val="clear" w:color="000000" w:fill="FFFFFF"/>
            <w:noWrap/>
            <w:vAlign w:val="center"/>
            <w:hideMark/>
          </w:tcPr>
          <w:p w14:paraId="7B81275C" w14:textId="77777777" w:rsidR="006206F4" w:rsidRPr="006206F4" w:rsidRDefault="006206F4" w:rsidP="006206F4">
            <w:pPr>
              <w:spacing w:before="0" w:after="0" w:line="240" w:lineRule="auto"/>
              <w:jc w:val="right"/>
              <w:rPr>
                <w:rFonts w:ascii="Arial" w:hAnsi="Arial" w:cs="Arial"/>
                <w:color w:val="000000"/>
                <w:sz w:val="16"/>
                <w:szCs w:val="16"/>
              </w:rPr>
            </w:pPr>
            <w:r w:rsidRPr="006206F4">
              <w:rPr>
                <w:rFonts w:ascii="Arial" w:hAnsi="Arial" w:cs="Arial"/>
                <w:color w:val="000000"/>
                <w:sz w:val="16"/>
                <w:szCs w:val="16"/>
              </w:rPr>
              <w:t>137</w:t>
            </w:r>
          </w:p>
        </w:tc>
        <w:tc>
          <w:tcPr>
            <w:tcW w:w="522" w:type="pct"/>
            <w:tcBorders>
              <w:top w:val="nil"/>
              <w:left w:val="nil"/>
              <w:bottom w:val="nil"/>
              <w:right w:val="nil"/>
            </w:tcBorders>
            <w:shd w:val="clear" w:color="000000" w:fill="FFFFFF"/>
            <w:noWrap/>
            <w:vAlign w:val="center"/>
            <w:hideMark/>
          </w:tcPr>
          <w:p w14:paraId="24CFFB72" w14:textId="77777777" w:rsidR="006206F4" w:rsidRPr="006206F4" w:rsidRDefault="006206F4" w:rsidP="006206F4">
            <w:pPr>
              <w:spacing w:before="0" w:after="0" w:line="240" w:lineRule="auto"/>
              <w:jc w:val="right"/>
              <w:rPr>
                <w:rFonts w:ascii="Arial" w:hAnsi="Arial" w:cs="Arial"/>
                <w:color w:val="000000"/>
                <w:sz w:val="16"/>
                <w:szCs w:val="16"/>
              </w:rPr>
            </w:pPr>
            <w:r w:rsidRPr="006206F4">
              <w:rPr>
                <w:rFonts w:ascii="Arial" w:hAnsi="Arial" w:cs="Arial"/>
                <w:color w:val="000000"/>
                <w:sz w:val="16"/>
                <w:szCs w:val="16"/>
              </w:rPr>
              <w:t>116</w:t>
            </w:r>
          </w:p>
        </w:tc>
      </w:tr>
      <w:tr w:rsidR="006206F4" w:rsidRPr="006206F4" w14:paraId="35FFA680" w14:textId="77777777" w:rsidTr="00D556DF">
        <w:trPr>
          <w:trHeight w:hRule="exact" w:val="225"/>
        </w:trPr>
        <w:tc>
          <w:tcPr>
            <w:tcW w:w="2388" w:type="pct"/>
            <w:tcBorders>
              <w:top w:val="nil"/>
              <w:left w:val="nil"/>
              <w:bottom w:val="nil"/>
              <w:right w:val="nil"/>
            </w:tcBorders>
            <w:shd w:val="clear" w:color="000000" w:fill="FFFFFF"/>
            <w:noWrap/>
            <w:vAlign w:val="center"/>
            <w:hideMark/>
          </w:tcPr>
          <w:p w14:paraId="1B23224B" w14:textId="77777777" w:rsidR="006206F4" w:rsidRPr="006206F4" w:rsidRDefault="006206F4" w:rsidP="006206F4">
            <w:pPr>
              <w:spacing w:before="0" w:after="0" w:line="240" w:lineRule="auto"/>
              <w:rPr>
                <w:rFonts w:ascii="Arial" w:hAnsi="Arial" w:cs="Arial"/>
                <w:color w:val="000000"/>
                <w:sz w:val="16"/>
                <w:szCs w:val="16"/>
              </w:rPr>
            </w:pPr>
            <w:r w:rsidRPr="006206F4">
              <w:rPr>
                <w:rFonts w:ascii="Arial" w:hAnsi="Arial" w:cs="Arial"/>
                <w:color w:val="000000"/>
                <w:sz w:val="16"/>
                <w:szCs w:val="16"/>
              </w:rPr>
              <w:t>Mining, manufacturing and construction</w:t>
            </w:r>
          </w:p>
        </w:tc>
        <w:tc>
          <w:tcPr>
            <w:tcW w:w="523" w:type="pct"/>
            <w:tcBorders>
              <w:top w:val="nil"/>
              <w:left w:val="nil"/>
              <w:bottom w:val="nil"/>
              <w:right w:val="nil"/>
            </w:tcBorders>
            <w:shd w:val="clear" w:color="000000" w:fill="FFFFFF"/>
            <w:noWrap/>
            <w:vAlign w:val="center"/>
            <w:hideMark/>
          </w:tcPr>
          <w:p w14:paraId="2DE758F6" w14:textId="77777777" w:rsidR="006206F4" w:rsidRPr="006206F4" w:rsidRDefault="006206F4" w:rsidP="006206F4">
            <w:pPr>
              <w:spacing w:before="0" w:after="0" w:line="240" w:lineRule="auto"/>
              <w:jc w:val="right"/>
              <w:rPr>
                <w:rFonts w:ascii="Arial" w:hAnsi="Arial" w:cs="Arial"/>
                <w:color w:val="000000"/>
                <w:sz w:val="16"/>
                <w:szCs w:val="16"/>
              </w:rPr>
            </w:pPr>
            <w:r w:rsidRPr="006206F4">
              <w:rPr>
                <w:rFonts w:ascii="Arial" w:hAnsi="Arial" w:cs="Arial"/>
                <w:color w:val="000000"/>
                <w:sz w:val="16"/>
                <w:szCs w:val="16"/>
              </w:rPr>
              <w:t>25</w:t>
            </w:r>
          </w:p>
        </w:tc>
        <w:tc>
          <w:tcPr>
            <w:tcW w:w="522" w:type="pct"/>
            <w:tcBorders>
              <w:top w:val="nil"/>
              <w:left w:val="nil"/>
              <w:bottom w:val="nil"/>
              <w:right w:val="nil"/>
            </w:tcBorders>
            <w:shd w:val="clear" w:color="000000" w:fill="E6F2FF"/>
            <w:noWrap/>
            <w:vAlign w:val="center"/>
            <w:hideMark/>
          </w:tcPr>
          <w:p w14:paraId="1F4C944F" w14:textId="77777777" w:rsidR="006206F4" w:rsidRPr="006206F4" w:rsidRDefault="006206F4" w:rsidP="006206F4">
            <w:pPr>
              <w:spacing w:before="0" w:after="0" w:line="240" w:lineRule="auto"/>
              <w:jc w:val="right"/>
              <w:rPr>
                <w:rFonts w:ascii="Arial" w:hAnsi="Arial" w:cs="Arial"/>
                <w:color w:val="000000"/>
                <w:sz w:val="16"/>
                <w:szCs w:val="16"/>
              </w:rPr>
            </w:pPr>
            <w:r w:rsidRPr="006206F4">
              <w:rPr>
                <w:rFonts w:ascii="Arial" w:hAnsi="Arial" w:cs="Arial"/>
                <w:color w:val="000000"/>
                <w:sz w:val="16"/>
                <w:szCs w:val="16"/>
              </w:rPr>
              <w:t>33</w:t>
            </w:r>
          </w:p>
        </w:tc>
        <w:tc>
          <w:tcPr>
            <w:tcW w:w="522" w:type="pct"/>
            <w:tcBorders>
              <w:top w:val="nil"/>
              <w:left w:val="nil"/>
              <w:bottom w:val="nil"/>
              <w:right w:val="nil"/>
            </w:tcBorders>
            <w:shd w:val="clear" w:color="000000" w:fill="FFFFFF"/>
            <w:noWrap/>
            <w:vAlign w:val="center"/>
            <w:hideMark/>
          </w:tcPr>
          <w:p w14:paraId="57E2645A" w14:textId="77777777" w:rsidR="006206F4" w:rsidRPr="006206F4" w:rsidRDefault="006206F4" w:rsidP="006206F4">
            <w:pPr>
              <w:spacing w:before="0" w:after="0" w:line="240" w:lineRule="auto"/>
              <w:jc w:val="right"/>
              <w:rPr>
                <w:rFonts w:ascii="Arial" w:hAnsi="Arial" w:cs="Arial"/>
                <w:color w:val="000000"/>
                <w:sz w:val="16"/>
                <w:szCs w:val="16"/>
              </w:rPr>
            </w:pPr>
            <w:r w:rsidRPr="006206F4">
              <w:rPr>
                <w:rFonts w:ascii="Arial" w:hAnsi="Arial" w:cs="Arial"/>
                <w:color w:val="000000"/>
                <w:sz w:val="16"/>
                <w:szCs w:val="16"/>
              </w:rPr>
              <w:t>33</w:t>
            </w:r>
          </w:p>
        </w:tc>
        <w:tc>
          <w:tcPr>
            <w:tcW w:w="522" w:type="pct"/>
            <w:tcBorders>
              <w:top w:val="nil"/>
              <w:left w:val="nil"/>
              <w:bottom w:val="nil"/>
              <w:right w:val="nil"/>
            </w:tcBorders>
            <w:shd w:val="clear" w:color="000000" w:fill="FFFFFF"/>
            <w:noWrap/>
            <w:vAlign w:val="center"/>
            <w:hideMark/>
          </w:tcPr>
          <w:p w14:paraId="2330BFBE" w14:textId="77777777" w:rsidR="006206F4" w:rsidRPr="006206F4" w:rsidRDefault="006206F4" w:rsidP="006206F4">
            <w:pPr>
              <w:spacing w:before="0" w:after="0" w:line="240" w:lineRule="auto"/>
              <w:jc w:val="right"/>
              <w:rPr>
                <w:rFonts w:ascii="Arial" w:hAnsi="Arial" w:cs="Arial"/>
                <w:color w:val="000000"/>
                <w:sz w:val="16"/>
                <w:szCs w:val="16"/>
              </w:rPr>
            </w:pPr>
            <w:r w:rsidRPr="006206F4">
              <w:rPr>
                <w:rFonts w:ascii="Arial" w:hAnsi="Arial" w:cs="Arial"/>
                <w:color w:val="000000"/>
                <w:sz w:val="16"/>
                <w:szCs w:val="16"/>
              </w:rPr>
              <w:t>32</w:t>
            </w:r>
          </w:p>
        </w:tc>
        <w:tc>
          <w:tcPr>
            <w:tcW w:w="522" w:type="pct"/>
            <w:tcBorders>
              <w:top w:val="nil"/>
              <w:left w:val="nil"/>
              <w:bottom w:val="nil"/>
              <w:right w:val="nil"/>
            </w:tcBorders>
            <w:shd w:val="clear" w:color="000000" w:fill="FFFFFF"/>
            <w:noWrap/>
            <w:vAlign w:val="center"/>
            <w:hideMark/>
          </w:tcPr>
          <w:p w14:paraId="203896D8" w14:textId="77777777" w:rsidR="006206F4" w:rsidRPr="006206F4" w:rsidRDefault="006206F4" w:rsidP="006206F4">
            <w:pPr>
              <w:spacing w:before="0" w:after="0" w:line="240" w:lineRule="auto"/>
              <w:jc w:val="right"/>
              <w:rPr>
                <w:rFonts w:ascii="Arial" w:hAnsi="Arial" w:cs="Arial"/>
                <w:color w:val="000000"/>
                <w:sz w:val="16"/>
                <w:szCs w:val="16"/>
              </w:rPr>
            </w:pPr>
            <w:r w:rsidRPr="006206F4">
              <w:rPr>
                <w:rFonts w:ascii="Arial" w:hAnsi="Arial" w:cs="Arial"/>
                <w:color w:val="000000"/>
                <w:sz w:val="16"/>
                <w:szCs w:val="16"/>
              </w:rPr>
              <w:t>23</w:t>
            </w:r>
          </w:p>
        </w:tc>
      </w:tr>
      <w:tr w:rsidR="006206F4" w:rsidRPr="006206F4" w14:paraId="21C3DC0F" w14:textId="77777777" w:rsidTr="00D556DF">
        <w:trPr>
          <w:trHeight w:hRule="exact" w:val="225"/>
        </w:trPr>
        <w:tc>
          <w:tcPr>
            <w:tcW w:w="2388" w:type="pct"/>
            <w:tcBorders>
              <w:top w:val="nil"/>
              <w:left w:val="nil"/>
              <w:bottom w:val="nil"/>
              <w:right w:val="nil"/>
            </w:tcBorders>
            <w:shd w:val="clear" w:color="000000" w:fill="FFFFFF"/>
            <w:noWrap/>
            <w:vAlign w:val="center"/>
            <w:hideMark/>
          </w:tcPr>
          <w:p w14:paraId="2BA341A9" w14:textId="77777777" w:rsidR="006206F4" w:rsidRPr="006206F4" w:rsidRDefault="006206F4" w:rsidP="006206F4">
            <w:pPr>
              <w:spacing w:before="0" w:after="0" w:line="240" w:lineRule="auto"/>
              <w:rPr>
                <w:rFonts w:ascii="Arial" w:hAnsi="Arial" w:cs="Arial"/>
                <w:color w:val="000000"/>
                <w:sz w:val="16"/>
                <w:szCs w:val="16"/>
              </w:rPr>
            </w:pPr>
            <w:r w:rsidRPr="006206F4">
              <w:rPr>
                <w:rFonts w:ascii="Arial" w:hAnsi="Arial" w:cs="Arial"/>
                <w:color w:val="000000"/>
                <w:sz w:val="16"/>
                <w:szCs w:val="16"/>
              </w:rPr>
              <w:t>Transport and communication</w:t>
            </w:r>
          </w:p>
        </w:tc>
        <w:tc>
          <w:tcPr>
            <w:tcW w:w="523" w:type="pct"/>
            <w:tcBorders>
              <w:top w:val="nil"/>
              <w:left w:val="nil"/>
              <w:bottom w:val="nil"/>
              <w:right w:val="nil"/>
            </w:tcBorders>
            <w:shd w:val="clear" w:color="000000" w:fill="FFFFFF"/>
            <w:noWrap/>
            <w:vAlign w:val="center"/>
            <w:hideMark/>
          </w:tcPr>
          <w:p w14:paraId="311ABCF9" w14:textId="77777777" w:rsidR="006206F4" w:rsidRPr="006206F4" w:rsidRDefault="006206F4" w:rsidP="006206F4">
            <w:pPr>
              <w:spacing w:before="0" w:after="0" w:line="240" w:lineRule="auto"/>
              <w:jc w:val="right"/>
              <w:rPr>
                <w:rFonts w:ascii="Arial" w:hAnsi="Arial" w:cs="Arial"/>
                <w:color w:val="000000"/>
                <w:sz w:val="16"/>
                <w:szCs w:val="16"/>
              </w:rPr>
            </w:pPr>
            <w:r w:rsidRPr="006206F4">
              <w:rPr>
                <w:rFonts w:ascii="Arial" w:hAnsi="Arial" w:cs="Arial"/>
                <w:color w:val="000000"/>
                <w:sz w:val="16"/>
                <w:szCs w:val="16"/>
              </w:rPr>
              <w:t>221</w:t>
            </w:r>
          </w:p>
        </w:tc>
        <w:tc>
          <w:tcPr>
            <w:tcW w:w="522" w:type="pct"/>
            <w:tcBorders>
              <w:top w:val="nil"/>
              <w:left w:val="nil"/>
              <w:bottom w:val="nil"/>
              <w:right w:val="nil"/>
            </w:tcBorders>
            <w:shd w:val="clear" w:color="000000" w:fill="E6F2FF"/>
            <w:noWrap/>
            <w:vAlign w:val="center"/>
            <w:hideMark/>
          </w:tcPr>
          <w:p w14:paraId="69D0685B" w14:textId="77777777" w:rsidR="006206F4" w:rsidRPr="006206F4" w:rsidRDefault="006206F4" w:rsidP="006206F4">
            <w:pPr>
              <w:spacing w:before="0" w:after="0" w:line="240" w:lineRule="auto"/>
              <w:jc w:val="right"/>
              <w:rPr>
                <w:rFonts w:ascii="Arial" w:hAnsi="Arial" w:cs="Arial"/>
                <w:color w:val="000000"/>
                <w:sz w:val="16"/>
                <w:szCs w:val="16"/>
              </w:rPr>
            </w:pPr>
            <w:r w:rsidRPr="006206F4">
              <w:rPr>
                <w:rFonts w:ascii="Arial" w:hAnsi="Arial" w:cs="Arial"/>
                <w:color w:val="000000"/>
                <w:sz w:val="16"/>
                <w:szCs w:val="16"/>
              </w:rPr>
              <w:t>102</w:t>
            </w:r>
          </w:p>
        </w:tc>
        <w:tc>
          <w:tcPr>
            <w:tcW w:w="522" w:type="pct"/>
            <w:tcBorders>
              <w:top w:val="nil"/>
              <w:left w:val="nil"/>
              <w:bottom w:val="nil"/>
              <w:right w:val="nil"/>
            </w:tcBorders>
            <w:shd w:val="clear" w:color="000000" w:fill="FFFFFF"/>
            <w:noWrap/>
            <w:vAlign w:val="center"/>
            <w:hideMark/>
          </w:tcPr>
          <w:p w14:paraId="7B406B55" w14:textId="77777777" w:rsidR="006206F4" w:rsidRPr="006206F4" w:rsidRDefault="006206F4" w:rsidP="006206F4">
            <w:pPr>
              <w:spacing w:before="0" w:after="0" w:line="240" w:lineRule="auto"/>
              <w:jc w:val="right"/>
              <w:rPr>
                <w:rFonts w:ascii="Arial" w:hAnsi="Arial" w:cs="Arial"/>
                <w:color w:val="000000"/>
                <w:sz w:val="16"/>
                <w:szCs w:val="16"/>
              </w:rPr>
            </w:pPr>
            <w:r w:rsidRPr="006206F4">
              <w:rPr>
                <w:rFonts w:ascii="Arial" w:hAnsi="Arial" w:cs="Arial"/>
                <w:color w:val="000000"/>
                <w:sz w:val="16"/>
                <w:szCs w:val="16"/>
              </w:rPr>
              <w:t>80</w:t>
            </w:r>
          </w:p>
        </w:tc>
        <w:tc>
          <w:tcPr>
            <w:tcW w:w="522" w:type="pct"/>
            <w:tcBorders>
              <w:top w:val="nil"/>
              <w:left w:val="nil"/>
              <w:bottom w:val="nil"/>
              <w:right w:val="nil"/>
            </w:tcBorders>
            <w:shd w:val="clear" w:color="000000" w:fill="FFFFFF"/>
            <w:noWrap/>
            <w:vAlign w:val="center"/>
            <w:hideMark/>
          </w:tcPr>
          <w:p w14:paraId="71629AE1" w14:textId="77777777" w:rsidR="006206F4" w:rsidRPr="006206F4" w:rsidRDefault="006206F4" w:rsidP="006206F4">
            <w:pPr>
              <w:spacing w:before="0" w:after="0" w:line="240" w:lineRule="auto"/>
              <w:jc w:val="right"/>
              <w:rPr>
                <w:rFonts w:ascii="Arial" w:hAnsi="Arial" w:cs="Arial"/>
                <w:color w:val="000000"/>
                <w:sz w:val="16"/>
                <w:szCs w:val="16"/>
              </w:rPr>
            </w:pPr>
            <w:r w:rsidRPr="006206F4">
              <w:rPr>
                <w:rFonts w:ascii="Arial" w:hAnsi="Arial" w:cs="Arial"/>
                <w:color w:val="000000"/>
                <w:sz w:val="16"/>
                <w:szCs w:val="16"/>
              </w:rPr>
              <w:t>48</w:t>
            </w:r>
          </w:p>
        </w:tc>
        <w:tc>
          <w:tcPr>
            <w:tcW w:w="522" w:type="pct"/>
            <w:tcBorders>
              <w:top w:val="nil"/>
              <w:left w:val="nil"/>
              <w:bottom w:val="nil"/>
              <w:right w:val="nil"/>
            </w:tcBorders>
            <w:shd w:val="clear" w:color="000000" w:fill="FFFFFF"/>
            <w:noWrap/>
            <w:vAlign w:val="center"/>
            <w:hideMark/>
          </w:tcPr>
          <w:p w14:paraId="6EDCA571" w14:textId="77777777" w:rsidR="006206F4" w:rsidRPr="006206F4" w:rsidRDefault="006206F4" w:rsidP="006206F4">
            <w:pPr>
              <w:spacing w:before="0" w:after="0" w:line="240" w:lineRule="auto"/>
              <w:jc w:val="right"/>
              <w:rPr>
                <w:rFonts w:ascii="Arial" w:hAnsi="Arial" w:cs="Arial"/>
                <w:color w:val="000000"/>
                <w:sz w:val="16"/>
                <w:szCs w:val="16"/>
              </w:rPr>
            </w:pPr>
            <w:r w:rsidRPr="006206F4">
              <w:rPr>
                <w:rFonts w:ascii="Arial" w:hAnsi="Arial" w:cs="Arial"/>
                <w:color w:val="000000"/>
                <w:sz w:val="16"/>
                <w:szCs w:val="16"/>
              </w:rPr>
              <w:t>72</w:t>
            </w:r>
          </w:p>
        </w:tc>
      </w:tr>
      <w:tr w:rsidR="006206F4" w:rsidRPr="006206F4" w14:paraId="3AEA8D37" w14:textId="77777777" w:rsidTr="00D556DF">
        <w:trPr>
          <w:trHeight w:hRule="exact" w:val="225"/>
        </w:trPr>
        <w:tc>
          <w:tcPr>
            <w:tcW w:w="2388" w:type="pct"/>
            <w:tcBorders>
              <w:top w:val="nil"/>
              <w:left w:val="nil"/>
              <w:bottom w:val="nil"/>
              <w:right w:val="nil"/>
            </w:tcBorders>
            <w:shd w:val="clear" w:color="000000" w:fill="FFFFFF"/>
            <w:noWrap/>
            <w:vAlign w:val="center"/>
            <w:hideMark/>
          </w:tcPr>
          <w:p w14:paraId="71DDF699" w14:textId="77777777" w:rsidR="006206F4" w:rsidRPr="006206F4" w:rsidRDefault="006206F4" w:rsidP="006206F4">
            <w:pPr>
              <w:spacing w:before="0" w:after="0" w:line="240" w:lineRule="auto"/>
              <w:rPr>
                <w:rFonts w:ascii="Arial" w:hAnsi="Arial" w:cs="Arial"/>
                <w:color w:val="000000"/>
                <w:sz w:val="16"/>
                <w:szCs w:val="16"/>
              </w:rPr>
            </w:pPr>
            <w:r w:rsidRPr="006206F4">
              <w:rPr>
                <w:rFonts w:ascii="Arial" w:hAnsi="Arial" w:cs="Arial"/>
                <w:color w:val="000000"/>
                <w:sz w:val="16"/>
                <w:szCs w:val="16"/>
              </w:rPr>
              <w:t>Other economic affairs</w:t>
            </w:r>
          </w:p>
        </w:tc>
        <w:tc>
          <w:tcPr>
            <w:tcW w:w="523" w:type="pct"/>
            <w:tcBorders>
              <w:top w:val="nil"/>
              <w:left w:val="nil"/>
              <w:bottom w:val="nil"/>
              <w:right w:val="nil"/>
            </w:tcBorders>
            <w:shd w:val="clear" w:color="000000" w:fill="FFFFFF"/>
            <w:noWrap/>
            <w:vAlign w:val="center"/>
            <w:hideMark/>
          </w:tcPr>
          <w:p w14:paraId="6B4A52E6" w14:textId="77777777" w:rsidR="006206F4" w:rsidRPr="006206F4" w:rsidRDefault="006206F4" w:rsidP="006206F4">
            <w:pPr>
              <w:spacing w:before="0" w:after="0" w:line="240" w:lineRule="auto"/>
              <w:jc w:val="right"/>
              <w:rPr>
                <w:rFonts w:ascii="Arial" w:hAnsi="Arial" w:cs="Arial"/>
                <w:color w:val="000000"/>
                <w:sz w:val="16"/>
                <w:szCs w:val="16"/>
              </w:rPr>
            </w:pPr>
            <w:r w:rsidRPr="006206F4">
              <w:rPr>
                <w:rFonts w:ascii="Arial" w:hAnsi="Arial" w:cs="Arial"/>
                <w:color w:val="000000"/>
                <w:sz w:val="16"/>
                <w:szCs w:val="16"/>
              </w:rPr>
              <w:t>823</w:t>
            </w:r>
          </w:p>
        </w:tc>
        <w:tc>
          <w:tcPr>
            <w:tcW w:w="522" w:type="pct"/>
            <w:tcBorders>
              <w:top w:val="nil"/>
              <w:left w:val="nil"/>
              <w:bottom w:val="nil"/>
              <w:right w:val="nil"/>
            </w:tcBorders>
            <w:shd w:val="clear" w:color="000000" w:fill="E6F2FF"/>
            <w:noWrap/>
            <w:vAlign w:val="center"/>
            <w:hideMark/>
          </w:tcPr>
          <w:p w14:paraId="1D5B438F" w14:textId="77777777" w:rsidR="006206F4" w:rsidRPr="006206F4" w:rsidRDefault="006206F4" w:rsidP="006206F4">
            <w:pPr>
              <w:spacing w:before="0" w:after="0" w:line="240" w:lineRule="auto"/>
              <w:jc w:val="right"/>
              <w:rPr>
                <w:rFonts w:ascii="Arial" w:hAnsi="Arial" w:cs="Arial"/>
                <w:color w:val="000000"/>
                <w:sz w:val="16"/>
                <w:szCs w:val="16"/>
              </w:rPr>
            </w:pPr>
            <w:r w:rsidRPr="006206F4">
              <w:rPr>
                <w:rFonts w:ascii="Arial" w:hAnsi="Arial" w:cs="Arial"/>
                <w:color w:val="000000"/>
                <w:sz w:val="16"/>
                <w:szCs w:val="16"/>
              </w:rPr>
              <w:t>846</w:t>
            </w:r>
          </w:p>
        </w:tc>
        <w:tc>
          <w:tcPr>
            <w:tcW w:w="522" w:type="pct"/>
            <w:tcBorders>
              <w:top w:val="nil"/>
              <w:left w:val="nil"/>
              <w:bottom w:val="nil"/>
              <w:right w:val="nil"/>
            </w:tcBorders>
            <w:shd w:val="clear" w:color="000000" w:fill="FFFFFF"/>
            <w:noWrap/>
            <w:vAlign w:val="center"/>
            <w:hideMark/>
          </w:tcPr>
          <w:p w14:paraId="513B7E1E" w14:textId="77777777" w:rsidR="006206F4" w:rsidRPr="006206F4" w:rsidRDefault="006206F4" w:rsidP="006206F4">
            <w:pPr>
              <w:spacing w:before="0" w:after="0" w:line="240" w:lineRule="auto"/>
              <w:jc w:val="right"/>
              <w:rPr>
                <w:rFonts w:ascii="Arial" w:hAnsi="Arial" w:cs="Arial"/>
                <w:color w:val="000000"/>
                <w:sz w:val="16"/>
                <w:szCs w:val="16"/>
              </w:rPr>
            </w:pPr>
            <w:r w:rsidRPr="006206F4">
              <w:rPr>
                <w:rFonts w:ascii="Arial" w:hAnsi="Arial" w:cs="Arial"/>
                <w:color w:val="000000"/>
                <w:sz w:val="16"/>
                <w:szCs w:val="16"/>
              </w:rPr>
              <w:t>708</w:t>
            </w:r>
          </w:p>
        </w:tc>
        <w:tc>
          <w:tcPr>
            <w:tcW w:w="522" w:type="pct"/>
            <w:tcBorders>
              <w:top w:val="nil"/>
              <w:left w:val="nil"/>
              <w:bottom w:val="nil"/>
              <w:right w:val="nil"/>
            </w:tcBorders>
            <w:shd w:val="clear" w:color="000000" w:fill="FFFFFF"/>
            <w:noWrap/>
            <w:vAlign w:val="center"/>
            <w:hideMark/>
          </w:tcPr>
          <w:p w14:paraId="72623570" w14:textId="77777777" w:rsidR="006206F4" w:rsidRPr="006206F4" w:rsidRDefault="006206F4" w:rsidP="006206F4">
            <w:pPr>
              <w:spacing w:before="0" w:after="0" w:line="240" w:lineRule="auto"/>
              <w:jc w:val="right"/>
              <w:rPr>
                <w:rFonts w:ascii="Arial" w:hAnsi="Arial" w:cs="Arial"/>
                <w:color w:val="000000"/>
                <w:sz w:val="16"/>
                <w:szCs w:val="16"/>
              </w:rPr>
            </w:pPr>
            <w:r w:rsidRPr="006206F4">
              <w:rPr>
                <w:rFonts w:ascii="Arial" w:hAnsi="Arial" w:cs="Arial"/>
                <w:color w:val="000000"/>
                <w:sz w:val="16"/>
                <w:szCs w:val="16"/>
              </w:rPr>
              <w:t>502</w:t>
            </w:r>
          </w:p>
        </w:tc>
        <w:tc>
          <w:tcPr>
            <w:tcW w:w="522" w:type="pct"/>
            <w:tcBorders>
              <w:top w:val="nil"/>
              <w:left w:val="nil"/>
              <w:bottom w:val="nil"/>
              <w:right w:val="nil"/>
            </w:tcBorders>
            <w:shd w:val="clear" w:color="000000" w:fill="FFFFFF"/>
            <w:noWrap/>
            <w:vAlign w:val="center"/>
            <w:hideMark/>
          </w:tcPr>
          <w:p w14:paraId="3CA90326" w14:textId="77777777" w:rsidR="006206F4" w:rsidRPr="006206F4" w:rsidRDefault="006206F4" w:rsidP="006206F4">
            <w:pPr>
              <w:spacing w:before="0" w:after="0" w:line="240" w:lineRule="auto"/>
              <w:jc w:val="right"/>
              <w:rPr>
                <w:rFonts w:ascii="Arial" w:hAnsi="Arial" w:cs="Arial"/>
                <w:color w:val="000000"/>
                <w:sz w:val="16"/>
                <w:szCs w:val="16"/>
              </w:rPr>
            </w:pPr>
            <w:r w:rsidRPr="006206F4">
              <w:rPr>
                <w:rFonts w:ascii="Arial" w:hAnsi="Arial" w:cs="Arial"/>
                <w:color w:val="000000"/>
                <w:sz w:val="16"/>
                <w:szCs w:val="16"/>
              </w:rPr>
              <w:t>762</w:t>
            </w:r>
          </w:p>
        </w:tc>
      </w:tr>
      <w:tr w:rsidR="006206F4" w:rsidRPr="006206F4" w14:paraId="7B5D3FEE" w14:textId="77777777" w:rsidTr="00D556DF">
        <w:trPr>
          <w:trHeight w:hRule="exact" w:val="225"/>
        </w:trPr>
        <w:tc>
          <w:tcPr>
            <w:tcW w:w="2388" w:type="pct"/>
            <w:tcBorders>
              <w:top w:val="nil"/>
              <w:left w:val="nil"/>
              <w:bottom w:val="nil"/>
              <w:right w:val="nil"/>
            </w:tcBorders>
            <w:shd w:val="clear" w:color="000000" w:fill="FFFFFF"/>
            <w:noWrap/>
            <w:vAlign w:val="center"/>
            <w:hideMark/>
          </w:tcPr>
          <w:p w14:paraId="53384A99" w14:textId="77777777" w:rsidR="006206F4" w:rsidRPr="006206F4" w:rsidRDefault="006206F4" w:rsidP="006206F4">
            <w:pPr>
              <w:spacing w:before="0" w:after="0" w:line="240" w:lineRule="auto"/>
              <w:rPr>
                <w:rFonts w:ascii="Arial" w:hAnsi="Arial" w:cs="Arial"/>
                <w:color w:val="000000"/>
                <w:sz w:val="16"/>
                <w:szCs w:val="16"/>
              </w:rPr>
            </w:pPr>
            <w:r w:rsidRPr="006206F4">
              <w:rPr>
                <w:rFonts w:ascii="Arial" w:hAnsi="Arial" w:cs="Arial"/>
                <w:color w:val="000000"/>
                <w:sz w:val="16"/>
                <w:szCs w:val="16"/>
              </w:rPr>
              <w:t>Other purposes</w:t>
            </w:r>
          </w:p>
        </w:tc>
        <w:tc>
          <w:tcPr>
            <w:tcW w:w="523" w:type="pct"/>
            <w:tcBorders>
              <w:top w:val="nil"/>
              <w:left w:val="nil"/>
              <w:bottom w:val="nil"/>
              <w:right w:val="nil"/>
            </w:tcBorders>
            <w:shd w:val="clear" w:color="000000" w:fill="FFFFFF"/>
            <w:noWrap/>
            <w:vAlign w:val="center"/>
            <w:hideMark/>
          </w:tcPr>
          <w:p w14:paraId="3192C4B2" w14:textId="77777777" w:rsidR="006206F4" w:rsidRPr="006206F4" w:rsidRDefault="006206F4" w:rsidP="006206F4">
            <w:pPr>
              <w:spacing w:before="0" w:after="0" w:line="240" w:lineRule="auto"/>
              <w:jc w:val="right"/>
              <w:rPr>
                <w:rFonts w:ascii="Arial" w:hAnsi="Arial" w:cs="Arial"/>
                <w:color w:val="000000"/>
                <w:sz w:val="16"/>
                <w:szCs w:val="16"/>
              </w:rPr>
            </w:pPr>
            <w:r w:rsidRPr="006206F4">
              <w:rPr>
                <w:rFonts w:ascii="Arial" w:hAnsi="Arial" w:cs="Arial"/>
                <w:color w:val="000000"/>
                <w:sz w:val="16"/>
                <w:szCs w:val="16"/>
              </w:rPr>
              <w:t>13</w:t>
            </w:r>
          </w:p>
        </w:tc>
        <w:tc>
          <w:tcPr>
            <w:tcW w:w="522" w:type="pct"/>
            <w:tcBorders>
              <w:top w:val="nil"/>
              <w:left w:val="nil"/>
              <w:bottom w:val="nil"/>
              <w:right w:val="nil"/>
            </w:tcBorders>
            <w:shd w:val="clear" w:color="000000" w:fill="E6F2FF"/>
            <w:noWrap/>
            <w:vAlign w:val="center"/>
            <w:hideMark/>
          </w:tcPr>
          <w:p w14:paraId="6690B6D4" w14:textId="77777777" w:rsidR="006206F4" w:rsidRPr="006206F4" w:rsidRDefault="006206F4" w:rsidP="006206F4">
            <w:pPr>
              <w:spacing w:before="0" w:after="0" w:line="240" w:lineRule="auto"/>
              <w:jc w:val="right"/>
              <w:rPr>
                <w:rFonts w:ascii="Arial" w:hAnsi="Arial" w:cs="Arial"/>
                <w:color w:val="000000"/>
                <w:sz w:val="16"/>
                <w:szCs w:val="16"/>
              </w:rPr>
            </w:pPr>
            <w:r w:rsidRPr="006206F4">
              <w:rPr>
                <w:rFonts w:ascii="Arial" w:hAnsi="Arial" w:cs="Arial"/>
                <w:color w:val="000000"/>
                <w:sz w:val="16"/>
                <w:szCs w:val="16"/>
              </w:rPr>
              <w:t>79</w:t>
            </w:r>
          </w:p>
        </w:tc>
        <w:tc>
          <w:tcPr>
            <w:tcW w:w="522" w:type="pct"/>
            <w:tcBorders>
              <w:top w:val="nil"/>
              <w:left w:val="nil"/>
              <w:bottom w:val="nil"/>
              <w:right w:val="nil"/>
            </w:tcBorders>
            <w:shd w:val="clear" w:color="000000" w:fill="FFFFFF"/>
            <w:noWrap/>
            <w:vAlign w:val="center"/>
            <w:hideMark/>
          </w:tcPr>
          <w:p w14:paraId="58C2DEDF" w14:textId="77777777" w:rsidR="006206F4" w:rsidRPr="006206F4" w:rsidRDefault="006206F4" w:rsidP="006206F4">
            <w:pPr>
              <w:spacing w:before="0" w:after="0" w:line="240" w:lineRule="auto"/>
              <w:jc w:val="right"/>
              <w:rPr>
                <w:rFonts w:ascii="Arial" w:hAnsi="Arial" w:cs="Arial"/>
                <w:color w:val="000000"/>
                <w:sz w:val="16"/>
                <w:szCs w:val="16"/>
              </w:rPr>
            </w:pPr>
            <w:r w:rsidRPr="006206F4">
              <w:rPr>
                <w:rFonts w:ascii="Arial" w:hAnsi="Arial" w:cs="Arial"/>
                <w:color w:val="000000"/>
                <w:sz w:val="16"/>
                <w:szCs w:val="16"/>
              </w:rPr>
              <w:t>214</w:t>
            </w:r>
          </w:p>
        </w:tc>
        <w:tc>
          <w:tcPr>
            <w:tcW w:w="522" w:type="pct"/>
            <w:tcBorders>
              <w:top w:val="nil"/>
              <w:left w:val="nil"/>
              <w:bottom w:val="nil"/>
              <w:right w:val="nil"/>
            </w:tcBorders>
            <w:shd w:val="clear" w:color="000000" w:fill="FFFFFF"/>
            <w:noWrap/>
            <w:vAlign w:val="center"/>
            <w:hideMark/>
          </w:tcPr>
          <w:p w14:paraId="46ECF484" w14:textId="77777777" w:rsidR="006206F4" w:rsidRPr="006206F4" w:rsidRDefault="006206F4" w:rsidP="006206F4">
            <w:pPr>
              <w:spacing w:before="0" w:after="0" w:line="240" w:lineRule="auto"/>
              <w:jc w:val="right"/>
              <w:rPr>
                <w:rFonts w:ascii="Arial" w:hAnsi="Arial" w:cs="Arial"/>
                <w:color w:val="000000"/>
                <w:sz w:val="16"/>
                <w:szCs w:val="16"/>
              </w:rPr>
            </w:pPr>
            <w:r w:rsidRPr="006206F4">
              <w:rPr>
                <w:rFonts w:ascii="Arial" w:hAnsi="Arial" w:cs="Arial"/>
                <w:color w:val="000000"/>
                <w:sz w:val="16"/>
                <w:szCs w:val="16"/>
              </w:rPr>
              <w:t>244</w:t>
            </w:r>
          </w:p>
        </w:tc>
        <w:tc>
          <w:tcPr>
            <w:tcW w:w="522" w:type="pct"/>
            <w:tcBorders>
              <w:top w:val="nil"/>
              <w:left w:val="nil"/>
              <w:bottom w:val="nil"/>
              <w:right w:val="nil"/>
            </w:tcBorders>
            <w:shd w:val="clear" w:color="000000" w:fill="FFFFFF"/>
            <w:noWrap/>
            <w:vAlign w:val="center"/>
            <w:hideMark/>
          </w:tcPr>
          <w:p w14:paraId="0B6D4E30" w14:textId="77777777" w:rsidR="006206F4" w:rsidRPr="006206F4" w:rsidRDefault="006206F4" w:rsidP="006206F4">
            <w:pPr>
              <w:spacing w:before="0" w:after="0" w:line="240" w:lineRule="auto"/>
              <w:jc w:val="right"/>
              <w:rPr>
                <w:rFonts w:ascii="Arial" w:hAnsi="Arial" w:cs="Arial"/>
                <w:color w:val="000000"/>
                <w:sz w:val="16"/>
                <w:szCs w:val="16"/>
              </w:rPr>
            </w:pPr>
            <w:r w:rsidRPr="006206F4">
              <w:rPr>
                <w:rFonts w:ascii="Arial" w:hAnsi="Arial" w:cs="Arial"/>
                <w:color w:val="000000"/>
                <w:sz w:val="16"/>
                <w:szCs w:val="16"/>
              </w:rPr>
              <w:t>75</w:t>
            </w:r>
          </w:p>
        </w:tc>
      </w:tr>
      <w:tr w:rsidR="006206F4" w:rsidRPr="006206F4" w14:paraId="088B2766" w14:textId="77777777" w:rsidTr="00D556DF">
        <w:trPr>
          <w:trHeight w:hRule="exact" w:val="60"/>
        </w:trPr>
        <w:tc>
          <w:tcPr>
            <w:tcW w:w="2388" w:type="pct"/>
            <w:tcBorders>
              <w:top w:val="nil"/>
              <w:left w:val="nil"/>
              <w:bottom w:val="nil"/>
              <w:right w:val="nil"/>
            </w:tcBorders>
            <w:shd w:val="clear" w:color="000000" w:fill="FFFFFF"/>
            <w:noWrap/>
            <w:vAlign w:val="center"/>
            <w:hideMark/>
          </w:tcPr>
          <w:p w14:paraId="436A8C04" w14:textId="77777777" w:rsidR="006206F4" w:rsidRPr="006206F4" w:rsidRDefault="006206F4" w:rsidP="006206F4">
            <w:pPr>
              <w:spacing w:before="0" w:after="0" w:line="240" w:lineRule="auto"/>
              <w:rPr>
                <w:rFonts w:ascii="Arial" w:hAnsi="Arial" w:cs="Arial"/>
                <w:color w:val="000000"/>
                <w:sz w:val="16"/>
                <w:szCs w:val="16"/>
              </w:rPr>
            </w:pPr>
            <w:r w:rsidRPr="006206F4">
              <w:rPr>
                <w:rFonts w:ascii="Arial" w:hAnsi="Arial" w:cs="Arial"/>
                <w:color w:val="000000"/>
                <w:sz w:val="16"/>
                <w:szCs w:val="16"/>
              </w:rPr>
              <w:t> </w:t>
            </w:r>
          </w:p>
        </w:tc>
        <w:tc>
          <w:tcPr>
            <w:tcW w:w="523" w:type="pct"/>
            <w:tcBorders>
              <w:top w:val="nil"/>
              <w:left w:val="nil"/>
              <w:bottom w:val="nil"/>
              <w:right w:val="nil"/>
            </w:tcBorders>
            <w:shd w:val="clear" w:color="000000" w:fill="FFFFFF"/>
            <w:noWrap/>
            <w:vAlign w:val="center"/>
            <w:hideMark/>
          </w:tcPr>
          <w:p w14:paraId="698A4759" w14:textId="77777777" w:rsidR="006206F4" w:rsidRPr="006206F4" w:rsidRDefault="006206F4" w:rsidP="006206F4">
            <w:pPr>
              <w:spacing w:before="0" w:after="0" w:line="240" w:lineRule="auto"/>
              <w:rPr>
                <w:rFonts w:ascii="Arial" w:hAnsi="Arial" w:cs="Arial"/>
                <w:color w:val="000000"/>
                <w:sz w:val="16"/>
                <w:szCs w:val="16"/>
              </w:rPr>
            </w:pPr>
            <w:r w:rsidRPr="006206F4">
              <w:rPr>
                <w:rFonts w:ascii="Arial" w:hAnsi="Arial" w:cs="Arial"/>
                <w:color w:val="000000"/>
                <w:sz w:val="16"/>
                <w:szCs w:val="16"/>
              </w:rPr>
              <w:t> </w:t>
            </w:r>
          </w:p>
        </w:tc>
        <w:tc>
          <w:tcPr>
            <w:tcW w:w="522" w:type="pct"/>
            <w:tcBorders>
              <w:top w:val="nil"/>
              <w:left w:val="nil"/>
              <w:bottom w:val="nil"/>
              <w:right w:val="nil"/>
            </w:tcBorders>
            <w:shd w:val="clear" w:color="000000" w:fill="E6F2FF"/>
            <w:noWrap/>
            <w:vAlign w:val="center"/>
            <w:hideMark/>
          </w:tcPr>
          <w:p w14:paraId="78E00FA0" w14:textId="77777777" w:rsidR="006206F4" w:rsidRPr="006206F4" w:rsidRDefault="006206F4" w:rsidP="006206F4">
            <w:pPr>
              <w:spacing w:before="0" w:after="0" w:line="240" w:lineRule="auto"/>
              <w:rPr>
                <w:rFonts w:ascii="Arial" w:hAnsi="Arial" w:cs="Arial"/>
                <w:color w:val="000000"/>
                <w:sz w:val="16"/>
                <w:szCs w:val="16"/>
              </w:rPr>
            </w:pPr>
            <w:r w:rsidRPr="006206F4">
              <w:rPr>
                <w:rFonts w:ascii="Arial" w:hAnsi="Arial" w:cs="Arial"/>
                <w:color w:val="000000"/>
                <w:sz w:val="16"/>
                <w:szCs w:val="16"/>
              </w:rPr>
              <w:t> </w:t>
            </w:r>
          </w:p>
        </w:tc>
        <w:tc>
          <w:tcPr>
            <w:tcW w:w="522" w:type="pct"/>
            <w:tcBorders>
              <w:top w:val="nil"/>
              <w:left w:val="nil"/>
              <w:bottom w:val="nil"/>
              <w:right w:val="nil"/>
            </w:tcBorders>
            <w:shd w:val="clear" w:color="000000" w:fill="FFFFFF"/>
            <w:noWrap/>
            <w:vAlign w:val="center"/>
            <w:hideMark/>
          </w:tcPr>
          <w:p w14:paraId="46C4555A" w14:textId="77777777" w:rsidR="006206F4" w:rsidRPr="006206F4" w:rsidRDefault="006206F4" w:rsidP="006206F4">
            <w:pPr>
              <w:spacing w:before="0" w:after="0" w:line="240" w:lineRule="auto"/>
              <w:rPr>
                <w:rFonts w:ascii="Arial" w:hAnsi="Arial" w:cs="Arial"/>
                <w:color w:val="000000"/>
                <w:sz w:val="16"/>
                <w:szCs w:val="16"/>
              </w:rPr>
            </w:pPr>
            <w:r w:rsidRPr="006206F4">
              <w:rPr>
                <w:rFonts w:ascii="Arial" w:hAnsi="Arial" w:cs="Arial"/>
                <w:color w:val="000000"/>
                <w:sz w:val="16"/>
                <w:szCs w:val="16"/>
              </w:rPr>
              <w:t> </w:t>
            </w:r>
          </w:p>
        </w:tc>
        <w:tc>
          <w:tcPr>
            <w:tcW w:w="522" w:type="pct"/>
            <w:tcBorders>
              <w:top w:val="nil"/>
              <w:left w:val="nil"/>
              <w:bottom w:val="nil"/>
              <w:right w:val="nil"/>
            </w:tcBorders>
            <w:shd w:val="clear" w:color="000000" w:fill="FFFFFF"/>
            <w:noWrap/>
            <w:vAlign w:val="center"/>
            <w:hideMark/>
          </w:tcPr>
          <w:p w14:paraId="750B2AA5" w14:textId="77777777" w:rsidR="006206F4" w:rsidRPr="006206F4" w:rsidRDefault="006206F4" w:rsidP="006206F4">
            <w:pPr>
              <w:spacing w:before="0" w:after="0" w:line="240" w:lineRule="auto"/>
              <w:rPr>
                <w:rFonts w:ascii="Arial" w:hAnsi="Arial" w:cs="Arial"/>
                <w:color w:val="000000"/>
                <w:sz w:val="16"/>
                <w:szCs w:val="16"/>
              </w:rPr>
            </w:pPr>
            <w:r w:rsidRPr="006206F4">
              <w:rPr>
                <w:rFonts w:ascii="Arial" w:hAnsi="Arial" w:cs="Arial"/>
                <w:color w:val="000000"/>
                <w:sz w:val="16"/>
                <w:szCs w:val="16"/>
              </w:rPr>
              <w:t> </w:t>
            </w:r>
          </w:p>
        </w:tc>
        <w:tc>
          <w:tcPr>
            <w:tcW w:w="522" w:type="pct"/>
            <w:tcBorders>
              <w:top w:val="nil"/>
              <w:left w:val="nil"/>
              <w:bottom w:val="nil"/>
              <w:right w:val="nil"/>
            </w:tcBorders>
            <w:shd w:val="clear" w:color="000000" w:fill="FFFFFF"/>
            <w:noWrap/>
            <w:vAlign w:val="center"/>
            <w:hideMark/>
          </w:tcPr>
          <w:p w14:paraId="486FEAAF" w14:textId="77777777" w:rsidR="006206F4" w:rsidRPr="006206F4" w:rsidRDefault="006206F4" w:rsidP="006206F4">
            <w:pPr>
              <w:spacing w:before="0" w:after="0" w:line="240" w:lineRule="auto"/>
              <w:rPr>
                <w:rFonts w:ascii="Arial" w:hAnsi="Arial" w:cs="Arial"/>
                <w:color w:val="000000"/>
                <w:sz w:val="16"/>
                <w:szCs w:val="16"/>
              </w:rPr>
            </w:pPr>
            <w:r w:rsidRPr="006206F4">
              <w:rPr>
                <w:rFonts w:ascii="Arial" w:hAnsi="Arial" w:cs="Arial"/>
                <w:color w:val="000000"/>
                <w:sz w:val="16"/>
                <w:szCs w:val="16"/>
              </w:rPr>
              <w:t> </w:t>
            </w:r>
          </w:p>
        </w:tc>
      </w:tr>
      <w:tr w:rsidR="006206F4" w:rsidRPr="006206F4" w14:paraId="06A6C2A6" w14:textId="77777777" w:rsidTr="00D556DF">
        <w:trPr>
          <w:trHeight w:hRule="exact" w:val="225"/>
        </w:trPr>
        <w:tc>
          <w:tcPr>
            <w:tcW w:w="2388" w:type="pct"/>
            <w:tcBorders>
              <w:top w:val="nil"/>
              <w:left w:val="nil"/>
              <w:bottom w:val="nil"/>
              <w:right w:val="nil"/>
            </w:tcBorders>
            <w:shd w:val="clear" w:color="000000" w:fill="FFFFFF"/>
            <w:vAlign w:val="center"/>
            <w:hideMark/>
          </w:tcPr>
          <w:p w14:paraId="5D733624" w14:textId="77777777" w:rsidR="006206F4" w:rsidRPr="006206F4" w:rsidRDefault="006206F4" w:rsidP="006206F4">
            <w:pPr>
              <w:spacing w:before="0" w:after="0" w:line="240" w:lineRule="auto"/>
              <w:rPr>
                <w:rFonts w:ascii="Arial" w:hAnsi="Arial" w:cs="Arial"/>
                <w:b/>
                <w:bCs/>
                <w:color w:val="000000"/>
                <w:sz w:val="16"/>
                <w:szCs w:val="16"/>
              </w:rPr>
            </w:pPr>
            <w:r w:rsidRPr="006206F4">
              <w:rPr>
                <w:rFonts w:ascii="Arial" w:hAnsi="Arial" w:cs="Arial"/>
                <w:b/>
                <w:bCs/>
                <w:color w:val="000000"/>
                <w:sz w:val="16"/>
                <w:szCs w:val="16"/>
              </w:rPr>
              <w:t xml:space="preserve">General government purchases </w:t>
            </w:r>
          </w:p>
        </w:tc>
        <w:tc>
          <w:tcPr>
            <w:tcW w:w="523" w:type="pct"/>
            <w:tcBorders>
              <w:top w:val="single" w:sz="4" w:space="0" w:color="293F5B"/>
              <w:left w:val="nil"/>
              <w:bottom w:val="nil"/>
              <w:right w:val="nil"/>
            </w:tcBorders>
            <w:shd w:val="clear" w:color="000000" w:fill="FFFFFF"/>
            <w:noWrap/>
            <w:vAlign w:val="center"/>
            <w:hideMark/>
          </w:tcPr>
          <w:p w14:paraId="27F0E4DD" w14:textId="77777777" w:rsidR="006206F4" w:rsidRPr="006206F4" w:rsidRDefault="006206F4" w:rsidP="006206F4">
            <w:pPr>
              <w:spacing w:before="0" w:after="0" w:line="240" w:lineRule="auto"/>
              <w:rPr>
                <w:rFonts w:ascii="Arial" w:hAnsi="Arial" w:cs="Arial"/>
                <w:color w:val="000000"/>
                <w:sz w:val="16"/>
                <w:szCs w:val="16"/>
              </w:rPr>
            </w:pPr>
            <w:r w:rsidRPr="006206F4">
              <w:rPr>
                <w:rFonts w:ascii="Arial" w:hAnsi="Arial" w:cs="Arial"/>
                <w:color w:val="000000"/>
                <w:sz w:val="16"/>
                <w:szCs w:val="16"/>
              </w:rPr>
              <w:t> </w:t>
            </w:r>
          </w:p>
        </w:tc>
        <w:tc>
          <w:tcPr>
            <w:tcW w:w="522" w:type="pct"/>
            <w:tcBorders>
              <w:top w:val="single" w:sz="4" w:space="0" w:color="293F5B"/>
              <w:left w:val="nil"/>
              <w:bottom w:val="nil"/>
              <w:right w:val="nil"/>
            </w:tcBorders>
            <w:shd w:val="clear" w:color="000000" w:fill="E6F2FF"/>
            <w:noWrap/>
            <w:vAlign w:val="center"/>
            <w:hideMark/>
          </w:tcPr>
          <w:p w14:paraId="5F88A755" w14:textId="77777777" w:rsidR="006206F4" w:rsidRPr="006206F4" w:rsidRDefault="006206F4" w:rsidP="006206F4">
            <w:pPr>
              <w:spacing w:before="0" w:after="0" w:line="240" w:lineRule="auto"/>
              <w:rPr>
                <w:rFonts w:ascii="Arial" w:hAnsi="Arial" w:cs="Arial"/>
                <w:color w:val="000000"/>
                <w:sz w:val="16"/>
                <w:szCs w:val="16"/>
              </w:rPr>
            </w:pPr>
            <w:r w:rsidRPr="006206F4">
              <w:rPr>
                <w:rFonts w:ascii="Arial" w:hAnsi="Arial" w:cs="Arial"/>
                <w:color w:val="000000"/>
                <w:sz w:val="16"/>
                <w:szCs w:val="16"/>
              </w:rPr>
              <w:t> </w:t>
            </w:r>
          </w:p>
        </w:tc>
        <w:tc>
          <w:tcPr>
            <w:tcW w:w="522" w:type="pct"/>
            <w:tcBorders>
              <w:top w:val="single" w:sz="4" w:space="0" w:color="293F5B"/>
              <w:left w:val="nil"/>
              <w:bottom w:val="nil"/>
              <w:right w:val="nil"/>
            </w:tcBorders>
            <w:shd w:val="clear" w:color="000000" w:fill="FFFFFF"/>
            <w:noWrap/>
            <w:vAlign w:val="center"/>
            <w:hideMark/>
          </w:tcPr>
          <w:p w14:paraId="188858CC" w14:textId="77777777" w:rsidR="006206F4" w:rsidRPr="006206F4" w:rsidRDefault="006206F4" w:rsidP="006206F4">
            <w:pPr>
              <w:spacing w:before="0" w:after="0" w:line="240" w:lineRule="auto"/>
              <w:rPr>
                <w:rFonts w:ascii="Arial" w:hAnsi="Arial" w:cs="Arial"/>
                <w:color w:val="000000"/>
                <w:sz w:val="16"/>
                <w:szCs w:val="16"/>
              </w:rPr>
            </w:pPr>
            <w:r w:rsidRPr="006206F4">
              <w:rPr>
                <w:rFonts w:ascii="Arial" w:hAnsi="Arial" w:cs="Arial"/>
                <w:color w:val="000000"/>
                <w:sz w:val="16"/>
                <w:szCs w:val="16"/>
              </w:rPr>
              <w:t> </w:t>
            </w:r>
          </w:p>
        </w:tc>
        <w:tc>
          <w:tcPr>
            <w:tcW w:w="522" w:type="pct"/>
            <w:tcBorders>
              <w:top w:val="single" w:sz="4" w:space="0" w:color="293F5B"/>
              <w:left w:val="nil"/>
              <w:bottom w:val="nil"/>
              <w:right w:val="nil"/>
            </w:tcBorders>
            <w:shd w:val="clear" w:color="000000" w:fill="FFFFFF"/>
            <w:noWrap/>
            <w:vAlign w:val="center"/>
            <w:hideMark/>
          </w:tcPr>
          <w:p w14:paraId="41C359AF" w14:textId="77777777" w:rsidR="006206F4" w:rsidRPr="006206F4" w:rsidRDefault="006206F4" w:rsidP="006206F4">
            <w:pPr>
              <w:spacing w:before="0" w:after="0" w:line="240" w:lineRule="auto"/>
              <w:rPr>
                <w:rFonts w:ascii="Arial" w:hAnsi="Arial" w:cs="Arial"/>
                <w:color w:val="000000"/>
                <w:sz w:val="16"/>
                <w:szCs w:val="16"/>
              </w:rPr>
            </w:pPr>
            <w:r w:rsidRPr="006206F4">
              <w:rPr>
                <w:rFonts w:ascii="Arial" w:hAnsi="Arial" w:cs="Arial"/>
                <w:color w:val="000000"/>
                <w:sz w:val="16"/>
                <w:szCs w:val="16"/>
              </w:rPr>
              <w:t> </w:t>
            </w:r>
          </w:p>
        </w:tc>
        <w:tc>
          <w:tcPr>
            <w:tcW w:w="522" w:type="pct"/>
            <w:tcBorders>
              <w:top w:val="single" w:sz="4" w:space="0" w:color="293F5B"/>
              <w:left w:val="nil"/>
              <w:bottom w:val="nil"/>
              <w:right w:val="nil"/>
            </w:tcBorders>
            <w:shd w:val="clear" w:color="000000" w:fill="FFFFFF"/>
            <w:noWrap/>
            <w:vAlign w:val="center"/>
            <w:hideMark/>
          </w:tcPr>
          <w:p w14:paraId="7E5464AA" w14:textId="77777777" w:rsidR="006206F4" w:rsidRPr="006206F4" w:rsidRDefault="006206F4" w:rsidP="006206F4">
            <w:pPr>
              <w:spacing w:before="0" w:after="0" w:line="240" w:lineRule="auto"/>
              <w:rPr>
                <w:rFonts w:ascii="Arial" w:hAnsi="Arial" w:cs="Arial"/>
                <w:color w:val="000000"/>
                <w:sz w:val="16"/>
                <w:szCs w:val="16"/>
              </w:rPr>
            </w:pPr>
            <w:r w:rsidRPr="006206F4">
              <w:rPr>
                <w:rFonts w:ascii="Arial" w:hAnsi="Arial" w:cs="Arial"/>
                <w:color w:val="000000"/>
                <w:sz w:val="16"/>
                <w:szCs w:val="16"/>
              </w:rPr>
              <w:t> </w:t>
            </w:r>
          </w:p>
        </w:tc>
      </w:tr>
      <w:tr w:rsidR="006206F4" w:rsidRPr="006206F4" w14:paraId="79EEFD32" w14:textId="77777777" w:rsidTr="00D556DF">
        <w:trPr>
          <w:trHeight w:hRule="exact" w:val="225"/>
        </w:trPr>
        <w:tc>
          <w:tcPr>
            <w:tcW w:w="2388" w:type="pct"/>
            <w:tcBorders>
              <w:top w:val="nil"/>
              <w:left w:val="nil"/>
              <w:bottom w:val="single" w:sz="4" w:space="0" w:color="293F5B"/>
              <w:right w:val="nil"/>
            </w:tcBorders>
            <w:shd w:val="clear" w:color="000000" w:fill="FFFFFF"/>
            <w:vAlign w:val="center"/>
            <w:hideMark/>
          </w:tcPr>
          <w:p w14:paraId="46861B91" w14:textId="77777777" w:rsidR="006206F4" w:rsidRPr="006206F4" w:rsidRDefault="006206F4" w:rsidP="00D556DF">
            <w:pPr>
              <w:spacing w:before="0" w:after="0" w:line="240" w:lineRule="auto"/>
              <w:ind w:left="170"/>
              <w:rPr>
                <w:rFonts w:ascii="Arial" w:hAnsi="Arial" w:cs="Arial"/>
                <w:b/>
                <w:bCs/>
                <w:color w:val="000000"/>
                <w:sz w:val="16"/>
                <w:szCs w:val="16"/>
              </w:rPr>
            </w:pPr>
            <w:r w:rsidRPr="006206F4">
              <w:rPr>
                <w:rFonts w:ascii="Arial" w:hAnsi="Arial" w:cs="Arial"/>
                <w:b/>
                <w:bCs/>
                <w:color w:val="000000"/>
                <w:sz w:val="16"/>
                <w:szCs w:val="16"/>
              </w:rPr>
              <w:t>of non-financial assets</w:t>
            </w:r>
          </w:p>
        </w:tc>
        <w:tc>
          <w:tcPr>
            <w:tcW w:w="523" w:type="pct"/>
            <w:tcBorders>
              <w:top w:val="nil"/>
              <w:left w:val="nil"/>
              <w:bottom w:val="single" w:sz="4" w:space="0" w:color="293F5B"/>
              <w:right w:val="nil"/>
            </w:tcBorders>
            <w:shd w:val="clear" w:color="000000" w:fill="FFFFFF"/>
            <w:noWrap/>
            <w:vAlign w:val="center"/>
            <w:hideMark/>
          </w:tcPr>
          <w:p w14:paraId="21DC6B89" w14:textId="77777777" w:rsidR="006206F4" w:rsidRPr="006206F4" w:rsidRDefault="006206F4" w:rsidP="006206F4">
            <w:pPr>
              <w:spacing w:before="0" w:after="0" w:line="240" w:lineRule="auto"/>
              <w:jc w:val="right"/>
              <w:rPr>
                <w:rFonts w:ascii="Arial" w:hAnsi="Arial" w:cs="Arial"/>
                <w:b/>
                <w:bCs/>
                <w:color w:val="000000"/>
                <w:sz w:val="16"/>
                <w:szCs w:val="16"/>
              </w:rPr>
            </w:pPr>
            <w:r w:rsidRPr="006206F4">
              <w:rPr>
                <w:rFonts w:ascii="Arial" w:hAnsi="Arial" w:cs="Arial"/>
                <w:b/>
                <w:bCs/>
                <w:color w:val="000000"/>
                <w:sz w:val="16"/>
                <w:szCs w:val="16"/>
              </w:rPr>
              <w:t>21,771</w:t>
            </w:r>
          </w:p>
        </w:tc>
        <w:tc>
          <w:tcPr>
            <w:tcW w:w="522" w:type="pct"/>
            <w:tcBorders>
              <w:top w:val="nil"/>
              <w:left w:val="nil"/>
              <w:bottom w:val="single" w:sz="4" w:space="0" w:color="293F5B"/>
              <w:right w:val="nil"/>
            </w:tcBorders>
            <w:shd w:val="clear" w:color="000000" w:fill="E6F2FF"/>
            <w:noWrap/>
            <w:vAlign w:val="center"/>
            <w:hideMark/>
          </w:tcPr>
          <w:p w14:paraId="201622CA" w14:textId="77777777" w:rsidR="006206F4" w:rsidRPr="006206F4" w:rsidRDefault="006206F4" w:rsidP="006206F4">
            <w:pPr>
              <w:spacing w:before="0" w:after="0" w:line="240" w:lineRule="auto"/>
              <w:jc w:val="right"/>
              <w:rPr>
                <w:rFonts w:ascii="Arial" w:hAnsi="Arial" w:cs="Arial"/>
                <w:b/>
                <w:bCs/>
                <w:color w:val="000000"/>
                <w:sz w:val="16"/>
                <w:szCs w:val="16"/>
              </w:rPr>
            </w:pPr>
            <w:r w:rsidRPr="006206F4">
              <w:rPr>
                <w:rFonts w:ascii="Arial" w:hAnsi="Arial" w:cs="Arial"/>
                <w:b/>
                <w:bCs/>
                <w:color w:val="000000"/>
                <w:sz w:val="16"/>
                <w:szCs w:val="16"/>
              </w:rPr>
              <w:t>21,960</w:t>
            </w:r>
          </w:p>
        </w:tc>
        <w:tc>
          <w:tcPr>
            <w:tcW w:w="522" w:type="pct"/>
            <w:tcBorders>
              <w:top w:val="nil"/>
              <w:left w:val="nil"/>
              <w:bottom w:val="single" w:sz="4" w:space="0" w:color="293F5B"/>
              <w:right w:val="nil"/>
            </w:tcBorders>
            <w:shd w:val="clear" w:color="000000" w:fill="FFFFFF"/>
            <w:noWrap/>
            <w:vAlign w:val="center"/>
            <w:hideMark/>
          </w:tcPr>
          <w:p w14:paraId="0C4165D2" w14:textId="77777777" w:rsidR="006206F4" w:rsidRPr="006206F4" w:rsidRDefault="006206F4" w:rsidP="006206F4">
            <w:pPr>
              <w:spacing w:before="0" w:after="0" w:line="240" w:lineRule="auto"/>
              <w:jc w:val="right"/>
              <w:rPr>
                <w:rFonts w:ascii="Arial" w:hAnsi="Arial" w:cs="Arial"/>
                <w:b/>
                <w:bCs/>
                <w:color w:val="000000"/>
                <w:sz w:val="16"/>
                <w:szCs w:val="16"/>
              </w:rPr>
            </w:pPr>
            <w:r w:rsidRPr="006206F4">
              <w:rPr>
                <w:rFonts w:ascii="Arial" w:hAnsi="Arial" w:cs="Arial"/>
                <w:b/>
                <w:bCs/>
                <w:color w:val="000000"/>
                <w:sz w:val="16"/>
                <w:szCs w:val="16"/>
              </w:rPr>
              <w:t>20,556</w:t>
            </w:r>
          </w:p>
        </w:tc>
        <w:tc>
          <w:tcPr>
            <w:tcW w:w="522" w:type="pct"/>
            <w:tcBorders>
              <w:top w:val="nil"/>
              <w:left w:val="nil"/>
              <w:bottom w:val="single" w:sz="4" w:space="0" w:color="293F5B"/>
              <w:right w:val="nil"/>
            </w:tcBorders>
            <w:shd w:val="clear" w:color="000000" w:fill="FFFFFF"/>
            <w:noWrap/>
            <w:vAlign w:val="center"/>
            <w:hideMark/>
          </w:tcPr>
          <w:p w14:paraId="43EBD2E0" w14:textId="77777777" w:rsidR="006206F4" w:rsidRPr="006206F4" w:rsidRDefault="006206F4" w:rsidP="006206F4">
            <w:pPr>
              <w:spacing w:before="0" w:after="0" w:line="240" w:lineRule="auto"/>
              <w:jc w:val="right"/>
              <w:rPr>
                <w:rFonts w:ascii="Arial" w:hAnsi="Arial" w:cs="Arial"/>
                <w:b/>
                <w:bCs/>
                <w:color w:val="000000"/>
                <w:sz w:val="16"/>
                <w:szCs w:val="16"/>
              </w:rPr>
            </w:pPr>
            <w:r w:rsidRPr="006206F4">
              <w:rPr>
                <w:rFonts w:ascii="Arial" w:hAnsi="Arial" w:cs="Arial"/>
                <w:b/>
                <w:bCs/>
                <w:color w:val="000000"/>
                <w:sz w:val="16"/>
                <w:szCs w:val="16"/>
              </w:rPr>
              <w:t>21,785</w:t>
            </w:r>
          </w:p>
        </w:tc>
        <w:tc>
          <w:tcPr>
            <w:tcW w:w="522" w:type="pct"/>
            <w:tcBorders>
              <w:top w:val="nil"/>
              <w:left w:val="nil"/>
              <w:bottom w:val="single" w:sz="4" w:space="0" w:color="293F5B"/>
              <w:right w:val="nil"/>
            </w:tcBorders>
            <w:shd w:val="clear" w:color="000000" w:fill="FFFFFF"/>
            <w:noWrap/>
            <w:vAlign w:val="center"/>
            <w:hideMark/>
          </w:tcPr>
          <w:p w14:paraId="4905ADF2" w14:textId="77777777" w:rsidR="006206F4" w:rsidRPr="006206F4" w:rsidRDefault="006206F4" w:rsidP="006206F4">
            <w:pPr>
              <w:spacing w:before="0" w:after="0" w:line="240" w:lineRule="auto"/>
              <w:jc w:val="right"/>
              <w:rPr>
                <w:rFonts w:ascii="Arial" w:hAnsi="Arial" w:cs="Arial"/>
                <w:b/>
                <w:bCs/>
                <w:color w:val="000000"/>
                <w:sz w:val="16"/>
                <w:szCs w:val="16"/>
              </w:rPr>
            </w:pPr>
            <w:r w:rsidRPr="006206F4">
              <w:rPr>
                <w:rFonts w:ascii="Arial" w:hAnsi="Arial" w:cs="Arial"/>
                <w:b/>
                <w:bCs/>
                <w:color w:val="000000"/>
                <w:sz w:val="16"/>
                <w:szCs w:val="16"/>
              </w:rPr>
              <w:t>24,917</w:t>
            </w:r>
          </w:p>
        </w:tc>
      </w:tr>
    </w:tbl>
    <w:p w14:paraId="01D55FBD" w14:textId="695DA2CA" w:rsidR="00ED485A" w:rsidRPr="00F04792" w:rsidRDefault="00ED485A" w:rsidP="00F04792">
      <w:pPr>
        <w:pStyle w:val="Heading2"/>
        <w:rPr>
          <w:sz w:val="30"/>
          <w:szCs w:val="30"/>
        </w:rPr>
      </w:pPr>
      <w:bookmarkStart w:id="205" w:name="_Toc166369435"/>
      <w:r w:rsidRPr="00F04792">
        <w:rPr>
          <w:sz w:val="30"/>
          <w:szCs w:val="30"/>
        </w:rPr>
        <w:lastRenderedPageBreak/>
        <w:t>Appendix A: Expense by function and sub</w:t>
      </w:r>
      <w:r w:rsidR="008D4F6B" w:rsidRPr="00F04792">
        <w:rPr>
          <w:sz w:val="30"/>
          <w:szCs w:val="30"/>
        </w:rPr>
        <w:noBreakHyphen/>
      </w:r>
      <w:r w:rsidRPr="00F04792">
        <w:rPr>
          <w:sz w:val="30"/>
          <w:szCs w:val="30"/>
        </w:rPr>
        <w:t>function</w:t>
      </w:r>
      <w:bookmarkEnd w:id="200"/>
      <w:bookmarkEnd w:id="201"/>
      <w:bookmarkEnd w:id="202"/>
      <w:bookmarkEnd w:id="203"/>
      <w:bookmarkEnd w:id="205"/>
    </w:p>
    <w:p w14:paraId="783C8200" w14:textId="031C2254" w:rsidR="00D77000" w:rsidRDefault="004C4B96" w:rsidP="00D77000">
      <w:pPr>
        <w:pStyle w:val="TableHeading"/>
        <w:rPr>
          <w:rFonts w:asciiTheme="minorHAnsi" w:eastAsiaTheme="minorHAnsi" w:hAnsiTheme="minorHAnsi" w:cstheme="minorBidi"/>
          <w:sz w:val="22"/>
          <w:szCs w:val="22"/>
          <w:lang w:eastAsia="en-US"/>
        </w:rPr>
      </w:pPr>
      <w:r>
        <w:t>Table </w:t>
      </w:r>
      <w:r w:rsidRPr="000177D7">
        <w:t>6A.1: Estimates of expenses by function and sub</w:t>
      </w:r>
      <w:r w:rsidR="008D4F6B">
        <w:noBreakHyphen/>
      </w:r>
      <w:r w:rsidRPr="007C7AA6">
        <w:t>functio</w:t>
      </w:r>
      <w:bookmarkStart w:id="206" w:name="_1727774421"/>
      <w:bookmarkEnd w:id="206"/>
      <w:r w:rsidRPr="007C7AA6">
        <w:t>n</w:t>
      </w:r>
    </w:p>
    <w:tbl>
      <w:tblPr>
        <w:tblW w:w="5000" w:type="pct"/>
        <w:tblCellMar>
          <w:left w:w="0" w:type="dxa"/>
          <w:right w:w="28" w:type="dxa"/>
        </w:tblCellMar>
        <w:tblLook w:val="04A0" w:firstRow="1" w:lastRow="0" w:firstColumn="1" w:lastColumn="0" w:noHBand="0" w:noVBand="1"/>
      </w:tblPr>
      <w:tblGrid>
        <w:gridCol w:w="3008"/>
        <w:gridCol w:w="781"/>
        <w:gridCol w:w="86"/>
        <w:gridCol w:w="768"/>
        <w:gridCol w:w="766"/>
        <w:gridCol w:w="766"/>
        <w:gridCol w:w="766"/>
        <w:gridCol w:w="769"/>
      </w:tblGrid>
      <w:tr w:rsidR="00D77000" w:rsidRPr="00D77000" w14:paraId="590DFFAF" w14:textId="77777777" w:rsidTr="007C7AA6">
        <w:trPr>
          <w:trHeight w:hRule="exact" w:val="225"/>
        </w:trPr>
        <w:tc>
          <w:tcPr>
            <w:tcW w:w="1950" w:type="pct"/>
            <w:tcBorders>
              <w:top w:val="single" w:sz="4" w:space="0" w:color="293F5B"/>
              <w:left w:val="nil"/>
              <w:bottom w:val="nil"/>
              <w:right w:val="nil"/>
            </w:tcBorders>
            <w:shd w:val="clear" w:color="000000" w:fill="FFFFFF"/>
            <w:noWrap/>
            <w:vAlign w:val="center"/>
            <w:hideMark/>
          </w:tcPr>
          <w:p w14:paraId="7726F456" w14:textId="027C5E5B" w:rsidR="00D77000" w:rsidRPr="00D77000" w:rsidRDefault="00D77000" w:rsidP="00D77000">
            <w:pPr>
              <w:spacing w:before="0" w:after="0" w:line="240" w:lineRule="auto"/>
              <w:rPr>
                <w:rFonts w:ascii="Arial" w:hAnsi="Arial" w:cs="Arial"/>
                <w:color w:val="000000"/>
                <w:sz w:val="16"/>
                <w:szCs w:val="16"/>
              </w:rPr>
            </w:pPr>
            <w:r w:rsidRPr="00D77000">
              <w:rPr>
                <w:rFonts w:ascii="Arial" w:hAnsi="Arial" w:cs="Arial"/>
                <w:color w:val="000000"/>
                <w:sz w:val="16"/>
                <w:szCs w:val="16"/>
              </w:rPr>
              <w:t> </w:t>
            </w:r>
          </w:p>
        </w:tc>
        <w:tc>
          <w:tcPr>
            <w:tcW w:w="506" w:type="pct"/>
            <w:tcBorders>
              <w:top w:val="single" w:sz="4" w:space="0" w:color="293F5B"/>
              <w:left w:val="nil"/>
              <w:bottom w:val="single" w:sz="4" w:space="0" w:color="293F5B"/>
              <w:right w:val="nil"/>
            </w:tcBorders>
            <w:shd w:val="clear" w:color="000000" w:fill="FFFFFF"/>
            <w:noWrap/>
            <w:vAlign w:val="center"/>
            <w:hideMark/>
          </w:tcPr>
          <w:p w14:paraId="2C7873E4" w14:textId="77777777" w:rsidR="00D77000" w:rsidRPr="00D77000" w:rsidRDefault="00D77000" w:rsidP="00D77000">
            <w:pPr>
              <w:spacing w:before="0" w:after="0" w:line="240" w:lineRule="auto"/>
              <w:jc w:val="center"/>
              <w:rPr>
                <w:rFonts w:ascii="Arial" w:hAnsi="Arial" w:cs="Arial"/>
                <w:color w:val="000000"/>
                <w:sz w:val="16"/>
                <w:szCs w:val="16"/>
              </w:rPr>
            </w:pPr>
            <w:r w:rsidRPr="00D77000">
              <w:rPr>
                <w:rFonts w:ascii="Arial" w:hAnsi="Arial" w:cs="Arial"/>
                <w:color w:val="000000"/>
                <w:sz w:val="16"/>
                <w:szCs w:val="16"/>
              </w:rPr>
              <w:t>Actual</w:t>
            </w:r>
          </w:p>
        </w:tc>
        <w:tc>
          <w:tcPr>
            <w:tcW w:w="56" w:type="pct"/>
            <w:tcBorders>
              <w:top w:val="single" w:sz="4" w:space="0" w:color="293F5B"/>
              <w:left w:val="nil"/>
              <w:bottom w:val="nil"/>
              <w:right w:val="nil"/>
            </w:tcBorders>
            <w:shd w:val="clear" w:color="000000" w:fill="FFFFFF"/>
            <w:noWrap/>
            <w:vAlign w:val="center"/>
            <w:hideMark/>
          </w:tcPr>
          <w:p w14:paraId="2402B3FE" w14:textId="77777777" w:rsidR="00D77000" w:rsidRPr="00D77000" w:rsidRDefault="00D77000" w:rsidP="00D77000">
            <w:pPr>
              <w:spacing w:before="0" w:after="0" w:line="240" w:lineRule="auto"/>
              <w:jc w:val="right"/>
              <w:rPr>
                <w:rFonts w:ascii="Arial" w:hAnsi="Arial" w:cs="Arial"/>
                <w:color w:val="000000"/>
                <w:sz w:val="16"/>
                <w:szCs w:val="16"/>
              </w:rPr>
            </w:pPr>
            <w:r w:rsidRPr="00D77000">
              <w:rPr>
                <w:rFonts w:ascii="Arial" w:hAnsi="Arial" w:cs="Arial"/>
                <w:color w:val="000000"/>
                <w:sz w:val="16"/>
                <w:szCs w:val="16"/>
              </w:rPr>
              <w:t> </w:t>
            </w:r>
          </w:p>
        </w:tc>
        <w:tc>
          <w:tcPr>
            <w:tcW w:w="2488" w:type="pct"/>
            <w:gridSpan w:val="5"/>
            <w:tcBorders>
              <w:top w:val="single" w:sz="4" w:space="0" w:color="293F5B"/>
              <w:left w:val="nil"/>
              <w:bottom w:val="single" w:sz="4" w:space="0" w:color="293F5B"/>
              <w:right w:val="nil"/>
            </w:tcBorders>
            <w:shd w:val="clear" w:color="000000" w:fill="FFFFFF"/>
            <w:noWrap/>
            <w:vAlign w:val="center"/>
            <w:hideMark/>
          </w:tcPr>
          <w:p w14:paraId="16BFD9AA" w14:textId="77777777" w:rsidR="00D77000" w:rsidRPr="00D77000" w:rsidRDefault="00D77000" w:rsidP="00D77000">
            <w:pPr>
              <w:spacing w:before="0" w:after="0" w:line="240" w:lineRule="auto"/>
              <w:jc w:val="center"/>
              <w:rPr>
                <w:rFonts w:ascii="Arial" w:hAnsi="Arial" w:cs="Arial"/>
                <w:sz w:val="16"/>
                <w:szCs w:val="16"/>
              </w:rPr>
            </w:pPr>
            <w:r w:rsidRPr="00D77000">
              <w:rPr>
                <w:rFonts w:ascii="Arial" w:hAnsi="Arial" w:cs="Arial"/>
                <w:sz w:val="16"/>
                <w:szCs w:val="16"/>
              </w:rPr>
              <w:t>Estimates</w:t>
            </w:r>
          </w:p>
        </w:tc>
      </w:tr>
      <w:tr w:rsidR="00D77000" w:rsidRPr="00D77000" w14:paraId="59ABE3CF" w14:textId="77777777" w:rsidTr="00D77000">
        <w:trPr>
          <w:trHeight w:hRule="exact" w:val="225"/>
        </w:trPr>
        <w:tc>
          <w:tcPr>
            <w:tcW w:w="1950" w:type="pct"/>
            <w:tcBorders>
              <w:top w:val="nil"/>
              <w:left w:val="nil"/>
              <w:bottom w:val="nil"/>
              <w:right w:val="nil"/>
            </w:tcBorders>
            <w:shd w:val="clear" w:color="000000" w:fill="FFFFFF"/>
            <w:noWrap/>
            <w:vAlign w:val="center"/>
            <w:hideMark/>
          </w:tcPr>
          <w:p w14:paraId="0916CDDF" w14:textId="77777777" w:rsidR="00D77000" w:rsidRPr="00D77000" w:rsidRDefault="00D77000" w:rsidP="00D77000">
            <w:pPr>
              <w:spacing w:before="0" w:after="0" w:line="240" w:lineRule="auto"/>
              <w:rPr>
                <w:rFonts w:ascii="Arial" w:hAnsi="Arial" w:cs="Arial"/>
                <w:color w:val="000000"/>
                <w:sz w:val="16"/>
                <w:szCs w:val="16"/>
              </w:rPr>
            </w:pPr>
            <w:r w:rsidRPr="00D77000">
              <w:rPr>
                <w:rFonts w:ascii="Arial" w:hAnsi="Arial" w:cs="Arial"/>
                <w:color w:val="000000"/>
                <w:sz w:val="16"/>
                <w:szCs w:val="16"/>
              </w:rPr>
              <w:t> </w:t>
            </w:r>
          </w:p>
        </w:tc>
        <w:tc>
          <w:tcPr>
            <w:tcW w:w="506" w:type="pct"/>
            <w:tcBorders>
              <w:top w:val="single" w:sz="4" w:space="0" w:color="293F5B"/>
              <w:left w:val="nil"/>
              <w:bottom w:val="nil"/>
              <w:right w:val="nil"/>
            </w:tcBorders>
            <w:shd w:val="clear" w:color="000000" w:fill="FFFFFF"/>
            <w:noWrap/>
            <w:vAlign w:val="center"/>
            <w:hideMark/>
          </w:tcPr>
          <w:p w14:paraId="4AE489B3" w14:textId="2B1A9FFD" w:rsidR="00D77000" w:rsidRPr="00D77000" w:rsidRDefault="00D77000" w:rsidP="00D77000">
            <w:pPr>
              <w:spacing w:before="0" w:after="0" w:line="240" w:lineRule="auto"/>
              <w:jc w:val="right"/>
              <w:rPr>
                <w:rFonts w:ascii="Arial" w:hAnsi="Arial" w:cs="Arial"/>
                <w:color w:val="000000"/>
                <w:sz w:val="16"/>
                <w:szCs w:val="16"/>
              </w:rPr>
            </w:pPr>
            <w:r w:rsidRPr="00D77000">
              <w:rPr>
                <w:rFonts w:ascii="Arial" w:hAnsi="Arial" w:cs="Arial"/>
                <w:color w:val="000000"/>
                <w:sz w:val="16"/>
                <w:szCs w:val="16"/>
              </w:rPr>
              <w:t>2022</w:t>
            </w:r>
            <w:r w:rsidR="008D4F6B">
              <w:rPr>
                <w:rFonts w:ascii="Arial" w:hAnsi="Arial" w:cs="Arial"/>
                <w:color w:val="000000"/>
                <w:sz w:val="16"/>
                <w:szCs w:val="16"/>
              </w:rPr>
              <w:noBreakHyphen/>
            </w:r>
            <w:r w:rsidRPr="00D77000">
              <w:rPr>
                <w:rFonts w:ascii="Arial" w:hAnsi="Arial" w:cs="Arial"/>
                <w:color w:val="000000"/>
                <w:sz w:val="16"/>
                <w:szCs w:val="16"/>
              </w:rPr>
              <w:t>23</w:t>
            </w:r>
          </w:p>
        </w:tc>
        <w:tc>
          <w:tcPr>
            <w:tcW w:w="56" w:type="pct"/>
            <w:tcBorders>
              <w:top w:val="nil"/>
              <w:left w:val="nil"/>
              <w:bottom w:val="nil"/>
              <w:right w:val="nil"/>
            </w:tcBorders>
            <w:shd w:val="clear" w:color="000000" w:fill="FFFFFF"/>
            <w:noWrap/>
            <w:vAlign w:val="center"/>
            <w:hideMark/>
          </w:tcPr>
          <w:p w14:paraId="3C837FE1" w14:textId="77777777" w:rsidR="00D77000" w:rsidRPr="00D77000" w:rsidRDefault="00D77000" w:rsidP="00D77000">
            <w:pPr>
              <w:spacing w:before="0" w:after="0" w:line="240" w:lineRule="auto"/>
              <w:jc w:val="right"/>
              <w:rPr>
                <w:rFonts w:ascii="Arial" w:hAnsi="Arial" w:cs="Arial"/>
                <w:color w:val="000000"/>
                <w:sz w:val="16"/>
                <w:szCs w:val="16"/>
              </w:rPr>
            </w:pPr>
            <w:r w:rsidRPr="00D77000">
              <w:rPr>
                <w:rFonts w:ascii="Arial" w:hAnsi="Arial" w:cs="Arial"/>
                <w:color w:val="000000"/>
                <w:sz w:val="16"/>
                <w:szCs w:val="16"/>
              </w:rPr>
              <w:t> </w:t>
            </w:r>
          </w:p>
        </w:tc>
        <w:tc>
          <w:tcPr>
            <w:tcW w:w="498" w:type="pct"/>
            <w:tcBorders>
              <w:top w:val="single" w:sz="4" w:space="0" w:color="293F5B"/>
              <w:left w:val="nil"/>
              <w:bottom w:val="nil"/>
              <w:right w:val="nil"/>
            </w:tcBorders>
            <w:shd w:val="clear" w:color="000000" w:fill="FFFFFF"/>
            <w:noWrap/>
            <w:vAlign w:val="center"/>
            <w:hideMark/>
          </w:tcPr>
          <w:p w14:paraId="1BCDAB24" w14:textId="2369615C" w:rsidR="00D77000" w:rsidRPr="00D77000" w:rsidRDefault="00D77000" w:rsidP="00D77000">
            <w:pPr>
              <w:spacing w:before="0" w:after="0" w:line="240" w:lineRule="auto"/>
              <w:jc w:val="right"/>
              <w:rPr>
                <w:rFonts w:ascii="Arial" w:hAnsi="Arial" w:cs="Arial"/>
                <w:sz w:val="16"/>
                <w:szCs w:val="16"/>
              </w:rPr>
            </w:pPr>
            <w:r w:rsidRPr="00D77000">
              <w:rPr>
                <w:rFonts w:ascii="Arial" w:hAnsi="Arial" w:cs="Arial"/>
                <w:sz w:val="16"/>
                <w:szCs w:val="16"/>
              </w:rPr>
              <w:t>2023</w:t>
            </w:r>
            <w:r w:rsidR="008D4F6B">
              <w:rPr>
                <w:rFonts w:ascii="Arial" w:hAnsi="Arial" w:cs="Arial"/>
                <w:sz w:val="16"/>
                <w:szCs w:val="16"/>
              </w:rPr>
              <w:noBreakHyphen/>
            </w:r>
            <w:r w:rsidRPr="00D77000">
              <w:rPr>
                <w:rFonts w:ascii="Arial" w:hAnsi="Arial" w:cs="Arial"/>
                <w:sz w:val="16"/>
                <w:szCs w:val="16"/>
              </w:rPr>
              <w:t>24</w:t>
            </w:r>
          </w:p>
        </w:tc>
        <w:tc>
          <w:tcPr>
            <w:tcW w:w="497" w:type="pct"/>
            <w:tcBorders>
              <w:top w:val="single" w:sz="4" w:space="0" w:color="293F5B"/>
              <w:left w:val="nil"/>
              <w:bottom w:val="nil"/>
              <w:right w:val="nil"/>
            </w:tcBorders>
            <w:shd w:val="clear" w:color="000000" w:fill="E6F2FF"/>
            <w:noWrap/>
            <w:vAlign w:val="center"/>
            <w:hideMark/>
          </w:tcPr>
          <w:p w14:paraId="3C2B33BC" w14:textId="5CAA318D" w:rsidR="00D77000" w:rsidRPr="00D77000" w:rsidRDefault="00D77000" w:rsidP="00D77000">
            <w:pPr>
              <w:spacing w:before="0" w:after="0" w:line="240" w:lineRule="auto"/>
              <w:jc w:val="right"/>
              <w:rPr>
                <w:rFonts w:ascii="Arial" w:hAnsi="Arial" w:cs="Arial"/>
                <w:sz w:val="16"/>
                <w:szCs w:val="16"/>
              </w:rPr>
            </w:pPr>
            <w:r w:rsidRPr="00D77000">
              <w:rPr>
                <w:rFonts w:ascii="Arial" w:hAnsi="Arial" w:cs="Arial"/>
                <w:sz w:val="16"/>
                <w:szCs w:val="16"/>
              </w:rPr>
              <w:t>2024</w:t>
            </w:r>
            <w:r w:rsidR="008D4F6B">
              <w:rPr>
                <w:rFonts w:ascii="Arial" w:hAnsi="Arial" w:cs="Arial"/>
                <w:sz w:val="16"/>
                <w:szCs w:val="16"/>
              </w:rPr>
              <w:noBreakHyphen/>
            </w:r>
            <w:r w:rsidRPr="00D77000">
              <w:rPr>
                <w:rFonts w:ascii="Arial" w:hAnsi="Arial" w:cs="Arial"/>
                <w:sz w:val="16"/>
                <w:szCs w:val="16"/>
              </w:rPr>
              <w:t>25</w:t>
            </w:r>
          </w:p>
        </w:tc>
        <w:tc>
          <w:tcPr>
            <w:tcW w:w="497" w:type="pct"/>
            <w:tcBorders>
              <w:top w:val="single" w:sz="4" w:space="0" w:color="293F5B"/>
              <w:left w:val="nil"/>
              <w:bottom w:val="nil"/>
              <w:right w:val="nil"/>
            </w:tcBorders>
            <w:shd w:val="clear" w:color="000000" w:fill="FFFFFF"/>
            <w:noWrap/>
            <w:vAlign w:val="center"/>
            <w:hideMark/>
          </w:tcPr>
          <w:p w14:paraId="606C7ADA" w14:textId="7B1D40F6" w:rsidR="00D77000" w:rsidRPr="00D77000" w:rsidRDefault="00D77000" w:rsidP="00D77000">
            <w:pPr>
              <w:spacing w:before="0" w:after="0" w:line="240" w:lineRule="auto"/>
              <w:jc w:val="right"/>
              <w:rPr>
                <w:rFonts w:ascii="Arial" w:hAnsi="Arial" w:cs="Arial"/>
                <w:sz w:val="16"/>
                <w:szCs w:val="16"/>
              </w:rPr>
            </w:pPr>
            <w:r w:rsidRPr="00D77000">
              <w:rPr>
                <w:rFonts w:ascii="Arial" w:hAnsi="Arial" w:cs="Arial"/>
                <w:sz w:val="16"/>
                <w:szCs w:val="16"/>
              </w:rPr>
              <w:t>2025</w:t>
            </w:r>
            <w:r w:rsidR="008D4F6B">
              <w:rPr>
                <w:rFonts w:ascii="Arial" w:hAnsi="Arial" w:cs="Arial"/>
                <w:sz w:val="16"/>
                <w:szCs w:val="16"/>
              </w:rPr>
              <w:noBreakHyphen/>
            </w:r>
            <w:r w:rsidRPr="00D77000">
              <w:rPr>
                <w:rFonts w:ascii="Arial" w:hAnsi="Arial" w:cs="Arial"/>
                <w:sz w:val="16"/>
                <w:szCs w:val="16"/>
              </w:rPr>
              <w:t>26</w:t>
            </w:r>
          </w:p>
        </w:tc>
        <w:tc>
          <w:tcPr>
            <w:tcW w:w="497" w:type="pct"/>
            <w:tcBorders>
              <w:top w:val="single" w:sz="4" w:space="0" w:color="293F5B"/>
              <w:left w:val="nil"/>
              <w:bottom w:val="nil"/>
              <w:right w:val="nil"/>
            </w:tcBorders>
            <w:shd w:val="clear" w:color="000000" w:fill="FFFFFF"/>
            <w:noWrap/>
            <w:vAlign w:val="center"/>
            <w:hideMark/>
          </w:tcPr>
          <w:p w14:paraId="3CB1E8F1" w14:textId="632E93D7" w:rsidR="00D77000" w:rsidRPr="00D77000" w:rsidRDefault="00D77000" w:rsidP="00D77000">
            <w:pPr>
              <w:spacing w:before="0" w:after="0" w:line="240" w:lineRule="auto"/>
              <w:jc w:val="right"/>
              <w:rPr>
                <w:rFonts w:ascii="Arial" w:hAnsi="Arial" w:cs="Arial"/>
                <w:sz w:val="16"/>
                <w:szCs w:val="16"/>
              </w:rPr>
            </w:pPr>
            <w:r w:rsidRPr="00D77000">
              <w:rPr>
                <w:rFonts w:ascii="Arial" w:hAnsi="Arial" w:cs="Arial"/>
                <w:sz w:val="16"/>
                <w:szCs w:val="16"/>
              </w:rPr>
              <w:t>2026</w:t>
            </w:r>
            <w:r w:rsidR="008D4F6B">
              <w:rPr>
                <w:rFonts w:ascii="Arial" w:hAnsi="Arial" w:cs="Arial"/>
                <w:sz w:val="16"/>
                <w:szCs w:val="16"/>
              </w:rPr>
              <w:noBreakHyphen/>
            </w:r>
            <w:r w:rsidRPr="00D77000">
              <w:rPr>
                <w:rFonts w:ascii="Arial" w:hAnsi="Arial" w:cs="Arial"/>
                <w:sz w:val="16"/>
                <w:szCs w:val="16"/>
              </w:rPr>
              <w:t>27</w:t>
            </w:r>
          </w:p>
        </w:tc>
        <w:tc>
          <w:tcPr>
            <w:tcW w:w="497" w:type="pct"/>
            <w:tcBorders>
              <w:top w:val="single" w:sz="4" w:space="0" w:color="293F5B"/>
              <w:left w:val="nil"/>
              <w:bottom w:val="nil"/>
              <w:right w:val="nil"/>
            </w:tcBorders>
            <w:shd w:val="clear" w:color="000000" w:fill="FFFFFF"/>
            <w:noWrap/>
            <w:vAlign w:val="center"/>
            <w:hideMark/>
          </w:tcPr>
          <w:p w14:paraId="10424709" w14:textId="1B0C03A1" w:rsidR="00D77000" w:rsidRPr="00D77000" w:rsidRDefault="00D77000" w:rsidP="00D77000">
            <w:pPr>
              <w:spacing w:before="0" w:after="0" w:line="240" w:lineRule="auto"/>
              <w:jc w:val="right"/>
              <w:rPr>
                <w:rFonts w:ascii="Arial" w:hAnsi="Arial" w:cs="Arial"/>
                <w:color w:val="000000"/>
                <w:sz w:val="16"/>
                <w:szCs w:val="16"/>
              </w:rPr>
            </w:pPr>
            <w:r w:rsidRPr="00D77000">
              <w:rPr>
                <w:rFonts w:ascii="Arial" w:hAnsi="Arial" w:cs="Arial"/>
                <w:color w:val="000000"/>
                <w:sz w:val="16"/>
                <w:szCs w:val="16"/>
              </w:rPr>
              <w:t>2027</w:t>
            </w:r>
            <w:r w:rsidR="008D4F6B">
              <w:rPr>
                <w:rFonts w:ascii="Arial" w:hAnsi="Arial" w:cs="Arial"/>
                <w:color w:val="000000"/>
                <w:sz w:val="16"/>
                <w:szCs w:val="16"/>
              </w:rPr>
              <w:noBreakHyphen/>
            </w:r>
            <w:r w:rsidRPr="00D77000">
              <w:rPr>
                <w:rFonts w:ascii="Arial" w:hAnsi="Arial" w:cs="Arial"/>
                <w:color w:val="000000"/>
                <w:sz w:val="16"/>
                <w:szCs w:val="16"/>
              </w:rPr>
              <w:t>28</w:t>
            </w:r>
          </w:p>
        </w:tc>
      </w:tr>
      <w:tr w:rsidR="00D77000" w:rsidRPr="00D77000" w14:paraId="27D0AD7B" w14:textId="77777777" w:rsidTr="00D77000">
        <w:trPr>
          <w:trHeight w:hRule="exact" w:val="225"/>
        </w:trPr>
        <w:tc>
          <w:tcPr>
            <w:tcW w:w="1950" w:type="pct"/>
            <w:tcBorders>
              <w:top w:val="nil"/>
              <w:left w:val="nil"/>
              <w:bottom w:val="nil"/>
              <w:right w:val="nil"/>
            </w:tcBorders>
            <w:shd w:val="clear" w:color="000000" w:fill="FFFFFF"/>
            <w:noWrap/>
            <w:vAlign w:val="center"/>
            <w:hideMark/>
          </w:tcPr>
          <w:p w14:paraId="324F573D" w14:textId="77777777" w:rsidR="00D77000" w:rsidRPr="00D77000" w:rsidRDefault="00D77000" w:rsidP="00D77000">
            <w:pPr>
              <w:spacing w:before="0" w:after="0" w:line="240" w:lineRule="auto"/>
              <w:rPr>
                <w:rFonts w:ascii="Arial" w:hAnsi="Arial" w:cs="Arial"/>
                <w:color w:val="000000"/>
                <w:sz w:val="16"/>
                <w:szCs w:val="16"/>
              </w:rPr>
            </w:pPr>
            <w:r w:rsidRPr="00D77000">
              <w:rPr>
                <w:rFonts w:ascii="Arial" w:hAnsi="Arial" w:cs="Arial"/>
                <w:color w:val="000000"/>
                <w:sz w:val="16"/>
                <w:szCs w:val="16"/>
              </w:rPr>
              <w:t> </w:t>
            </w:r>
          </w:p>
        </w:tc>
        <w:tc>
          <w:tcPr>
            <w:tcW w:w="506" w:type="pct"/>
            <w:tcBorders>
              <w:top w:val="nil"/>
              <w:left w:val="nil"/>
              <w:bottom w:val="single" w:sz="4" w:space="0" w:color="293F5B"/>
              <w:right w:val="nil"/>
            </w:tcBorders>
            <w:shd w:val="clear" w:color="000000" w:fill="FFFFFF"/>
            <w:noWrap/>
            <w:vAlign w:val="center"/>
            <w:hideMark/>
          </w:tcPr>
          <w:p w14:paraId="28D28D3D" w14:textId="77777777" w:rsidR="00D77000" w:rsidRPr="00D77000" w:rsidRDefault="00D77000" w:rsidP="00D77000">
            <w:pPr>
              <w:spacing w:before="0" w:after="0" w:line="240" w:lineRule="auto"/>
              <w:jc w:val="right"/>
              <w:rPr>
                <w:rFonts w:ascii="Arial" w:hAnsi="Arial" w:cs="Arial"/>
                <w:color w:val="000000"/>
                <w:sz w:val="16"/>
                <w:szCs w:val="16"/>
              </w:rPr>
            </w:pPr>
            <w:r w:rsidRPr="00D77000">
              <w:rPr>
                <w:rFonts w:ascii="Arial" w:hAnsi="Arial" w:cs="Arial"/>
                <w:color w:val="000000"/>
                <w:sz w:val="16"/>
                <w:szCs w:val="16"/>
              </w:rPr>
              <w:t>$m</w:t>
            </w:r>
          </w:p>
        </w:tc>
        <w:tc>
          <w:tcPr>
            <w:tcW w:w="56" w:type="pct"/>
            <w:tcBorders>
              <w:top w:val="nil"/>
              <w:left w:val="nil"/>
              <w:bottom w:val="nil"/>
              <w:right w:val="nil"/>
            </w:tcBorders>
            <w:shd w:val="clear" w:color="000000" w:fill="FFFFFF"/>
            <w:noWrap/>
            <w:vAlign w:val="center"/>
            <w:hideMark/>
          </w:tcPr>
          <w:p w14:paraId="30811AFA" w14:textId="77777777" w:rsidR="00D77000" w:rsidRPr="00D77000" w:rsidRDefault="00D77000" w:rsidP="00D77000">
            <w:pPr>
              <w:spacing w:before="0" w:after="0" w:line="240" w:lineRule="auto"/>
              <w:jc w:val="right"/>
              <w:rPr>
                <w:rFonts w:ascii="Arial" w:hAnsi="Arial" w:cs="Arial"/>
                <w:color w:val="000000"/>
                <w:sz w:val="16"/>
                <w:szCs w:val="16"/>
              </w:rPr>
            </w:pPr>
            <w:r w:rsidRPr="00D77000">
              <w:rPr>
                <w:rFonts w:ascii="Arial" w:hAnsi="Arial" w:cs="Arial"/>
                <w:color w:val="000000"/>
                <w:sz w:val="16"/>
                <w:szCs w:val="16"/>
              </w:rPr>
              <w:t> </w:t>
            </w:r>
          </w:p>
        </w:tc>
        <w:tc>
          <w:tcPr>
            <w:tcW w:w="498" w:type="pct"/>
            <w:tcBorders>
              <w:top w:val="nil"/>
              <w:left w:val="nil"/>
              <w:bottom w:val="single" w:sz="4" w:space="0" w:color="293F5B"/>
              <w:right w:val="nil"/>
            </w:tcBorders>
            <w:shd w:val="clear" w:color="000000" w:fill="FFFFFF"/>
            <w:noWrap/>
            <w:vAlign w:val="center"/>
            <w:hideMark/>
          </w:tcPr>
          <w:p w14:paraId="63F4BD0A" w14:textId="77777777" w:rsidR="00D77000" w:rsidRPr="00D77000" w:rsidRDefault="00D77000" w:rsidP="00D77000">
            <w:pPr>
              <w:spacing w:before="0" w:after="0" w:line="240" w:lineRule="auto"/>
              <w:jc w:val="right"/>
              <w:rPr>
                <w:rFonts w:ascii="Arial" w:hAnsi="Arial" w:cs="Arial"/>
                <w:color w:val="000000"/>
                <w:sz w:val="16"/>
                <w:szCs w:val="16"/>
              </w:rPr>
            </w:pPr>
            <w:r w:rsidRPr="00D77000">
              <w:rPr>
                <w:rFonts w:ascii="Arial" w:hAnsi="Arial" w:cs="Arial"/>
                <w:color w:val="000000"/>
                <w:sz w:val="16"/>
                <w:szCs w:val="16"/>
              </w:rPr>
              <w:t>$m</w:t>
            </w:r>
          </w:p>
        </w:tc>
        <w:tc>
          <w:tcPr>
            <w:tcW w:w="497" w:type="pct"/>
            <w:tcBorders>
              <w:top w:val="nil"/>
              <w:left w:val="nil"/>
              <w:bottom w:val="single" w:sz="4" w:space="0" w:color="293F5B"/>
              <w:right w:val="nil"/>
            </w:tcBorders>
            <w:shd w:val="clear" w:color="000000" w:fill="E6F2FF"/>
            <w:noWrap/>
            <w:vAlign w:val="center"/>
            <w:hideMark/>
          </w:tcPr>
          <w:p w14:paraId="3F0508C4" w14:textId="77777777" w:rsidR="00D77000" w:rsidRPr="00D77000" w:rsidRDefault="00D77000" w:rsidP="00D77000">
            <w:pPr>
              <w:spacing w:before="0" w:after="0" w:line="240" w:lineRule="auto"/>
              <w:jc w:val="right"/>
              <w:rPr>
                <w:rFonts w:ascii="Arial" w:hAnsi="Arial" w:cs="Arial"/>
                <w:color w:val="000000"/>
                <w:sz w:val="16"/>
                <w:szCs w:val="16"/>
              </w:rPr>
            </w:pPr>
            <w:r w:rsidRPr="00D77000">
              <w:rPr>
                <w:rFonts w:ascii="Arial" w:hAnsi="Arial" w:cs="Arial"/>
                <w:color w:val="000000"/>
                <w:sz w:val="16"/>
                <w:szCs w:val="16"/>
              </w:rPr>
              <w:t>$m</w:t>
            </w:r>
          </w:p>
        </w:tc>
        <w:tc>
          <w:tcPr>
            <w:tcW w:w="497" w:type="pct"/>
            <w:tcBorders>
              <w:top w:val="nil"/>
              <w:left w:val="nil"/>
              <w:bottom w:val="single" w:sz="4" w:space="0" w:color="293F5B"/>
              <w:right w:val="nil"/>
            </w:tcBorders>
            <w:shd w:val="clear" w:color="000000" w:fill="FFFFFF"/>
            <w:noWrap/>
            <w:vAlign w:val="center"/>
            <w:hideMark/>
          </w:tcPr>
          <w:p w14:paraId="3F2E22C4" w14:textId="77777777" w:rsidR="00D77000" w:rsidRPr="00D77000" w:rsidRDefault="00D77000" w:rsidP="00D77000">
            <w:pPr>
              <w:spacing w:before="0" w:after="0" w:line="240" w:lineRule="auto"/>
              <w:jc w:val="right"/>
              <w:rPr>
                <w:rFonts w:ascii="Arial" w:hAnsi="Arial" w:cs="Arial"/>
                <w:color w:val="000000"/>
                <w:sz w:val="16"/>
                <w:szCs w:val="16"/>
              </w:rPr>
            </w:pPr>
            <w:r w:rsidRPr="00D77000">
              <w:rPr>
                <w:rFonts w:ascii="Arial" w:hAnsi="Arial" w:cs="Arial"/>
                <w:color w:val="000000"/>
                <w:sz w:val="16"/>
                <w:szCs w:val="16"/>
              </w:rPr>
              <w:t>$m</w:t>
            </w:r>
          </w:p>
        </w:tc>
        <w:tc>
          <w:tcPr>
            <w:tcW w:w="497" w:type="pct"/>
            <w:tcBorders>
              <w:top w:val="nil"/>
              <w:left w:val="nil"/>
              <w:bottom w:val="single" w:sz="4" w:space="0" w:color="293F5B"/>
              <w:right w:val="nil"/>
            </w:tcBorders>
            <w:shd w:val="clear" w:color="000000" w:fill="FFFFFF"/>
            <w:noWrap/>
            <w:vAlign w:val="center"/>
            <w:hideMark/>
          </w:tcPr>
          <w:p w14:paraId="67F891B1" w14:textId="77777777" w:rsidR="00D77000" w:rsidRPr="00D77000" w:rsidRDefault="00D77000" w:rsidP="00D77000">
            <w:pPr>
              <w:spacing w:before="0" w:after="0" w:line="240" w:lineRule="auto"/>
              <w:jc w:val="right"/>
              <w:rPr>
                <w:rFonts w:ascii="Arial" w:hAnsi="Arial" w:cs="Arial"/>
                <w:color w:val="000000"/>
                <w:sz w:val="16"/>
                <w:szCs w:val="16"/>
              </w:rPr>
            </w:pPr>
            <w:r w:rsidRPr="00D77000">
              <w:rPr>
                <w:rFonts w:ascii="Arial" w:hAnsi="Arial" w:cs="Arial"/>
                <w:color w:val="000000"/>
                <w:sz w:val="16"/>
                <w:szCs w:val="16"/>
              </w:rPr>
              <w:t>$m</w:t>
            </w:r>
          </w:p>
        </w:tc>
        <w:tc>
          <w:tcPr>
            <w:tcW w:w="497" w:type="pct"/>
            <w:tcBorders>
              <w:top w:val="nil"/>
              <w:left w:val="nil"/>
              <w:bottom w:val="single" w:sz="4" w:space="0" w:color="293F5B"/>
              <w:right w:val="nil"/>
            </w:tcBorders>
            <w:shd w:val="clear" w:color="000000" w:fill="FFFFFF"/>
            <w:noWrap/>
            <w:vAlign w:val="center"/>
            <w:hideMark/>
          </w:tcPr>
          <w:p w14:paraId="45FA20FF" w14:textId="77777777" w:rsidR="00D77000" w:rsidRPr="00D77000" w:rsidRDefault="00D77000" w:rsidP="00D77000">
            <w:pPr>
              <w:spacing w:before="0" w:after="0" w:line="240" w:lineRule="auto"/>
              <w:jc w:val="right"/>
              <w:rPr>
                <w:rFonts w:ascii="Arial" w:hAnsi="Arial" w:cs="Arial"/>
                <w:color w:val="000000"/>
                <w:sz w:val="16"/>
                <w:szCs w:val="16"/>
              </w:rPr>
            </w:pPr>
            <w:r w:rsidRPr="00D77000">
              <w:rPr>
                <w:rFonts w:ascii="Arial" w:hAnsi="Arial" w:cs="Arial"/>
                <w:color w:val="000000"/>
                <w:sz w:val="16"/>
                <w:szCs w:val="16"/>
              </w:rPr>
              <w:t>$m</w:t>
            </w:r>
          </w:p>
        </w:tc>
      </w:tr>
      <w:tr w:rsidR="00D77000" w:rsidRPr="00D77000" w14:paraId="0832FD3C" w14:textId="77777777" w:rsidTr="007C7AA6">
        <w:trPr>
          <w:trHeight w:hRule="exact" w:val="225"/>
        </w:trPr>
        <w:tc>
          <w:tcPr>
            <w:tcW w:w="1950" w:type="pct"/>
            <w:tcBorders>
              <w:top w:val="nil"/>
              <w:left w:val="nil"/>
              <w:bottom w:val="nil"/>
              <w:right w:val="nil"/>
            </w:tcBorders>
            <w:shd w:val="clear" w:color="000000" w:fill="FFFFFF"/>
            <w:noWrap/>
            <w:vAlign w:val="center"/>
            <w:hideMark/>
          </w:tcPr>
          <w:p w14:paraId="0B9C0F2B" w14:textId="77777777" w:rsidR="00D77000" w:rsidRPr="00D77000" w:rsidRDefault="00D77000" w:rsidP="00D77000">
            <w:pPr>
              <w:spacing w:before="0" w:after="0" w:line="240" w:lineRule="auto"/>
              <w:rPr>
                <w:rFonts w:ascii="Arial" w:hAnsi="Arial" w:cs="Arial"/>
                <w:b/>
                <w:bCs/>
                <w:color w:val="000000"/>
                <w:sz w:val="16"/>
                <w:szCs w:val="16"/>
              </w:rPr>
            </w:pPr>
            <w:r w:rsidRPr="00D77000">
              <w:rPr>
                <w:rFonts w:ascii="Arial" w:hAnsi="Arial" w:cs="Arial"/>
                <w:b/>
                <w:bCs/>
                <w:color w:val="000000"/>
                <w:sz w:val="16"/>
                <w:szCs w:val="16"/>
              </w:rPr>
              <w:t>General public services</w:t>
            </w:r>
          </w:p>
        </w:tc>
        <w:tc>
          <w:tcPr>
            <w:tcW w:w="506" w:type="pct"/>
            <w:tcBorders>
              <w:top w:val="single" w:sz="4" w:space="0" w:color="293F5B"/>
              <w:left w:val="nil"/>
              <w:bottom w:val="nil"/>
              <w:right w:val="nil"/>
            </w:tcBorders>
            <w:shd w:val="clear" w:color="000000" w:fill="FFFFFF"/>
            <w:noWrap/>
            <w:vAlign w:val="center"/>
            <w:hideMark/>
          </w:tcPr>
          <w:p w14:paraId="7CFEA308" w14:textId="77777777" w:rsidR="00D77000" w:rsidRPr="00D77000" w:rsidRDefault="00D77000" w:rsidP="00D77000">
            <w:pPr>
              <w:spacing w:before="0" w:after="0" w:line="240" w:lineRule="auto"/>
              <w:rPr>
                <w:rFonts w:ascii="Arial" w:hAnsi="Arial" w:cs="Arial"/>
                <w:color w:val="000000"/>
                <w:sz w:val="16"/>
                <w:szCs w:val="16"/>
              </w:rPr>
            </w:pPr>
            <w:r w:rsidRPr="00D77000">
              <w:rPr>
                <w:rFonts w:ascii="Arial" w:hAnsi="Arial" w:cs="Arial"/>
                <w:color w:val="000000"/>
                <w:sz w:val="16"/>
                <w:szCs w:val="16"/>
              </w:rPr>
              <w:t> </w:t>
            </w:r>
          </w:p>
        </w:tc>
        <w:tc>
          <w:tcPr>
            <w:tcW w:w="56" w:type="pct"/>
            <w:tcBorders>
              <w:top w:val="nil"/>
              <w:left w:val="nil"/>
              <w:bottom w:val="nil"/>
              <w:right w:val="nil"/>
            </w:tcBorders>
            <w:shd w:val="clear" w:color="000000" w:fill="FFFFFF"/>
            <w:noWrap/>
            <w:vAlign w:val="center"/>
            <w:hideMark/>
          </w:tcPr>
          <w:p w14:paraId="4FC175DF" w14:textId="77777777" w:rsidR="00D77000" w:rsidRPr="00D77000" w:rsidRDefault="00D77000" w:rsidP="00D77000">
            <w:pPr>
              <w:spacing w:before="0" w:after="0" w:line="240" w:lineRule="auto"/>
              <w:rPr>
                <w:rFonts w:ascii="Arial" w:hAnsi="Arial" w:cs="Arial"/>
                <w:color w:val="000000"/>
                <w:sz w:val="16"/>
                <w:szCs w:val="16"/>
              </w:rPr>
            </w:pPr>
            <w:r w:rsidRPr="00D77000">
              <w:rPr>
                <w:rFonts w:ascii="Arial" w:hAnsi="Arial" w:cs="Arial"/>
                <w:color w:val="000000"/>
                <w:sz w:val="16"/>
                <w:szCs w:val="16"/>
              </w:rPr>
              <w:t> </w:t>
            </w:r>
          </w:p>
        </w:tc>
        <w:tc>
          <w:tcPr>
            <w:tcW w:w="498" w:type="pct"/>
            <w:tcBorders>
              <w:top w:val="single" w:sz="4" w:space="0" w:color="293F5B"/>
              <w:left w:val="nil"/>
              <w:bottom w:val="nil"/>
              <w:right w:val="nil"/>
            </w:tcBorders>
            <w:shd w:val="clear" w:color="000000" w:fill="FFFFFF"/>
            <w:noWrap/>
            <w:vAlign w:val="center"/>
            <w:hideMark/>
          </w:tcPr>
          <w:p w14:paraId="4BD3D18A" w14:textId="77777777" w:rsidR="00D77000" w:rsidRPr="00D77000" w:rsidRDefault="00D77000" w:rsidP="00D77000">
            <w:pPr>
              <w:spacing w:before="0" w:after="0" w:line="240" w:lineRule="auto"/>
              <w:rPr>
                <w:rFonts w:ascii="Arial" w:hAnsi="Arial" w:cs="Arial"/>
                <w:color w:val="000000"/>
                <w:sz w:val="16"/>
                <w:szCs w:val="16"/>
              </w:rPr>
            </w:pPr>
            <w:r w:rsidRPr="00D77000">
              <w:rPr>
                <w:rFonts w:ascii="Arial" w:hAnsi="Arial" w:cs="Arial"/>
                <w:color w:val="000000"/>
                <w:sz w:val="16"/>
                <w:szCs w:val="16"/>
              </w:rPr>
              <w:t> </w:t>
            </w:r>
          </w:p>
        </w:tc>
        <w:tc>
          <w:tcPr>
            <w:tcW w:w="497" w:type="pct"/>
            <w:tcBorders>
              <w:top w:val="single" w:sz="4" w:space="0" w:color="293F5B"/>
              <w:left w:val="nil"/>
              <w:bottom w:val="nil"/>
              <w:right w:val="nil"/>
            </w:tcBorders>
            <w:shd w:val="clear" w:color="000000" w:fill="E6F2FF"/>
            <w:noWrap/>
            <w:vAlign w:val="center"/>
            <w:hideMark/>
          </w:tcPr>
          <w:p w14:paraId="181A79B2" w14:textId="77777777" w:rsidR="00D77000" w:rsidRPr="00D77000" w:rsidRDefault="00D77000" w:rsidP="00D77000">
            <w:pPr>
              <w:spacing w:before="0" w:after="0" w:line="240" w:lineRule="auto"/>
              <w:rPr>
                <w:rFonts w:ascii="Arial" w:hAnsi="Arial" w:cs="Arial"/>
                <w:color w:val="000000"/>
                <w:sz w:val="16"/>
                <w:szCs w:val="16"/>
              </w:rPr>
            </w:pPr>
            <w:r w:rsidRPr="00D77000">
              <w:rPr>
                <w:rFonts w:ascii="Arial" w:hAnsi="Arial" w:cs="Arial"/>
                <w:color w:val="000000"/>
                <w:sz w:val="16"/>
                <w:szCs w:val="16"/>
              </w:rPr>
              <w:t> </w:t>
            </w:r>
          </w:p>
        </w:tc>
        <w:tc>
          <w:tcPr>
            <w:tcW w:w="497" w:type="pct"/>
            <w:tcBorders>
              <w:top w:val="single" w:sz="4" w:space="0" w:color="293F5B"/>
              <w:left w:val="nil"/>
              <w:bottom w:val="nil"/>
              <w:right w:val="nil"/>
            </w:tcBorders>
            <w:shd w:val="clear" w:color="000000" w:fill="FFFFFF"/>
            <w:noWrap/>
            <w:vAlign w:val="center"/>
            <w:hideMark/>
          </w:tcPr>
          <w:p w14:paraId="4ABB5DFB" w14:textId="77777777" w:rsidR="00D77000" w:rsidRPr="00D77000" w:rsidRDefault="00D77000" w:rsidP="00D77000">
            <w:pPr>
              <w:spacing w:before="0" w:after="0" w:line="240" w:lineRule="auto"/>
              <w:rPr>
                <w:rFonts w:ascii="Arial" w:hAnsi="Arial" w:cs="Arial"/>
                <w:color w:val="000000"/>
                <w:sz w:val="16"/>
                <w:szCs w:val="16"/>
              </w:rPr>
            </w:pPr>
            <w:r w:rsidRPr="00D77000">
              <w:rPr>
                <w:rFonts w:ascii="Arial" w:hAnsi="Arial" w:cs="Arial"/>
                <w:color w:val="000000"/>
                <w:sz w:val="16"/>
                <w:szCs w:val="16"/>
              </w:rPr>
              <w:t> </w:t>
            </w:r>
          </w:p>
        </w:tc>
        <w:tc>
          <w:tcPr>
            <w:tcW w:w="497" w:type="pct"/>
            <w:tcBorders>
              <w:top w:val="single" w:sz="4" w:space="0" w:color="293F5B"/>
              <w:left w:val="nil"/>
              <w:bottom w:val="nil"/>
              <w:right w:val="nil"/>
            </w:tcBorders>
            <w:shd w:val="clear" w:color="000000" w:fill="FFFFFF"/>
            <w:noWrap/>
            <w:vAlign w:val="center"/>
            <w:hideMark/>
          </w:tcPr>
          <w:p w14:paraId="1111487E" w14:textId="77777777" w:rsidR="00D77000" w:rsidRPr="00D77000" w:rsidRDefault="00D77000" w:rsidP="00D77000">
            <w:pPr>
              <w:spacing w:before="0" w:after="0" w:line="240" w:lineRule="auto"/>
              <w:rPr>
                <w:rFonts w:ascii="Arial" w:hAnsi="Arial" w:cs="Arial"/>
                <w:color w:val="000000"/>
                <w:sz w:val="16"/>
                <w:szCs w:val="16"/>
              </w:rPr>
            </w:pPr>
            <w:r w:rsidRPr="00D77000">
              <w:rPr>
                <w:rFonts w:ascii="Arial" w:hAnsi="Arial" w:cs="Arial"/>
                <w:color w:val="000000"/>
                <w:sz w:val="16"/>
                <w:szCs w:val="16"/>
              </w:rPr>
              <w:t> </w:t>
            </w:r>
          </w:p>
        </w:tc>
        <w:tc>
          <w:tcPr>
            <w:tcW w:w="497" w:type="pct"/>
            <w:tcBorders>
              <w:top w:val="single" w:sz="4" w:space="0" w:color="293F5B"/>
              <w:left w:val="nil"/>
              <w:bottom w:val="nil"/>
              <w:right w:val="nil"/>
            </w:tcBorders>
            <w:shd w:val="clear" w:color="000000" w:fill="FFFFFF"/>
            <w:noWrap/>
            <w:vAlign w:val="center"/>
            <w:hideMark/>
          </w:tcPr>
          <w:p w14:paraId="5F16C93C" w14:textId="77777777" w:rsidR="00D77000" w:rsidRPr="00D77000" w:rsidRDefault="00D77000" w:rsidP="00D77000">
            <w:pPr>
              <w:spacing w:before="0" w:after="0" w:line="240" w:lineRule="auto"/>
              <w:rPr>
                <w:rFonts w:ascii="Arial" w:hAnsi="Arial" w:cs="Arial"/>
                <w:color w:val="000000"/>
                <w:sz w:val="16"/>
                <w:szCs w:val="16"/>
              </w:rPr>
            </w:pPr>
            <w:r w:rsidRPr="00D77000">
              <w:rPr>
                <w:rFonts w:ascii="Arial" w:hAnsi="Arial" w:cs="Arial"/>
                <w:color w:val="000000"/>
                <w:sz w:val="16"/>
                <w:szCs w:val="16"/>
              </w:rPr>
              <w:t> </w:t>
            </w:r>
          </w:p>
        </w:tc>
      </w:tr>
      <w:tr w:rsidR="00D77000" w:rsidRPr="00D77000" w14:paraId="06D30288" w14:textId="77777777" w:rsidTr="00D77000">
        <w:trPr>
          <w:trHeight w:hRule="exact" w:val="225"/>
        </w:trPr>
        <w:tc>
          <w:tcPr>
            <w:tcW w:w="1950" w:type="pct"/>
            <w:tcBorders>
              <w:top w:val="nil"/>
              <w:left w:val="nil"/>
              <w:bottom w:val="nil"/>
              <w:right w:val="nil"/>
            </w:tcBorders>
            <w:shd w:val="clear" w:color="000000" w:fill="FFFFFF"/>
            <w:noWrap/>
            <w:vAlign w:val="center"/>
            <w:hideMark/>
          </w:tcPr>
          <w:p w14:paraId="272992A2" w14:textId="77777777" w:rsidR="00D77000" w:rsidRPr="00D77000" w:rsidRDefault="00D77000" w:rsidP="00D77000">
            <w:pPr>
              <w:spacing w:before="0" w:after="0" w:line="240" w:lineRule="auto"/>
              <w:ind w:left="170"/>
              <w:rPr>
                <w:rFonts w:ascii="Arial" w:hAnsi="Arial" w:cs="Arial"/>
                <w:color w:val="000000"/>
                <w:sz w:val="16"/>
                <w:szCs w:val="16"/>
              </w:rPr>
            </w:pPr>
            <w:r w:rsidRPr="00D77000">
              <w:rPr>
                <w:rFonts w:ascii="Arial" w:hAnsi="Arial" w:cs="Arial"/>
                <w:color w:val="000000"/>
                <w:sz w:val="16"/>
                <w:szCs w:val="16"/>
              </w:rPr>
              <w:t>Legislative and executive affairs</w:t>
            </w:r>
          </w:p>
        </w:tc>
        <w:tc>
          <w:tcPr>
            <w:tcW w:w="506" w:type="pct"/>
            <w:tcBorders>
              <w:top w:val="nil"/>
              <w:left w:val="nil"/>
              <w:bottom w:val="nil"/>
              <w:right w:val="nil"/>
            </w:tcBorders>
            <w:shd w:val="clear" w:color="000000" w:fill="FFFFFF"/>
            <w:noWrap/>
            <w:vAlign w:val="center"/>
            <w:hideMark/>
          </w:tcPr>
          <w:p w14:paraId="00EB0E4C" w14:textId="77777777" w:rsidR="00D77000" w:rsidRPr="00D77000" w:rsidRDefault="00D77000" w:rsidP="00D77000">
            <w:pPr>
              <w:spacing w:before="0" w:after="0" w:line="240" w:lineRule="auto"/>
              <w:jc w:val="right"/>
              <w:rPr>
                <w:rFonts w:ascii="Arial" w:hAnsi="Arial" w:cs="Arial"/>
                <w:color w:val="000000"/>
                <w:sz w:val="16"/>
                <w:szCs w:val="16"/>
              </w:rPr>
            </w:pPr>
            <w:r w:rsidRPr="00D77000">
              <w:rPr>
                <w:rFonts w:ascii="Arial" w:hAnsi="Arial" w:cs="Arial"/>
                <w:color w:val="000000"/>
                <w:sz w:val="16"/>
                <w:szCs w:val="16"/>
              </w:rPr>
              <w:t>1,685</w:t>
            </w:r>
          </w:p>
        </w:tc>
        <w:tc>
          <w:tcPr>
            <w:tcW w:w="56" w:type="pct"/>
            <w:tcBorders>
              <w:top w:val="nil"/>
              <w:left w:val="nil"/>
              <w:bottom w:val="nil"/>
              <w:right w:val="nil"/>
            </w:tcBorders>
            <w:shd w:val="clear" w:color="000000" w:fill="FFFFFF"/>
            <w:noWrap/>
            <w:vAlign w:val="center"/>
            <w:hideMark/>
          </w:tcPr>
          <w:p w14:paraId="54902AFC" w14:textId="77777777" w:rsidR="00D77000" w:rsidRPr="00D77000" w:rsidRDefault="00D77000" w:rsidP="00D77000">
            <w:pPr>
              <w:spacing w:before="0" w:after="0" w:line="240" w:lineRule="auto"/>
              <w:rPr>
                <w:rFonts w:ascii="Arial" w:hAnsi="Arial" w:cs="Arial"/>
                <w:color w:val="000000"/>
                <w:sz w:val="16"/>
                <w:szCs w:val="16"/>
              </w:rPr>
            </w:pPr>
            <w:r w:rsidRPr="00D77000">
              <w:rPr>
                <w:rFonts w:ascii="Arial" w:hAnsi="Arial" w:cs="Arial"/>
                <w:color w:val="000000"/>
                <w:sz w:val="16"/>
                <w:szCs w:val="16"/>
              </w:rPr>
              <w:t> </w:t>
            </w:r>
          </w:p>
        </w:tc>
        <w:tc>
          <w:tcPr>
            <w:tcW w:w="498" w:type="pct"/>
            <w:tcBorders>
              <w:top w:val="nil"/>
              <w:left w:val="nil"/>
              <w:bottom w:val="nil"/>
              <w:right w:val="nil"/>
            </w:tcBorders>
            <w:shd w:val="clear" w:color="000000" w:fill="FFFFFF"/>
            <w:noWrap/>
            <w:vAlign w:val="center"/>
            <w:hideMark/>
          </w:tcPr>
          <w:p w14:paraId="39CDFA49" w14:textId="77777777" w:rsidR="00D77000" w:rsidRPr="00D77000" w:rsidRDefault="00D77000" w:rsidP="00D77000">
            <w:pPr>
              <w:spacing w:before="0" w:after="0" w:line="240" w:lineRule="auto"/>
              <w:jc w:val="right"/>
              <w:rPr>
                <w:rFonts w:ascii="Arial" w:hAnsi="Arial" w:cs="Arial"/>
                <w:color w:val="000000"/>
                <w:sz w:val="16"/>
                <w:szCs w:val="16"/>
              </w:rPr>
            </w:pPr>
            <w:r w:rsidRPr="00D77000">
              <w:rPr>
                <w:rFonts w:ascii="Arial" w:hAnsi="Arial" w:cs="Arial"/>
                <w:color w:val="000000"/>
                <w:sz w:val="16"/>
                <w:szCs w:val="16"/>
              </w:rPr>
              <w:t>2,052</w:t>
            </w:r>
          </w:p>
        </w:tc>
        <w:tc>
          <w:tcPr>
            <w:tcW w:w="497" w:type="pct"/>
            <w:tcBorders>
              <w:top w:val="nil"/>
              <w:left w:val="nil"/>
              <w:bottom w:val="nil"/>
              <w:right w:val="nil"/>
            </w:tcBorders>
            <w:shd w:val="clear" w:color="000000" w:fill="E6F2FF"/>
            <w:noWrap/>
            <w:vAlign w:val="center"/>
            <w:hideMark/>
          </w:tcPr>
          <w:p w14:paraId="2E07A7AD" w14:textId="77777777" w:rsidR="00D77000" w:rsidRPr="00D77000" w:rsidRDefault="00D77000" w:rsidP="00D77000">
            <w:pPr>
              <w:spacing w:before="0" w:after="0" w:line="240" w:lineRule="auto"/>
              <w:jc w:val="right"/>
              <w:rPr>
                <w:rFonts w:ascii="Arial" w:hAnsi="Arial" w:cs="Arial"/>
                <w:color w:val="000000"/>
                <w:sz w:val="16"/>
                <w:szCs w:val="16"/>
              </w:rPr>
            </w:pPr>
            <w:r w:rsidRPr="00D77000">
              <w:rPr>
                <w:rFonts w:ascii="Arial" w:hAnsi="Arial" w:cs="Arial"/>
                <w:color w:val="000000"/>
                <w:sz w:val="16"/>
                <w:szCs w:val="16"/>
              </w:rPr>
              <w:t>2,216</w:t>
            </w:r>
          </w:p>
        </w:tc>
        <w:tc>
          <w:tcPr>
            <w:tcW w:w="497" w:type="pct"/>
            <w:tcBorders>
              <w:top w:val="nil"/>
              <w:left w:val="nil"/>
              <w:bottom w:val="nil"/>
              <w:right w:val="nil"/>
            </w:tcBorders>
            <w:shd w:val="clear" w:color="000000" w:fill="FFFFFF"/>
            <w:noWrap/>
            <w:vAlign w:val="center"/>
            <w:hideMark/>
          </w:tcPr>
          <w:p w14:paraId="76B85390" w14:textId="77777777" w:rsidR="00D77000" w:rsidRPr="00D77000" w:rsidRDefault="00D77000" w:rsidP="00D77000">
            <w:pPr>
              <w:spacing w:before="0" w:after="0" w:line="240" w:lineRule="auto"/>
              <w:jc w:val="right"/>
              <w:rPr>
                <w:rFonts w:ascii="Arial" w:hAnsi="Arial" w:cs="Arial"/>
                <w:color w:val="000000"/>
                <w:sz w:val="16"/>
                <w:szCs w:val="16"/>
              </w:rPr>
            </w:pPr>
            <w:r w:rsidRPr="00D77000">
              <w:rPr>
                <w:rFonts w:ascii="Arial" w:hAnsi="Arial" w:cs="Arial"/>
                <w:color w:val="000000"/>
                <w:sz w:val="16"/>
                <w:szCs w:val="16"/>
              </w:rPr>
              <w:t>1,676</w:t>
            </w:r>
          </w:p>
        </w:tc>
        <w:tc>
          <w:tcPr>
            <w:tcW w:w="497" w:type="pct"/>
            <w:tcBorders>
              <w:top w:val="nil"/>
              <w:left w:val="nil"/>
              <w:bottom w:val="nil"/>
              <w:right w:val="nil"/>
            </w:tcBorders>
            <w:shd w:val="clear" w:color="000000" w:fill="FFFFFF"/>
            <w:noWrap/>
            <w:vAlign w:val="center"/>
            <w:hideMark/>
          </w:tcPr>
          <w:p w14:paraId="186AB29A" w14:textId="77777777" w:rsidR="00D77000" w:rsidRPr="00D77000" w:rsidRDefault="00D77000" w:rsidP="00D77000">
            <w:pPr>
              <w:spacing w:before="0" w:after="0" w:line="240" w:lineRule="auto"/>
              <w:jc w:val="right"/>
              <w:rPr>
                <w:rFonts w:ascii="Arial" w:hAnsi="Arial" w:cs="Arial"/>
                <w:color w:val="000000"/>
                <w:sz w:val="16"/>
                <w:szCs w:val="16"/>
              </w:rPr>
            </w:pPr>
            <w:r w:rsidRPr="00D77000">
              <w:rPr>
                <w:rFonts w:ascii="Arial" w:hAnsi="Arial" w:cs="Arial"/>
                <w:color w:val="000000"/>
                <w:sz w:val="16"/>
                <w:szCs w:val="16"/>
              </w:rPr>
              <w:t>1,633</w:t>
            </w:r>
          </w:p>
        </w:tc>
        <w:tc>
          <w:tcPr>
            <w:tcW w:w="497" w:type="pct"/>
            <w:tcBorders>
              <w:top w:val="nil"/>
              <w:left w:val="nil"/>
              <w:bottom w:val="nil"/>
              <w:right w:val="nil"/>
            </w:tcBorders>
            <w:shd w:val="clear" w:color="000000" w:fill="FFFFFF"/>
            <w:noWrap/>
            <w:vAlign w:val="center"/>
            <w:hideMark/>
          </w:tcPr>
          <w:p w14:paraId="50527804" w14:textId="77777777" w:rsidR="00D77000" w:rsidRPr="00D77000" w:rsidRDefault="00D77000" w:rsidP="00D77000">
            <w:pPr>
              <w:spacing w:before="0" w:after="0" w:line="240" w:lineRule="auto"/>
              <w:jc w:val="right"/>
              <w:rPr>
                <w:rFonts w:ascii="Arial" w:hAnsi="Arial" w:cs="Arial"/>
                <w:color w:val="000000"/>
                <w:sz w:val="16"/>
                <w:szCs w:val="16"/>
              </w:rPr>
            </w:pPr>
            <w:r w:rsidRPr="00D77000">
              <w:rPr>
                <w:rFonts w:ascii="Arial" w:hAnsi="Arial" w:cs="Arial"/>
                <w:color w:val="000000"/>
                <w:sz w:val="16"/>
                <w:szCs w:val="16"/>
              </w:rPr>
              <w:t>1,840</w:t>
            </w:r>
          </w:p>
        </w:tc>
      </w:tr>
      <w:tr w:rsidR="00D77000" w:rsidRPr="00D77000" w14:paraId="5E4A2F94" w14:textId="77777777" w:rsidTr="00D77000">
        <w:trPr>
          <w:trHeight w:hRule="exact" w:val="225"/>
        </w:trPr>
        <w:tc>
          <w:tcPr>
            <w:tcW w:w="1950" w:type="pct"/>
            <w:tcBorders>
              <w:top w:val="nil"/>
              <w:left w:val="nil"/>
              <w:bottom w:val="nil"/>
              <w:right w:val="nil"/>
            </w:tcBorders>
            <w:shd w:val="clear" w:color="000000" w:fill="FFFFFF"/>
            <w:noWrap/>
            <w:vAlign w:val="center"/>
            <w:hideMark/>
          </w:tcPr>
          <w:p w14:paraId="6814BD0C" w14:textId="77777777" w:rsidR="00D77000" w:rsidRPr="00D77000" w:rsidRDefault="00D77000" w:rsidP="00D77000">
            <w:pPr>
              <w:spacing w:before="0" w:after="0" w:line="240" w:lineRule="auto"/>
              <w:ind w:left="170"/>
              <w:rPr>
                <w:rFonts w:ascii="Arial" w:hAnsi="Arial" w:cs="Arial"/>
                <w:color w:val="000000"/>
                <w:sz w:val="16"/>
                <w:szCs w:val="16"/>
              </w:rPr>
            </w:pPr>
            <w:r w:rsidRPr="00D77000">
              <w:rPr>
                <w:rFonts w:ascii="Arial" w:hAnsi="Arial" w:cs="Arial"/>
                <w:color w:val="000000"/>
                <w:sz w:val="16"/>
                <w:szCs w:val="16"/>
              </w:rPr>
              <w:t>Financial and fiscal affairs</w:t>
            </w:r>
          </w:p>
        </w:tc>
        <w:tc>
          <w:tcPr>
            <w:tcW w:w="506" w:type="pct"/>
            <w:tcBorders>
              <w:top w:val="nil"/>
              <w:left w:val="nil"/>
              <w:bottom w:val="nil"/>
              <w:right w:val="nil"/>
            </w:tcBorders>
            <w:shd w:val="clear" w:color="000000" w:fill="FFFFFF"/>
            <w:noWrap/>
            <w:vAlign w:val="center"/>
            <w:hideMark/>
          </w:tcPr>
          <w:p w14:paraId="7EA5648D" w14:textId="77777777" w:rsidR="00D77000" w:rsidRPr="00D77000" w:rsidRDefault="00D77000" w:rsidP="00D77000">
            <w:pPr>
              <w:spacing w:before="0" w:after="0" w:line="240" w:lineRule="auto"/>
              <w:jc w:val="right"/>
              <w:rPr>
                <w:rFonts w:ascii="Arial" w:hAnsi="Arial" w:cs="Arial"/>
                <w:color w:val="000000"/>
                <w:sz w:val="16"/>
                <w:szCs w:val="16"/>
              </w:rPr>
            </w:pPr>
            <w:r w:rsidRPr="00D77000">
              <w:rPr>
                <w:rFonts w:ascii="Arial" w:hAnsi="Arial" w:cs="Arial"/>
                <w:color w:val="000000"/>
                <w:sz w:val="16"/>
                <w:szCs w:val="16"/>
              </w:rPr>
              <w:t>9,187</w:t>
            </w:r>
          </w:p>
        </w:tc>
        <w:tc>
          <w:tcPr>
            <w:tcW w:w="56" w:type="pct"/>
            <w:tcBorders>
              <w:top w:val="nil"/>
              <w:left w:val="nil"/>
              <w:bottom w:val="nil"/>
              <w:right w:val="nil"/>
            </w:tcBorders>
            <w:shd w:val="clear" w:color="000000" w:fill="FFFFFF"/>
            <w:noWrap/>
            <w:vAlign w:val="center"/>
            <w:hideMark/>
          </w:tcPr>
          <w:p w14:paraId="2A0F6458" w14:textId="77777777" w:rsidR="00D77000" w:rsidRPr="00D77000" w:rsidRDefault="00D77000" w:rsidP="00D77000">
            <w:pPr>
              <w:spacing w:before="0" w:after="0" w:line="240" w:lineRule="auto"/>
              <w:rPr>
                <w:rFonts w:ascii="Arial" w:hAnsi="Arial" w:cs="Arial"/>
                <w:color w:val="000000"/>
                <w:sz w:val="16"/>
                <w:szCs w:val="16"/>
              </w:rPr>
            </w:pPr>
            <w:r w:rsidRPr="00D77000">
              <w:rPr>
                <w:rFonts w:ascii="Arial" w:hAnsi="Arial" w:cs="Arial"/>
                <w:color w:val="000000"/>
                <w:sz w:val="16"/>
                <w:szCs w:val="16"/>
              </w:rPr>
              <w:t> </w:t>
            </w:r>
          </w:p>
        </w:tc>
        <w:tc>
          <w:tcPr>
            <w:tcW w:w="498" w:type="pct"/>
            <w:tcBorders>
              <w:top w:val="nil"/>
              <w:left w:val="nil"/>
              <w:bottom w:val="nil"/>
              <w:right w:val="nil"/>
            </w:tcBorders>
            <w:shd w:val="clear" w:color="000000" w:fill="FFFFFF"/>
            <w:noWrap/>
            <w:vAlign w:val="center"/>
            <w:hideMark/>
          </w:tcPr>
          <w:p w14:paraId="2B8945D5" w14:textId="77777777" w:rsidR="00D77000" w:rsidRPr="00D77000" w:rsidRDefault="00D77000" w:rsidP="00D77000">
            <w:pPr>
              <w:spacing w:before="0" w:after="0" w:line="240" w:lineRule="auto"/>
              <w:jc w:val="right"/>
              <w:rPr>
                <w:rFonts w:ascii="Arial" w:hAnsi="Arial" w:cs="Arial"/>
                <w:color w:val="000000"/>
                <w:sz w:val="16"/>
                <w:szCs w:val="16"/>
              </w:rPr>
            </w:pPr>
            <w:r w:rsidRPr="00D77000">
              <w:rPr>
                <w:rFonts w:ascii="Arial" w:hAnsi="Arial" w:cs="Arial"/>
                <w:color w:val="000000"/>
                <w:sz w:val="16"/>
                <w:szCs w:val="16"/>
              </w:rPr>
              <w:t>10,378</w:t>
            </w:r>
          </w:p>
        </w:tc>
        <w:tc>
          <w:tcPr>
            <w:tcW w:w="497" w:type="pct"/>
            <w:tcBorders>
              <w:top w:val="nil"/>
              <w:left w:val="nil"/>
              <w:bottom w:val="nil"/>
              <w:right w:val="nil"/>
            </w:tcBorders>
            <w:shd w:val="clear" w:color="000000" w:fill="E6F2FF"/>
            <w:noWrap/>
            <w:vAlign w:val="center"/>
            <w:hideMark/>
          </w:tcPr>
          <w:p w14:paraId="4C48C941" w14:textId="77777777" w:rsidR="00D77000" w:rsidRPr="00D77000" w:rsidRDefault="00D77000" w:rsidP="00D77000">
            <w:pPr>
              <w:spacing w:before="0" w:after="0" w:line="240" w:lineRule="auto"/>
              <w:jc w:val="right"/>
              <w:rPr>
                <w:rFonts w:ascii="Arial" w:hAnsi="Arial" w:cs="Arial"/>
                <w:color w:val="000000"/>
                <w:sz w:val="16"/>
                <w:szCs w:val="16"/>
              </w:rPr>
            </w:pPr>
            <w:r w:rsidRPr="00D77000">
              <w:rPr>
                <w:rFonts w:ascii="Arial" w:hAnsi="Arial" w:cs="Arial"/>
                <w:color w:val="000000"/>
                <w:sz w:val="16"/>
                <w:szCs w:val="16"/>
              </w:rPr>
              <w:t>10,227</w:t>
            </w:r>
          </w:p>
        </w:tc>
        <w:tc>
          <w:tcPr>
            <w:tcW w:w="497" w:type="pct"/>
            <w:tcBorders>
              <w:top w:val="nil"/>
              <w:left w:val="nil"/>
              <w:bottom w:val="nil"/>
              <w:right w:val="nil"/>
            </w:tcBorders>
            <w:shd w:val="clear" w:color="000000" w:fill="FFFFFF"/>
            <w:noWrap/>
            <w:vAlign w:val="center"/>
            <w:hideMark/>
          </w:tcPr>
          <w:p w14:paraId="1F5DAA64" w14:textId="77777777" w:rsidR="00D77000" w:rsidRPr="00D77000" w:rsidRDefault="00D77000" w:rsidP="00D77000">
            <w:pPr>
              <w:spacing w:before="0" w:after="0" w:line="240" w:lineRule="auto"/>
              <w:jc w:val="right"/>
              <w:rPr>
                <w:rFonts w:ascii="Arial" w:hAnsi="Arial" w:cs="Arial"/>
                <w:color w:val="000000"/>
                <w:sz w:val="16"/>
                <w:szCs w:val="16"/>
              </w:rPr>
            </w:pPr>
            <w:r w:rsidRPr="00D77000">
              <w:rPr>
                <w:rFonts w:ascii="Arial" w:hAnsi="Arial" w:cs="Arial"/>
                <w:color w:val="000000"/>
                <w:sz w:val="16"/>
                <w:szCs w:val="16"/>
              </w:rPr>
              <w:t>10,070</w:t>
            </w:r>
          </w:p>
        </w:tc>
        <w:tc>
          <w:tcPr>
            <w:tcW w:w="497" w:type="pct"/>
            <w:tcBorders>
              <w:top w:val="nil"/>
              <w:left w:val="nil"/>
              <w:bottom w:val="nil"/>
              <w:right w:val="nil"/>
            </w:tcBorders>
            <w:shd w:val="clear" w:color="000000" w:fill="FFFFFF"/>
            <w:noWrap/>
            <w:vAlign w:val="center"/>
            <w:hideMark/>
          </w:tcPr>
          <w:p w14:paraId="675E87C1" w14:textId="77777777" w:rsidR="00D77000" w:rsidRPr="00D77000" w:rsidRDefault="00D77000" w:rsidP="00D77000">
            <w:pPr>
              <w:spacing w:before="0" w:after="0" w:line="240" w:lineRule="auto"/>
              <w:jc w:val="right"/>
              <w:rPr>
                <w:rFonts w:ascii="Arial" w:hAnsi="Arial" w:cs="Arial"/>
                <w:color w:val="000000"/>
                <w:sz w:val="16"/>
                <w:szCs w:val="16"/>
              </w:rPr>
            </w:pPr>
            <w:r w:rsidRPr="00D77000">
              <w:rPr>
                <w:rFonts w:ascii="Arial" w:hAnsi="Arial" w:cs="Arial"/>
                <w:color w:val="000000"/>
                <w:sz w:val="16"/>
                <w:szCs w:val="16"/>
              </w:rPr>
              <w:t>10,081</w:t>
            </w:r>
          </w:p>
        </w:tc>
        <w:tc>
          <w:tcPr>
            <w:tcW w:w="497" w:type="pct"/>
            <w:tcBorders>
              <w:top w:val="nil"/>
              <w:left w:val="nil"/>
              <w:bottom w:val="nil"/>
              <w:right w:val="nil"/>
            </w:tcBorders>
            <w:shd w:val="clear" w:color="000000" w:fill="FFFFFF"/>
            <w:noWrap/>
            <w:vAlign w:val="center"/>
            <w:hideMark/>
          </w:tcPr>
          <w:p w14:paraId="308AF79E" w14:textId="77777777" w:rsidR="00D77000" w:rsidRPr="00D77000" w:rsidRDefault="00D77000" w:rsidP="00D77000">
            <w:pPr>
              <w:spacing w:before="0" w:after="0" w:line="240" w:lineRule="auto"/>
              <w:jc w:val="right"/>
              <w:rPr>
                <w:rFonts w:ascii="Arial" w:hAnsi="Arial" w:cs="Arial"/>
                <w:color w:val="000000"/>
                <w:sz w:val="16"/>
                <w:szCs w:val="16"/>
              </w:rPr>
            </w:pPr>
            <w:r w:rsidRPr="00D77000">
              <w:rPr>
                <w:rFonts w:ascii="Arial" w:hAnsi="Arial" w:cs="Arial"/>
                <w:color w:val="000000"/>
                <w:sz w:val="16"/>
                <w:szCs w:val="16"/>
              </w:rPr>
              <w:t>9,814</w:t>
            </w:r>
          </w:p>
        </w:tc>
      </w:tr>
      <w:tr w:rsidR="00D77000" w:rsidRPr="00D77000" w14:paraId="178BB0D3" w14:textId="77777777" w:rsidTr="00D77000">
        <w:trPr>
          <w:trHeight w:hRule="exact" w:val="225"/>
        </w:trPr>
        <w:tc>
          <w:tcPr>
            <w:tcW w:w="1950" w:type="pct"/>
            <w:tcBorders>
              <w:top w:val="nil"/>
              <w:left w:val="nil"/>
              <w:bottom w:val="nil"/>
              <w:right w:val="nil"/>
            </w:tcBorders>
            <w:shd w:val="clear" w:color="000000" w:fill="FFFFFF"/>
            <w:noWrap/>
            <w:vAlign w:val="center"/>
            <w:hideMark/>
          </w:tcPr>
          <w:p w14:paraId="5F103008" w14:textId="77777777" w:rsidR="00D77000" w:rsidRPr="00D77000" w:rsidRDefault="00D77000" w:rsidP="00D77000">
            <w:pPr>
              <w:spacing w:before="0" w:after="0" w:line="240" w:lineRule="auto"/>
              <w:ind w:left="170"/>
              <w:rPr>
                <w:rFonts w:ascii="Arial" w:hAnsi="Arial" w:cs="Arial"/>
                <w:color w:val="000000"/>
                <w:sz w:val="16"/>
                <w:szCs w:val="16"/>
              </w:rPr>
            </w:pPr>
            <w:r w:rsidRPr="00D77000">
              <w:rPr>
                <w:rFonts w:ascii="Arial" w:hAnsi="Arial" w:cs="Arial"/>
                <w:color w:val="000000"/>
                <w:sz w:val="16"/>
                <w:szCs w:val="16"/>
              </w:rPr>
              <w:t>Foreign affairs and economic aid</w:t>
            </w:r>
          </w:p>
        </w:tc>
        <w:tc>
          <w:tcPr>
            <w:tcW w:w="506" w:type="pct"/>
            <w:tcBorders>
              <w:top w:val="nil"/>
              <w:left w:val="nil"/>
              <w:bottom w:val="nil"/>
              <w:right w:val="nil"/>
            </w:tcBorders>
            <w:shd w:val="clear" w:color="000000" w:fill="FFFFFF"/>
            <w:noWrap/>
            <w:vAlign w:val="center"/>
            <w:hideMark/>
          </w:tcPr>
          <w:p w14:paraId="0B0F98FF" w14:textId="77777777" w:rsidR="00D77000" w:rsidRPr="00D77000" w:rsidRDefault="00D77000" w:rsidP="00D77000">
            <w:pPr>
              <w:spacing w:before="0" w:after="0" w:line="240" w:lineRule="auto"/>
              <w:jc w:val="right"/>
              <w:rPr>
                <w:rFonts w:ascii="Arial" w:hAnsi="Arial" w:cs="Arial"/>
                <w:color w:val="000000"/>
                <w:sz w:val="16"/>
                <w:szCs w:val="16"/>
              </w:rPr>
            </w:pPr>
            <w:r w:rsidRPr="00D77000">
              <w:rPr>
                <w:rFonts w:ascii="Arial" w:hAnsi="Arial" w:cs="Arial"/>
                <w:color w:val="000000"/>
                <w:sz w:val="16"/>
                <w:szCs w:val="16"/>
              </w:rPr>
              <w:t>7,522</w:t>
            </w:r>
          </w:p>
        </w:tc>
        <w:tc>
          <w:tcPr>
            <w:tcW w:w="56" w:type="pct"/>
            <w:tcBorders>
              <w:top w:val="nil"/>
              <w:left w:val="nil"/>
              <w:bottom w:val="nil"/>
              <w:right w:val="nil"/>
            </w:tcBorders>
            <w:shd w:val="clear" w:color="000000" w:fill="FFFFFF"/>
            <w:noWrap/>
            <w:vAlign w:val="center"/>
            <w:hideMark/>
          </w:tcPr>
          <w:p w14:paraId="706D2C4D" w14:textId="77777777" w:rsidR="00D77000" w:rsidRPr="00D77000" w:rsidRDefault="00D77000" w:rsidP="00D77000">
            <w:pPr>
              <w:spacing w:before="0" w:after="0" w:line="240" w:lineRule="auto"/>
              <w:rPr>
                <w:rFonts w:ascii="Arial" w:hAnsi="Arial" w:cs="Arial"/>
                <w:color w:val="000000"/>
                <w:sz w:val="16"/>
                <w:szCs w:val="16"/>
              </w:rPr>
            </w:pPr>
            <w:r w:rsidRPr="00D77000">
              <w:rPr>
                <w:rFonts w:ascii="Arial" w:hAnsi="Arial" w:cs="Arial"/>
                <w:color w:val="000000"/>
                <w:sz w:val="16"/>
                <w:szCs w:val="16"/>
              </w:rPr>
              <w:t> </w:t>
            </w:r>
          </w:p>
        </w:tc>
        <w:tc>
          <w:tcPr>
            <w:tcW w:w="498" w:type="pct"/>
            <w:tcBorders>
              <w:top w:val="nil"/>
              <w:left w:val="nil"/>
              <w:bottom w:val="nil"/>
              <w:right w:val="nil"/>
            </w:tcBorders>
            <w:shd w:val="clear" w:color="000000" w:fill="FFFFFF"/>
            <w:noWrap/>
            <w:vAlign w:val="center"/>
            <w:hideMark/>
          </w:tcPr>
          <w:p w14:paraId="2749729F" w14:textId="77777777" w:rsidR="00D77000" w:rsidRPr="00D77000" w:rsidRDefault="00D77000" w:rsidP="00D77000">
            <w:pPr>
              <w:spacing w:before="0" w:after="0" w:line="240" w:lineRule="auto"/>
              <w:jc w:val="right"/>
              <w:rPr>
                <w:rFonts w:ascii="Arial" w:hAnsi="Arial" w:cs="Arial"/>
                <w:color w:val="000000"/>
                <w:sz w:val="16"/>
                <w:szCs w:val="16"/>
              </w:rPr>
            </w:pPr>
            <w:r w:rsidRPr="00D77000">
              <w:rPr>
                <w:rFonts w:ascii="Arial" w:hAnsi="Arial" w:cs="Arial"/>
                <w:color w:val="000000"/>
                <w:sz w:val="16"/>
                <w:szCs w:val="16"/>
              </w:rPr>
              <w:t>7,282</w:t>
            </w:r>
          </w:p>
        </w:tc>
        <w:tc>
          <w:tcPr>
            <w:tcW w:w="497" w:type="pct"/>
            <w:tcBorders>
              <w:top w:val="nil"/>
              <w:left w:val="nil"/>
              <w:bottom w:val="nil"/>
              <w:right w:val="nil"/>
            </w:tcBorders>
            <w:shd w:val="clear" w:color="000000" w:fill="E6F2FF"/>
            <w:noWrap/>
            <w:vAlign w:val="center"/>
            <w:hideMark/>
          </w:tcPr>
          <w:p w14:paraId="47BEFFEC" w14:textId="77777777" w:rsidR="00D77000" w:rsidRPr="00D77000" w:rsidRDefault="00D77000" w:rsidP="00D77000">
            <w:pPr>
              <w:spacing w:before="0" w:after="0" w:line="240" w:lineRule="auto"/>
              <w:jc w:val="right"/>
              <w:rPr>
                <w:rFonts w:ascii="Arial" w:hAnsi="Arial" w:cs="Arial"/>
                <w:color w:val="000000"/>
                <w:sz w:val="16"/>
                <w:szCs w:val="16"/>
              </w:rPr>
            </w:pPr>
            <w:r w:rsidRPr="00D77000">
              <w:rPr>
                <w:rFonts w:ascii="Arial" w:hAnsi="Arial" w:cs="Arial"/>
                <w:color w:val="000000"/>
                <w:sz w:val="16"/>
                <w:szCs w:val="16"/>
              </w:rPr>
              <w:t>8,730</w:t>
            </w:r>
          </w:p>
        </w:tc>
        <w:tc>
          <w:tcPr>
            <w:tcW w:w="497" w:type="pct"/>
            <w:tcBorders>
              <w:top w:val="nil"/>
              <w:left w:val="nil"/>
              <w:bottom w:val="nil"/>
              <w:right w:val="nil"/>
            </w:tcBorders>
            <w:shd w:val="clear" w:color="000000" w:fill="FFFFFF"/>
            <w:noWrap/>
            <w:vAlign w:val="center"/>
            <w:hideMark/>
          </w:tcPr>
          <w:p w14:paraId="056CE97D" w14:textId="77777777" w:rsidR="00D77000" w:rsidRPr="00D77000" w:rsidRDefault="00D77000" w:rsidP="00D77000">
            <w:pPr>
              <w:spacing w:before="0" w:after="0" w:line="240" w:lineRule="auto"/>
              <w:jc w:val="right"/>
              <w:rPr>
                <w:rFonts w:ascii="Arial" w:hAnsi="Arial" w:cs="Arial"/>
                <w:color w:val="000000"/>
                <w:sz w:val="16"/>
                <w:szCs w:val="16"/>
              </w:rPr>
            </w:pPr>
            <w:r w:rsidRPr="00D77000">
              <w:rPr>
                <w:rFonts w:ascii="Arial" w:hAnsi="Arial" w:cs="Arial"/>
                <w:color w:val="000000"/>
                <w:sz w:val="16"/>
                <w:szCs w:val="16"/>
              </w:rPr>
              <w:t>7,667</w:t>
            </w:r>
          </w:p>
        </w:tc>
        <w:tc>
          <w:tcPr>
            <w:tcW w:w="497" w:type="pct"/>
            <w:tcBorders>
              <w:top w:val="nil"/>
              <w:left w:val="nil"/>
              <w:bottom w:val="nil"/>
              <w:right w:val="nil"/>
            </w:tcBorders>
            <w:shd w:val="clear" w:color="000000" w:fill="FFFFFF"/>
            <w:noWrap/>
            <w:vAlign w:val="center"/>
            <w:hideMark/>
          </w:tcPr>
          <w:p w14:paraId="3E461157" w14:textId="77777777" w:rsidR="00D77000" w:rsidRPr="00D77000" w:rsidRDefault="00D77000" w:rsidP="00D77000">
            <w:pPr>
              <w:spacing w:before="0" w:after="0" w:line="240" w:lineRule="auto"/>
              <w:jc w:val="right"/>
              <w:rPr>
                <w:rFonts w:ascii="Arial" w:hAnsi="Arial" w:cs="Arial"/>
                <w:color w:val="000000"/>
                <w:sz w:val="16"/>
                <w:szCs w:val="16"/>
              </w:rPr>
            </w:pPr>
            <w:r w:rsidRPr="00D77000">
              <w:rPr>
                <w:rFonts w:ascii="Arial" w:hAnsi="Arial" w:cs="Arial"/>
                <w:color w:val="000000"/>
                <w:sz w:val="16"/>
                <w:szCs w:val="16"/>
              </w:rPr>
              <w:t>8,105</w:t>
            </w:r>
          </w:p>
        </w:tc>
        <w:tc>
          <w:tcPr>
            <w:tcW w:w="497" w:type="pct"/>
            <w:tcBorders>
              <w:top w:val="nil"/>
              <w:left w:val="nil"/>
              <w:bottom w:val="nil"/>
              <w:right w:val="nil"/>
            </w:tcBorders>
            <w:shd w:val="clear" w:color="000000" w:fill="FFFFFF"/>
            <w:noWrap/>
            <w:vAlign w:val="center"/>
            <w:hideMark/>
          </w:tcPr>
          <w:p w14:paraId="21140189" w14:textId="77777777" w:rsidR="00D77000" w:rsidRPr="00D77000" w:rsidRDefault="00D77000" w:rsidP="00D77000">
            <w:pPr>
              <w:spacing w:before="0" w:after="0" w:line="240" w:lineRule="auto"/>
              <w:jc w:val="right"/>
              <w:rPr>
                <w:rFonts w:ascii="Arial" w:hAnsi="Arial" w:cs="Arial"/>
                <w:color w:val="000000"/>
                <w:sz w:val="16"/>
                <w:szCs w:val="16"/>
              </w:rPr>
            </w:pPr>
            <w:r w:rsidRPr="00D77000">
              <w:rPr>
                <w:rFonts w:ascii="Arial" w:hAnsi="Arial" w:cs="Arial"/>
                <w:color w:val="000000"/>
                <w:sz w:val="16"/>
                <w:szCs w:val="16"/>
              </w:rPr>
              <w:t>8,632</w:t>
            </w:r>
          </w:p>
        </w:tc>
      </w:tr>
      <w:tr w:rsidR="00D77000" w:rsidRPr="00D77000" w14:paraId="42400F5F" w14:textId="77777777" w:rsidTr="00D77000">
        <w:trPr>
          <w:trHeight w:hRule="exact" w:val="225"/>
        </w:trPr>
        <w:tc>
          <w:tcPr>
            <w:tcW w:w="1950" w:type="pct"/>
            <w:tcBorders>
              <w:top w:val="nil"/>
              <w:left w:val="nil"/>
              <w:bottom w:val="nil"/>
              <w:right w:val="nil"/>
            </w:tcBorders>
            <w:shd w:val="clear" w:color="000000" w:fill="FFFFFF"/>
            <w:noWrap/>
            <w:vAlign w:val="center"/>
            <w:hideMark/>
          </w:tcPr>
          <w:p w14:paraId="650B5023" w14:textId="77777777" w:rsidR="00D77000" w:rsidRPr="00D77000" w:rsidRDefault="00D77000" w:rsidP="00D77000">
            <w:pPr>
              <w:spacing w:before="0" w:after="0" w:line="240" w:lineRule="auto"/>
              <w:ind w:left="170"/>
              <w:rPr>
                <w:rFonts w:ascii="Arial" w:hAnsi="Arial" w:cs="Arial"/>
                <w:color w:val="000000"/>
                <w:sz w:val="16"/>
                <w:szCs w:val="16"/>
              </w:rPr>
            </w:pPr>
            <w:r w:rsidRPr="00D77000">
              <w:rPr>
                <w:rFonts w:ascii="Arial" w:hAnsi="Arial" w:cs="Arial"/>
                <w:color w:val="000000"/>
                <w:sz w:val="16"/>
                <w:szCs w:val="16"/>
              </w:rPr>
              <w:t>General research</w:t>
            </w:r>
          </w:p>
        </w:tc>
        <w:tc>
          <w:tcPr>
            <w:tcW w:w="506" w:type="pct"/>
            <w:tcBorders>
              <w:top w:val="nil"/>
              <w:left w:val="nil"/>
              <w:bottom w:val="nil"/>
              <w:right w:val="nil"/>
            </w:tcBorders>
            <w:shd w:val="clear" w:color="000000" w:fill="FFFFFF"/>
            <w:noWrap/>
            <w:vAlign w:val="center"/>
            <w:hideMark/>
          </w:tcPr>
          <w:p w14:paraId="7E0E4579" w14:textId="77777777" w:rsidR="00D77000" w:rsidRPr="00D77000" w:rsidRDefault="00D77000" w:rsidP="00D77000">
            <w:pPr>
              <w:spacing w:before="0" w:after="0" w:line="240" w:lineRule="auto"/>
              <w:jc w:val="right"/>
              <w:rPr>
                <w:rFonts w:ascii="Arial" w:hAnsi="Arial" w:cs="Arial"/>
                <w:color w:val="000000"/>
                <w:sz w:val="16"/>
                <w:szCs w:val="16"/>
              </w:rPr>
            </w:pPr>
            <w:r w:rsidRPr="00D77000">
              <w:rPr>
                <w:rFonts w:ascii="Arial" w:hAnsi="Arial" w:cs="Arial"/>
                <w:color w:val="000000"/>
                <w:sz w:val="16"/>
                <w:szCs w:val="16"/>
              </w:rPr>
              <w:t>3,695</w:t>
            </w:r>
          </w:p>
        </w:tc>
        <w:tc>
          <w:tcPr>
            <w:tcW w:w="56" w:type="pct"/>
            <w:tcBorders>
              <w:top w:val="nil"/>
              <w:left w:val="nil"/>
              <w:bottom w:val="nil"/>
              <w:right w:val="nil"/>
            </w:tcBorders>
            <w:shd w:val="clear" w:color="000000" w:fill="FFFFFF"/>
            <w:noWrap/>
            <w:vAlign w:val="center"/>
            <w:hideMark/>
          </w:tcPr>
          <w:p w14:paraId="048C2F58" w14:textId="77777777" w:rsidR="00D77000" w:rsidRPr="00D77000" w:rsidRDefault="00D77000" w:rsidP="00D77000">
            <w:pPr>
              <w:spacing w:before="0" w:after="0" w:line="240" w:lineRule="auto"/>
              <w:rPr>
                <w:rFonts w:ascii="Arial" w:hAnsi="Arial" w:cs="Arial"/>
                <w:color w:val="000000"/>
                <w:sz w:val="16"/>
                <w:szCs w:val="16"/>
              </w:rPr>
            </w:pPr>
            <w:r w:rsidRPr="00D77000">
              <w:rPr>
                <w:rFonts w:ascii="Arial" w:hAnsi="Arial" w:cs="Arial"/>
                <w:color w:val="000000"/>
                <w:sz w:val="16"/>
                <w:szCs w:val="16"/>
              </w:rPr>
              <w:t> </w:t>
            </w:r>
          </w:p>
        </w:tc>
        <w:tc>
          <w:tcPr>
            <w:tcW w:w="498" w:type="pct"/>
            <w:tcBorders>
              <w:top w:val="nil"/>
              <w:left w:val="nil"/>
              <w:bottom w:val="nil"/>
              <w:right w:val="nil"/>
            </w:tcBorders>
            <w:shd w:val="clear" w:color="000000" w:fill="FFFFFF"/>
            <w:noWrap/>
            <w:vAlign w:val="center"/>
            <w:hideMark/>
          </w:tcPr>
          <w:p w14:paraId="1100E42A" w14:textId="77777777" w:rsidR="00D77000" w:rsidRPr="00D77000" w:rsidRDefault="00D77000" w:rsidP="00D77000">
            <w:pPr>
              <w:spacing w:before="0" w:after="0" w:line="240" w:lineRule="auto"/>
              <w:jc w:val="right"/>
              <w:rPr>
                <w:rFonts w:ascii="Arial" w:hAnsi="Arial" w:cs="Arial"/>
                <w:color w:val="000000"/>
                <w:sz w:val="16"/>
                <w:szCs w:val="16"/>
              </w:rPr>
            </w:pPr>
            <w:r w:rsidRPr="00D77000">
              <w:rPr>
                <w:rFonts w:ascii="Arial" w:hAnsi="Arial" w:cs="Arial"/>
                <w:color w:val="000000"/>
                <w:sz w:val="16"/>
                <w:szCs w:val="16"/>
              </w:rPr>
              <w:t>4,063</w:t>
            </w:r>
          </w:p>
        </w:tc>
        <w:tc>
          <w:tcPr>
            <w:tcW w:w="497" w:type="pct"/>
            <w:tcBorders>
              <w:top w:val="nil"/>
              <w:left w:val="nil"/>
              <w:bottom w:val="nil"/>
              <w:right w:val="nil"/>
            </w:tcBorders>
            <w:shd w:val="clear" w:color="000000" w:fill="E6F2FF"/>
            <w:noWrap/>
            <w:vAlign w:val="center"/>
            <w:hideMark/>
          </w:tcPr>
          <w:p w14:paraId="6A3DE4A4" w14:textId="77777777" w:rsidR="00D77000" w:rsidRPr="00D77000" w:rsidRDefault="00D77000" w:rsidP="00D77000">
            <w:pPr>
              <w:spacing w:before="0" w:after="0" w:line="240" w:lineRule="auto"/>
              <w:jc w:val="right"/>
              <w:rPr>
                <w:rFonts w:ascii="Arial" w:hAnsi="Arial" w:cs="Arial"/>
                <w:color w:val="000000"/>
                <w:sz w:val="16"/>
                <w:szCs w:val="16"/>
              </w:rPr>
            </w:pPr>
            <w:r w:rsidRPr="00D77000">
              <w:rPr>
                <w:rFonts w:ascii="Arial" w:hAnsi="Arial" w:cs="Arial"/>
                <w:color w:val="000000"/>
                <w:sz w:val="16"/>
                <w:szCs w:val="16"/>
              </w:rPr>
              <w:t>4,485</w:t>
            </w:r>
          </w:p>
        </w:tc>
        <w:tc>
          <w:tcPr>
            <w:tcW w:w="497" w:type="pct"/>
            <w:tcBorders>
              <w:top w:val="nil"/>
              <w:left w:val="nil"/>
              <w:bottom w:val="nil"/>
              <w:right w:val="nil"/>
            </w:tcBorders>
            <w:shd w:val="clear" w:color="000000" w:fill="FFFFFF"/>
            <w:noWrap/>
            <w:vAlign w:val="center"/>
            <w:hideMark/>
          </w:tcPr>
          <w:p w14:paraId="6379490F" w14:textId="77777777" w:rsidR="00D77000" w:rsidRPr="00D77000" w:rsidRDefault="00D77000" w:rsidP="00D77000">
            <w:pPr>
              <w:spacing w:before="0" w:after="0" w:line="240" w:lineRule="auto"/>
              <w:jc w:val="right"/>
              <w:rPr>
                <w:rFonts w:ascii="Arial" w:hAnsi="Arial" w:cs="Arial"/>
                <w:color w:val="000000"/>
                <w:sz w:val="16"/>
                <w:szCs w:val="16"/>
              </w:rPr>
            </w:pPr>
            <w:r w:rsidRPr="00D77000">
              <w:rPr>
                <w:rFonts w:ascii="Arial" w:hAnsi="Arial" w:cs="Arial"/>
                <w:color w:val="000000"/>
                <w:sz w:val="16"/>
                <w:szCs w:val="16"/>
              </w:rPr>
              <w:t>4,378</w:t>
            </w:r>
          </w:p>
        </w:tc>
        <w:tc>
          <w:tcPr>
            <w:tcW w:w="497" w:type="pct"/>
            <w:tcBorders>
              <w:top w:val="nil"/>
              <w:left w:val="nil"/>
              <w:bottom w:val="nil"/>
              <w:right w:val="nil"/>
            </w:tcBorders>
            <w:shd w:val="clear" w:color="000000" w:fill="FFFFFF"/>
            <w:noWrap/>
            <w:vAlign w:val="center"/>
            <w:hideMark/>
          </w:tcPr>
          <w:p w14:paraId="3EF4AA5A" w14:textId="77777777" w:rsidR="00D77000" w:rsidRPr="00D77000" w:rsidRDefault="00D77000" w:rsidP="00D77000">
            <w:pPr>
              <w:spacing w:before="0" w:after="0" w:line="240" w:lineRule="auto"/>
              <w:jc w:val="right"/>
              <w:rPr>
                <w:rFonts w:ascii="Arial" w:hAnsi="Arial" w:cs="Arial"/>
                <w:color w:val="000000"/>
                <w:sz w:val="16"/>
                <w:szCs w:val="16"/>
              </w:rPr>
            </w:pPr>
            <w:r w:rsidRPr="00D77000">
              <w:rPr>
                <w:rFonts w:ascii="Arial" w:hAnsi="Arial" w:cs="Arial"/>
                <w:color w:val="000000"/>
                <w:sz w:val="16"/>
                <w:szCs w:val="16"/>
              </w:rPr>
              <w:t>4,232</w:t>
            </w:r>
          </w:p>
        </w:tc>
        <w:tc>
          <w:tcPr>
            <w:tcW w:w="497" w:type="pct"/>
            <w:tcBorders>
              <w:top w:val="nil"/>
              <w:left w:val="nil"/>
              <w:bottom w:val="nil"/>
              <w:right w:val="nil"/>
            </w:tcBorders>
            <w:shd w:val="clear" w:color="000000" w:fill="FFFFFF"/>
            <w:noWrap/>
            <w:vAlign w:val="center"/>
            <w:hideMark/>
          </w:tcPr>
          <w:p w14:paraId="4B3819BC" w14:textId="77777777" w:rsidR="00D77000" w:rsidRPr="00D77000" w:rsidRDefault="00D77000" w:rsidP="00D77000">
            <w:pPr>
              <w:spacing w:before="0" w:after="0" w:line="240" w:lineRule="auto"/>
              <w:jc w:val="right"/>
              <w:rPr>
                <w:rFonts w:ascii="Arial" w:hAnsi="Arial" w:cs="Arial"/>
                <w:color w:val="000000"/>
                <w:sz w:val="16"/>
                <w:szCs w:val="16"/>
              </w:rPr>
            </w:pPr>
            <w:r w:rsidRPr="00D77000">
              <w:rPr>
                <w:rFonts w:ascii="Arial" w:hAnsi="Arial" w:cs="Arial"/>
                <w:color w:val="000000"/>
                <w:sz w:val="16"/>
                <w:szCs w:val="16"/>
              </w:rPr>
              <w:t>4,276</w:t>
            </w:r>
          </w:p>
        </w:tc>
      </w:tr>
      <w:tr w:rsidR="00D77000" w:rsidRPr="00D77000" w14:paraId="31E33909" w14:textId="77777777" w:rsidTr="00D77000">
        <w:trPr>
          <w:trHeight w:hRule="exact" w:val="225"/>
        </w:trPr>
        <w:tc>
          <w:tcPr>
            <w:tcW w:w="1950" w:type="pct"/>
            <w:tcBorders>
              <w:top w:val="nil"/>
              <w:left w:val="nil"/>
              <w:bottom w:val="nil"/>
              <w:right w:val="nil"/>
            </w:tcBorders>
            <w:shd w:val="clear" w:color="000000" w:fill="FFFFFF"/>
            <w:noWrap/>
            <w:vAlign w:val="center"/>
            <w:hideMark/>
          </w:tcPr>
          <w:p w14:paraId="2E9A93B1" w14:textId="77777777" w:rsidR="00D77000" w:rsidRPr="00D77000" w:rsidRDefault="00D77000" w:rsidP="00D77000">
            <w:pPr>
              <w:spacing w:before="0" w:after="0" w:line="240" w:lineRule="auto"/>
              <w:ind w:left="170"/>
              <w:rPr>
                <w:rFonts w:ascii="Arial" w:hAnsi="Arial" w:cs="Arial"/>
                <w:color w:val="000000"/>
                <w:sz w:val="16"/>
                <w:szCs w:val="16"/>
              </w:rPr>
            </w:pPr>
            <w:r w:rsidRPr="00D77000">
              <w:rPr>
                <w:rFonts w:ascii="Arial" w:hAnsi="Arial" w:cs="Arial"/>
                <w:color w:val="000000"/>
                <w:sz w:val="16"/>
                <w:szCs w:val="16"/>
              </w:rPr>
              <w:t>General services</w:t>
            </w:r>
          </w:p>
        </w:tc>
        <w:tc>
          <w:tcPr>
            <w:tcW w:w="506" w:type="pct"/>
            <w:tcBorders>
              <w:top w:val="nil"/>
              <w:left w:val="nil"/>
              <w:bottom w:val="nil"/>
              <w:right w:val="nil"/>
            </w:tcBorders>
            <w:shd w:val="clear" w:color="000000" w:fill="FFFFFF"/>
            <w:noWrap/>
            <w:vAlign w:val="center"/>
            <w:hideMark/>
          </w:tcPr>
          <w:p w14:paraId="7B20C184" w14:textId="77777777" w:rsidR="00D77000" w:rsidRPr="00D77000" w:rsidRDefault="00D77000" w:rsidP="00D77000">
            <w:pPr>
              <w:spacing w:before="0" w:after="0" w:line="240" w:lineRule="auto"/>
              <w:jc w:val="right"/>
              <w:rPr>
                <w:rFonts w:ascii="Arial" w:hAnsi="Arial" w:cs="Arial"/>
                <w:color w:val="000000"/>
                <w:sz w:val="16"/>
                <w:szCs w:val="16"/>
              </w:rPr>
            </w:pPr>
            <w:r w:rsidRPr="00D77000">
              <w:rPr>
                <w:rFonts w:ascii="Arial" w:hAnsi="Arial" w:cs="Arial"/>
                <w:color w:val="000000"/>
                <w:sz w:val="16"/>
                <w:szCs w:val="16"/>
              </w:rPr>
              <w:t>1,110</w:t>
            </w:r>
          </w:p>
        </w:tc>
        <w:tc>
          <w:tcPr>
            <w:tcW w:w="56" w:type="pct"/>
            <w:tcBorders>
              <w:top w:val="nil"/>
              <w:left w:val="nil"/>
              <w:bottom w:val="nil"/>
              <w:right w:val="nil"/>
            </w:tcBorders>
            <w:shd w:val="clear" w:color="000000" w:fill="FFFFFF"/>
            <w:noWrap/>
            <w:vAlign w:val="center"/>
            <w:hideMark/>
          </w:tcPr>
          <w:p w14:paraId="32ACEB73" w14:textId="77777777" w:rsidR="00D77000" w:rsidRPr="00D77000" w:rsidRDefault="00D77000" w:rsidP="00D77000">
            <w:pPr>
              <w:spacing w:before="0" w:after="0" w:line="240" w:lineRule="auto"/>
              <w:rPr>
                <w:rFonts w:ascii="Arial" w:hAnsi="Arial" w:cs="Arial"/>
                <w:color w:val="000000"/>
                <w:sz w:val="16"/>
                <w:szCs w:val="16"/>
              </w:rPr>
            </w:pPr>
            <w:r w:rsidRPr="00D77000">
              <w:rPr>
                <w:rFonts w:ascii="Arial" w:hAnsi="Arial" w:cs="Arial"/>
                <w:color w:val="000000"/>
                <w:sz w:val="16"/>
                <w:szCs w:val="16"/>
              </w:rPr>
              <w:t> </w:t>
            </w:r>
          </w:p>
        </w:tc>
        <w:tc>
          <w:tcPr>
            <w:tcW w:w="498" w:type="pct"/>
            <w:tcBorders>
              <w:top w:val="nil"/>
              <w:left w:val="nil"/>
              <w:bottom w:val="nil"/>
              <w:right w:val="nil"/>
            </w:tcBorders>
            <w:shd w:val="clear" w:color="000000" w:fill="FFFFFF"/>
            <w:noWrap/>
            <w:vAlign w:val="center"/>
            <w:hideMark/>
          </w:tcPr>
          <w:p w14:paraId="2ED1766B" w14:textId="77777777" w:rsidR="00D77000" w:rsidRPr="00D77000" w:rsidRDefault="00D77000" w:rsidP="00D77000">
            <w:pPr>
              <w:spacing w:before="0" w:after="0" w:line="240" w:lineRule="auto"/>
              <w:jc w:val="right"/>
              <w:rPr>
                <w:rFonts w:ascii="Arial" w:hAnsi="Arial" w:cs="Arial"/>
                <w:color w:val="000000"/>
                <w:sz w:val="16"/>
                <w:szCs w:val="16"/>
              </w:rPr>
            </w:pPr>
            <w:r w:rsidRPr="00D77000">
              <w:rPr>
                <w:rFonts w:ascii="Arial" w:hAnsi="Arial" w:cs="Arial"/>
                <w:color w:val="000000"/>
                <w:sz w:val="16"/>
                <w:szCs w:val="16"/>
              </w:rPr>
              <w:t>1,260</w:t>
            </w:r>
          </w:p>
        </w:tc>
        <w:tc>
          <w:tcPr>
            <w:tcW w:w="497" w:type="pct"/>
            <w:tcBorders>
              <w:top w:val="nil"/>
              <w:left w:val="nil"/>
              <w:bottom w:val="nil"/>
              <w:right w:val="nil"/>
            </w:tcBorders>
            <w:shd w:val="clear" w:color="000000" w:fill="E6F2FF"/>
            <w:noWrap/>
            <w:vAlign w:val="center"/>
            <w:hideMark/>
          </w:tcPr>
          <w:p w14:paraId="34B89FF8" w14:textId="77777777" w:rsidR="00D77000" w:rsidRPr="00D77000" w:rsidRDefault="00D77000" w:rsidP="00D77000">
            <w:pPr>
              <w:spacing w:before="0" w:after="0" w:line="240" w:lineRule="auto"/>
              <w:jc w:val="right"/>
              <w:rPr>
                <w:rFonts w:ascii="Arial" w:hAnsi="Arial" w:cs="Arial"/>
                <w:color w:val="000000"/>
                <w:sz w:val="16"/>
                <w:szCs w:val="16"/>
              </w:rPr>
            </w:pPr>
            <w:r w:rsidRPr="00D77000">
              <w:rPr>
                <w:rFonts w:ascii="Arial" w:hAnsi="Arial" w:cs="Arial"/>
                <w:color w:val="000000"/>
                <w:sz w:val="16"/>
                <w:szCs w:val="16"/>
              </w:rPr>
              <w:t>1,253</w:t>
            </w:r>
          </w:p>
        </w:tc>
        <w:tc>
          <w:tcPr>
            <w:tcW w:w="497" w:type="pct"/>
            <w:tcBorders>
              <w:top w:val="nil"/>
              <w:left w:val="nil"/>
              <w:bottom w:val="nil"/>
              <w:right w:val="nil"/>
            </w:tcBorders>
            <w:shd w:val="clear" w:color="000000" w:fill="FFFFFF"/>
            <w:noWrap/>
            <w:vAlign w:val="center"/>
            <w:hideMark/>
          </w:tcPr>
          <w:p w14:paraId="29DDB04E" w14:textId="77777777" w:rsidR="00D77000" w:rsidRPr="00D77000" w:rsidRDefault="00D77000" w:rsidP="00D77000">
            <w:pPr>
              <w:spacing w:before="0" w:after="0" w:line="240" w:lineRule="auto"/>
              <w:jc w:val="right"/>
              <w:rPr>
                <w:rFonts w:ascii="Arial" w:hAnsi="Arial" w:cs="Arial"/>
                <w:color w:val="000000"/>
                <w:sz w:val="16"/>
                <w:szCs w:val="16"/>
              </w:rPr>
            </w:pPr>
            <w:r w:rsidRPr="00D77000">
              <w:rPr>
                <w:rFonts w:ascii="Arial" w:hAnsi="Arial" w:cs="Arial"/>
                <w:color w:val="000000"/>
                <w:sz w:val="16"/>
                <w:szCs w:val="16"/>
              </w:rPr>
              <w:t>1,221</w:t>
            </w:r>
          </w:p>
        </w:tc>
        <w:tc>
          <w:tcPr>
            <w:tcW w:w="497" w:type="pct"/>
            <w:tcBorders>
              <w:top w:val="nil"/>
              <w:left w:val="nil"/>
              <w:bottom w:val="nil"/>
              <w:right w:val="nil"/>
            </w:tcBorders>
            <w:shd w:val="clear" w:color="000000" w:fill="FFFFFF"/>
            <w:noWrap/>
            <w:vAlign w:val="center"/>
            <w:hideMark/>
          </w:tcPr>
          <w:p w14:paraId="38C1778E" w14:textId="77777777" w:rsidR="00D77000" w:rsidRPr="00D77000" w:rsidRDefault="00D77000" w:rsidP="00D77000">
            <w:pPr>
              <w:spacing w:before="0" w:after="0" w:line="240" w:lineRule="auto"/>
              <w:jc w:val="right"/>
              <w:rPr>
                <w:rFonts w:ascii="Arial" w:hAnsi="Arial" w:cs="Arial"/>
                <w:color w:val="000000"/>
                <w:sz w:val="16"/>
                <w:szCs w:val="16"/>
              </w:rPr>
            </w:pPr>
            <w:r w:rsidRPr="00D77000">
              <w:rPr>
                <w:rFonts w:ascii="Arial" w:hAnsi="Arial" w:cs="Arial"/>
                <w:color w:val="000000"/>
                <w:sz w:val="16"/>
                <w:szCs w:val="16"/>
              </w:rPr>
              <w:t>1,235</w:t>
            </w:r>
          </w:p>
        </w:tc>
        <w:tc>
          <w:tcPr>
            <w:tcW w:w="497" w:type="pct"/>
            <w:tcBorders>
              <w:top w:val="nil"/>
              <w:left w:val="nil"/>
              <w:bottom w:val="nil"/>
              <w:right w:val="nil"/>
            </w:tcBorders>
            <w:shd w:val="clear" w:color="000000" w:fill="FFFFFF"/>
            <w:noWrap/>
            <w:vAlign w:val="center"/>
            <w:hideMark/>
          </w:tcPr>
          <w:p w14:paraId="7114468B" w14:textId="77777777" w:rsidR="00D77000" w:rsidRPr="00D77000" w:rsidRDefault="00D77000" w:rsidP="00D77000">
            <w:pPr>
              <w:spacing w:before="0" w:after="0" w:line="240" w:lineRule="auto"/>
              <w:jc w:val="right"/>
              <w:rPr>
                <w:rFonts w:ascii="Arial" w:hAnsi="Arial" w:cs="Arial"/>
                <w:color w:val="000000"/>
                <w:sz w:val="16"/>
                <w:szCs w:val="16"/>
              </w:rPr>
            </w:pPr>
            <w:r w:rsidRPr="00D77000">
              <w:rPr>
                <w:rFonts w:ascii="Arial" w:hAnsi="Arial" w:cs="Arial"/>
                <w:color w:val="000000"/>
                <w:sz w:val="16"/>
                <w:szCs w:val="16"/>
              </w:rPr>
              <w:t>1,268</w:t>
            </w:r>
          </w:p>
        </w:tc>
      </w:tr>
      <w:tr w:rsidR="00D77000" w:rsidRPr="00D77000" w14:paraId="201B9AE0" w14:textId="77777777" w:rsidTr="00D77000">
        <w:trPr>
          <w:trHeight w:hRule="exact" w:val="225"/>
        </w:trPr>
        <w:tc>
          <w:tcPr>
            <w:tcW w:w="1950" w:type="pct"/>
            <w:tcBorders>
              <w:top w:val="nil"/>
              <w:left w:val="nil"/>
              <w:bottom w:val="nil"/>
              <w:right w:val="nil"/>
            </w:tcBorders>
            <w:shd w:val="clear" w:color="000000" w:fill="FFFFFF"/>
            <w:noWrap/>
            <w:vAlign w:val="center"/>
            <w:hideMark/>
          </w:tcPr>
          <w:p w14:paraId="750FCF87" w14:textId="77777777" w:rsidR="00D77000" w:rsidRPr="00D77000" w:rsidRDefault="00D77000" w:rsidP="00D77000">
            <w:pPr>
              <w:spacing w:before="0" w:after="0" w:line="240" w:lineRule="auto"/>
              <w:ind w:left="170"/>
              <w:rPr>
                <w:rFonts w:ascii="Arial" w:hAnsi="Arial" w:cs="Arial"/>
                <w:color w:val="000000"/>
                <w:sz w:val="16"/>
                <w:szCs w:val="16"/>
              </w:rPr>
            </w:pPr>
            <w:r w:rsidRPr="00D77000">
              <w:rPr>
                <w:rFonts w:ascii="Arial" w:hAnsi="Arial" w:cs="Arial"/>
                <w:color w:val="000000"/>
                <w:sz w:val="16"/>
                <w:szCs w:val="16"/>
              </w:rPr>
              <w:t>Government superannuation</w:t>
            </w:r>
          </w:p>
        </w:tc>
        <w:tc>
          <w:tcPr>
            <w:tcW w:w="506" w:type="pct"/>
            <w:tcBorders>
              <w:top w:val="nil"/>
              <w:left w:val="nil"/>
              <w:bottom w:val="nil"/>
              <w:right w:val="nil"/>
            </w:tcBorders>
            <w:shd w:val="clear" w:color="000000" w:fill="FFFFFF"/>
            <w:noWrap/>
            <w:vAlign w:val="center"/>
            <w:hideMark/>
          </w:tcPr>
          <w:p w14:paraId="7A997642" w14:textId="77777777" w:rsidR="00D77000" w:rsidRPr="00D77000" w:rsidRDefault="00D77000" w:rsidP="00D77000">
            <w:pPr>
              <w:spacing w:before="0" w:after="0" w:line="240" w:lineRule="auto"/>
              <w:rPr>
                <w:rFonts w:ascii="Arial" w:hAnsi="Arial" w:cs="Arial"/>
                <w:color w:val="000000"/>
                <w:sz w:val="16"/>
                <w:szCs w:val="16"/>
              </w:rPr>
            </w:pPr>
            <w:r w:rsidRPr="00D77000">
              <w:rPr>
                <w:rFonts w:ascii="Arial" w:hAnsi="Arial" w:cs="Arial"/>
                <w:color w:val="000000"/>
                <w:sz w:val="16"/>
                <w:szCs w:val="16"/>
              </w:rPr>
              <w:t> </w:t>
            </w:r>
          </w:p>
        </w:tc>
        <w:tc>
          <w:tcPr>
            <w:tcW w:w="56" w:type="pct"/>
            <w:tcBorders>
              <w:top w:val="nil"/>
              <w:left w:val="nil"/>
              <w:bottom w:val="nil"/>
              <w:right w:val="nil"/>
            </w:tcBorders>
            <w:shd w:val="clear" w:color="000000" w:fill="FFFFFF"/>
            <w:noWrap/>
            <w:vAlign w:val="center"/>
            <w:hideMark/>
          </w:tcPr>
          <w:p w14:paraId="6C5ACADE" w14:textId="77777777" w:rsidR="00D77000" w:rsidRPr="00D77000" w:rsidRDefault="00D77000" w:rsidP="00D77000">
            <w:pPr>
              <w:spacing w:before="0" w:after="0" w:line="240" w:lineRule="auto"/>
              <w:rPr>
                <w:rFonts w:ascii="Arial" w:hAnsi="Arial" w:cs="Arial"/>
                <w:color w:val="000000"/>
                <w:sz w:val="16"/>
                <w:szCs w:val="16"/>
              </w:rPr>
            </w:pPr>
            <w:r w:rsidRPr="00D77000">
              <w:rPr>
                <w:rFonts w:ascii="Arial" w:hAnsi="Arial" w:cs="Arial"/>
                <w:color w:val="000000"/>
                <w:sz w:val="16"/>
                <w:szCs w:val="16"/>
              </w:rPr>
              <w:t> </w:t>
            </w:r>
          </w:p>
        </w:tc>
        <w:tc>
          <w:tcPr>
            <w:tcW w:w="498" w:type="pct"/>
            <w:tcBorders>
              <w:top w:val="nil"/>
              <w:left w:val="nil"/>
              <w:bottom w:val="nil"/>
              <w:right w:val="nil"/>
            </w:tcBorders>
            <w:shd w:val="clear" w:color="000000" w:fill="FFFFFF"/>
            <w:noWrap/>
            <w:vAlign w:val="center"/>
            <w:hideMark/>
          </w:tcPr>
          <w:p w14:paraId="7225A174" w14:textId="77777777" w:rsidR="00D77000" w:rsidRPr="00D77000" w:rsidRDefault="00D77000" w:rsidP="00D77000">
            <w:pPr>
              <w:spacing w:before="0" w:after="0" w:line="240" w:lineRule="auto"/>
              <w:rPr>
                <w:rFonts w:ascii="Arial" w:hAnsi="Arial" w:cs="Arial"/>
                <w:color w:val="000000"/>
                <w:sz w:val="16"/>
                <w:szCs w:val="16"/>
              </w:rPr>
            </w:pPr>
            <w:r w:rsidRPr="00D77000">
              <w:rPr>
                <w:rFonts w:ascii="Arial" w:hAnsi="Arial" w:cs="Arial"/>
                <w:color w:val="000000"/>
                <w:sz w:val="16"/>
                <w:szCs w:val="16"/>
              </w:rPr>
              <w:t> </w:t>
            </w:r>
          </w:p>
        </w:tc>
        <w:tc>
          <w:tcPr>
            <w:tcW w:w="497" w:type="pct"/>
            <w:tcBorders>
              <w:top w:val="nil"/>
              <w:left w:val="nil"/>
              <w:bottom w:val="nil"/>
              <w:right w:val="nil"/>
            </w:tcBorders>
            <w:shd w:val="clear" w:color="000000" w:fill="E6F2FF"/>
            <w:noWrap/>
            <w:vAlign w:val="center"/>
            <w:hideMark/>
          </w:tcPr>
          <w:p w14:paraId="28AFD441" w14:textId="77777777" w:rsidR="00D77000" w:rsidRPr="00D77000" w:rsidRDefault="00D77000" w:rsidP="00D77000">
            <w:pPr>
              <w:spacing w:before="0" w:after="0" w:line="240" w:lineRule="auto"/>
              <w:rPr>
                <w:rFonts w:ascii="Arial" w:hAnsi="Arial" w:cs="Arial"/>
                <w:color w:val="000000"/>
                <w:sz w:val="16"/>
                <w:szCs w:val="16"/>
              </w:rPr>
            </w:pPr>
            <w:r w:rsidRPr="00D77000">
              <w:rPr>
                <w:rFonts w:ascii="Arial" w:hAnsi="Arial" w:cs="Arial"/>
                <w:color w:val="000000"/>
                <w:sz w:val="16"/>
                <w:szCs w:val="16"/>
              </w:rPr>
              <w:t> </w:t>
            </w:r>
          </w:p>
        </w:tc>
        <w:tc>
          <w:tcPr>
            <w:tcW w:w="497" w:type="pct"/>
            <w:tcBorders>
              <w:top w:val="nil"/>
              <w:left w:val="nil"/>
              <w:bottom w:val="nil"/>
              <w:right w:val="nil"/>
            </w:tcBorders>
            <w:shd w:val="clear" w:color="000000" w:fill="FFFFFF"/>
            <w:noWrap/>
            <w:vAlign w:val="center"/>
            <w:hideMark/>
          </w:tcPr>
          <w:p w14:paraId="7C6E97DA" w14:textId="77777777" w:rsidR="00D77000" w:rsidRPr="00D77000" w:rsidRDefault="00D77000" w:rsidP="00D77000">
            <w:pPr>
              <w:spacing w:before="0" w:after="0" w:line="240" w:lineRule="auto"/>
              <w:rPr>
                <w:rFonts w:ascii="Arial" w:hAnsi="Arial" w:cs="Arial"/>
                <w:color w:val="000000"/>
                <w:sz w:val="16"/>
                <w:szCs w:val="16"/>
              </w:rPr>
            </w:pPr>
            <w:r w:rsidRPr="00D77000">
              <w:rPr>
                <w:rFonts w:ascii="Arial" w:hAnsi="Arial" w:cs="Arial"/>
                <w:color w:val="000000"/>
                <w:sz w:val="16"/>
                <w:szCs w:val="16"/>
              </w:rPr>
              <w:t> </w:t>
            </w:r>
          </w:p>
        </w:tc>
        <w:tc>
          <w:tcPr>
            <w:tcW w:w="497" w:type="pct"/>
            <w:tcBorders>
              <w:top w:val="nil"/>
              <w:left w:val="nil"/>
              <w:bottom w:val="nil"/>
              <w:right w:val="nil"/>
            </w:tcBorders>
            <w:shd w:val="clear" w:color="000000" w:fill="FFFFFF"/>
            <w:noWrap/>
            <w:vAlign w:val="center"/>
            <w:hideMark/>
          </w:tcPr>
          <w:p w14:paraId="39C48905" w14:textId="77777777" w:rsidR="00D77000" w:rsidRPr="00D77000" w:rsidRDefault="00D77000" w:rsidP="00D77000">
            <w:pPr>
              <w:spacing w:before="0" w:after="0" w:line="240" w:lineRule="auto"/>
              <w:rPr>
                <w:rFonts w:ascii="Arial" w:hAnsi="Arial" w:cs="Arial"/>
                <w:color w:val="000000"/>
                <w:sz w:val="16"/>
                <w:szCs w:val="16"/>
              </w:rPr>
            </w:pPr>
            <w:r w:rsidRPr="00D77000">
              <w:rPr>
                <w:rFonts w:ascii="Arial" w:hAnsi="Arial" w:cs="Arial"/>
                <w:color w:val="000000"/>
                <w:sz w:val="16"/>
                <w:szCs w:val="16"/>
              </w:rPr>
              <w:t> </w:t>
            </w:r>
          </w:p>
        </w:tc>
        <w:tc>
          <w:tcPr>
            <w:tcW w:w="497" w:type="pct"/>
            <w:tcBorders>
              <w:top w:val="nil"/>
              <w:left w:val="nil"/>
              <w:bottom w:val="nil"/>
              <w:right w:val="nil"/>
            </w:tcBorders>
            <w:shd w:val="clear" w:color="000000" w:fill="FFFFFF"/>
            <w:noWrap/>
            <w:vAlign w:val="center"/>
            <w:hideMark/>
          </w:tcPr>
          <w:p w14:paraId="43C9645A" w14:textId="77777777" w:rsidR="00D77000" w:rsidRPr="00D77000" w:rsidRDefault="00D77000" w:rsidP="00D77000">
            <w:pPr>
              <w:spacing w:before="0" w:after="0" w:line="240" w:lineRule="auto"/>
              <w:rPr>
                <w:rFonts w:ascii="Arial" w:hAnsi="Arial" w:cs="Arial"/>
                <w:color w:val="000000"/>
                <w:sz w:val="16"/>
                <w:szCs w:val="16"/>
              </w:rPr>
            </w:pPr>
            <w:r w:rsidRPr="00D77000">
              <w:rPr>
                <w:rFonts w:ascii="Arial" w:hAnsi="Arial" w:cs="Arial"/>
                <w:color w:val="000000"/>
                <w:sz w:val="16"/>
                <w:szCs w:val="16"/>
              </w:rPr>
              <w:t> </w:t>
            </w:r>
          </w:p>
        </w:tc>
      </w:tr>
      <w:tr w:rsidR="00D77000" w:rsidRPr="00D77000" w14:paraId="2FA5BC4E" w14:textId="77777777" w:rsidTr="007C7AA6">
        <w:trPr>
          <w:trHeight w:hRule="exact" w:val="225"/>
        </w:trPr>
        <w:tc>
          <w:tcPr>
            <w:tcW w:w="1950" w:type="pct"/>
            <w:tcBorders>
              <w:top w:val="nil"/>
              <w:left w:val="nil"/>
              <w:bottom w:val="nil"/>
              <w:right w:val="nil"/>
            </w:tcBorders>
            <w:shd w:val="clear" w:color="000000" w:fill="FFFFFF"/>
            <w:noWrap/>
            <w:vAlign w:val="center"/>
            <w:hideMark/>
          </w:tcPr>
          <w:p w14:paraId="5E115678" w14:textId="77777777" w:rsidR="00D77000" w:rsidRPr="00D77000" w:rsidRDefault="00D77000" w:rsidP="00D77000">
            <w:pPr>
              <w:spacing w:before="0" w:after="0" w:line="240" w:lineRule="auto"/>
              <w:ind w:left="340"/>
              <w:rPr>
                <w:rFonts w:ascii="Arial" w:hAnsi="Arial" w:cs="Arial"/>
                <w:color w:val="000000"/>
                <w:sz w:val="16"/>
                <w:szCs w:val="16"/>
              </w:rPr>
            </w:pPr>
            <w:r w:rsidRPr="00D77000">
              <w:rPr>
                <w:rFonts w:ascii="Arial" w:hAnsi="Arial" w:cs="Arial"/>
                <w:color w:val="000000"/>
                <w:sz w:val="16"/>
                <w:szCs w:val="16"/>
              </w:rPr>
              <w:t>benefits</w:t>
            </w:r>
          </w:p>
        </w:tc>
        <w:tc>
          <w:tcPr>
            <w:tcW w:w="506" w:type="pct"/>
            <w:tcBorders>
              <w:top w:val="nil"/>
              <w:left w:val="nil"/>
              <w:bottom w:val="single" w:sz="4" w:space="0" w:color="293F5B"/>
              <w:right w:val="nil"/>
            </w:tcBorders>
            <w:shd w:val="clear" w:color="000000" w:fill="FFFFFF"/>
            <w:noWrap/>
            <w:vAlign w:val="center"/>
            <w:hideMark/>
          </w:tcPr>
          <w:p w14:paraId="5A2F244A" w14:textId="77777777" w:rsidR="00D77000" w:rsidRPr="00D77000" w:rsidRDefault="00D77000" w:rsidP="00D77000">
            <w:pPr>
              <w:spacing w:before="0" w:after="0" w:line="240" w:lineRule="auto"/>
              <w:jc w:val="right"/>
              <w:rPr>
                <w:rFonts w:ascii="Arial" w:hAnsi="Arial" w:cs="Arial"/>
                <w:color w:val="000000"/>
                <w:sz w:val="16"/>
                <w:szCs w:val="16"/>
              </w:rPr>
            </w:pPr>
            <w:r w:rsidRPr="00D77000">
              <w:rPr>
                <w:rFonts w:ascii="Arial" w:hAnsi="Arial" w:cs="Arial"/>
                <w:color w:val="000000"/>
                <w:sz w:val="16"/>
                <w:szCs w:val="16"/>
              </w:rPr>
              <w:t>6,912</w:t>
            </w:r>
          </w:p>
        </w:tc>
        <w:tc>
          <w:tcPr>
            <w:tcW w:w="56" w:type="pct"/>
            <w:tcBorders>
              <w:top w:val="nil"/>
              <w:left w:val="nil"/>
              <w:bottom w:val="nil"/>
              <w:right w:val="nil"/>
            </w:tcBorders>
            <w:shd w:val="clear" w:color="000000" w:fill="FFFFFF"/>
            <w:noWrap/>
            <w:vAlign w:val="center"/>
            <w:hideMark/>
          </w:tcPr>
          <w:p w14:paraId="5D901DE5" w14:textId="77777777" w:rsidR="00D77000" w:rsidRPr="00D77000" w:rsidRDefault="00D77000" w:rsidP="00D77000">
            <w:pPr>
              <w:spacing w:before="0" w:after="0" w:line="240" w:lineRule="auto"/>
              <w:rPr>
                <w:rFonts w:ascii="Arial" w:hAnsi="Arial" w:cs="Arial"/>
                <w:color w:val="000000"/>
                <w:sz w:val="16"/>
                <w:szCs w:val="16"/>
              </w:rPr>
            </w:pPr>
            <w:r w:rsidRPr="00D77000">
              <w:rPr>
                <w:rFonts w:ascii="Arial" w:hAnsi="Arial" w:cs="Arial"/>
                <w:color w:val="000000"/>
                <w:sz w:val="16"/>
                <w:szCs w:val="16"/>
              </w:rPr>
              <w:t> </w:t>
            </w:r>
          </w:p>
        </w:tc>
        <w:tc>
          <w:tcPr>
            <w:tcW w:w="498" w:type="pct"/>
            <w:tcBorders>
              <w:top w:val="nil"/>
              <w:left w:val="nil"/>
              <w:bottom w:val="single" w:sz="4" w:space="0" w:color="293F5B"/>
              <w:right w:val="nil"/>
            </w:tcBorders>
            <w:shd w:val="clear" w:color="000000" w:fill="FFFFFF"/>
            <w:noWrap/>
            <w:vAlign w:val="center"/>
            <w:hideMark/>
          </w:tcPr>
          <w:p w14:paraId="7CD7D36C" w14:textId="77777777" w:rsidR="00D77000" w:rsidRPr="00D77000" w:rsidRDefault="00D77000" w:rsidP="00D77000">
            <w:pPr>
              <w:spacing w:before="0" w:after="0" w:line="240" w:lineRule="auto"/>
              <w:jc w:val="right"/>
              <w:rPr>
                <w:rFonts w:ascii="Arial" w:hAnsi="Arial" w:cs="Arial"/>
                <w:color w:val="000000"/>
                <w:sz w:val="16"/>
                <w:szCs w:val="16"/>
              </w:rPr>
            </w:pPr>
            <w:r w:rsidRPr="00D77000">
              <w:rPr>
                <w:rFonts w:ascii="Arial" w:hAnsi="Arial" w:cs="Arial"/>
                <w:color w:val="000000"/>
                <w:sz w:val="16"/>
                <w:szCs w:val="16"/>
              </w:rPr>
              <w:t>6,407</w:t>
            </w:r>
          </w:p>
        </w:tc>
        <w:tc>
          <w:tcPr>
            <w:tcW w:w="497" w:type="pct"/>
            <w:tcBorders>
              <w:top w:val="nil"/>
              <w:left w:val="nil"/>
              <w:bottom w:val="single" w:sz="4" w:space="0" w:color="293F5B"/>
              <w:right w:val="nil"/>
            </w:tcBorders>
            <w:shd w:val="clear" w:color="000000" w:fill="E6F2FF"/>
            <w:noWrap/>
            <w:vAlign w:val="center"/>
            <w:hideMark/>
          </w:tcPr>
          <w:p w14:paraId="7ED6D263" w14:textId="77777777" w:rsidR="00D77000" w:rsidRPr="00D77000" w:rsidRDefault="00D77000" w:rsidP="00D77000">
            <w:pPr>
              <w:spacing w:before="0" w:after="0" w:line="240" w:lineRule="auto"/>
              <w:jc w:val="right"/>
              <w:rPr>
                <w:rFonts w:ascii="Arial" w:hAnsi="Arial" w:cs="Arial"/>
                <w:color w:val="000000"/>
                <w:sz w:val="16"/>
                <w:szCs w:val="16"/>
              </w:rPr>
            </w:pPr>
            <w:r w:rsidRPr="00D77000">
              <w:rPr>
                <w:rFonts w:ascii="Arial" w:hAnsi="Arial" w:cs="Arial"/>
                <w:color w:val="000000"/>
                <w:sz w:val="16"/>
                <w:szCs w:val="16"/>
              </w:rPr>
              <w:t>5,485</w:t>
            </w:r>
          </w:p>
        </w:tc>
        <w:tc>
          <w:tcPr>
            <w:tcW w:w="497" w:type="pct"/>
            <w:tcBorders>
              <w:top w:val="nil"/>
              <w:left w:val="nil"/>
              <w:bottom w:val="single" w:sz="4" w:space="0" w:color="293F5B"/>
              <w:right w:val="nil"/>
            </w:tcBorders>
            <w:shd w:val="clear" w:color="000000" w:fill="FFFFFF"/>
            <w:noWrap/>
            <w:vAlign w:val="center"/>
            <w:hideMark/>
          </w:tcPr>
          <w:p w14:paraId="12521F6C" w14:textId="77777777" w:rsidR="00D77000" w:rsidRPr="00D77000" w:rsidRDefault="00D77000" w:rsidP="00D77000">
            <w:pPr>
              <w:spacing w:before="0" w:after="0" w:line="240" w:lineRule="auto"/>
              <w:jc w:val="right"/>
              <w:rPr>
                <w:rFonts w:ascii="Arial" w:hAnsi="Arial" w:cs="Arial"/>
                <w:color w:val="000000"/>
                <w:sz w:val="16"/>
                <w:szCs w:val="16"/>
              </w:rPr>
            </w:pPr>
            <w:r w:rsidRPr="00D77000">
              <w:rPr>
                <w:rFonts w:ascii="Arial" w:hAnsi="Arial" w:cs="Arial"/>
                <w:color w:val="000000"/>
                <w:sz w:val="16"/>
                <w:szCs w:val="16"/>
              </w:rPr>
              <w:t>5,584</w:t>
            </w:r>
          </w:p>
        </w:tc>
        <w:tc>
          <w:tcPr>
            <w:tcW w:w="497" w:type="pct"/>
            <w:tcBorders>
              <w:top w:val="nil"/>
              <w:left w:val="nil"/>
              <w:bottom w:val="single" w:sz="4" w:space="0" w:color="293F5B"/>
              <w:right w:val="nil"/>
            </w:tcBorders>
            <w:shd w:val="clear" w:color="000000" w:fill="FFFFFF"/>
            <w:noWrap/>
            <w:vAlign w:val="center"/>
            <w:hideMark/>
          </w:tcPr>
          <w:p w14:paraId="738C24A9" w14:textId="77777777" w:rsidR="00D77000" w:rsidRPr="00D77000" w:rsidRDefault="00D77000" w:rsidP="00D77000">
            <w:pPr>
              <w:spacing w:before="0" w:after="0" w:line="240" w:lineRule="auto"/>
              <w:jc w:val="right"/>
              <w:rPr>
                <w:rFonts w:ascii="Arial" w:hAnsi="Arial" w:cs="Arial"/>
                <w:color w:val="000000"/>
                <w:sz w:val="16"/>
                <w:szCs w:val="16"/>
              </w:rPr>
            </w:pPr>
            <w:r w:rsidRPr="00D77000">
              <w:rPr>
                <w:rFonts w:ascii="Arial" w:hAnsi="Arial" w:cs="Arial"/>
                <w:color w:val="000000"/>
                <w:sz w:val="16"/>
                <w:szCs w:val="16"/>
              </w:rPr>
              <w:t>5,782</w:t>
            </w:r>
          </w:p>
        </w:tc>
        <w:tc>
          <w:tcPr>
            <w:tcW w:w="497" w:type="pct"/>
            <w:tcBorders>
              <w:top w:val="nil"/>
              <w:left w:val="nil"/>
              <w:bottom w:val="single" w:sz="4" w:space="0" w:color="293F5B"/>
              <w:right w:val="nil"/>
            </w:tcBorders>
            <w:shd w:val="clear" w:color="000000" w:fill="FFFFFF"/>
            <w:noWrap/>
            <w:vAlign w:val="center"/>
            <w:hideMark/>
          </w:tcPr>
          <w:p w14:paraId="62674A99" w14:textId="77777777" w:rsidR="00D77000" w:rsidRPr="00D77000" w:rsidRDefault="00D77000" w:rsidP="00D77000">
            <w:pPr>
              <w:spacing w:before="0" w:after="0" w:line="240" w:lineRule="auto"/>
              <w:jc w:val="right"/>
              <w:rPr>
                <w:rFonts w:ascii="Arial" w:hAnsi="Arial" w:cs="Arial"/>
                <w:color w:val="000000"/>
                <w:sz w:val="16"/>
                <w:szCs w:val="16"/>
              </w:rPr>
            </w:pPr>
            <w:r w:rsidRPr="00D77000">
              <w:rPr>
                <w:rFonts w:ascii="Arial" w:hAnsi="Arial" w:cs="Arial"/>
                <w:color w:val="000000"/>
                <w:sz w:val="16"/>
                <w:szCs w:val="16"/>
              </w:rPr>
              <w:t>6,008</w:t>
            </w:r>
          </w:p>
        </w:tc>
      </w:tr>
      <w:tr w:rsidR="00D77000" w:rsidRPr="00D77000" w14:paraId="6DE1E01A" w14:textId="77777777" w:rsidTr="007C7AA6">
        <w:trPr>
          <w:trHeight w:hRule="exact" w:val="225"/>
        </w:trPr>
        <w:tc>
          <w:tcPr>
            <w:tcW w:w="1950" w:type="pct"/>
            <w:tcBorders>
              <w:top w:val="nil"/>
              <w:left w:val="nil"/>
              <w:bottom w:val="nil"/>
              <w:right w:val="nil"/>
            </w:tcBorders>
            <w:shd w:val="clear" w:color="000000" w:fill="FFFFFF"/>
            <w:noWrap/>
            <w:vAlign w:val="center"/>
            <w:hideMark/>
          </w:tcPr>
          <w:p w14:paraId="0435C552" w14:textId="77777777" w:rsidR="00D77000" w:rsidRPr="00D77000" w:rsidRDefault="00D77000" w:rsidP="00D77000">
            <w:pPr>
              <w:spacing w:before="0" w:after="0" w:line="240" w:lineRule="auto"/>
              <w:rPr>
                <w:rFonts w:ascii="Arial" w:hAnsi="Arial" w:cs="Arial"/>
                <w:b/>
                <w:bCs/>
                <w:color w:val="000000"/>
                <w:sz w:val="16"/>
                <w:szCs w:val="16"/>
              </w:rPr>
            </w:pPr>
            <w:r w:rsidRPr="00D77000">
              <w:rPr>
                <w:rFonts w:ascii="Arial" w:hAnsi="Arial" w:cs="Arial"/>
                <w:b/>
                <w:bCs/>
                <w:color w:val="000000"/>
                <w:sz w:val="16"/>
                <w:szCs w:val="16"/>
              </w:rPr>
              <w:t>Total general public services</w:t>
            </w:r>
          </w:p>
        </w:tc>
        <w:tc>
          <w:tcPr>
            <w:tcW w:w="506" w:type="pct"/>
            <w:tcBorders>
              <w:top w:val="single" w:sz="4" w:space="0" w:color="293F5B"/>
              <w:left w:val="nil"/>
              <w:bottom w:val="single" w:sz="4" w:space="0" w:color="293F5B"/>
              <w:right w:val="nil"/>
            </w:tcBorders>
            <w:shd w:val="clear" w:color="000000" w:fill="FFFFFF"/>
            <w:noWrap/>
            <w:vAlign w:val="center"/>
            <w:hideMark/>
          </w:tcPr>
          <w:p w14:paraId="1DDF8B1F" w14:textId="77777777" w:rsidR="00D77000" w:rsidRPr="00D77000" w:rsidRDefault="00D77000" w:rsidP="00D77000">
            <w:pPr>
              <w:spacing w:before="0" w:after="0" w:line="240" w:lineRule="auto"/>
              <w:jc w:val="right"/>
              <w:rPr>
                <w:rFonts w:ascii="Arial" w:hAnsi="Arial" w:cs="Arial"/>
                <w:b/>
                <w:bCs/>
                <w:color w:val="000000"/>
                <w:sz w:val="16"/>
                <w:szCs w:val="16"/>
              </w:rPr>
            </w:pPr>
            <w:r w:rsidRPr="00D77000">
              <w:rPr>
                <w:rFonts w:ascii="Arial" w:hAnsi="Arial" w:cs="Arial"/>
                <w:b/>
                <w:bCs/>
                <w:color w:val="000000"/>
                <w:sz w:val="16"/>
                <w:szCs w:val="16"/>
              </w:rPr>
              <w:t>30,111</w:t>
            </w:r>
          </w:p>
        </w:tc>
        <w:tc>
          <w:tcPr>
            <w:tcW w:w="56" w:type="pct"/>
            <w:tcBorders>
              <w:top w:val="nil"/>
              <w:left w:val="nil"/>
              <w:bottom w:val="nil"/>
              <w:right w:val="nil"/>
            </w:tcBorders>
            <w:shd w:val="clear" w:color="000000" w:fill="FFFFFF"/>
            <w:noWrap/>
            <w:vAlign w:val="center"/>
            <w:hideMark/>
          </w:tcPr>
          <w:p w14:paraId="23E8DDCF" w14:textId="77777777" w:rsidR="00D77000" w:rsidRPr="00D77000" w:rsidRDefault="00D77000" w:rsidP="00D77000">
            <w:pPr>
              <w:spacing w:before="0" w:after="0" w:line="240" w:lineRule="auto"/>
              <w:rPr>
                <w:rFonts w:ascii="Arial" w:hAnsi="Arial" w:cs="Arial"/>
                <w:b/>
                <w:bCs/>
                <w:color w:val="000000"/>
                <w:sz w:val="16"/>
                <w:szCs w:val="16"/>
              </w:rPr>
            </w:pPr>
            <w:r w:rsidRPr="00D77000">
              <w:rPr>
                <w:rFonts w:ascii="Arial" w:hAnsi="Arial" w:cs="Arial"/>
                <w:b/>
                <w:bCs/>
                <w:color w:val="000000"/>
                <w:sz w:val="16"/>
                <w:szCs w:val="16"/>
              </w:rPr>
              <w:t> </w:t>
            </w:r>
          </w:p>
        </w:tc>
        <w:tc>
          <w:tcPr>
            <w:tcW w:w="498" w:type="pct"/>
            <w:tcBorders>
              <w:top w:val="single" w:sz="4" w:space="0" w:color="293F5B"/>
              <w:left w:val="nil"/>
              <w:bottom w:val="single" w:sz="4" w:space="0" w:color="293F5B"/>
              <w:right w:val="nil"/>
            </w:tcBorders>
            <w:shd w:val="clear" w:color="000000" w:fill="FFFFFF"/>
            <w:noWrap/>
            <w:vAlign w:val="center"/>
            <w:hideMark/>
          </w:tcPr>
          <w:p w14:paraId="379214DC" w14:textId="77777777" w:rsidR="00D77000" w:rsidRPr="00D77000" w:rsidRDefault="00D77000" w:rsidP="00D77000">
            <w:pPr>
              <w:spacing w:before="0" w:after="0" w:line="240" w:lineRule="auto"/>
              <w:jc w:val="right"/>
              <w:rPr>
                <w:rFonts w:ascii="Arial" w:hAnsi="Arial" w:cs="Arial"/>
                <w:b/>
                <w:bCs/>
                <w:color w:val="000000"/>
                <w:sz w:val="16"/>
                <w:szCs w:val="16"/>
              </w:rPr>
            </w:pPr>
            <w:r w:rsidRPr="00D77000">
              <w:rPr>
                <w:rFonts w:ascii="Arial" w:hAnsi="Arial" w:cs="Arial"/>
                <w:b/>
                <w:bCs/>
                <w:color w:val="000000"/>
                <w:sz w:val="16"/>
                <w:szCs w:val="16"/>
              </w:rPr>
              <w:t>31,442</w:t>
            </w:r>
          </w:p>
        </w:tc>
        <w:tc>
          <w:tcPr>
            <w:tcW w:w="497" w:type="pct"/>
            <w:tcBorders>
              <w:top w:val="single" w:sz="4" w:space="0" w:color="293F5B"/>
              <w:left w:val="nil"/>
              <w:bottom w:val="single" w:sz="4" w:space="0" w:color="293F5B"/>
              <w:right w:val="nil"/>
            </w:tcBorders>
            <w:shd w:val="clear" w:color="000000" w:fill="E6F2FF"/>
            <w:noWrap/>
            <w:vAlign w:val="center"/>
            <w:hideMark/>
          </w:tcPr>
          <w:p w14:paraId="7A36FA69" w14:textId="77777777" w:rsidR="00D77000" w:rsidRPr="00D77000" w:rsidRDefault="00D77000" w:rsidP="00D77000">
            <w:pPr>
              <w:spacing w:before="0" w:after="0" w:line="240" w:lineRule="auto"/>
              <w:jc w:val="right"/>
              <w:rPr>
                <w:rFonts w:ascii="Arial" w:hAnsi="Arial" w:cs="Arial"/>
                <w:b/>
                <w:bCs/>
                <w:color w:val="000000"/>
                <w:sz w:val="16"/>
                <w:szCs w:val="16"/>
              </w:rPr>
            </w:pPr>
            <w:r w:rsidRPr="00D77000">
              <w:rPr>
                <w:rFonts w:ascii="Arial" w:hAnsi="Arial" w:cs="Arial"/>
                <w:b/>
                <w:bCs/>
                <w:color w:val="000000"/>
                <w:sz w:val="16"/>
                <w:szCs w:val="16"/>
              </w:rPr>
              <w:t>32,395</w:t>
            </w:r>
          </w:p>
        </w:tc>
        <w:tc>
          <w:tcPr>
            <w:tcW w:w="497" w:type="pct"/>
            <w:tcBorders>
              <w:top w:val="single" w:sz="4" w:space="0" w:color="293F5B"/>
              <w:left w:val="nil"/>
              <w:bottom w:val="single" w:sz="4" w:space="0" w:color="293F5B"/>
              <w:right w:val="nil"/>
            </w:tcBorders>
            <w:shd w:val="clear" w:color="000000" w:fill="FFFFFF"/>
            <w:noWrap/>
            <w:vAlign w:val="center"/>
            <w:hideMark/>
          </w:tcPr>
          <w:p w14:paraId="2A317AB8" w14:textId="77777777" w:rsidR="00D77000" w:rsidRPr="00D77000" w:rsidRDefault="00D77000" w:rsidP="00D77000">
            <w:pPr>
              <w:spacing w:before="0" w:after="0" w:line="240" w:lineRule="auto"/>
              <w:jc w:val="right"/>
              <w:rPr>
                <w:rFonts w:ascii="Arial" w:hAnsi="Arial" w:cs="Arial"/>
                <w:b/>
                <w:bCs/>
                <w:color w:val="000000"/>
                <w:sz w:val="16"/>
                <w:szCs w:val="16"/>
              </w:rPr>
            </w:pPr>
            <w:r w:rsidRPr="00D77000">
              <w:rPr>
                <w:rFonts w:ascii="Arial" w:hAnsi="Arial" w:cs="Arial"/>
                <w:b/>
                <w:bCs/>
                <w:color w:val="000000"/>
                <w:sz w:val="16"/>
                <w:szCs w:val="16"/>
              </w:rPr>
              <w:t>30,595</w:t>
            </w:r>
          </w:p>
        </w:tc>
        <w:tc>
          <w:tcPr>
            <w:tcW w:w="497" w:type="pct"/>
            <w:tcBorders>
              <w:top w:val="single" w:sz="4" w:space="0" w:color="293F5B"/>
              <w:left w:val="nil"/>
              <w:bottom w:val="single" w:sz="4" w:space="0" w:color="293F5B"/>
              <w:right w:val="nil"/>
            </w:tcBorders>
            <w:shd w:val="clear" w:color="000000" w:fill="FFFFFF"/>
            <w:noWrap/>
            <w:vAlign w:val="center"/>
            <w:hideMark/>
          </w:tcPr>
          <w:p w14:paraId="473D9FF6" w14:textId="77777777" w:rsidR="00D77000" w:rsidRPr="00D77000" w:rsidRDefault="00D77000" w:rsidP="00D77000">
            <w:pPr>
              <w:spacing w:before="0" w:after="0" w:line="240" w:lineRule="auto"/>
              <w:jc w:val="right"/>
              <w:rPr>
                <w:rFonts w:ascii="Arial" w:hAnsi="Arial" w:cs="Arial"/>
                <w:b/>
                <w:bCs/>
                <w:color w:val="000000"/>
                <w:sz w:val="16"/>
                <w:szCs w:val="16"/>
              </w:rPr>
            </w:pPr>
            <w:r w:rsidRPr="00D77000">
              <w:rPr>
                <w:rFonts w:ascii="Arial" w:hAnsi="Arial" w:cs="Arial"/>
                <w:b/>
                <w:bCs/>
                <w:color w:val="000000"/>
                <w:sz w:val="16"/>
                <w:szCs w:val="16"/>
              </w:rPr>
              <w:t>31,068</w:t>
            </w:r>
          </w:p>
        </w:tc>
        <w:tc>
          <w:tcPr>
            <w:tcW w:w="497" w:type="pct"/>
            <w:tcBorders>
              <w:top w:val="single" w:sz="4" w:space="0" w:color="293F5B"/>
              <w:left w:val="nil"/>
              <w:bottom w:val="single" w:sz="4" w:space="0" w:color="293F5B"/>
              <w:right w:val="nil"/>
            </w:tcBorders>
            <w:shd w:val="clear" w:color="000000" w:fill="FFFFFF"/>
            <w:noWrap/>
            <w:vAlign w:val="center"/>
            <w:hideMark/>
          </w:tcPr>
          <w:p w14:paraId="222E8646" w14:textId="77777777" w:rsidR="00D77000" w:rsidRPr="00D77000" w:rsidRDefault="00D77000" w:rsidP="00D77000">
            <w:pPr>
              <w:spacing w:before="0" w:after="0" w:line="240" w:lineRule="auto"/>
              <w:jc w:val="right"/>
              <w:rPr>
                <w:rFonts w:ascii="Arial" w:hAnsi="Arial" w:cs="Arial"/>
                <w:b/>
                <w:bCs/>
                <w:color w:val="000000"/>
                <w:sz w:val="16"/>
                <w:szCs w:val="16"/>
              </w:rPr>
            </w:pPr>
            <w:r w:rsidRPr="00D77000">
              <w:rPr>
                <w:rFonts w:ascii="Arial" w:hAnsi="Arial" w:cs="Arial"/>
                <w:b/>
                <w:bCs/>
                <w:color w:val="000000"/>
                <w:sz w:val="16"/>
                <w:szCs w:val="16"/>
              </w:rPr>
              <w:t>31,838</w:t>
            </w:r>
          </w:p>
        </w:tc>
      </w:tr>
      <w:tr w:rsidR="00D77000" w:rsidRPr="00D77000" w14:paraId="1DDC7774" w14:textId="77777777" w:rsidTr="007C7AA6">
        <w:trPr>
          <w:trHeight w:hRule="exact" w:val="60"/>
        </w:trPr>
        <w:tc>
          <w:tcPr>
            <w:tcW w:w="1950" w:type="pct"/>
            <w:tcBorders>
              <w:top w:val="nil"/>
              <w:left w:val="nil"/>
              <w:bottom w:val="nil"/>
              <w:right w:val="nil"/>
            </w:tcBorders>
            <w:shd w:val="clear" w:color="000000" w:fill="FFFFFF"/>
            <w:noWrap/>
            <w:vAlign w:val="center"/>
            <w:hideMark/>
          </w:tcPr>
          <w:p w14:paraId="0D5F39E3" w14:textId="77777777" w:rsidR="00D77000" w:rsidRPr="00D77000" w:rsidRDefault="00D77000" w:rsidP="00D77000">
            <w:pPr>
              <w:spacing w:before="0" w:after="0" w:line="240" w:lineRule="auto"/>
              <w:rPr>
                <w:rFonts w:ascii="Arial" w:hAnsi="Arial" w:cs="Arial"/>
                <w:color w:val="000000"/>
                <w:sz w:val="16"/>
                <w:szCs w:val="16"/>
              </w:rPr>
            </w:pPr>
            <w:r w:rsidRPr="00D77000">
              <w:rPr>
                <w:rFonts w:ascii="Arial" w:hAnsi="Arial" w:cs="Arial"/>
                <w:color w:val="000000"/>
                <w:sz w:val="16"/>
                <w:szCs w:val="16"/>
              </w:rPr>
              <w:t> </w:t>
            </w:r>
          </w:p>
        </w:tc>
        <w:tc>
          <w:tcPr>
            <w:tcW w:w="506" w:type="pct"/>
            <w:tcBorders>
              <w:top w:val="single" w:sz="4" w:space="0" w:color="293F5B"/>
              <w:left w:val="nil"/>
              <w:bottom w:val="nil"/>
              <w:right w:val="nil"/>
            </w:tcBorders>
            <w:shd w:val="clear" w:color="000000" w:fill="FFFFFF"/>
            <w:noWrap/>
            <w:vAlign w:val="center"/>
            <w:hideMark/>
          </w:tcPr>
          <w:p w14:paraId="193C776F" w14:textId="77777777" w:rsidR="00D77000" w:rsidRPr="00D77000" w:rsidRDefault="00D77000" w:rsidP="00D77000">
            <w:pPr>
              <w:spacing w:before="0" w:after="0" w:line="240" w:lineRule="auto"/>
              <w:rPr>
                <w:rFonts w:ascii="Arial" w:hAnsi="Arial" w:cs="Arial"/>
                <w:color w:val="000000"/>
                <w:sz w:val="16"/>
                <w:szCs w:val="16"/>
              </w:rPr>
            </w:pPr>
            <w:r w:rsidRPr="00D77000">
              <w:rPr>
                <w:rFonts w:ascii="Arial" w:hAnsi="Arial" w:cs="Arial"/>
                <w:color w:val="000000"/>
                <w:sz w:val="16"/>
                <w:szCs w:val="16"/>
              </w:rPr>
              <w:t> </w:t>
            </w:r>
          </w:p>
        </w:tc>
        <w:tc>
          <w:tcPr>
            <w:tcW w:w="56" w:type="pct"/>
            <w:tcBorders>
              <w:top w:val="nil"/>
              <w:left w:val="nil"/>
              <w:bottom w:val="nil"/>
              <w:right w:val="nil"/>
            </w:tcBorders>
            <w:shd w:val="clear" w:color="000000" w:fill="FFFFFF"/>
            <w:noWrap/>
            <w:vAlign w:val="center"/>
            <w:hideMark/>
          </w:tcPr>
          <w:p w14:paraId="3FBE991E" w14:textId="77777777" w:rsidR="00D77000" w:rsidRPr="00D77000" w:rsidRDefault="00D77000" w:rsidP="00D77000">
            <w:pPr>
              <w:spacing w:before="0" w:after="0" w:line="240" w:lineRule="auto"/>
              <w:rPr>
                <w:rFonts w:ascii="Arial" w:hAnsi="Arial" w:cs="Arial"/>
                <w:color w:val="000000"/>
                <w:sz w:val="16"/>
                <w:szCs w:val="16"/>
              </w:rPr>
            </w:pPr>
            <w:r w:rsidRPr="00D77000">
              <w:rPr>
                <w:rFonts w:ascii="Arial" w:hAnsi="Arial" w:cs="Arial"/>
                <w:color w:val="000000"/>
                <w:sz w:val="16"/>
                <w:szCs w:val="16"/>
              </w:rPr>
              <w:t> </w:t>
            </w:r>
          </w:p>
        </w:tc>
        <w:tc>
          <w:tcPr>
            <w:tcW w:w="498" w:type="pct"/>
            <w:tcBorders>
              <w:top w:val="single" w:sz="4" w:space="0" w:color="293F5B"/>
              <w:left w:val="nil"/>
              <w:bottom w:val="nil"/>
              <w:right w:val="nil"/>
            </w:tcBorders>
            <w:shd w:val="clear" w:color="000000" w:fill="FFFFFF"/>
            <w:noWrap/>
            <w:vAlign w:val="center"/>
            <w:hideMark/>
          </w:tcPr>
          <w:p w14:paraId="0E04EBCB" w14:textId="77777777" w:rsidR="00D77000" w:rsidRPr="00D77000" w:rsidRDefault="00D77000" w:rsidP="00D77000">
            <w:pPr>
              <w:spacing w:before="0" w:after="0" w:line="240" w:lineRule="auto"/>
              <w:rPr>
                <w:rFonts w:ascii="Arial" w:hAnsi="Arial" w:cs="Arial"/>
                <w:color w:val="000000"/>
                <w:sz w:val="16"/>
                <w:szCs w:val="16"/>
              </w:rPr>
            </w:pPr>
            <w:r w:rsidRPr="00D77000">
              <w:rPr>
                <w:rFonts w:ascii="Arial" w:hAnsi="Arial" w:cs="Arial"/>
                <w:color w:val="000000"/>
                <w:sz w:val="16"/>
                <w:szCs w:val="16"/>
              </w:rPr>
              <w:t> </w:t>
            </w:r>
          </w:p>
        </w:tc>
        <w:tc>
          <w:tcPr>
            <w:tcW w:w="497" w:type="pct"/>
            <w:tcBorders>
              <w:top w:val="single" w:sz="4" w:space="0" w:color="293F5B"/>
              <w:left w:val="nil"/>
              <w:bottom w:val="nil"/>
              <w:right w:val="nil"/>
            </w:tcBorders>
            <w:shd w:val="clear" w:color="000000" w:fill="E6F2FF"/>
            <w:noWrap/>
            <w:vAlign w:val="center"/>
            <w:hideMark/>
          </w:tcPr>
          <w:p w14:paraId="6DD680B1" w14:textId="77777777" w:rsidR="00D77000" w:rsidRPr="00D77000" w:rsidRDefault="00D77000" w:rsidP="00D77000">
            <w:pPr>
              <w:spacing w:before="0" w:after="0" w:line="240" w:lineRule="auto"/>
              <w:rPr>
                <w:rFonts w:ascii="Arial" w:hAnsi="Arial" w:cs="Arial"/>
                <w:color w:val="000000"/>
                <w:sz w:val="16"/>
                <w:szCs w:val="16"/>
              </w:rPr>
            </w:pPr>
            <w:r w:rsidRPr="00D77000">
              <w:rPr>
                <w:rFonts w:ascii="Arial" w:hAnsi="Arial" w:cs="Arial"/>
                <w:color w:val="000000"/>
                <w:sz w:val="16"/>
                <w:szCs w:val="16"/>
              </w:rPr>
              <w:t> </w:t>
            </w:r>
          </w:p>
        </w:tc>
        <w:tc>
          <w:tcPr>
            <w:tcW w:w="497" w:type="pct"/>
            <w:tcBorders>
              <w:top w:val="single" w:sz="4" w:space="0" w:color="293F5B"/>
              <w:left w:val="nil"/>
              <w:bottom w:val="nil"/>
              <w:right w:val="nil"/>
            </w:tcBorders>
            <w:shd w:val="clear" w:color="000000" w:fill="FFFFFF"/>
            <w:noWrap/>
            <w:vAlign w:val="center"/>
            <w:hideMark/>
          </w:tcPr>
          <w:p w14:paraId="5913FE1C" w14:textId="77777777" w:rsidR="00D77000" w:rsidRPr="00D77000" w:rsidRDefault="00D77000" w:rsidP="00D77000">
            <w:pPr>
              <w:spacing w:before="0" w:after="0" w:line="240" w:lineRule="auto"/>
              <w:rPr>
                <w:rFonts w:ascii="Arial" w:hAnsi="Arial" w:cs="Arial"/>
                <w:color w:val="000000"/>
                <w:sz w:val="16"/>
                <w:szCs w:val="16"/>
              </w:rPr>
            </w:pPr>
            <w:r w:rsidRPr="00D77000">
              <w:rPr>
                <w:rFonts w:ascii="Arial" w:hAnsi="Arial" w:cs="Arial"/>
                <w:color w:val="000000"/>
                <w:sz w:val="16"/>
                <w:szCs w:val="16"/>
              </w:rPr>
              <w:t> </w:t>
            </w:r>
          </w:p>
        </w:tc>
        <w:tc>
          <w:tcPr>
            <w:tcW w:w="497" w:type="pct"/>
            <w:tcBorders>
              <w:top w:val="single" w:sz="4" w:space="0" w:color="293F5B"/>
              <w:left w:val="nil"/>
              <w:bottom w:val="nil"/>
              <w:right w:val="nil"/>
            </w:tcBorders>
            <w:shd w:val="clear" w:color="000000" w:fill="FFFFFF"/>
            <w:noWrap/>
            <w:vAlign w:val="center"/>
            <w:hideMark/>
          </w:tcPr>
          <w:p w14:paraId="6F086318" w14:textId="77777777" w:rsidR="00D77000" w:rsidRPr="00D77000" w:rsidRDefault="00D77000" w:rsidP="00D77000">
            <w:pPr>
              <w:spacing w:before="0" w:after="0" w:line="240" w:lineRule="auto"/>
              <w:rPr>
                <w:rFonts w:ascii="Arial" w:hAnsi="Arial" w:cs="Arial"/>
                <w:color w:val="000000"/>
                <w:sz w:val="16"/>
                <w:szCs w:val="16"/>
              </w:rPr>
            </w:pPr>
            <w:r w:rsidRPr="00D77000">
              <w:rPr>
                <w:rFonts w:ascii="Arial" w:hAnsi="Arial" w:cs="Arial"/>
                <w:color w:val="000000"/>
                <w:sz w:val="16"/>
                <w:szCs w:val="16"/>
              </w:rPr>
              <w:t> </w:t>
            </w:r>
          </w:p>
        </w:tc>
        <w:tc>
          <w:tcPr>
            <w:tcW w:w="497" w:type="pct"/>
            <w:tcBorders>
              <w:top w:val="single" w:sz="4" w:space="0" w:color="293F5B"/>
              <w:left w:val="nil"/>
              <w:bottom w:val="nil"/>
              <w:right w:val="nil"/>
            </w:tcBorders>
            <w:shd w:val="clear" w:color="000000" w:fill="FFFFFF"/>
            <w:noWrap/>
            <w:vAlign w:val="center"/>
            <w:hideMark/>
          </w:tcPr>
          <w:p w14:paraId="2FCE7147" w14:textId="77777777" w:rsidR="00D77000" w:rsidRPr="00D77000" w:rsidRDefault="00D77000" w:rsidP="00D77000">
            <w:pPr>
              <w:spacing w:before="0" w:after="0" w:line="240" w:lineRule="auto"/>
              <w:rPr>
                <w:rFonts w:ascii="Arial" w:hAnsi="Arial" w:cs="Arial"/>
                <w:color w:val="000000"/>
                <w:sz w:val="16"/>
                <w:szCs w:val="16"/>
              </w:rPr>
            </w:pPr>
            <w:r w:rsidRPr="00D77000">
              <w:rPr>
                <w:rFonts w:ascii="Arial" w:hAnsi="Arial" w:cs="Arial"/>
                <w:color w:val="000000"/>
                <w:sz w:val="16"/>
                <w:szCs w:val="16"/>
              </w:rPr>
              <w:t> </w:t>
            </w:r>
          </w:p>
        </w:tc>
      </w:tr>
      <w:tr w:rsidR="00D77000" w:rsidRPr="00D77000" w14:paraId="4EA6C65E" w14:textId="77777777" w:rsidTr="00D77000">
        <w:trPr>
          <w:trHeight w:hRule="exact" w:val="225"/>
        </w:trPr>
        <w:tc>
          <w:tcPr>
            <w:tcW w:w="1950" w:type="pct"/>
            <w:tcBorders>
              <w:top w:val="nil"/>
              <w:left w:val="nil"/>
              <w:bottom w:val="nil"/>
              <w:right w:val="nil"/>
            </w:tcBorders>
            <w:shd w:val="clear" w:color="000000" w:fill="FFFFFF"/>
            <w:noWrap/>
            <w:vAlign w:val="center"/>
            <w:hideMark/>
          </w:tcPr>
          <w:p w14:paraId="2DDF5BA2" w14:textId="77777777" w:rsidR="00D77000" w:rsidRPr="00D77000" w:rsidRDefault="00D77000" w:rsidP="00D77000">
            <w:pPr>
              <w:spacing w:before="0" w:after="0" w:line="240" w:lineRule="auto"/>
              <w:rPr>
                <w:rFonts w:ascii="Arial" w:hAnsi="Arial" w:cs="Arial"/>
                <w:b/>
                <w:bCs/>
                <w:color w:val="000000"/>
                <w:sz w:val="16"/>
                <w:szCs w:val="16"/>
              </w:rPr>
            </w:pPr>
            <w:r w:rsidRPr="00D77000">
              <w:rPr>
                <w:rFonts w:ascii="Arial" w:hAnsi="Arial" w:cs="Arial"/>
                <w:b/>
                <w:bCs/>
                <w:color w:val="000000"/>
                <w:sz w:val="16"/>
                <w:szCs w:val="16"/>
              </w:rPr>
              <w:t>Defence</w:t>
            </w:r>
          </w:p>
        </w:tc>
        <w:tc>
          <w:tcPr>
            <w:tcW w:w="506" w:type="pct"/>
            <w:tcBorders>
              <w:top w:val="nil"/>
              <w:left w:val="nil"/>
              <w:bottom w:val="single" w:sz="4" w:space="0" w:color="293F5B"/>
              <w:right w:val="nil"/>
            </w:tcBorders>
            <w:shd w:val="clear" w:color="000000" w:fill="FFFFFF"/>
            <w:noWrap/>
            <w:vAlign w:val="center"/>
            <w:hideMark/>
          </w:tcPr>
          <w:p w14:paraId="6CCB1C0F" w14:textId="77777777" w:rsidR="00D77000" w:rsidRPr="00D77000" w:rsidRDefault="00D77000" w:rsidP="00D77000">
            <w:pPr>
              <w:spacing w:before="0" w:after="0" w:line="240" w:lineRule="auto"/>
              <w:jc w:val="right"/>
              <w:rPr>
                <w:rFonts w:ascii="Arial" w:hAnsi="Arial" w:cs="Arial"/>
                <w:b/>
                <w:bCs/>
                <w:color w:val="000000"/>
                <w:sz w:val="16"/>
                <w:szCs w:val="16"/>
              </w:rPr>
            </w:pPr>
            <w:r w:rsidRPr="00D77000">
              <w:rPr>
                <w:rFonts w:ascii="Arial" w:hAnsi="Arial" w:cs="Arial"/>
                <w:b/>
                <w:bCs/>
                <w:color w:val="000000"/>
                <w:sz w:val="16"/>
                <w:szCs w:val="16"/>
              </w:rPr>
              <w:t>41,436</w:t>
            </w:r>
          </w:p>
        </w:tc>
        <w:tc>
          <w:tcPr>
            <w:tcW w:w="56" w:type="pct"/>
            <w:tcBorders>
              <w:top w:val="nil"/>
              <w:left w:val="nil"/>
              <w:bottom w:val="nil"/>
              <w:right w:val="nil"/>
            </w:tcBorders>
            <w:shd w:val="clear" w:color="000000" w:fill="FFFFFF"/>
            <w:noWrap/>
            <w:vAlign w:val="center"/>
            <w:hideMark/>
          </w:tcPr>
          <w:p w14:paraId="47004CDB" w14:textId="77777777" w:rsidR="00D77000" w:rsidRPr="00D77000" w:rsidRDefault="00D77000" w:rsidP="00D77000">
            <w:pPr>
              <w:spacing w:before="0" w:after="0" w:line="240" w:lineRule="auto"/>
              <w:rPr>
                <w:rFonts w:ascii="Arial" w:hAnsi="Arial" w:cs="Arial"/>
                <w:b/>
                <w:bCs/>
                <w:color w:val="000000"/>
                <w:sz w:val="16"/>
                <w:szCs w:val="16"/>
              </w:rPr>
            </w:pPr>
            <w:r w:rsidRPr="00D77000">
              <w:rPr>
                <w:rFonts w:ascii="Arial" w:hAnsi="Arial" w:cs="Arial"/>
                <w:b/>
                <w:bCs/>
                <w:color w:val="000000"/>
                <w:sz w:val="16"/>
                <w:szCs w:val="16"/>
              </w:rPr>
              <w:t> </w:t>
            </w:r>
          </w:p>
        </w:tc>
        <w:tc>
          <w:tcPr>
            <w:tcW w:w="498" w:type="pct"/>
            <w:tcBorders>
              <w:top w:val="nil"/>
              <w:left w:val="nil"/>
              <w:bottom w:val="single" w:sz="4" w:space="0" w:color="293F5B"/>
              <w:right w:val="nil"/>
            </w:tcBorders>
            <w:shd w:val="clear" w:color="000000" w:fill="FFFFFF"/>
            <w:noWrap/>
            <w:vAlign w:val="center"/>
            <w:hideMark/>
          </w:tcPr>
          <w:p w14:paraId="71914C7D" w14:textId="77777777" w:rsidR="00D77000" w:rsidRPr="00D77000" w:rsidRDefault="00D77000" w:rsidP="00D77000">
            <w:pPr>
              <w:spacing w:before="0" w:after="0" w:line="240" w:lineRule="auto"/>
              <w:jc w:val="right"/>
              <w:rPr>
                <w:rFonts w:ascii="Arial" w:hAnsi="Arial" w:cs="Arial"/>
                <w:b/>
                <w:bCs/>
                <w:color w:val="000000"/>
                <w:sz w:val="16"/>
                <w:szCs w:val="16"/>
              </w:rPr>
            </w:pPr>
            <w:r w:rsidRPr="00D77000">
              <w:rPr>
                <w:rFonts w:ascii="Arial" w:hAnsi="Arial" w:cs="Arial"/>
                <w:b/>
                <w:bCs/>
                <w:color w:val="000000"/>
                <w:sz w:val="16"/>
                <w:szCs w:val="16"/>
              </w:rPr>
              <w:t>45,128</w:t>
            </w:r>
          </w:p>
        </w:tc>
        <w:tc>
          <w:tcPr>
            <w:tcW w:w="497" w:type="pct"/>
            <w:tcBorders>
              <w:top w:val="nil"/>
              <w:left w:val="nil"/>
              <w:bottom w:val="single" w:sz="4" w:space="0" w:color="293F5B"/>
              <w:right w:val="nil"/>
            </w:tcBorders>
            <w:shd w:val="clear" w:color="000000" w:fill="E6F2FF"/>
            <w:noWrap/>
            <w:vAlign w:val="center"/>
            <w:hideMark/>
          </w:tcPr>
          <w:p w14:paraId="6E305CEE" w14:textId="77777777" w:rsidR="00D77000" w:rsidRPr="00D77000" w:rsidRDefault="00D77000" w:rsidP="00D77000">
            <w:pPr>
              <w:spacing w:before="0" w:after="0" w:line="240" w:lineRule="auto"/>
              <w:jc w:val="right"/>
              <w:rPr>
                <w:rFonts w:ascii="Arial" w:hAnsi="Arial" w:cs="Arial"/>
                <w:b/>
                <w:bCs/>
                <w:color w:val="000000"/>
                <w:sz w:val="16"/>
                <w:szCs w:val="16"/>
              </w:rPr>
            </w:pPr>
            <w:r w:rsidRPr="00D77000">
              <w:rPr>
                <w:rFonts w:ascii="Arial" w:hAnsi="Arial" w:cs="Arial"/>
                <w:b/>
                <w:bCs/>
                <w:color w:val="000000"/>
                <w:sz w:val="16"/>
                <w:szCs w:val="16"/>
              </w:rPr>
              <w:t>47,986</w:t>
            </w:r>
          </w:p>
        </w:tc>
        <w:tc>
          <w:tcPr>
            <w:tcW w:w="497" w:type="pct"/>
            <w:tcBorders>
              <w:top w:val="nil"/>
              <w:left w:val="nil"/>
              <w:bottom w:val="single" w:sz="4" w:space="0" w:color="293F5B"/>
              <w:right w:val="nil"/>
            </w:tcBorders>
            <w:shd w:val="clear" w:color="000000" w:fill="FFFFFF"/>
            <w:noWrap/>
            <w:vAlign w:val="center"/>
            <w:hideMark/>
          </w:tcPr>
          <w:p w14:paraId="506A0AAD" w14:textId="77777777" w:rsidR="00D77000" w:rsidRPr="00D77000" w:rsidRDefault="00D77000" w:rsidP="00D77000">
            <w:pPr>
              <w:spacing w:before="0" w:after="0" w:line="240" w:lineRule="auto"/>
              <w:jc w:val="right"/>
              <w:rPr>
                <w:rFonts w:ascii="Arial" w:hAnsi="Arial" w:cs="Arial"/>
                <w:b/>
                <w:bCs/>
                <w:color w:val="000000"/>
                <w:sz w:val="16"/>
                <w:szCs w:val="16"/>
              </w:rPr>
            </w:pPr>
            <w:r w:rsidRPr="00D77000">
              <w:rPr>
                <w:rFonts w:ascii="Arial" w:hAnsi="Arial" w:cs="Arial"/>
                <w:b/>
                <w:bCs/>
                <w:color w:val="000000"/>
                <w:sz w:val="16"/>
                <w:szCs w:val="16"/>
              </w:rPr>
              <w:t>50,046</w:t>
            </w:r>
          </w:p>
        </w:tc>
        <w:tc>
          <w:tcPr>
            <w:tcW w:w="497" w:type="pct"/>
            <w:tcBorders>
              <w:top w:val="nil"/>
              <w:left w:val="nil"/>
              <w:bottom w:val="single" w:sz="4" w:space="0" w:color="293F5B"/>
              <w:right w:val="nil"/>
            </w:tcBorders>
            <w:shd w:val="clear" w:color="000000" w:fill="FFFFFF"/>
            <w:noWrap/>
            <w:vAlign w:val="center"/>
            <w:hideMark/>
          </w:tcPr>
          <w:p w14:paraId="0F285E33" w14:textId="77777777" w:rsidR="00D77000" w:rsidRPr="00D77000" w:rsidRDefault="00D77000" w:rsidP="00D77000">
            <w:pPr>
              <w:spacing w:before="0" w:after="0" w:line="240" w:lineRule="auto"/>
              <w:jc w:val="right"/>
              <w:rPr>
                <w:rFonts w:ascii="Arial" w:hAnsi="Arial" w:cs="Arial"/>
                <w:b/>
                <w:bCs/>
                <w:color w:val="000000"/>
                <w:sz w:val="16"/>
                <w:szCs w:val="16"/>
              </w:rPr>
            </w:pPr>
            <w:r w:rsidRPr="00D77000">
              <w:rPr>
                <w:rFonts w:ascii="Arial" w:hAnsi="Arial" w:cs="Arial"/>
                <w:b/>
                <w:bCs/>
                <w:color w:val="000000"/>
                <w:sz w:val="16"/>
                <w:szCs w:val="16"/>
              </w:rPr>
              <w:t>51,339</w:t>
            </w:r>
          </w:p>
        </w:tc>
        <w:tc>
          <w:tcPr>
            <w:tcW w:w="497" w:type="pct"/>
            <w:tcBorders>
              <w:top w:val="nil"/>
              <w:left w:val="nil"/>
              <w:bottom w:val="single" w:sz="4" w:space="0" w:color="293F5B"/>
              <w:right w:val="nil"/>
            </w:tcBorders>
            <w:shd w:val="clear" w:color="000000" w:fill="FFFFFF"/>
            <w:noWrap/>
            <w:vAlign w:val="center"/>
            <w:hideMark/>
          </w:tcPr>
          <w:p w14:paraId="1AB28BB8" w14:textId="77777777" w:rsidR="00D77000" w:rsidRPr="00D77000" w:rsidRDefault="00D77000" w:rsidP="00D77000">
            <w:pPr>
              <w:spacing w:before="0" w:after="0" w:line="240" w:lineRule="auto"/>
              <w:jc w:val="right"/>
              <w:rPr>
                <w:rFonts w:ascii="Arial" w:hAnsi="Arial" w:cs="Arial"/>
                <w:b/>
                <w:bCs/>
                <w:color w:val="000000"/>
                <w:sz w:val="16"/>
                <w:szCs w:val="16"/>
              </w:rPr>
            </w:pPr>
            <w:r w:rsidRPr="00D77000">
              <w:rPr>
                <w:rFonts w:ascii="Arial" w:hAnsi="Arial" w:cs="Arial"/>
                <w:b/>
                <w:bCs/>
                <w:color w:val="000000"/>
                <w:sz w:val="16"/>
                <w:szCs w:val="16"/>
              </w:rPr>
              <w:t>55,102</w:t>
            </w:r>
          </w:p>
        </w:tc>
      </w:tr>
      <w:tr w:rsidR="00D77000" w:rsidRPr="00D77000" w14:paraId="45D82C65" w14:textId="77777777" w:rsidTr="007C7AA6">
        <w:trPr>
          <w:trHeight w:hRule="exact" w:val="60"/>
        </w:trPr>
        <w:tc>
          <w:tcPr>
            <w:tcW w:w="1950" w:type="pct"/>
            <w:tcBorders>
              <w:top w:val="nil"/>
              <w:left w:val="nil"/>
              <w:bottom w:val="nil"/>
              <w:right w:val="nil"/>
            </w:tcBorders>
            <w:shd w:val="clear" w:color="000000" w:fill="FFFFFF"/>
            <w:noWrap/>
            <w:vAlign w:val="center"/>
            <w:hideMark/>
          </w:tcPr>
          <w:p w14:paraId="6F14EAA6" w14:textId="77777777" w:rsidR="00D77000" w:rsidRPr="00D77000" w:rsidRDefault="00D77000" w:rsidP="00D77000">
            <w:pPr>
              <w:spacing w:before="0" w:after="0" w:line="240" w:lineRule="auto"/>
              <w:rPr>
                <w:rFonts w:ascii="Arial" w:hAnsi="Arial" w:cs="Arial"/>
                <w:color w:val="000000"/>
                <w:sz w:val="16"/>
                <w:szCs w:val="16"/>
              </w:rPr>
            </w:pPr>
            <w:r w:rsidRPr="00D77000">
              <w:rPr>
                <w:rFonts w:ascii="Arial" w:hAnsi="Arial" w:cs="Arial"/>
                <w:color w:val="000000"/>
                <w:sz w:val="16"/>
                <w:szCs w:val="16"/>
              </w:rPr>
              <w:t> </w:t>
            </w:r>
          </w:p>
        </w:tc>
        <w:tc>
          <w:tcPr>
            <w:tcW w:w="506" w:type="pct"/>
            <w:tcBorders>
              <w:top w:val="nil"/>
              <w:left w:val="nil"/>
              <w:bottom w:val="nil"/>
              <w:right w:val="nil"/>
            </w:tcBorders>
            <w:shd w:val="clear" w:color="000000" w:fill="FFFFFF"/>
            <w:noWrap/>
            <w:vAlign w:val="center"/>
            <w:hideMark/>
          </w:tcPr>
          <w:p w14:paraId="107ACEBB" w14:textId="77777777" w:rsidR="00D77000" w:rsidRPr="00D77000" w:rsidRDefault="00D77000" w:rsidP="00D77000">
            <w:pPr>
              <w:spacing w:before="0" w:after="0" w:line="240" w:lineRule="auto"/>
              <w:rPr>
                <w:rFonts w:ascii="Arial" w:hAnsi="Arial" w:cs="Arial"/>
                <w:color w:val="000000"/>
                <w:sz w:val="16"/>
                <w:szCs w:val="16"/>
              </w:rPr>
            </w:pPr>
            <w:r w:rsidRPr="00D77000">
              <w:rPr>
                <w:rFonts w:ascii="Arial" w:hAnsi="Arial" w:cs="Arial"/>
                <w:color w:val="000000"/>
                <w:sz w:val="16"/>
                <w:szCs w:val="16"/>
              </w:rPr>
              <w:t> </w:t>
            </w:r>
          </w:p>
        </w:tc>
        <w:tc>
          <w:tcPr>
            <w:tcW w:w="56" w:type="pct"/>
            <w:tcBorders>
              <w:top w:val="nil"/>
              <w:left w:val="nil"/>
              <w:bottom w:val="nil"/>
              <w:right w:val="nil"/>
            </w:tcBorders>
            <w:shd w:val="clear" w:color="000000" w:fill="FFFFFF"/>
            <w:noWrap/>
            <w:vAlign w:val="center"/>
            <w:hideMark/>
          </w:tcPr>
          <w:p w14:paraId="5259891D" w14:textId="77777777" w:rsidR="00D77000" w:rsidRPr="00D77000" w:rsidRDefault="00D77000" w:rsidP="00D77000">
            <w:pPr>
              <w:spacing w:before="0" w:after="0" w:line="240" w:lineRule="auto"/>
              <w:rPr>
                <w:rFonts w:ascii="Arial" w:hAnsi="Arial" w:cs="Arial"/>
                <w:color w:val="000000"/>
                <w:sz w:val="16"/>
                <w:szCs w:val="16"/>
              </w:rPr>
            </w:pPr>
            <w:r w:rsidRPr="00D77000">
              <w:rPr>
                <w:rFonts w:ascii="Arial" w:hAnsi="Arial" w:cs="Arial"/>
                <w:color w:val="000000"/>
                <w:sz w:val="16"/>
                <w:szCs w:val="16"/>
              </w:rPr>
              <w:t> </w:t>
            </w:r>
          </w:p>
        </w:tc>
        <w:tc>
          <w:tcPr>
            <w:tcW w:w="498" w:type="pct"/>
            <w:tcBorders>
              <w:top w:val="single" w:sz="4" w:space="0" w:color="293F5B"/>
              <w:left w:val="nil"/>
              <w:bottom w:val="nil"/>
              <w:right w:val="nil"/>
            </w:tcBorders>
            <w:shd w:val="clear" w:color="000000" w:fill="FFFFFF"/>
            <w:noWrap/>
            <w:vAlign w:val="center"/>
            <w:hideMark/>
          </w:tcPr>
          <w:p w14:paraId="4FEE0BAE" w14:textId="77777777" w:rsidR="00D77000" w:rsidRPr="00D77000" w:rsidRDefault="00D77000" w:rsidP="00D77000">
            <w:pPr>
              <w:spacing w:before="0" w:after="0" w:line="240" w:lineRule="auto"/>
              <w:rPr>
                <w:rFonts w:ascii="Arial" w:hAnsi="Arial" w:cs="Arial"/>
                <w:color w:val="000000"/>
                <w:sz w:val="16"/>
                <w:szCs w:val="16"/>
              </w:rPr>
            </w:pPr>
            <w:r w:rsidRPr="00D77000">
              <w:rPr>
                <w:rFonts w:ascii="Arial" w:hAnsi="Arial" w:cs="Arial"/>
                <w:color w:val="000000"/>
                <w:sz w:val="16"/>
                <w:szCs w:val="16"/>
              </w:rPr>
              <w:t> </w:t>
            </w:r>
          </w:p>
        </w:tc>
        <w:tc>
          <w:tcPr>
            <w:tcW w:w="497" w:type="pct"/>
            <w:tcBorders>
              <w:top w:val="single" w:sz="4" w:space="0" w:color="293F5B"/>
              <w:left w:val="nil"/>
              <w:bottom w:val="nil"/>
              <w:right w:val="nil"/>
            </w:tcBorders>
            <w:shd w:val="clear" w:color="000000" w:fill="E6F2FF"/>
            <w:noWrap/>
            <w:vAlign w:val="center"/>
            <w:hideMark/>
          </w:tcPr>
          <w:p w14:paraId="7A42EC7F" w14:textId="77777777" w:rsidR="00D77000" w:rsidRPr="00D77000" w:rsidRDefault="00D77000" w:rsidP="00D77000">
            <w:pPr>
              <w:spacing w:before="0" w:after="0" w:line="240" w:lineRule="auto"/>
              <w:rPr>
                <w:rFonts w:ascii="Arial" w:hAnsi="Arial" w:cs="Arial"/>
                <w:color w:val="000000"/>
                <w:sz w:val="16"/>
                <w:szCs w:val="16"/>
              </w:rPr>
            </w:pPr>
            <w:r w:rsidRPr="00D77000">
              <w:rPr>
                <w:rFonts w:ascii="Arial" w:hAnsi="Arial" w:cs="Arial"/>
                <w:color w:val="000000"/>
                <w:sz w:val="16"/>
                <w:szCs w:val="16"/>
              </w:rPr>
              <w:t> </w:t>
            </w:r>
          </w:p>
        </w:tc>
        <w:tc>
          <w:tcPr>
            <w:tcW w:w="497" w:type="pct"/>
            <w:tcBorders>
              <w:top w:val="single" w:sz="4" w:space="0" w:color="293F5B"/>
              <w:left w:val="nil"/>
              <w:bottom w:val="nil"/>
              <w:right w:val="nil"/>
            </w:tcBorders>
            <w:shd w:val="clear" w:color="000000" w:fill="FFFFFF"/>
            <w:noWrap/>
            <w:vAlign w:val="center"/>
            <w:hideMark/>
          </w:tcPr>
          <w:p w14:paraId="7477BF9E" w14:textId="77777777" w:rsidR="00D77000" w:rsidRPr="00D77000" w:rsidRDefault="00D77000" w:rsidP="00D77000">
            <w:pPr>
              <w:spacing w:before="0" w:after="0" w:line="240" w:lineRule="auto"/>
              <w:rPr>
                <w:rFonts w:ascii="Arial" w:hAnsi="Arial" w:cs="Arial"/>
                <w:color w:val="000000"/>
                <w:sz w:val="16"/>
                <w:szCs w:val="16"/>
              </w:rPr>
            </w:pPr>
            <w:r w:rsidRPr="00D77000">
              <w:rPr>
                <w:rFonts w:ascii="Arial" w:hAnsi="Arial" w:cs="Arial"/>
                <w:color w:val="000000"/>
                <w:sz w:val="16"/>
                <w:szCs w:val="16"/>
              </w:rPr>
              <w:t> </w:t>
            </w:r>
          </w:p>
        </w:tc>
        <w:tc>
          <w:tcPr>
            <w:tcW w:w="497" w:type="pct"/>
            <w:tcBorders>
              <w:top w:val="single" w:sz="4" w:space="0" w:color="293F5B"/>
              <w:left w:val="nil"/>
              <w:bottom w:val="nil"/>
              <w:right w:val="nil"/>
            </w:tcBorders>
            <w:shd w:val="clear" w:color="000000" w:fill="FFFFFF"/>
            <w:noWrap/>
            <w:vAlign w:val="center"/>
            <w:hideMark/>
          </w:tcPr>
          <w:p w14:paraId="30FEF76D" w14:textId="77777777" w:rsidR="00D77000" w:rsidRPr="00D77000" w:rsidRDefault="00D77000" w:rsidP="00D77000">
            <w:pPr>
              <w:spacing w:before="0" w:after="0" w:line="240" w:lineRule="auto"/>
              <w:rPr>
                <w:rFonts w:ascii="Arial" w:hAnsi="Arial" w:cs="Arial"/>
                <w:color w:val="000000"/>
                <w:sz w:val="16"/>
                <w:szCs w:val="16"/>
              </w:rPr>
            </w:pPr>
            <w:r w:rsidRPr="00D77000">
              <w:rPr>
                <w:rFonts w:ascii="Arial" w:hAnsi="Arial" w:cs="Arial"/>
                <w:color w:val="000000"/>
                <w:sz w:val="16"/>
                <w:szCs w:val="16"/>
              </w:rPr>
              <w:t> </w:t>
            </w:r>
          </w:p>
        </w:tc>
        <w:tc>
          <w:tcPr>
            <w:tcW w:w="497" w:type="pct"/>
            <w:tcBorders>
              <w:top w:val="single" w:sz="4" w:space="0" w:color="293F5B"/>
              <w:left w:val="nil"/>
              <w:bottom w:val="nil"/>
              <w:right w:val="nil"/>
            </w:tcBorders>
            <w:shd w:val="clear" w:color="000000" w:fill="FFFFFF"/>
            <w:noWrap/>
            <w:vAlign w:val="center"/>
            <w:hideMark/>
          </w:tcPr>
          <w:p w14:paraId="4066E125" w14:textId="77777777" w:rsidR="00D77000" w:rsidRPr="00D77000" w:rsidRDefault="00D77000" w:rsidP="00D77000">
            <w:pPr>
              <w:spacing w:before="0" w:after="0" w:line="240" w:lineRule="auto"/>
              <w:rPr>
                <w:rFonts w:ascii="Arial" w:hAnsi="Arial" w:cs="Arial"/>
                <w:color w:val="000000"/>
                <w:sz w:val="16"/>
                <w:szCs w:val="16"/>
              </w:rPr>
            </w:pPr>
            <w:r w:rsidRPr="00D77000">
              <w:rPr>
                <w:rFonts w:ascii="Arial" w:hAnsi="Arial" w:cs="Arial"/>
                <w:color w:val="000000"/>
                <w:sz w:val="16"/>
                <w:szCs w:val="16"/>
              </w:rPr>
              <w:t> </w:t>
            </w:r>
          </w:p>
        </w:tc>
      </w:tr>
      <w:tr w:rsidR="00D77000" w:rsidRPr="00D77000" w14:paraId="4DB6CD0C" w14:textId="77777777" w:rsidTr="00D77000">
        <w:trPr>
          <w:trHeight w:hRule="exact" w:val="225"/>
        </w:trPr>
        <w:tc>
          <w:tcPr>
            <w:tcW w:w="1950" w:type="pct"/>
            <w:tcBorders>
              <w:top w:val="nil"/>
              <w:left w:val="nil"/>
              <w:bottom w:val="nil"/>
              <w:right w:val="nil"/>
            </w:tcBorders>
            <w:shd w:val="clear" w:color="000000" w:fill="FFFFFF"/>
            <w:noWrap/>
            <w:vAlign w:val="center"/>
            <w:hideMark/>
          </w:tcPr>
          <w:p w14:paraId="112C045F" w14:textId="77777777" w:rsidR="00D77000" w:rsidRPr="00D77000" w:rsidRDefault="00D77000" w:rsidP="00D77000">
            <w:pPr>
              <w:spacing w:before="0" w:after="0" w:line="240" w:lineRule="auto"/>
              <w:rPr>
                <w:rFonts w:ascii="Arial" w:hAnsi="Arial" w:cs="Arial"/>
                <w:b/>
                <w:bCs/>
                <w:color w:val="000000"/>
                <w:sz w:val="16"/>
                <w:szCs w:val="16"/>
              </w:rPr>
            </w:pPr>
            <w:r w:rsidRPr="00D77000">
              <w:rPr>
                <w:rFonts w:ascii="Arial" w:hAnsi="Arial" w:cs="Arial"/>
                <w:b/>
                <w:bCs/>
                <w:color w:val="000000"/>
                <w:sz w:val="16"/>
                <w:szCs w:val="16"/>
              </w:rPr>
              <w:t>Public order and safety</w:t>
            </w:r>
          </w:p>
        </w:tc>
        <w:tc>
          <w:tcPr>
            <w:tcW w:w="506" w:type="pct"/>
            <w:tcBorders>
              <w:top w:val="nil"/>
              <w:left w:val="nil"/>
              <w:bottom w:val="nil"/>
              <w:right w:val="nil"/>
            </w:tcBorders>
            <w:shd w:val="clear" w:color="000000" w:fill="FFFFFF"/>
            <w:noWrap/>
            <w:vAlign w:val="center"/>
            <w:hideMark/>
          </w:tcPr>
          <w:p w14:paraId="60B076A5" w14:textId="77777777" w:rsidR="00D77000" w:rsidRPr="00D77000" w:rsidRDefault="00D77000" w:rsidP="00D77000">
            <w:pPr>
              <w:spacing w:before="0" w:after="0" w:line="240" w:lineRule="auto"/>
              <w:rPr>
                <w:rFonts w:ascii="Arial" w:hAnsi="Arial" w:cs="Arial"/>
                <w:color w:val="000000"/>
                <w:sz w:val="16"/>
                <w:szCs w:val="16"/>
              </w:rPr>
            </w:pPr>
            <w:r w:rsidRPr="00D77000">
              <w:rPr>
                <w:rFonts w:ascii="Arial" w:hAnsi="Arial" w:cs="Arial"/>
                <w:color w:val="000000"/>
                <w:sz w:val="16"/>
                <w:szCs w:val="16"/>
              </w:rPr>
              <w:t> </w:t>
            </w:r>
          </w:p>
        </w:tc>
        <w:tc>
          <w:tcPr>
            <w:tcW w:w="56" w:type="pct"/>
            <w:tcBorders>
              <w:top w:val="nil"/>
              <w:left w:val="nil"/>
              <w:bottom w:val="nil"/>
              <w:right w:val="nil"/>
            </w:tcBorders>
            <w:shd w:val="clear" w:color="000000" w:fill="FFFFFF"/>
            <w:noWrap/>
            <w:vAlign w:val="center"/>
            <w:hideMark/>
          </w:tcPr>
          <w:p w14:paraId="6CC47261" w14:textId="77777777" w:rsidR="00D77000" w:rsidRPr="00D77000" w:rsidRDefault="00D77000" w:rsidP="00D77000">
            <w:pPr>
              <w:spacing w:before="0" w:after="0" w:line="240" w:lineRule="auto"/>
              <w:rPr>
                <w:rFonts w:ascii="Arial" w:hAnsi="Arial" w:cs="Arial"/>
                <w:color w:val="000000"/>
                <w:sz w:val="16"/>
                <w:szCs w:val="16"/>
              </w:rPr>
            </w:pPr>
            <w:r w:rsidRPr="00D77000">
              <w:rPr>
                <w:rFonts w:ascii="Arial" w:hAnsi="Arial" w:cs="Arial"/>
                <w:color w:val="000000"/>
                <w:sz w:val="16"/>
                <w:szCs w:val="16"/>
              </w:rPr>
              <w:t> </w:t>
            </w:r>
          </w:p>
        </w:tc>
        <w:tc>
          <w:tcPr>
            <w:tcW w:w="498" w:type="pct"/>
            <w:tcBorders>
              <w:top w:val="nil"/>
              <w:left w:val="nil"/>
              <w:bottom w:val="nil"/>
              <w:right w:val="nil"/>
            </w:tcBorders>
            <w:shd w:val="clear" w:color="000000" w:fill="FFFFFF"/>
            <w:noWrap/>
            <w:vAlign w:val="center"/>
            <w:hideMark/>
          </w:tcPr>
          <w:p w14:paraId="4764D64B" w14:textId="77777777" w:rsidR="00D77000" w:rsidRPr="00D77000" w:rsidRDefault="00D77000" w:rsidP="00D77000">
            <w:pPr>
              <w:spacing w:before="0" w:after="0" w:line="240" w:lineRule="auto"/>
              <w:rPr>
                <w:rFonts w:ascii="Arial" w:hAnsi="Arial" w:cs="Arial"/>
                <w:color w:val="000000"/>
                <w:sz w:val="16"/>
                <w:szCs w:val="16"/>
              </w:rPr>
            </w:pPr>
            <w:r w:rsidRPr="00D77000">
              <w:rPr>
                <w:rFonts w:ascii="Arial" w:hAnsi="Arial" w:cs="Arial"/>
                <w:color w:val="000000"/>
                <w:sz w:val="16"/>
                <w:szCs w:val="16"/>
              </w:rPr>
              <w:t> </w:t>
            </w:r>
          </w:p>
        </w:tc>
        <w:tc>
          <w:tcPr>
            <w:tcW w:w="497" w:type="pct"/>
            <w:tcBorders>
              <w:top w:val="nil"/>
              <w:left w:val="nil"/>
              <w:bottom w:val="nil"/>
              <w:right w:val="nil"/>
            </w:tcBorders>
            <w:shd w:val="clear" w:color="000000" w:fill="E6F2FF"/>
            <w:noWrap/>
            <w:vAlign w:val="center"/>
            <w:hideMark/>
          </w:tcPr>
          <w:p w14:paraId="027DDA2F" w14:textId="77777777" w:rsidR="00D77000" w:rsidRPr="00D77000" w:rsidRDefault="00D77000" w:rsidP="00D77000">
            <w:pPr>
              <w:spacing w:before="0" w:after="0" w:line="240" w:lineRule="auto"/>
              <w:rPr>
                <w:rFonts w:ascii="Arial" w:hAnsi="Arial" w:cs="Arial"/>
                <w:color w:val="000000"/>
                <w:sz w:val="16"/>
                <w:szCs w:val="16"/>
              </w:rPr>
            </w:pPr>
            <w:r w:rsidRPr="00D77000">
              <w:rPr>
                <w:rFonts w:ascii="Arial" w:hAnsi="Arial" w:cs="Arial"/>
                <w:color w:val="000000"/>
                <w:sz w:val="16"/>
                <w:szCs w:val="16"/>
              </w:rPr>
              <w:t> </w:t>
            </w:r>
          </w:p>
        </w:tc>
        <w:tc>
          <w:tcPr>
            <w:tcW w:w="497" w:type="pct"/>
            <w:tcBorders>
              <w:top w:val="nil"/>
              <w:left w:val="nil"/>
              <w:bottom w:val="nil"/>
              <w:right w:val="nil"/>
            </w:tcBorders>
            <w:shd w:val="clear" w:color="000000" w:fill="FFFFFF"/>
            <w:noWrap/>
            <w:vAlign w:val="center"/>
            <w:hideMark/>
          </w:tcPr>
          <w:p w14:paraId="3127F5DF" w14:textId="77777777" w:rsidR="00D77000" w:rsidRPr="00D77000" w:rsidRDefault="00D77000" w:rsidP="00D77000">
            <w:pPr>
              <w:spacing w:before="0" w:after="0" w:line="240" w:lineRule="auto"/>
              <w:rPr>
                <w:rFonts w:ascii="Arial" w:hAnsi="Arial" w:cs="Arial"/>
                <w:color w:val="000000"/>
                <w:sz w:val="16"/>
                <w:szCs w:val="16"/>
              </w:rPr>
            </w:pPr>
            <w:r w:rsidRPr="00D77000">
              <w:rPr>
                <w:rFonts w:ascii="Arial" w:hAnsi="Arial" w:cs="Arial"/>
                <w:color w:val="000000"/>
                <w:sz w:val="16"/>
                <w:szCs w:val="16"/>
              </w:rPr>
              <w:t> </w:t>
            </w:r>
          </w:p>
        </w:tc>
        <w:tc>
          <w:tcPr>
            <w:tcW w:w="497" w:type="pct"/>
            <w:tcBorders>
              <w:top w:val="nil"/>
              <w:left w:val="nil"/>
              <w:bottom w:val="nil"/>
              <w:right w:val="nil"/>
            </w:tcBorders>
            <w:shd w:val="clear" w:color="000000" w:fill="FFFFFF"/>
            <w:noWrap/>
            <w:vAlign w:val="center"/>
            <w:hideMark/>
          </w:tcPr>
          <w:p w14:paraId="651039B6" w14:textId="77777777" w:rsidR="00D77000" w:rsidRPr="00D77000" w:rsidRDefault="00D77000" w:rsidP="00D77000">
            <w:pPr>
              <w:spacing w:before="0" w:after="0" w:line="240" w:lineRule="auto"/>
              <w:rPr>
                <w:rFonts w:ascii="Arial" w:hAnsi="Arial" w:cs="Arial"/>
                <w:color w:val="000000"/>
                <w:sz w:val="16"/>
                <w:szCs w:val="16"/>
              </w:rPr>
            </w:pPr>
            <w:r w:rsidRPr="00D77000">
              <w:rPr>
                <w:rFonts w:ascii="Arial" w:hAnsi="Arial" w:cs="Arial"/>
                <w:color w:val="000000"/>
                <w:sz w:val="16"/>
                <w:szCs w:val="16"/>
              </w:rPr>
              <w:t> </w:t>
            </w:r>
          </w:p>
        </w:tc>
        <w:tc>
          <w:tcPr>
            <w:tcW w:w="497" w:type="pct"/>
            <w:tcBorders>
              <w:top w:val="nil"/>
              <w:left w:val="nil"/>
              <w:bottom w:val="nil"/>
              <w:right w:val="nil"/>
            </w:tcBorders>
            <w:shd w:val="clear" w:color="000000" w:fill="FFFFFF"/>
            <w:noWrap/>
            <w:vAlign w:val="center"/>
            <w:hideMark/>
          </w:tcPr>
          <w:p w14:paraId="3A82F9D2" w14:textId="77777777" w:rsidR="00D77000" w:rsidRPr="00D77000" w:rsidRDefault="00D77000" w:rsidP="00D77000">
            <w:pPr>
              <w:spacing w:before="0" w:after="0" w:line="240" w:lineRule="auto"/>
              <w:rPr>
                <w:rFonts w:ascii="Arial" w:hAnsi="Arial" w:cs="Arial"/>
                <w:color w:val="000000"/>
                <w:sz w:val="16"/>
                <w:szCs w:val="16"/>
              </w:rPr>
            </w:pPr>
            <w:r w:rsidRPr="00D77000">
              <w:rPr>
                <w:rFonts w:ascii="Arial" w:hAnsi="Arial" w:cs="Arial"/>
                <w:color w:val="000000"/>
                <w:sz w:val="16"/>
                <w:szCs w:val="16"/>
              </w:rPr>
              <w:t> </w:t>
            </w:r>
          </w:p>
        </w:tc>
      </w:tr>
      <w:tr w:rsidR="00D77000" w:rsidRPr="00D77000" w14:paraId="77984F2B" w14:textId="77777777" w:rsidTr="00D77000">
        <w:trPr>
          <w:trHeight w:hRule="exact" w:val="225"/>
        </w:trPr>
        <w:tc>
          <w:tcPr>
            <w:tcW w:w="1950" w:type="pct"/>
            <w:tcBorders>
              <w:top w:val="nil"/>
              <w:left w:val="nil"/>
              <w:bottom w:val="nil"/>
              <w:right w:val="nil"/>
            </w:tcBorders>
            <w:shd w:val="clear" w:color="000000" w:fill="FFFFFF"/>
            <w:noWrap/>
            <w:vAlign w:val="center"/>
            <w:hideMark/>
          </w:tcPr>
          <w:p w14:paraId="78E52471" w14:textId="77777777" w:rsidR="00D77000" w:rsidRPr="00D77000" w:rsidRDefault="00D77000" w:rsidP="00D77000">
            <w:pPr>
              <w:spacing w:before="0" w:after="0" w:line="240" w:lineRule="auto"/>
              <w:ind w:left="170"/>
              <w:rPr>
                <w:rFonts w:ascii="Arial" w:hAnsi="Arial" w:cs="Arial"/>
                <w:color w:val="000000"/>
                <w:sz w:val="16"/>
                <w:szCs w:val="16"/>
              </w:rPr>
            </w:pPr>
            <w:r w:rsidRPr="00D77000">
              <w:rPr>
                <w:rFonts w:ascii="Arial" w:hAnsi="Arial" w:cs="Arial"/>
                <w:color w:val="000000"/>
                <w:sz w:val="16"/>
                <w:szCs w:val="16"/>
              </w:rPr>
              <w:t>Courts and legal services</w:t>
            </w:r>
          </w:p>
        </w:tc>
        <w:tc>
          <w:tcPr>
            <w:tcW w:w="506" w:type="pct"/>
            <w:tcBorders>
              <w:top w:val="nil"/>
              <w:left w:val="nil"/>
              <w:bottom w:val="nil"/>
              <w:right w:val="nil"/>
            </w:tcBorders>
            <w:shd w:val="clear" w:color="000000" w:fill="FFFFFF"/>
            <w:noWrap/>
            <w:vAlign w:val="center"/>
            <w:hideMark/>
          </w:tcPr>
          <w:p w14:paraId="09B3F026" w14:textId="77777777" w:rsidR="00D77000" w:rsidRPr="00D77000" w:rsidRDefault="00D77000" w:rsidP="00D77000">
            <w:pPr>
              <w:spacing w:before="0" w:after="0" w:line="240" w:lineRule="auto"/>
              <w:jc w:val="right"/>
              <w:rPr>
                <w:rFonts w:ascii="Arial" w:hAnsi="Arial" w:cs="Arial"/>
                <w:color w:val="000000"/>
                <w:sz w:val="16"/>
                <w:szCs w:val="16"/>
              </w:rPr>
            </w:pPr>
            <w:r w:rsidRPr="00D77000">
              <w:rPr>
                <w:rFonts w:ascii="Arial" w:hAnsi="Arial" w:cs="Arial"/>
                <w:color w:val="000000"/>
                <w:sz w:val="16"/>
                <w:szCs w:val="16"/>
              </w:rPr>
              <w:t>1,814</w:t>
            </w:r>
          </w:p>
        </w:tc>
        <w:tc>
          <w:tcPr>
            <w:tcW w:w="56" w:type="pct"/>
            <w:tcBorders>
              <w:top w:val="nil"/>
              <w:left w:val="nil"/>
              <w:bottom w:val="nil"/>
              <w:right w:val="nil"/>
            </w:tcBorders>
            <w:shd w:val="clear" w:color="000000" w:fill="FFFFFF"/>
            <w:noWrap/>
            <w:vAlign w:val="center"/>
            <w:hideMark/>
          </w:tcPr>
          <w:p w14:paraId="5710A743" w14:textId="77777777" w:rsidR="00D77000" w:rsidRPr="00D77000" w:rsidRDefault="00D77000" w:rsidP="00D77000">
            <w:pPr>
              <w:spacing w:before="0" w:after="0" w:line="240" w:lineRule="auto"/>
              <w:rPr>
                <w:rFonts w:ascii="Arial" w:hAnsi="Arial" w:cs="Arial"/>
                <w:color w:val="000000"/>
                <w:sz w:val="16"/>
                <w:szCs w:val="16"/>
              </w:rPr>
            </w:pPr>
            <w:r w:rsidRPr="00D77000">
              <w:rPr>
                <w:rFonts w:ascii="Arial" w:hAnsi="Arial" w:cs="Arial"/>
                <w:color w:val="000000"/>
                <w:sz w:val="16"/>
                <w:szCs w:val="16"/>
              </w:rPr>
              <w:t> </w:t>
            </w:r>
          </w:p>
        </w:tc>
        <w:tc>
          <w:tcPr>
            <w:tcW w:w="498" w:type="pct"/>
            <w:tcBorders>
              <w:top w:val="nil"/>
              <w:left w:val="nil"/>
              <w:bottom w:val="nil"/>
              <w:right w:val="nil"/>
            </w:tcBorders>
            <w:shd w:val="clear" w:color="000000" w:fill="FFFFFF"/>
            <w:noWrap/>
            <w:vAlign w:val="center"/>
            <w:hideMark/>
          </w:tcPr>
          <w:p w14:paraId="34ED9DCA" w14:textId="77777777" w:rsidR="00D77000" w:rsidRPr="00D77000" w:rsidRDefault="00D77000" w:rsidP="00D77000">
            <w:pPr>
              <w:spacing w:before="0" w:after="0" w:line="240" w:lineRule="auto"/>
              <w:jc w:val="right"/>
              <w:rPr>
                <w:rFonts w:ascii="Arial" w:hAnsi="Arial" w:cs="Arial"/>
                <w:color w:val="000000"/>
                <w:sz w:val="16"/>
                <w:szCs w:val="16"/>
              </w:rPr>
            </w:pPr>
            <w:r w:rsidRPr="00D77000">
              <w:rPr>
                <w:rFonts w:ascii="Arial" w:hAnsi="Arial" w:cs="Arial"/>
                <w:color w:val="000000"/>
                <w:sz w:val="16"/>
                <w:szCs w:val="16"/>
              </w:rPr>
              <w:t>1,827</w:t>
            </w:r>
          </w:p>
        </w:tc>
        <w:tc>
          <w:tcPr>
            <w:tcW w:w="497" w:type="pct"/>
            <w:tcBorders>
              <w:top w:val="nil"/>
              <w:left w:val="nil"/>
              <w:bottom w:val="nil"/>
              <w:right w:val="nil"/>
            </w:tcBorders>
            <w:shd w:val="clear" w:color="000000" w:fill="E6F2FF"/>
            <w:noWrap/>
            <w:vAlign w:val="center"/>
            <w:hideMark/>
          </w:tcPr>
          <w:p w14:paraId="1ACB302B" w14:textId="77777777" w:rsidR="00D77000" w:rsidRPr="00D77000" w:rsidRDefault="00D77000" w:rsidP="00D77000">
            <w:pPr>
              <w:spacing w:before="0" w:after="0" w:line="240" w:lineRule="auto"/>
              <w:jc w:val="right"/>
              <w:rPr>
                <w:rFonts w:ascii="Arial" w:hAnsi="Arial" w:cs="Arial"/>
                <w:color w:val="000000"/>
                <w:sz w:val="16"/>
                <w:szCs w:val="16"/>
              </w:rPr>
            </w:pPr>
            <w:r w:rsidRPr="00D77000">
              <w:rPr>
                <w:rFonts w:ascii="Arial" w:hAnsi="Arial" w:cs="Arial"/>
                <w:color w:val="000000"/>
                <w:sz w:val="16"/>
                <w:szCs w:val="16"/>
              </w:rPr>
              <w:t>1,894</w:t>
            </w:r>
          </w:p>
        </w:tc>
        <w:tc>
          <w:tcPr>
            <w:tcW w:w="497" w:type="pct"/>
            <w:tcBorders>
              <w:top w:val="nil"/>
              <w:left w:val="nil"/>
              <w:bottom w:val="nil"/>
              <w:right w:val="nil"/>
            </w:tcBorders>
            <w:shd w:val="clear" w:color="000000" w:fill="FFFFFF"/>
            <w:noWrap/>
            <w:vAlign w:val="center"/>
            <w:hideMark/>
          </w:tcPr>
          <w:p w14:paraId="000396AD" w14:textId="77777777" w:rsidR="00D77000" w:rsidRPr="00D77000" w:rsidRDefault="00D77000" w:rsidP="00D77000">
            <w:pPr>
              <w:spacing w:before="0" w:after="0" w:line="240" w:lineRule="auto"/>
              <w:jc w:val="right"/>
              <w:rPr>
                <w:rFonts w:ascii="Arial" w:hAnsi="Arial" w:cs="Arial"/>
                <w:color w:val="000000"/>
                <w:sz w:val="16"/>
                <w:szCs w:val="16"/>
              </w:rPr>
            </w:pPr>
            <w:r w:rsidRPr="00D77000">
              <w:rPr>
                <w:rFonts w:ascii="Arial" w:hAnsi="Arial" w:cs="Arial"/>
                <w:color w:val="000000"/>
                <w:sz w:val="16"/>
                <w:szCs w:val="16"/>
              </w:rPr>
              <w:t>1,268</w:t>
            </w:r>
          </w:p>
        </w:tc>
        <w:tc>
          <w:tcPr>
            <w:tcW w:w="497" w:type="pct"/>
            <w:tcBorders>
              <w:top w:val="nil"/>
              <w:left w:val="nil"/>
              <w:bottom w:val="nil"/>
              <w:right w:val="nil"/>
            </w:tcBorders>
            <w:shd w:val="clear" w:color="000000" w:fill="FFFFFF"/>
            <w:noWrap/>
            <w:vAlign w:val="center"/>
            <w:hideMark/>
          </w:tcPr>
          <w:p w14:paraId="24B80F0A" w14:textId="77777777" w:rsidR="00D77000" w:rsidRPr="00D77000" w:rsidRDefault="00D77000" w:rsidP="00D77000">
            <w:pPr>
              <w:spacing w:before="0" w:after="0" w:line="240" w:lineRule="auto"/>
              <w:jc w:val="right"/>
              <w:rPr>
                <w:rFonts w:ascii="Arial" w:hAnsi="Arial" w:cs="Arial"/>
                <w:color w:val="000000"/>
                <w:sz w:val="16"/>
                <w:szCs w:val="16"/>
              </w:rPr>
            </w:pPr>
            <w:r w:rsidRPr="00D77000">
              <w:rPr>
                <w:rFonts w:ascii="Arial" w:hAnsi="Arial" w:cs="Arial"/>
                <w:color w:val="000000"/>
                <w:sz w:val="16"/>
                <w:szCs w:val="16"/>
              </w:rPr>
              <w:t>1,212</w:t>
            </w:r>
          </w:p>
        </w:tc>
        <w:tc>
          <w:tcPr>
            <w:tcW w:w="497" w:type="pct"/>
            <w:tcBorders>
              <w:top w:val="nil"/>
              <w:left w:val="nil"/>
              <w:bottom w:val="nil"/>
              <w:right w:val="nil"/>
            </w:tcBorders>
            <w:shd w:val="clear" w:color="000000" w:fill="FFFFFF"/>
            <w:noWrap/>
            <w:vAlign w:val="center"/>
            <w:hideMark/>
          </w:tcPr>
          <w:p w14:paraId="4425C235" w14:textId="77777777" w:rsidR="00D77000" w:rsidRPr="00D77000" w:rsidRDefault="00D77000" w:rsidP="00D77000">
            <w:pPr>
              <w:spacing w:before="0" w:after="0" w:line="240" w:lineRule="auto"/>
              <w:jc w:val="right"/>
              <w:rPr>
                <w:rFonts w:ascii="Arial" w:hAnsi="Arial" w:cs="Arial"/>
                <w:color w:val="000000"/>
                <w:sz w:val="16"/>
                <w:szCs w:val="16"/>
              </w:rPr>
            </w:pPr>
            <w:r w:rsidRPr="00D77000">
              <w:rPr>
                <w:rFonts w:ascii="Arial" w:hAnsi="Arial" w:cs="Arial"/>
                <w:color w:val="000000"/>
                <w:sz w:val="16"/>
                <w:szCs w:val="16"/>
              </w:rPr>
              <w:t>1,278</w:t>
            </w:r>
          </w:p>
        </w:tc>
      </w:tr>
      <w:tr w:rsidR="00D77000" w:rsidRPr="00D77000" w14:paraId="4612FDCE" w14:textId="77777777" w:rsidTr="00D77000">
        <w:trPr>
          <w:trHeight w:hRule="exact" w:val="225"/>
        </w:trPr>
        <w:tc>
          <w:tcPr>
            <w:tcW w:w="1950" w:type="pct"/>
            <w:tcBorders>
              <w:top w:val="nil"/>
              <w:left w:val="nil"/>
              <w:bottom w:val="nil"/>
              <w:right w:val="nil"/>
            </w:tcBorders>
            <w:shd w:val="clear" w:color="000000" w:fill="FFFFFF"/>
            <w:noWrap/>
            <w:vAlign w:val="center"/>
            <w:hideMark/>
          </w:tcPr>
          <w:p w14:paraId="292219F6" w14:textId="77777777" w:rsidR="00D77000" w:rsidRPr="00D77000" w:rsidRDefault="00D77000" w:rsidP="00D77000">
            <w:pPr>
              <w:spacing w:before="0" w:after="0" w:line="240" w:lineRule="auto"/>
              <w:ind w:left="170"/>
              <w:rPr>
                <w:rFonts w:ascii="Arial" w:hAnsi="Arial" w:cs="Arial"/>
                <w:color w:val="000000"/>
                <w:sz w:val="16"/>
                <w:szCs w:val="16"/>
              </w:rPr>
            </w:pPr>
            <w:r w:rsidRPr="00D77000">
              <w:rPr>
                <w:rFonts w:ascii="Arial" w:hAnsi="Arial" w:cs="Arial"/>
                <w:color w:val="000000"/>
                <w:sz w:val="16"/>
                <w:szCs w:val="16"/>
              </w:rPr>
              <w:t>Other public order and safety</w:t>
            </w:r>
          </w:p>
        </w:tc>
        <w:tc>
          <w:tcPr>
            <w:tcW w:w="506" w:type="pct"/>
            <w:tcBorders>
              <w:top w:val="nil"/>
              <w:left w:val="nil"/>
              <w:bottom w:val="single" w:sz="4" w:space="0" w:color="293F5B"/>
              <w:right w:val="nil"/>
            </w:tcBorders>
            <w:shd w:val="clear" w:color="000000" w:fill="FFFFFF"/>
            <w:noWrap/>
            <w:vAlign w:val="center"/>
            <w:hideMark/>
          </w:tcPr>
          <w:p w14:paraId="1C4AB73B" w14:textId="77777777" w:rsidR="00D77000" w:rsidRPr="00D77000" w:rsidRDefault="00D77000" w:rsidP="00D77000">
            <w:pPr>
              <w:spacing w:before="0" w:after="0" w:line="240" w:lineRule="auto"/>
              <w:jc w:val="right"/>
              <w:rPr>
                <w:rFonts w:ascii="Arial" w:hAnsi="Arial" w:cs="Arial"/>
                <w:color w:val="000000"/>
                <w:sz w:val="16"/>
                <w:szCs w:val="16"/>
              </w:rPr>
            </w:pPr>
            <w:r w:rsidRPr="00D77000">
              <w:rPr>
                <w:rFonts w:ascii="Arial" w:hAnsi="Arial" w:cs="Arial"/>
                <w:color w:val="000000"/>
                <w:sz w:val="16"/>
                <w:szCs w:val="16"/>
              </w:rPr>
              <w:t>5,698</w:t>
            </w:r>
          </w:p>
        </w:tc>
        <w:tc>
          <w:tcPr>
            <w:tcW w:w="56" w:type="pct"/>
            <w:tcBorders>
              <w:top w:val="nil"/>
              <w:left w:val="nil"/>
              <w:bottom w:val="nil"/>
              <w:right w:val="nil"/>
            </w:tcBorders>
            <w:shd w:val="clear" w:color="000000" w:fill="FFFFFF"/>
            <w:noWrap/>
            <w:vAlign w:val="center"/>
            <w:hideMark/>
          </w:tcPr>
          <w:p w14:paraId="79640322" w14:textId="77777777" w:rsidR="00D77000" w:rsidRPr="00D77000" w:rsidRDefault="00D77000" w:rsidP="00D77000">
            <w:pPr>
              <w:spacing w:before="0" w:after="0" w:line="240" w:lineRule="auto"/>
              <w:rPr>
                <w:rFonts w:ascii="Arial" w:hAnsi="Arial" w:cs="Arial"/>
                <w:color w:val="000000"/>
                <w:sz w:val="16"/>
                <w:szCs w:val="16"/>
              </w:rPr>
            </w:pPr>
            <w:r w:rsidRPr="00D77000">
              <w:rPr>
                <w:rFonts w:ascii="Arial" w:hAnsi="Arial" w:cs="Arial"/>
                <w:color w:val="000000"/>
                <w:sz w:val="16"/>
                <w:szCs w:val="16"/>
              </w:rPr>
              <w:t> </w:t>
            </w:r>
          </w:p>
        </w:tc>
        <w:tc>
          <w:tcPr>
            <w:tcW w:w="498" w:type="pct"/>
            <w:tcBorders>
              <w:top w:val="nil"/>
              <w:left w:val="nil"/>
              <w:bottom w:val="single" w:sz="4" w:space="0" w:color="293F5B"/>
              <w:right w:val="nil"/>
            </w:tcBorders>
            <w:shd w:val="clear" w:color="000000" w:fill="FFFFFF"/>
            <w:noWrap/>
            <w:vAlign w:val="center"/>
            <w:hideMark/>
          </w:tcPr>
          <w:p w14:paraId="0CD9321B" w14:textId="77777777" w:rsidR="00D77000" w:rsidRPr="00D77000" w:rsidRDefault="00D77000" w:rsidP="00D77000">
            <w:pPr>
              <w:spacing w:before="0" w:after="0" w:line="240" w:lineRule="auto"/>
              <w:jc w:val="right"/>
              <w:rPr>
                <w:rFonts w:ascii="Arial" w:hAnsi="Arial" w:cs="Arial"/>
                <w:color w:val="000000"/>
                <w:sz w:val="16"/>
                <w:szCs w:val="16"/>
              </w:rPr>
            </w:pPr>
            <w:r w:rsidRPr="00D77000">
              <w:rPr>
                <w:rFonts w:ascii="Arial" w:hAnsi="Arial" w:cs="Arial"/>
                <w:color w:val="000000"/>
                <w:sz w:val="16"/>
                <w:szCs w:val="16"/>
              </w:rPr>
              <w:t>6,133</w:t>
            </w:r>
          </w:p>
        </w:tc>
        <w:tc>
          <w:tcPr>
            <w:tcW w:w="497" w:type="pct"/>
            <w:tcBorders>
              <w:top w:val="nil"/>
              <w:left w:val="nil"/>
              <w:bottom w:val="single" w:sz="4" w:space="0" w:color="293F5B"/>
              <w:right w:val="nil"/>
            </w:tcBorders>
            <w:shd w:val="clear" w:color="000000" w:fill="E6F2FF"/>
            <w:noWrap/>
            <w:vAlign w:val="center"/>
            <w:hideMark/>
          </w:tcPr>
          <w:p w14:paraId="0363E7F1" w14:textId="77777777" w:rsidR="00D77000" w:rsidRPr="00D77000" w:rsidRDefault="00D77000" w:rsidP="00D77000">
            <w:pPr>
              <w:spacing w:before="0" w:after="0" w:line="240" w:lineRule="auto"/>
              <w:jc w:val="right"/>
              <w:rPr>
                <w:rFonts w:ascii="Arial" w:hAnsi="Arial" w:cs="Arial"/>
                <w:color w:val="000000"/>
                <w:sz w:val="16"/>
                <w:szCs w:val="16"/>
              </w:rPr>
            </w:pPr>
            <w:r w:rsidRPr="00D77000">
              <w:rPr>
                <w:rFonts w:ascii="Arial" w:hAnsi="Arial" w:cs="Arial"/>
                <w:color w:val="000000"/>
                <w:sz w:val="16"/>
                <w:szCs w:val="16"/>
              </w:rPr>
              <w:t>6,528</w:t>
            </w:r>
          </w:p>
        </w:tc>
        <w:tc>
          <w:tcPr>
            <w:tcW w:w="497" w:type="pct"/>
            <w:tcBorders>
              <w:top w:val="nil"/>
              <w:left w:val="nil"/>
              <w:bottom w:val="single" w:sz="4" w:space="0" w:color="293F5B"/>
              <w:right w:val="nil"/>
            </w:tcBorders>
            <w:shd w:val="clear" w:color="000000" w:fill="FFFFFF"/>
            <w:noWrap/>
            <w:vAlign w:val="center"/>
            <w:hideMark/>
          </w:tcPr>
          <w:p w14:paraId="2AC5A985" w14:textId="77777777" w:rsidR="00D77000" w:rsidRPr="00D77000" w:rsidRDefault="00D77000" w:rsidP="00D77000">
            <w:pPr>
              <w:spacing w:before="0" w:after="0" w:line="240" w:lineRule="auto"/>
              <w:jc w:val="right"/>
              <w:rPr>
                <w:rFonts w:ascii="Arial" w:hAnsi="Arial" w:cs="Arial"/>
                <w:color w:val="000000"/>
                <w:sz w:val="16"/>
                <w:szCs w:val="16"/>
              </w:rPr>
            </w:pPr>
            <w:r w:rsidRPr="00D77000">
              <w:rPr>
                <w:rFonts w:ascii="Arial" w:hAnsi="Arial" w:cs="Arial"/>
                <w:color w:val="000000"/>
                <w:sz w:val="16"/>
                <w:szCs w:val="16"/>
              </w:rPr>
              <w:t>5,725</w:t>
            </w:r>
          </w:p>
        </w:tc>
        <w:tc>
          <w:tcPr>
            <w:tcW w:w="497" w:type="pct"/>
            <w:tcBorders>
              <w:top w:val="nil"/>
              <w:left w:val="nil"/>
              <w:bottom w:val="single" w:sz="4" w:space="0" w:color="293F5B"/>
              <w:right w:val="nil"/>
            </w:tcBorders>
            <w:shd w:val="clear" w:color="000000" w:fill="FFFFFF"/>
            <w:noWrap/>
            <w:vAlign w:val="center"/>
            <w:hideMark/>
          </w:tcPr>
          <w:p w14:paraId="7C052A28" w14:textId="77777777" w:rsidR="00D77000" w:rsidRPr="00D77000" w:rsidRDefault="00D77000" w:rsidP="00D77000">
            <w:pPr>
              <w:spacing w:before="0" w:after="0" w:line="240" w:lineRule="auto"/>
              <w:jc w:val="right"/>
              <w:rPr>
                <w:rFonts w:ascii="Arial" w:hAnsi="Arial" w:cs="Arial"/>
                <w:color w:val="000000"/>
                <w:sz w:val="16"/>
                <w:szCs w:val="16"/>
              </w:rPr>
            </w:pPr>
            <w:r w:rsidRPr="00D77000">
              <w:rPr>
                <w:rFonts w:ascii="Arial" w:hAnsi="Arial" w:cs="Arial"/>
                <w:color w:val="000000"/>
                <w:sz w:val="16"/>
                <w:szCs w:val="16"/>
              </w:rPr>
              <w:t>5,619</w:t>
            </w:r>
          </w:p>
        </w:tc>
        <w:tc>
          <w:tcPr>
            <w:tcW w:w="497" w:type="pct"/>
            <w:tcBorders>
              <w:top w:val="nil"/>
              <w:left w:val="nil"/>
              <w:bottom w:val="single" w:sz="4" w:space="0" w:color="293F5B"/>
              <w:right w:val="nil"/>
            </w:tcBorders>
            <w:shd w:val="clear" w:color="000000" w:fill="FFFFFF"/>
            <w:noWrap/>
            <w:vAlign w:val="center"/>
            <w:hideMark/>
          </w:tcPr>
          <w:p w14:paraId="6D2F2E60" w14:textId="77777777" w:rsidR="00D77000" w:rsidRPr="00D77000" w:rsidRDefault="00D77000" w:rsidP="00D77000">
            <w:pPr>
              <w:spacing w:before="0" w:after="0" w:line="240" w:lineRule="auto"/>
              <w:jc w:val="right"/>
              <w:rPr>
                <w:rFonts w:ascii="Arial" w:hAnsi="Arial" w:cs="Arial"/>
                <w:color w:val="000000"/>
                <w:sz w:val="16"/>
                <w:szCs w:val="16"/>
              </w:rPr>
            </w:pPr>
            <w:r w:rsidRPr="00D77000">
              <w:rPr>
                <w:rFonts w:ascii="Arial" w:hAnsi="Arial" w:cs="Arial"/>
                <w:color w:val="000000"/>
                <w:sz w:val="16"/>
                <w:szCs w:val="16"/>
              </w:rPr>
              <w:t>5,477</w:t>
            </w:r>
          </w:p>
        </w:tc>
      </w:tr>
      <w:tr w:rsidR="00D77000" w:rsidRPr="00D77000" w14:paraId="0B947020" w14:textId="77777777" w:rsidTr="007C7AA6">
        <w:trPr>
          <w:trHeight w:hRule="exact" w:val="225"/>
        </w:trPr>
        <w:tc>
          <w:tcPr>
            <w:tcW w:w="1950" w:type="pct"/>
            <w:tcBorders>
              <w:top w:val="nil"/>
              <w:left w:val="nil"/>
              <w:bottom w:val="nil"/>
              <w:right w:val="nil"/>
            </w:tcBorders>
            <w:shd w:val="clear" w:color="000000" w:fill="FFFFFF"/>
            <w:noWrap/>
            <w:vAlign w:val="center"/>
            <w:hideMark/>
          </w:tcPr>
          <w:p w14:paraId="619F9516" w14:textId="77777777" w:rsidR="00D77000" w:rsidRPr="00D77000" w:rsidRDefault="00D77000" w:rsidP="00D77000">
            <w:pPr>
              <w:spacing w:before="0" w:after="0" w:line="240" w:lineRule="auto"/>
              <w:rPr>
                <w:rFonts w:ascii="Arial" w:hAnsi="Arial" w:cs="Arial"/>
                <w:b/>
                <w:bCs/>
                <w:color w:val="000000"/>
                <w:sz w:val="16"/>
                <w:szCs w:val="16"/>
              </w:rPr>
            </w:pPr>
            <w:r w:rsidRPr="00D77000">
              <w:rPr>
                <w:rFonts w:ascii="Arial" w:hAnsi="Arial" w:cs="Arial"/>
                <w:b/>
                <w:bCs/>
                <w:color w:val="000000"/>
                <w:sz w:val="16"/>
                <w:szCs w:val="16"/>
              </w:rPr>
              <w:t>Total public order and safety</w:t>
            </w:r>
          </w:p>
        </w:tc>
        <w:tc>
          <w:tcPr>
            <w:tcW w:w="506" w:type="pct"/>
            <w:tcBorders>
              <w:top w:val="nil"/>
              <w:left w:val="nil"/>
              <w:bottom w:val="single" w:sz="4" w:space="0" w:color="293F5B"/>
              <w:right w:val="nil"/>
            </w:tcBorders>
            <w:shd w:val="clear" w:color="000000" w:fill="FFFFFF"/>
            <w:noWrap/>
            <w:vAlign w:val="center"/>
            <w:hideMark/>
          </w:tcPr>
          <w:p w14:paraId="4227513F" w14:textId="77777777" w:rsidR="00D77000" w:rsidRPr="00D77000" w:rsidRDefault="00D77000" w:rsidP="00D77000">
            <w:pPr>
              <w:spacing w:before="0" w:after="0" w:line="240" w:lineRule="auto"/>
              <w:jc w:val="right"/>
              <w:rPr>
                <w:rFonts w:ascii="Arial" w:hAnsi="Arial" w:cs="Arial"/>
                <w:b/>
                <w:bCs/>
                <w:color w:val="000000"/>
                <w:sz w:val="16"/>
                <w:szCs w:val="16"/>
              </w:rPr>
            </w:pPr>
            <w:r w:rsidRPr="00D77000">
              <w:rPr>
                <w:rFonts w:ascii="Arial" w:hAnsi="Arial" w:cs="Arial"/>
                <w:b/>
                <w:bCs/>
                <w:color w:val="000000"/>
                <w:sz w:val="16"/>
                <w:szCs w:val="16"/>
              </w:rPr>
              <w:t>7,513</w:t>
            </w:r>
          </w:p>
        </w:tc>
        <w:tc>
          <w:tcPr>
            <w:tcW w:w="56" w:type="pct"/>
            <w:tcBorders>
              <w:top w:val="nil"/>
              <w:left w:val="nil"/>
              <w:bottom w:val="nil"/>
              <w:right w:val="nil"/>
            </w:tcBorders>
            <w:shd w:val="clear" w:color="000000" w:fill="FFFFFF"/>
            <w:noWrap/>
            <w:vAlign w:val="center"/>
            <w:hideMark/>
          </w:tcPr>
          <w:p w14:paraId="7964B912" w14:textId="77777777" w:rsidR="00D77000" w:rsidRPr="00D77000" w:rsidRDefault="00D77000" w:rsidP="00D77000">
            <w:pPr>
              <w:spacing w:before="0" w:after="0" w:line="240" w:lineRule="auto"/>
              <w:rPr>
                <w:rFonts w:ascii="Arial" w:hAnsi="Arial" w:cs="Arial"/>
                <w:b/>
                <w:bCs/>
                <w:color w:val="000000"/>
                <w:sz w:val="16"/>
                <w:szCs w:val="16"/>
              </w:rPr>
            </w:pPr>
            <w:r w:rsidRPr="00D77000">
              <w:rPr>
                <w:rFonts w:ascii="Arial" w:hAnsi="Arial" w:cs="Arial"/>
                <w:b/>
                <w:bCs/>
                <w:color w:val="000000"/>
                <w:sz w:val="16"/>
                <w:szCs w:val="16"/>
              </w:rPr>
              <w:t> </w:t>
            </w:r>
          </w:p>
        </w:tc>
        <w:tc>
          <w:tcPr>
            <w:tcW w:w="498" w:type="pct"/>
            <w:tcBorders>
              <w:top w:val="nil"/>
              <w:left w:val="nil"/>
              <w:bottom w:val="single" w:sz="4" w:space="0" w:color="293F5B"/>
              <w:right w:val="nil"/>
            </w:tcBorders>
            <w:shd w:val="clear" w:color="000000" w:fill="FFFFFF"/>
            <w:noWrap/>
            <w:vAlign w:val="center"/>
            <w:hideMark/>
          </w:tcPr>
          <w:p w14:paraId="281CE9EB" w14:textId="77777777" w:rsidR="00D77000" w:rsidRPr="00D77000" w:rsidRDefault="00D77000" w:rsidP="00D77000">
            <w:pPr>
              <w:spacing w:before="0" w:after="0" w:line="240" w:lineRule="auto"/>
              <w:jc w:val="right"/>
              <w:rPr>
                <w:rFonts w:ascii="Arial" w:hAnsi="Arial" w:cs="Arial"/>
                <w:b/>
                <w:bCs/>
                <w:color w:val="000000"/>
                <w:sz w:val="16"/>
                <w:szCs w:val="16"/>
              </w:rPr>
            </w:pPr>
            <w:r w:rsidRPr="00D77000">
              <w:rPr>
                <w:rFonts w:ascii="Arial" w:hAnsi="Arial" w:cs="Arial"/>
                <w:b/>
                <w:bCs/>
                <w:color w:val="000000"/>
                <w:sz w:val="16"/>
                <w:szCs w:val="16"/>
              </w:rPr>
              <w:t>7,960</w:t>
            </w:r>
          </w:p>
        </w:tc>
        <w:tc>
          <w:tcPr>
            <w:tcW w:w="497" w:type="pct"/>
            <w:tcBorders>
              <w:top w:val="nil"/>
              <w:left w:val="nil"/>
              <w:bottom w:val="single" w:sz="4" w:space="0" w:color="293F5B"/>
              <w:right w:val="nil"/>
            </w:tcBorders>
            <w:shd w:val="clear" w:color="000000" w:fill="E6F2FF"/>
            <w:noWrap/>
            <w:vAlign w:val="center"/>
            <w:hideMark/>
          </w:tcPr>
          <w:p w14:paraId="784691F1" w14:textId="77777777" w:rsidR="00D77000" w:rsidRPr="00D77000" w:rsidRDefault="00D77000" w:rsidP="00D77000">
            <w:pPr>
              <w:spacing w:before="0" w:after="0" w:line="240" w:lineRule="auto"/>
              <w:jc w:val="right"/>
              <w:rPr>
                <w:rFonts w:ascii="Arial" w:hAnsi="Arial" w:cs="Arial"/>
                <w:b/>
                <w:bCs/>
                <w:color w:val="000000"/>
                <w:sz w:val="16"/>
                <w:szCs w:val="16"/>
              </w:rPr>
            </w:pPr>
            <w:r w:rsidRPr="00D77000">
              <w:rPr>
                <w:rFonts w:ascii="Arial" w:hAnsi="Arial" w:cs="Arial"/>
                <w:b/>
                <w:bCs/>
                <w:color w:val="000000"/>
                <w:sz w:val="16"/>
                <w:szCs w:val="16"/>
              </w:rPr>
              <w:t>8,421</w:t>
            </w:r>
          </w:p>
        </w:tc>
        <w:tc>
          <w:tcPr>
            <w:tcW w:w="497" w:type="pct"/>
            <w:tcBorders>
              <w:top w:val="nil"/>
              <w:left w:val="nil"/>
              <w:bottom w:val="single" w:sz="4" w:space="0" w:color="293F5B"/>
              <w:right w:val="nil"/>
            </w:tcBorders>
            <w:shd w:val="clear" w:color="000000" w:fill="FFFFFF"/>
            <w:noWrap/>
            <w:vAlign w:val="center"/>
            <w:hideMark/>
          </w:tcPr>
          <w:p w14:paraId="4659C5E2" w14:textId="77777777" w:rsidR="00D77000" w:rsidRPr="00D77000" w:rsidRDefault="00D77000" w:rsidP="00D77000">
            <w:pPr>
              <w:spacing w:before="0" w:after="0" w:line="240" w:lineRule="auto"/>
              <w:jc w:val="right"/>
              <w:rPr>
                <w:rFonts w:ascii="Arial" w:hAnsi="Arial" w:cs="Arial"/>
                <w:b/>
                <w:bCs/>
                <w:color w:val="000000"/>
                <w:sz w:val="16"/>
                <w:szCs w:val="16"/>
              </w:rPr>
            </w:pPr>
            <w:r w:rsidRPr="00D77000">
              <w:rPr>
                <w:rFonts w:ascii="Arial" w:hAnsi="Arial" w:cs="Arial"/>
                <w:b/>
                <w:bCs/>
                <w:color w:val="000000"/>
                <w:sz w:val="16"/>
                <w:szCs w:val="16"/>
              </w:rPr>
              <w:t>6,993</w:t>
            </w:r>
          </w:p>
        </w:tc>
        <w:tc>
          <w:tcPr>
            <w:tcW w:w="497" w:type="pct"/>
            <w:tcBorders>
              <w:top w:val="nil"/>
              <w:left w:val="nil"/>
              <w:bottom w:val="single" w:sz="4" w:space="0" w:color="293F5B"/>
              <w:right w:val="nil"/>
            </w:tcBorders>
            <w:shd w:val="clear" w:color="000000" w:fill="FFFFFF"/>
            <w:noWrap/>
            <w:vAlign w:val="center"/>
            <w:hideMark/>
          </w:tcPr>
          <w:p w14:paraId="7D094856" w14:textId="77777777" w:rsidR="00D77000" w:rsidRPr="00D77000" w:rsidRDefault="00D77000" w:rsidP="00D77000">
            <w:pPr>
              <w:spacing w:before="0" w:after="0" w:line="240" w:lineRule="auto"/>
              <w:jc w:val="right"/>
              <w:rPr>
                <w:rFonts w:ascii="Arial" w:hAnsi="Arial" w:cs="Arial"/>
                <w:b/>
                <w:bCs/>
                <w:color w:val="000000"/>
                <w:sz w:val="16"/>
                <w:szCs w:val="16"/>
              </w:rPr>
            </w:pPr>
            <w:r w:rsidRPr="00D77000">
              <w:rPr>
                <w:rFonts w:ascii="Arial" w:hAnsi="Arial" w:cs="Arial"/>
                <w:b/>
                <w:bCs/>
                <w:color w:val="000000"/>
                <w:sz w:val="16"/>
                <w:szCs w:val="16"/>
              </w:rPr>
              <w:t>6,832</w:t>
            </w:r>
          </w:p>
        </w:tc>
        <w:tc>
          <w:tcPr>
            <w:tcW w:w="497" w:type="pct"/>
            <w:tcBorders>
              <w:top w:val="single" w:sz="4" w:space="0" w:color="293F5B"/>
              <w:left w:val="nil"/>
              <w:bottom w:val="single" w:sz="4" w:space="0" w:color="293F5B"/>
              <w:right w:val="nil"/>
            </w:tcBorders>
            <w:shd w:val="clear" w:color="000000" w:fill="FFFFFF"/>
            <w:noWrap/>
            <w:vAlign w:val="center"/>
            <w:hideMark/>
          </w:tcPr>
          <w:p w14:paraId="68291841" w14:textId="77777777" w:rsidR="00D77000" w:rsidRPr="00D77000" w:rsidRDefault="00D77000" w:rsidP="00D77000">
            <w:pPr>
              <w:spacing w:before="0" w:after="0" w:line="240" w:lineRule="auto"/>
              <w:jc w:val="right"/>
              <w:rPr>
                <w:rFonts w:ascii="Arial" w:hAnsi="Arial" w:cs="Arial"/>
                <w:b/>
                <w:bCs/>
                <w:color w:val="000000"/>
                <w:sz w:val="16"/>
                <w:szCs w:val="16"/>
              </w:rPr>
            </w:pPr>
            <w:r w:rsidRPr="00D77000">
              <w:rPr>
                <w:rFonts w:ascii="Arial" w:hAnsi="Arial" w:cs="Arial"/>
                <w:b/>
                <w:bCs/>
                <w:color w:val="000000"/>
                <w:sz w:val="16"/>
                <w:szCs w:val="16"/>
              </w:rPr>
              <w:t>6,756</w:t>
            </w:r>
          </w:p>
        </w:tc>
      </w:tr>
      <w:tr w:rsidR="00D77000" w:rsidRPr="00D77000" w14:paraId="52AB16F7" w14:textId="77777777" w:rsidTr="007C7AA6">
        <w:trPr>
          <w:trHeight w:hRule="exact" w:val="60"/>
        </w:trPr>
        <w:tc>
          <w:tcPr>
            <w:tcW w:w="1950" w:type="pct"/>
            <w:tcBorders>
              <w:top w:val="nil"/>
              <w:left w:val="nil"/>
              <w:bottom w:val="nil"/>
              <w:right w:val="nil"/>
            </w:tcBorders>
            <w:shd w:val="clear" w:color="000000" w:fill="FFFFFF"/>
            <w:noWrap/>
            <w:vAlign w:val="center"/>
            <w:hideMark/>
          </w:tcPr>
          <w:p w14:paraId="589E2E6D" w14:textId="77777777" w:rsidR="00D77000" w:rsidRPr="00D77000" w:rsidRDefault="00D77000" w:rsidP="00D77000">
            <w:pPr>
              <w:spacing w:before="0" w:after="0" w:line="240" w:lineRule="auto"/>
              <w:rPr>
                <w:rFonts w:ascii="Arial" w:hAnsi="Arial" w:cs="Arial"/>
                <w:color w:val="000000"/>
                <w:sz w:val="16"/>
                <w:szCs w:val="16"/>
              </w:rPr>
            </w:pPr>
            <w:r w:rsidRPr="00D77000">
              <w:rPr>
                <w:rFonts w:ascii="Arial" w:hAnsi="Arial" w:cs="Arial"/>
                <w:color w:val="000000"/>
                <w:sz w:val="16"/>
                <w:szCs w:val="16"/>
              </w:rPr>
              <w:t> </w:t>
            </w:r>
          </w:p>
        </w:tc>
        <w:tc>
          <w:tcPr>
            <w:tcW w:w="506" w:type="pct"/>
            <w:tcBorders>
              <w:top w:val="single" w:sz="4" w:space="0" w:color="293F5B"/>
              <w:left w:val="nil"/>
              <w:bottom w:val="nil"/>
              <w:right w:val="nil"/>
            </w:tcBorders>
            <w:shd w:val="clear" w:color="000000" w:fill="FFFFFF"/>
            <w:noWrap/>
            <w:vAlign w:val="center"/>
            <w:hideMark/>
          </w:tcPr>
          <w:p w14:paraId="4767EB48" w14:textId="77777777" w:rsidR="00D77000" w:rsidRPr="00D77000" w:rsidRDefault="00D77000" w:rsidP="00D77000">
            <w:pPr>
              <w:spacing w:before="0" w:after="0" w:line="240" w:lineRule="auto"/>
              <w:rPr>
                <w:rFonts w:ascii="Arial" w:hAnsi="Arial" w:cs="Arial"/>
                <w:color w:val="000000"/>
                <w:sz w:val="16"/>
                <w:szCs w:val="16"/>
              </w:rPr>
            </w:pPr>
            <w:r w:rsidRPr="00D77000">
              <w:rPr>
                <w:rFonts w:ascii="Arial" w:hAnsi="Arial" w:cs="Arial"/>
                <w:color w:val="000000"/>
                <w:sz w:val="16"/>
                <w:szCs w:val="16"/>
              </w:rPr>
              <w:t> </w:t>
            </w:r>
          </w:p>
        </w:tc>
        <w:tc>
          <w:tcPr>
            <w:tcW w:w="56" w:type="pct"/>
            <w:tcBorders>
              <w:top w:val="nil"/>
              <w:left w:val="nil"/>
              <w:bottom w:val="nil"/>
              <w:right w:val="nil"/>
            </w:tcBorders>
            <w:shd w:val="clear" w:color="000000" w:fill="FFFFFF"/>
            <w:noWrap/>
            <w:vAlign w:val="center"/>
            <w:hideMark/>
          </w:tcPr>
          <w:p w14:paraId="78BA0145" w14:textId="77777777" w:rsidR="00D77000" w:rsidRPr="00D77000" w:rsidRDefault="00D77000" w:rsidP="00D77000">
            <w:pPr>
              <w:spacing w:before="0" w:after="0" w:line="240" w:lineRule="auto"/>
              <w:rPr>
                <w:rFonts w:ascii="Arial" w:hAnsi="Arial" w:cs="Arial"/>
                <w:color w:val="000000"/>
                <w:sz w:val="16"/>
                <w:szCs w:val="16"/>
              </w:rPr>
            </w:pPr>
            <w:r w:rsidRPr="00D77000">
              <w:rPr>
                <w:rFonts w:ascii="Arial" w:hAnsi="Arial" w:cs="Arial"/>
                <w:color w:val="000000"/>
                <w:sz w:val="16"/>
                <w:szCs w:val="16"/>
              </w:rPr>
              <w:t> </w:t>
            </w:r>
          </w:p>
        </w:tc>
        <w:tc>
          <w:tcPr>
            <w:tcW w:w="498" w:type="pct"/>
            <w:tcBorders>
              <w:top w:val="single" w:sz="4" w:space="0" w:color="293F5B"/>
              <w:left w:val="nil"/>
              <w:bottom w:val="nil"/>
              <w:right w:val="nil"/>
            </w:tcBorders>
            <w:shd w:val="clear" w:color="000000" w:fill="FFFFFF"/>
            <w:noWrap/>
            <w:vAlign w:val="center"/>
            <w:hideMark/>
          </w:tcPr>
          <w:p w14:paraId="12CFA549" w14:textId="77777777" w:rsidR="00D77000" w:rsidRPr="00D77000" w:rsidRDefault="00D77000" w:rsidP="00D77000">
            <w:pPr>
              <w:spacing w:before="0" w:after="0" w:line="240" w:lineRule="auto"/>
              <w:rPr>
                <w:rFonts w:ascii="Arial" w:hAnsi="Arial" w:cs="Arial"/>
                <w:color w:val="000000"/>
                <w:sz w:val="16"/>
                <w:szCs w:val="16"/>
              </w:rPr>
            </w:pPr>
            <w:r w:rsidRPr="00D77000">
              <w:rPr>
                <w:rFonts w:ascii="Arial" w:hAnsi="Arial" w:cs="Arial"/>
                <w:color w:val="000000"/>
                <w:sz w:val="16"/>
                <w:szCs w:val="16"/>
              </w:rPr>
              <w:t> </w:t>
            </w:r>
          </w:p>
        </w:tc>
        <w:tc>
          <w:tcPr>
            <w:tcW w:w="497" w:type="pct"/>
            <w:tcBorders>
              <w:top w:val="single" w:sz="4" w:space="0" w:color="293F5B"/>
              <w:left w:val="nil"/>
              <w:bottom w:val="nil"/>
              <w:right w:val="nil"/>
            </w:tcBorders>
            <w:shd w:val="clear" w:color="000000" w:fill="E6F2FF"/>
            <w:noWrap/>
            <w:vAlign w:val="center"/>
            <w:hideMark/>
          </w:tcPr>
          <w:p w14:paraId="4304A6AE" w14:textId="77777777" w:rsidR="00D77000" w:rsidRPr="00D77000" w:rsidRDefault="00D77000" w:rsidP="00D77000">
            <w:pPr>
              <w:spacing w:before="0" w:after="0" w:line="240" w:lineRule="auto"/>
              <w:rPr>
                <w:rFonts w:ascii="Arial" w:hAnsi="Arial" w:cs="Arial"/>
                <w:color w:val="000000"/>
                <w:sz w:val="16"/>
                <w:szCs w:val="16"/>
              </w:rPr>
            </w:pPr>
            <w:r w:rsidRPr="00D77000">
              <w:rPr>
                <w:rFonts w:ascii="Arial" w:hAnsi="Arial" w:cs="Arial"/>
                <w:color w:val="000000"/>
                <w:sz w:val="16"/>
                <w:szCs w:val="16"/>
              </w:rPr>
              <w:t> </w:t>
            </w:r>
          </w:p>
        </w:tc>
        <w:tc>
          <w:tcPr>
            <w:tcW w:w="497" w:type="pct"/>
            <w:tcBorders>
              <w:top w:val="single" w:sz="4" w:space="0" w:color="293F5B"/>
              <w:left w:val="nil"/>
              <w:bottom w:val="nil"/>
              <w:right w:val="nil"/>
            </w:tcBorders>
            <w:shd w:val="clear" w:color="000000" w:fill="FFFFFF"/>
            <w:noWrap/>
            <w:vAlign w:val="center"/>
            <w:hideMark/>
          </w:tcPr>
          <w:p w14:paraId="247B2DCA" w14:textId="77777777" w:rsidR="00D77000" w:rsidRPr="00D77000" w:rsidRDefault="00D77000" w:rsidP="00D77000">
            <w:pPr>
              <w:spacing w:before="0" w:after="0" w:line="240" w:lineRule="auto"/>
              <w:rPr>
                <w:rFonts w:ascii="Arial" w:hAnsi="Arial" w:cs="Arial"/>
                <w:color w:val="000000"/>
                <w:sz w:val="16"/>
                <w:szCs w:val="16"/>
              </w:rPr>
            </w:pPr>
            <w:r w:rsidRPr="00D77000">
              <w:rPr>
                <w:rFonts w:ascii="Arial" w:hAnsi="Arial" w:cs="Arial"/>
                <w:color w:val="000000"/>
                <w:sz w:val="16"/>
                <w:szCs w:val="16"/>
              </w:rPr>
              <w:t> </w:t>
            </w:r>
          </w:p>
        </w:tc>
        <w:tc>
          <w:tcPr>
            <w:tcW w:w="497" w:type="pct"/>
            <w:tcBorders>
              <w:top w:val="single" w:sz="4" w:space="0" w:color="293F5B"/>
              <w:left w:val="nil"/>
              <w:bottom w:val="nil"/>
              <w:right w:val="nil"/>
            </w:tcBorders>
            <w:shd w:val="clear" w:color="000000" w:fill="FFFFFF"/>
            <w:noWrap/>
            <w:vAlign w:val="center"/>
            <w:hideMark/>
          </w:tcPr>
          <w:p w14:paraId="24986A4A" w14:textId="77777777" w:rsidR="00D77000" w:rsidRPr="00D77000" w:rsidRDefault="00D77000" w:rsidP="00D77000">
            <w:pPr>
              <w:spacing w:before="0" w:after="0" w:line="240" w:lineRule="auto"/>
              <w:rPr>
                <w:rFonts w:ascii="Arial" w:hAnsi="Arial" w:cs="Arial"/>
                <w:color w:val="000000"/>
                <w:sz w:val="16"/>
                <w:szCs w:val="16"/>
              </w:rPr>
            </w:pPr>
            <w:r w:rsidRPr="00D77000">
              <w:rPr>
                <w:rFonts w:ascii="Arial" w:hAnsi="Arial" w:cs="Arial"/>
                <w:color w:val="000000"/>
                <w:sz w:val="16"/>
                <w:szCs w:val="16"/>
              </w:rPr>
              <w:t> </w:t>
            </w:r>
          </w:p>
        </w:tc>
        <w:tc>
          <w:tcPr>
            <w:tcW w:w="497" w:type="pct"/>
            <w:tcBorders>
              <w:top w:val="single" w:sz="4" w:space="0" w:color="293F5B"/>
              <w:left w:val="nil"/>
              <w:bottom w:val="nil"/>
              <w:right w:val="nil"/>
            </w:tcBorders>
            <w:shd w:val="clear" w:color="000000" w:fill="FFFFFF"/>
            <w:noWrap/>
            <w:vAlign w:val="center"/>
            <w:hideMark/>
          </w:tcPr>
          <w:p w14:paraId="06324C70" w14:textId="77777777" w:rsidR="00D77000" w:rsidRPr="00D77000" w:rsidRDefault="00D77000" w:rsidP="00D77000">
            <w:pPr>
              <w:spacing w:before="0" w:after="0" w:line="240" w:lineRule="auto"/>
              <w:rPr>
                <w:rFonts w:ascii="Arial" w:hAnsi="Arial" w:cs="Arial"/>
                <w:color w:val="000000"/>
                <w:sz w:val="16"/>
                <w:szCs w:val="16"/>
              </w:rPr>
            </w:pPr>
            <w:r w:rsidRPr="00D77000">
              <w:rPr>
                <w:rFonts w:ascii="Arial" w:hAnsi="Arial" w:cs="Arial"/>
                <w:color w:val="000000"/>
                <w:sz w:val="16"/>
                <w:szCs w:val="16"/>
              </w:rPr>
              <w:t> </w:t>
            </w:r>
          </w:p>
        </w:tc>
      </w:tr>
      <w:tr w:rsidR="00D77000" w:rsidRPr="00D77000" w14:paraId="67934993" w14:textId="77777777" w:rsidTr="00D77000">
        <w:trPr>
          <w:trHeight w:hRule="exact" w:val="225"/>
        </w:trPr>
        <w:tc>
          <w:tcPr>
            <w:tcW w:w="1950" w:type="pct"/>
            <w:tcBorders>
              <w:top w:val="nil"/>
              <w:left w:val="nil"/>
              <w:bottom w:val="nil"/>
              <w:right w:val="nil"/>
            </w:tcBorders>
            <w:shd w:val="clear" w:color="000000" w:fill="FFFFFF"/>
            <w:noWrap/>
            <w:vAlign w:val="center"/>
            <w:hideMark/>
          </w:tcPr>
          <w:p w14:paraId="089CD701" w14:textId="77777777" w:rsidR="00D77000" w:rsidRPr="00D77000" w:rsidRDefault="00D77000" w:rsidP="00D77000">
            <w:pPr>
              <w:spacing w:before="0" w:after="0" w:line="240" w:lineRule="auto"/>
              <w:rPr>
                <w:rFonts w:ascii="Arial" w:hAnsi="Arial" w:cs="Arial"/>
                <w:b/>
                <w:bCs/>
                <w:color w:val="000000"/>
                <w:sz w:val="16"/>
                <w:szCs w:val="16"/>
              </w:rPr>
            </w:pPr>
            <w:r w:rsidRPr="00D77000">
              <w:rPr>
                <w:rFonts w:ascii="Arial" w:hAnsi="Arial" w:cs="Arial"/>
                <w:b/>
                <w:bCs/>
                <w:color w:val="000000"/>
                <w:sz w:val="16"/>
                <w:szCs w:val="16"/>
              </w:rPr>
              <w:t>Education</w:t>
            </w:r>
          </w:p>
        </w:tc>
        <w:tc>
          <w:tcPr>
            <w:tcW w:w="506" w:type="pct"/>
            <w:tcBorders>
              <w:top w:val="nil"/>
              <w:left w:val="nil"/>
              <w:bottom w:val="nil"/>
              <w:right w:val="nil"/>
            </w:tcBorders>
            <w:shd w:val="clear" w:color="000000" w:fill="FFFFFF"/>
            <w:noWrap/>
            <w:vAlign w:val="center"/>
            <w:hideMark/>
          </w:tcPr>
          <w:p w14:paraId="03F0E99B" w14:textId="77777777" w:rsidR="00D77000" w:rsidRPr="00D77000" w:rsidRDefault="00D77000" w:rsidP="00D77000">
            <w:pPr>
              <w:spacing w:before="0" w:after="0" w:line="240" w:lineRule="auto"/>
              <w:rPr>
                <w:rFonts w:ascii="Arial" w:hAnsi="Arial" w:cs="Arial"/>
                <w:color w:val="000000"/>
                <w:sz w:val="16"/>
                <w:szCs w:val="16"/>
              </w:rPr>
            </w:pPr>
            <w:r w:rsidRPr="00D77000">
              <w:rPr>
                <w:rFonts w:ascii="Arial" w:hAnsi="Arial" w:cs="Arial"/>
                <w:color w:val="000000"/>
                <w:sz w:val="16"/>
                <w:szCs w:val="16"/>
              </w:rPr>
              <w:t> </w:t>
            </w:r>
          </w:p>
        </w:tc>
        <w:tc>
          <w:tcPr>
            <w:tcW w:w="56" w:type="pct"/>
            <w:tcBorders>
              <w:top w:val="nil"/>
              <w:left w:val="nil"/>
              <w:bottom w:val="nil"/>
              <w:right w:val="nil"/>
            </w:tcBorders>
            <w:shd w:val="clear" w:color="000000" w:fill="FFFFFF"/>
            <w:noWrap/>
            <w:vAlign w:val="center"/>
            <w:hideMark/>
          </w:tcPr>
          <w:p w14:paraId="4C3E812D" w14:textId="77777777" w:rsidR="00D77000" w:rsidRPr="00D77000" w:rsidRDefault="00D77000" w:rsidP="00D77000">
            <w:pPr>
              <w:spacing w:before="0" w:after="0" w:line="240" w:lineRule="auto"/>
              <w:rPr>
                <w:rFonts w:ascii="Arial" w:hAnsi="Arial" w:cs="Arial"/>
                <w:color w:val="000000"/>
                <w:sz w:val="16"/>
                <w:szCs w:val="16"/>
              </w:rPr>
            </w:pPr>
            <w:r w:rsidRPr="00D77000">
              <w:rPr>
                <w:rFonts w:ascii="Arial" w:hAnsi="Arial" w:cs="Arial"/>
                <w:color w:val="000000"/>
                <w:sz w:val="16"/>
                <w:szCs w:val="16"/>
              </w:rPr>
              <w:t> </w:t>
            </w:r>
          </w:p>
        </w:tc>
        <w:tc>
          <w:tcPr>
            <w:tcW w:w="498" w:type="pct"/>
            <w:tcBorders>
              <w:top w:val="nil"/>
              <w:left w:val="nil"/>
              <w:bottom w:val="nil"/>
              <w:right w:val="nil"/>
            </w:tcBorders>
            <w:shd w:val="clear" w:color="000000" w:fill="FFFFFF"/>
            <w:noWrap/>
            <w:vAlign w:val="center"/>
            <w:hideMark/>
          </w:tcPr>
          <w:p w14:paraId="14EE7916" w14:textId="77777777" w:rsidR="00D77000" w:rsidRPr="00D77000" w:rsidRDefault="00D77000" w:rsidP="00D77000">
            <w:pPr>
              <w:spacing w:before="0" w:after="0" w:line="240" w:lineRule="auto"/>
              <w:rPr>
                <w:rFonts w:ascii="Arial" w:hAnsi="Arial" w:cs="Arial"/>
                <w:color w:val="000000"/>
                <w:sz w:val="16"/>
                <w:szCs w:val="16"/>
              </w:rPr>
            </w:pPr>
            <w:r w:rsidRPr="00D77000">
              <w:rPr>
                <w:rFonts w:ascii="Arial" w:hAnsi="Arial" w:cs="Arial"/>
                <w:color w:val="000000"/>
                <w:sz w:val="16"/>
                <w:szCs w:val="16"/>
              </w:rPr>
              <w:t> </w:t>
            </w:r>
          </w:p>
        </w:tc>
        <w:tc>
          <w:tcPr>
            <w:tcW w:w="497" w:type="pct"/>
            <w:tcBorders>
              <w:top w:val="nil"/>
              <w:left w:val="nil"/>
              <w:bottom w:val="nil"/>
              <w:right w:val="nil"/>
            </w:tcBorders>
            <w:shd w:val="clear" w:color="000000" w:fill="E6F2FF"/>
            <w:noWrap/>
            <w:vAlign w:val="center"/>
            <w:hideMark/>
          </w:tcPr>
          <w:p w14:paraId="1BA7FD63" w14:textId="77777777" w:rsidR="00D77000" w:rsidRPr="00D77000" w:rsidRDefault="00D77000" w:rsidP="00D77000">
            <w:pPr>
              <w:spacing w:before="0" w:after="0" w:line="240" w:lineRule="auto"/>
              <w:rPr>
                <w:rFonts w:ascii="Arial" w:hAnsi="Arial" w:cs="Arial"/>
                <w:color w:val="000000"/>
                <w:sz w:val="16"/>
                <w:szCs w:val="16"/>
              </w:rPr>
            </w:pPr>
            <w:r w:rsidRPr="00D77000">
              <w:rPr>
                <w:rFonts w:ascii="Arial" w:hAnsi="Arial" w:cs="Arial"/>
                <w:color w:val="000000"/>
                <w:sz w:val="16"/>
                <w:szCs w:val="16"/>
              </w:rPr>
              <w:t> </w:t>
            </w:r>
          </w:p>
        </w:tc>
        <w:tc>
          <w:tcPr>
            <w:tcW w:w="497" w:type="pct"/>
            <w:tcBorders>
              <w:top w:val="nil"/>
              <w:left w:val="nil"/>
              <w:bottom w:val="nil"/>
              <w:right w:val="nil"/>
            </w:tcBorders>
            <w:shd w:val="clear" w:color="000000" w:fill="FFFFFF"/>
            <w:noWrap/>
            <w:vAlign w:val="center"/>
            <w:hideMark/>
          </w:tcPr>
          <w:p w14:paraId="16B081E1" w14:textId="77777777" w:rsidR="00D77000" w:rsidRPr="00D77000" w:rsidRDefault="00D77000" w:rsidP="00D77000">
            <w:pPr>
              <w:spacing w:before="0" w:after="0" w:line="240" w:lineRule="auto"/>
              <w:rPr>
                <w:rFonts w:ascii="Arial" w:hAnsi="Arial" w:cs="Arial"/>
                <w:color w:val="000000"/>
                <w:sz w:val="16"/>
                <w:szCs w:val="16"/>
              </w:rPr>
            </w:pPr>
            <w:r w:rsidRPr="00D77000">
              <w:rPr>
                <w:rFonts w:ascii="Arial" w:hAnsi="Arial" w:cs="Arial"/>
                <w:color w:val="000000"/>
                <w:sz w:val="16"/>
                <w:szCs w:val="16"/>
              </w:rPr>
              <w:t> </w:t>
            </w:r>
          </w:p>
        </w:tc>
        <w:tc>
          <w:tcPr>
            <w:tcW w:w="497" w:type="pct"/>
            <w:tcBorders>
              <w:top w:val="nil"/>
              <w:left w:val="nil"/>
              <w:bottom w:val="nil"/>
              <w:right w:val="nil"/>
            </w:tcBorders>
            <w:shd w:val="clear" w:color="000000" w:fill="FFFFFF"/>
            <w:noWrap/>
            <w:vAlign w:val="center"/>
            <w:hideMark/>
          </w:tcPr>
          <w:p w14:paraId="0C735016" w14:textId="77777777" w:rsidR="00D77000" w:rsidRPr="00D77000" w:rsidRDefault="00D77000" w:rsidP="00D77000">
            <w:pPr>
              <w:spacing w:before="0" w:after="0" w:line="240" w:lineRule="auto"/>
              <w:rPr>
                <w:rFonts w:ascii="Arial" w:hAnsi="Arial" w:cs="Arial"/>
                <w:color w:val="000000"/>
                <w:sz w:val="16"/>
                <w:szCs w:val="16"/>
              </w:rPr>
            </w:pPr>
            <w:r w:rsidRPr="00D77000">
              <w:rPr>
                <w:rFonts w:ascii="Arial" w:hAnsi="Arial" w:cs="Arial"/>
                <w:color w:val="000000"/>
                <w:sz w:val="16"/>
                <w:szCs w:val="16"/>
              </w:rPr>
              <w:t> </w:t>
            </w:r>
          </w:p>
        </w:tc>
        <w:tc>
          <w:tcPr>
            <w:tcW w:w="497" w:type="pct"/>
            <w:tcBorders>
              <w:top w:val="nil"/>
              <w:left w:val="nil"/>
              <w:bottom w:val="nil"/>
              <w:right w:val="nil"/>
            </w:tcBorders>
            <w:shd w:val="clear" w:color="000000" w:fill="FFFFFF"/>
            <w:noWrap/>
            <w:vAlign w:val="center"/>
            <w:hideMark/>
          </w:tcPr>
          <w:p w14:paraId="3ED40A13" w14:textId="77777777" w:rsidR="00D77000" w:rsidRPr="00D77000" w:rsidRDefault="00D77000" w:rsidP="00D77000">
            <w:pPr>
              <w:spacing w:before="0" w:after="0" w:line="240" w:lineRule="auto"/>
              <w:rPr>
                <w:rFonts w:ascii="Arial" w:hAnsi="Arial" w:cs="Arial"/>
                <w:color w:val="000000"/>
                <w:sz w:val="16"/>
                <w:szCs w:val="16"/>
              </w:rPr>
            </w:pPr>
            <w:r w:rsidRPr="00D77000">
              <w:rPr>
                <w:rFonts w:ascii="Arial" w:hAnsi="Arial" w:cs="Arial"/>
                <w:color w:val="000000"/>
                <w:sz w:val="16"/>
                <w:szCs w:val="16"/>
              </w:rPr>
              <w:t> </w:t>
            </w:r>
          </w:p>
        </w:tc>
      </w:tr>
      <w:tr w:rsidR="00D77000" w:rsidRPr="00D77000" w14:paraId="5D1B82C3" w14:textId="77777777" w:rsidTr="00D77000">
        <w:trPr>
          <w:trHeight w:hRule="exact" w:val="225"/>
        </w:trPr>
        <w:tc>
          <w:tcPr>
            <w:tcW w:w="1950" w:type="pct"/>
            <w:tcBorders>
              <w:top w:val="nil"/>
              <w:left w:val="nil"/>
              <w:bottom w:val="nil"/>
              <w:right w:val="nil"/>
            </w:tcBorders>
            <w:shd w:val="clear" w:color="000000" w:fill="FFFFFF"/>
            <w:noWrap/>
            <w:vAlign w:val="center"/>
            <w:hideMark/>
          </w:tcPr>
          <w:p w14:paraId="187A81F8" w14:textId="77777777" w:rsidR="00D77000" w:rsidRPr="00D77000" w:rsidRDefault="00D77000" w:rsidP="00D77000">
            <w:pPr>
              <w:spacing w:before="0" w:after="0" w:line="240" w:lineRule="auto"/>
              <w:ind w:left="170"/>
              <w:rPr>
                <w:rFonts w:ascii="Arial" w:hAnsi="Arial" w:cs="Arial"/>
                <w:color w:val="000000"/>
                <w:sz w:val="16"/>
                <w:szCs w:val="16"/>
              </w:rPr>
            </w:pPr>
            <w:r w:rsidRPr="00D77000">
              <w:rPr>
                <w:rFonts w:ascii="Arial" w:hAnsi="Arial" w:cs="Arial"/>
                <w:color w:val="000000"/>
                <w:sz w:val="16"/>
                <w:szCs w:val="16"/>
              </w:rPr>
              <w:t>Higher education</w:t>
            </w:r>
          </w:p>
        </w:tc>
        <w:tc>
          <w:tcPr>
            <w:tcW w:w="506" w:type="pct"/>
            <w:tcBorders>
              <w:top w:val="nil"/>
              <w:left w:val="nil"/>
              <w:bottom w:val="nil"/>
              <w:right w:val="nil"/>
            </w:tcBorders>
            <w:shd w:val="clear" w:color="000000" w:fill="FFFFFF"/>
            <w:noWrap/>
            <w:vAlign w:val="center"/>
            <w:hideMark/>
          </w:tcPr>
          <w:p w14:paraId="2ED8BA59" w14:textId="77777777" w:rsidR="00D77000" w:rsidRPr="00D77000" w:rsidRDefault="00D77000" w:rsidP="00D77000">
            <w:pPr>
              <w:spacing w:before="0" w:after="0" w:line="240" w:lineRule="auto"/>
              <w:jc w:val="right"/>
              <w:rPr>
                <w:rFonts w:ascii="Arial" w:hAnsi="Arial" w:cs="Arial"/>
                <w:color w:val="000000"/>
                <w:sz w:val="16"/>
                <w:szCs w:val="16"/>
              </w:rPr>
            </w:pPr>
            <w:r w:rsidRPr="00D77000">
              <w:rPr>
                <w:rFonts w:ascii="Arial" w:hAnsi="Arial" w:cs="Arial"/>
                <w:color w:val="000000"/>
                <w:sz w:val="16"/>
                <w:szCs w:val="16"/>
              </w:rPr>
              <w:t>10,428</w:t>
            </w:r>
          </w:p>
        </w:tc>
        <w:tc>
          <w:tcPr>
            <w:tcW w:w="56" w:type="pct"/>
            <w:tcBorders>
              <w:top w:val="nil"/>
              <w:left w:val="nil"/>
              <w:bottom w:val="nil"/>
              <w:right w:val="nil"/>
            </w:tcBorders>
            <w:shd w:val="clear" w:color="000000" w:fill="FFFFFF"/>
            <w:noWrap/>
            <w:vAlign w:val="center"/>
            <w:hideMark/>
          </w:tcPr>
          <w:p w14:paraId="4B71A519" w14:textId="77777777" w:rsidR="00D77000" w:rsidRPr="00D77000" w:rsidRDefault="00D77000" w:rsidP="00D77000">
            <w:pPr>
              <w:spacing w:before="0" w:after="0" w:line="240" w:lineRule="auto"/>
              <w:rPr>
                <w:rFonts w:ascii="Arial" w:hAnsi="Arial" w:cs="Arial"/>
                <w:color w:val="000000"/>
                <w:sz w:val="16"/>
                <w:szCs w:val="16"/>
              </w:rPr>
            </w:pPr>
            <w:r w:rsidRPr="00D77000">
              <w:rPr>
                <w:rFonts w:ascii="Arial" w:hAnsi="Arial" w:cs="Arial"/>
                <w:color w:val="000000"/>
                <w:sz w:val="16"/>
                <w:szCs w:val="16"/>
              </w:rPr>
              <w:t> </w:t>
            </w:r>
          </w:p>
        </w:tc>
        <w:tc>
          <w:tcPr>
            <w:tcW w:w="498" w:type="pct"/>
            <w:tcBorders>
              <w:top w:val="nil"/>
              <w:left w:val="nil"/>
              <w:bottom w:val="nil"/>
              <w:right w:val="nil"/>
            </w:tcBorders>
            <w:shd w:val="clear" w:color="000000" w:fill="FFFFFF"/>
            <w:noWrap/>
            <w:vAlign w:val="center"/>
            <w:hideMark/>
          </w:tcPr>
          <w:p w14:paraId="61D795D5" w14:textId="77777777" w:rsidR="00D77000" w:rsidRPr="00D77000" w:rsidRDefault="00D77000" w:rsidP="00D77000">
            <w:pPr>
              <w:spacing w:before="0" w:after="0" w:line="240" w:lineRule="auto"/>
              <w:jc w:val="right"/>
              <w:rPr>
                <w:rFonts w:ascii="Arial" w:hAnsi="Arial" w:cs="Arial"/>
                <w:color w:val="000000"/>
                <w:sz w:val="16"/>
                <w:szCs w:val="16"/>
              </w:rPr>
            </w:pPr>
            <w:r w:rsidRPr="00D77000">
              <w:rPr>
                <w:rFonts w:ascii="Arial" w:hAnsi="Arial" w:cs="Arial"/>
                <w:color w:val="000000"/>
                <w:sz w:val="16"/>
                <w:szCs w:val="16"/>
              </w:rPr>
              <w:t>10,918</w:t>
            </w:r>
          </w:p>
        </w:tc>
        <w:tc>
          <w:tcPr>
            <w:tcW w:w="497" w:type="pct"/>
            <w:tcBorders>
              <w:top w:val="nil"/>
              <w:left w:val="nil"/>
              <w:bottom w:val="nil"/>
              <w:right w:val="nil"/>
            </w:tcBorders>
            <w:shd w:val="clear" w:color="000000" w:fill="E6F2FF"/>
            <w:noWrap/>
            <w:vAlign w:val="center"/>
            <w:hideMark/>
          </w:tcPr>
          <w:p w14:paraId="269BFFD8" w14:textId="77777777" w:rsidR="00D77000" w:rsidRPr="00D77000" w:rsidRDefault="00D77000" w:rsidP="00D77000">
            <w:pPr>
              <w:spacing w:before="0" w:after="0" w:line="240" w:lineRule="auto"/>
              <w:jc w:val="right"/>
              <w:rPr>
                <w:rFonts w:ascii="Arial" w:hAnsi="Arial" w:cs="Arial"/>
                <w:color w:val="000000"/>
                <w:sz w:val="16"/>
                <w:szCs w:val="16"/>
              </w:rPr>
            </w:pPr>
            <w:r w:rsidRPr="00D77000">
              <w:rPr>
                <w:rFonts w:ascii="Arial" w:hAnsi="Arial" w:cs="Arial"/>
                <w:color w:val="000000"/>
                <w:sz w:val="16"/>
                <w:szCs w:val="16"/>
              </w:rPr>
              <w:t>11,540</w:t>
            </w:r>
          </w:p>
        </w:tc>
        <w:tc>
          <w:tcPr>
            <w:tcW w:w="497" w:type="pct"/>
            <w:tcBorders>
              <w:top w:val="nil"/>
              <w:left w:val="nil"/>
              <w:bottom w:val="nil"/>
              <w:right w:val="nil"/>
            </w:tcBorders>
            <w:shd w:val="clear" w:color="000000" w:fill="FFFFFF"/>
            <w:noWrap/>
            <w:vAlign w:val="center"/>
            <w:hideMark/>
          </w:tcPr>
          <w:p w14:paraId="49B2D7C9" w14:textId="77777777" w:rsidR="00D77000" w:rsidRPr="00D77000" w:rsidRDefault="00D77000" w:rsidP="00D77000">
            <w:pPr>
              <w:spacing w:before="0" w:after="0" w:line="240" w:lineRule="auto"/>
              <w:jc w:val="right"/>
              <w:rPr>
                <w:rFonts w:ascii="Arial" w:hAnsi="Arial" w:cs="Arial"/>
                <w:color w:val="000000"/>
                <w:sz w:val="16"/>
                <w:szCs w:val="16"/>
              </w:rPr>
            </w:pPr>
            <w:r w:rsidRPr="00D77000">
              <w:rPr>
                <w:rFonts w:ascii="Arial" w:hAnsi="Arial" w:cs="Arial"/>
                <w:color w:val="000000"/>
                <w:sz w:val="16"/>
                <w:szCs w:val="16"/>
              </w:rPr>
              <w:t>12,113</w:t>
            </w:r>
          </w:p>
        </w:tc>
        <w:tc>
          <w:tcPr>
            <w:tcW w:w="497" w:type="pct"/>
            <w:tcBorders>
              <w:top w:val="nil"/>
              <w:left w:val="nil"/>
              <w:bottom w:val="nil"/>
              <w:right w:val="nil"/>
            </w:tcBorders>
            <w:shd w:val="clear" w:color="000000" w:fill="FFFFFF"/>
            <w:noWrap/>
            <w:vAlign w:val="center"/>
            <w:hideMark/>
          </w:tcPr>
          <w:p w14:paraId="6D0D1D72" w14:textId="77777777" w:rsidR="00D77000" w:rsidRPr="00D77000" w:rsidRDefault="00D77000" w:rsidP="00D77000">
            <w:pPr>
              <w:spacing w:before="0" w:after="0" w:line="240" w:lineRule="auto"/>
              <w:jc w:val="right"/>
              <w:rPr>
                <w:rFonts w:ascii="Arial" w:hAnsi="Arial" w:cs="Arial"/>
                <w:color w:val="000000"/>
                <w:sz w:val="16"/>
                <w:szCs w:val="16"/>
              </w:rPr>
            </w:pPr>
            <w:r w:rsidRPr="00D77000">
              <w:rPr>
                <w:rFonts w:ascii="Arial" w:hAnsi="Arial" w:cs="Arial"/>
                <w:color w:val="000000"/>
                <w:sz w:val="16"/>
                <w:szCs w:val="16"/>
              </w:rPr>
              <w:t>12,529</w:t>
            </w:r>
          </w:p>
        </w:tc>
        <w:tc>
          <w:tcPr>
            <w:tcW w:w="497" w:type="pct"/>
            <w:tcBorders>
              <w:top w:val="nil"/>
              <w:left w:val="nil"/>
              <w:bottom w:val="nil"/>
              <w:right w:val="nil"/>
            </w:tcBorders>
            <w:shd w:val="clear" w:color="000000" w:fill="FFFFFF"/>
            <w:noWrap/>
            <w:vAlign w:val="center"/>
            <w:hideMark/>
          </w:tcPr>
          <w:p w14:paraId="2B2FA00B" w14:textId="77777777" w:rsidR="00D77000" w:rsidRPr="00D77000" w:rsidRDefault="00D77000" w:rsidP="00D77000">
            <w:pPr>
              <w:spacing w:before="0" w:after="0" w:line="240" w:lineRule="auto"/>
              <w:jc w:val="right"/>
              <w:rPr>
                <w:rFonts w:ascii="Arial" w:hAnsi="Arial" w:cs="Arial"/>
                <w:color w:val="000000"/>
                <w:sz w:val="16"/>
                <w:szCs w:val="16"/>
              </w:rPr>
            </w:pPr>
            <w:r w:rsidRPr="00D77000">
              <w:rPr>
                <w:rFonts w:ascii="Arial" w:hAnsi="Arial" w:cs="Arial"/>
                <w:color w:val="000000"/>
                <w:sz w:val="16"/>
                <w:szCs w:val="16"/>
              </w:rPr>
              <w:t>12,969</w:t>
            </w:r>
          </w:p>
        </w:tc>
      </w:tr>
      <w:tr w:rsidR="00D77000" w:rsidRPr="00D77000" w14:paraId="0B96B61D" w14:textId="77777777" w:rsidTr="00D77000">
        <w:trPr>
          <w:trHeight w:hRule="exact" w:val="225"/>
        </w:trPr>
        <w:tc>
          <w:tcPr>
            <w:tcW w:w="1950" w:type="pct"/>
            <w:tcBorders>
              <w:top w:val="nil"/>
              <w:left w:val="nil"/>
              <w:bottom w:val="nil"/>
              <w:right w:val="nil"/>
            </w:tcBorders>
            <w:shd w:val="clear" w:color="000000" w:fill="FFFFFF"/>
            <w:noWrap/>
            <w:vAlign w:val="center"/>
            <w:hideMark/>
          </w:tcPr>
          <w:p w14:paraId="03745899" w14:textId="77777777" w:rsidR="00D77000" w:rsidRPr="00D77000" w:rsidRDefault="00D77000" w:rsidP="00D77000">
            <w:pPr>
              <w:spacing w:before="0" w:after="0" w:line="240" w:lineRule="auto"/>
              <w:ind w:left="170"/>
              <w:rPr>
                <w:rFonts w:ascii="Arial" w:hAnsi="Arial" w:cs="Arial"/>
                <w:color w:val="000000"/>
                <w:sz w:val="16"/>
                <w:szCs w:val="16"/>
              </w:rPr>
            </w:pPr>
            <w:r w:rsidRPr="00D77000">
              <w:rPr>
                <w:rFonts w:ascii="Arial" w:hAnsi="Arial" w:cs="Arial"/>
                <w:color w:val="000000"/>
                <w:sz w:val="16"/>
                <w:szCs w:val="16"/>
              </w:rPr>
              <w:t>Vocational and other education</w:t>
            </w:r>
          </w:p>
        </w:tc>
        <w:tc>
          <w:tcPr>
            <w:tcW w:w="506" w:type="pct"/>
            <w:tcBorders>
              <w:top w:val="nil"/>
              <w:left w:val="nil"/>
              <w:bottom w:val="nil"/>
              <w:right w:val="nil"/>
            </w:tcBorders>
            <w:shd w:val="clear" w:color="000000" w:fill="FFFFFF"/>
            <w:noWrap/>
            <w:vAlign w:val="center"/>
            <w:hideMark/>
          </w:tcPr>
          <w:p w14:paraId="21778C52" w14:textId="77777777" w:rsidR="00D77000" w:rsidRPr="00D77000" w:rsidRDefault="00D77000" w:rsidP="00D77000">
            <w:pPr>
              <w:spacing w:before="0" w:after="0" w:line="240" w:lineRule="auto"/>
              <w:jc w:val="right"/>
              <w:rPr>
                <w:rFonts w:ascii="Arial" w:hAnsi="Arial" w:cs="Arial"/>
                <w:color w:val="000000"/>
                <w:sz w:val="16"/>
                <w:szCs w:val="16"/>
              </w:rPr>
            </w:pPr>
            <w:r w:rsidRPr="00D77000">
              <w:rPr>
                <w:rFonts w:ascii="Arial" w:hAnsi="Arial" w:cs="Arial"/>
                <w:color w:val="000000"/>
                <w:sz w:val="16"/>
                <w:szCs w:val="16"/>
              </w:rPr>
              <w:t>2,234</w:t>
            </w:r>
          </w:p>
        </w:tc>
        <w:tc>
          <w:tcPr>
            <w:tcW w:w="56" w:type="pct"/>
            <w:tcBorders>
              <w:top w:val="nil"/>
              <w:left w:val="nil"/>
              <w:bottom w:val="nil"/>
              <w:right w:val="nil"/>
            </w:tcBorders>
            <w:shd w:val="clear" w:color="000000" w:fill="FFFFFF"/>
            <w:noWrap/>
            <w:vAlign w:val="center"/>
            <w:hideMark/>
          </w:tcPr>
          <w:p w14:paraId="024EFC1C" w14:textId="77777777" w:rsidR="00D77000" w:rsidRPr="00D77000" w:rsidRDefault="00D77000" w:rsidP="00D77000">
            <w:pPr>
              <w:spacing w:before="0" w:after="0" w:line="240" w:lineRule="auto"/>
              <w:rPr>
                <w:rFonts w:ascii="Arial" w:hAnsi="Arial" w:cs="Arial"/>
                <w:color w:val="000000"/>
                <w:sz w:val="16"/>
                <w:szCs w:val="16"/>
              </w:rPr>
            </w:pPr>
            <w:r w:rsidRPr="00D77000">
              <w:rPr>
                <w:rFonts w:ascii="Arial" w:hAnsi="Arial" w:cs="Arial"/>
                <w:color w:val="000000"/>
                <w:sz w:val="16"/>
                <w:szCs w:val="16"/>
              </w:rPr>
              <w:t> </w:t>
            </w:r>
          </w:p>
        </w:tc>
        <w:tc>
          <w:tcPr>
            <w:tcW w:w="498" w:type="pct"/>
            <w:tcBorders>
              <w:top w:val="nil"/>
              <w:left w:val="nil"/>
              <w:bottom w:val="nil"/>
              <w:right w:val="nil"/>
            </w:tcBorders>
            <w:shd w:val="clear" w:color="000000" w:fill="FFFFFF"/>
            <w:noWrap/>
            <w:vAlign w:val="center"/>
            <w:hideMark/>
          </w:tcPr>
          <w:p w14:paraId="2B2A7B3D" w14:textId="77777777" w:rsidR="00D77000" w:rsidRPr="00D77000" w:rsidRDefault="00D77000" w:rsidP="00D77000">
            <w:pPr>
              <w:spacing w:before="0" w:after="0" w:line="240" w:lineRule="auto"/>
              <w:jc w:val="right"/>
              <w:rPr>
                <w:rFonts w:ascii="Arial" w:hAnsi="Arial" w:cs="Arial"/>
                <w:color w:val="000000"/>
                <w:sz w:val="16"/>
                <w:szCs w:val="16"/>
              </w:rPr>
            </w:pPr>
            <w:r w:rsidRPr="00D77000">
              <w:rPr>
                <w:rFonts w:ascii="Arial" w:hAnsi="Arial" w:cs="Arial"/>
                <w:color w:val="000000"/>
                <w:sz w:val="16"/>
                <w:szCs w:val="16"/>
              </w:rPr>
              <w:t>2,351</w:t>
            </w:r>
          </w:p>
        </w:tc>
        <w:tc>
          <w:tcPr>
            <w:tcW w:w="497" w:type="pct"/>
            <w:tcBorders>
              <w:top w:val="nil"/>
              <w:left w:val="nil"/>
              <w:bottom w:val="nil"/>
              <w:right w:val="nil"/>
            </w:tcBorders>
            <w:shd w:val="clear" w:color="000000" w:fill="E6F2FF"/>
            <w:noWrap/>
            <w:vAlign w:val="center"/>
            <w:hideMark/>
          </w:tcPr>
          <w:p w14:paraId="17C6AE6E" w14:textId="77777777" w:rsidR="00D77000" w:rsidRPr="00D77000" w:rsidRDefault="00D77000" w:rsidP="00D77000">
            <w:pPr>
              <w:spacing w:before="0" w:after="0" w:line="240" w:lineRule="auto"/>
              <w:jc w:val="right"/>
              <w:rPr>
                <w:rFonts w:ascii="Arial" w:hAnsi="Arial" w:cs="Arial"/>
                <w:color w:val="000000"/>
                <w:sz w:val="16"/>
                <w:szCs w:val="16"/>
              </w:rPr>
            </w:pPr>
            <w:r w:rsidRPr="00D77000">
              <w:rPr>
                <w:rFonts w:ascii="Arial" w:hAnsi="Arial" w:cs="Arial"/>
                <w:color w:val="000000"/>
                <w:sz w:val="16"/>
                <w:szCs w:val="16"/>
              </w:rPr>
              <w:t>2,540</w:t>
            </w:r>
          </w:p>
        </w:tc>
        <w:tc>
          <w:tcPr>
            <w:tcW w:w="497" w:type="pct"/>
            <w:tcBorders>
              <w:top w:val="nil"/>
              <w:left w:val="nil"/>
              <w:bottom w:val="nil"/>
              <w:right w:val="nil"/>
            </w:tcBorders>
            <w:shd w:val="clear" w:color="000000" w:fill="FFFFFF"/>
            <w:noWrap/>
            <w:vAlign w:val="center"/>
            <w:hideMark/>
          </w:tcPr>
          <w:p w14:paraId="3C1E5F38" w14:textId="77777777" w:rsidR="00D77000" w:rsidRPr="00D77000" w:rsidRDefault="00D77000" w:rsidP="00D77000">
            <w:pPr>
              <w:spacing w:before="0" w:after="0" w:line="240" w:lineRule="auto"/>
              <w:jc w:val="right"/>
              <w:rPr>
                <w:rFonts w:ascii="Arial" w:hAnsi="Arial" w:cs="Arial"/>
                <w:color w:val="000000"/>
                <w:sz w:val="16"/>
                <w:szCs w:val="16"/>
              </w:rPr>
            </w:pPr>
            <w:r w:rsidRPr="00D77000">
              <w:rPr>
                <w:rFonts w:ascii="Arial" w:hAnsi="Arial" w:cs="Arial"/>
                <w:color w:val="000000"/>
                <w:sz w:val="16"/>
                <w:szCs w:val="16"/>
              </w:rPr>
              <w:t>2,654</w:t>
            </w:r>
          </w:p>
        </w:tc>
        <w:tc>
          <w:tcPr>
            <w:tcW w:w="497" w:type="pct"/>
            <w:tcBorders>
              <w:top w:val="nil"/>
              <w:left w:val="nil"/>
              <w:bottom w:val="nil"/>
              <w:right w:val="nil"/>
            </w:tcBorders>
            <w:shd w:val="clear" w:color="000000" w:fill="FFFFFF"/>
            <w:noWrap/>
            <w:vAlign w:val="center"/>
            <w:hideMark/>
          </w:tcPr>
          <w:p w14:paraId="7437B617" w14:textId="77777777" w:rsidR="00D77000" w:rsidRPr="00D77000" w:rsidRDefault="00D77000" w:rsidP="00D77000">
            <w:pPr>
              <w:spacing w:before="0" w:after="0" w:line="240" w:lineRule="auto"/>
              <w:jc w:val="right"/>
              <w:rPr>
                <w:rFonts w:ascii="Arial" w:hAnsi="Arial" w:cs="Arial"/>
                <w:color w:val="000000"/>
                <w:sz w:val="16"/>
                <w:szCs w:val="16"/>
              </w:rPr>
            </w:pPr>
            <w:r w:rsidRPr="00D77000">
              <w:rPr>
                <w:rFonts w:ascii="Arial" w:hAnsi="Arial" w:cs="Arial"/>
                <w:color w:val="000000"/>
                <w:sz w:val="16"/>
                <w:szCs w:val="16"/>
              </w:rPr>
              <w:t>2,657</w:t>
            </w:r>
          </w:p>
        </w:tc>
        <w:tc>
          <w:tcPr>
            <w:tcW w:w="497" w:type="pct"/>
            <w:tcBorders>
              <w:top w:val="nil"/>
              <w:left w:val="nil"/>
              <w:bottom w:val="nil"/>
              <w:right w:val="nil"/>
            </w:tcBorders>
            <w:shd w:val="clear" w:color="000000" w:fill="FFFFFF"/>
            <w:noWrap/>
            <w:vAlign w:val="center"/>
            <w:hideMark/>
          </w:tcPr>
          <w:p w14:paraId="18518CE4" w14:textId="77777777" w:rsidR="00D77000" w:rsidRPr="00D77000" w:rsidRDefault="00D77000" w:rsidP="00D77000">
            <w:pPr>
              <w:spacing w:before="0" w:after="0" w:line="240" w:lineRule="auto"/>
              <w:jc w:val="right"/>
              <w:rPr>
                <w:rFonts w:ascii="Arial" w:hAnsi="Arial" w:cs="Arial"/>
                <w:color w:val="000000"/>
                <w:sz w:val="16"/>
                <w:szCs w:val="16"/>
              </w:rPr>
            </w:pPr>
            <w:r w:rsidRPr="00D77000">
              <w:rPr>
                <w:rFonts w:ascii="Arial" w:hAnsi="Arial" w:cs="Arial"/>
                <w:color w:val="000000"/>
                <w:sz w:val="16"/>
                <w:szCs w:val="16"/>
              </w:rPr>
              <w:t>2,542</w:t>
            </w:r>
          </w:p>
        </w:tc>
      </w:tr>
      <w:tr w:rsidR="00D77000" w:rsidRPr="00D77000" w14:paraId="171AE224" w14:textId="77777777" w:rsidTr="00D77000">
        <w:trPr>
          <w:trHeight w:hRule="exact" w:val="225"/>
        </w:trPr>
        <w:tc>
          <w:tcPr>
            <w:tcW w:w="1950" w:type="pct"/>
            <w:tcBorders>
              <w:top w:val="nil"/>
              <w:left w:val="nil"/>
              <w:bottom w:val="nil"/>
              <w:right w:val="nil"/>
            </w:tcBorders>
            <w:shd w:val="clear" w:color="000000" w:fill="FFFFFF"/>
            <w:noWrap/>
            <w:vAlign w:val="center"/>
            <w:hideMark/>
          </w:tcPr>
          <w:p w14:paraId="2FD51B40" w14:textId="77777777" w:rsidR="00D77000" w:rsidRPr="00D77000" w:rsidRDefault="00D77000" w:rsidP="00D77000">
            <w:pPr>
              <w:spacing w:before="0" w:after="0" w:line="240" w:lineRule="auto"/>
              <w:ind w:left="170"/>
              <w:rPr>
                <w:rFonts w:ascii="Arial" w:hAnsi="Arial" w:cs="Arial"/>
                <w:color w:val="000000"/>
                <w:sz w:val="16"/>
                <w:szCs w:val="16"/>
              </w:rPr>
            </w:pPr>
            <w:r w:rsidRPr="00D77000">
              <w:rPr>
                <w:rFonts w:ascii="Arial" w:hAnsi="Arial" w:cs="Arial"/>
                <w:color w:val="000000"/>
                <w:sz w:val="16"/>
                <w:szCs w:val="16"/>
              </w:rPr>
              <w:t>Schools</w:t>
            </w:r>
          </w:p>
        </w:tc>
        <w:tc>
          <w:tcPr>
            <w:tcW w:w="506" w:type="pct"/>
            <w:tcBorders>
              <w:top w:val="nil"/>
              <w:left w:val="nil"/>
              <w:bottom w:val="nil"/>
              <w:right w:val="nil"/>
            </w:tcBorders>
            <w:shd w:val="clear" w:color="000000" w:fill="FFFFFF"/>
            <w:noWrap/>
            <w:vAlign w:val="center"/>
            <w:hideMark/>
          </w:tcPr>
          <w:p w14:paraId="1D83403E" w14:textId="77777777" w:rsidR="00D77000" w:rsidRPr="00D77000" w:rsidRDefault="00D77000" w:rsidP="00D77000">
            <w:pPr>
              <w:spacing w:before="0" w:after="0" w:line="240" w:lineRule="auto"/>
              <w:jc w:val="right"/>
              <w:rPr>
                <w:rFonts w:ascii="Arial" w:hAnsi="Arial" w:cs="Arial"/>
                <w:color w:val="000000"/>
                <w:sz w:val="16"/>
                <w:szCs w:val="16"/>
              </w:rPr>
            </w:pPr>
            <w:r w:rsidRPr="00D77000">
              <w:rPr>
                <w:rFonts w:ascii="Arial" w:hAnsi="Arial" w:cs="Arial"/>
                <w:color w:val="000000"/>
                <w:sz w:val="16"/>
                <w:szCs w:val="16"/>
              </w:rPr>
              <w:t>26,998</w:t>
            </w:r>
          </w:p>
        </w:tc>
        <w:tc>
          <w:tcPr>
            <w:tcW w:w="56" w:type="pct"/>
            <w:tcBorders>
              <w:top w:val="nil"/>
              <w:left w:val="nil"/>
              <w:bottom w:val="nil"/>
              <w:right w:val="nil"/>
            </w:tcBorders>
            <w:shd w:val="clear" w:color="000000" w:fill="FFFFFF"/>
            <w:noWrap/>
            <w:vAlign w:val="center"/>
            <w:hideMark/>
          </w:tcPr>
          <w:p w14:paraId="4F4443C5" w14:textId="77777777" w:rsidR="00D77000" w:rsidRPr="00D77000" w:rsidRDefault="00D77000" w:rsidP="00D77000">
            <w:pPr>
              <w:spacing w:before="0" w:after="0" w:line="240" w:lineRule="auto"/>
              <w:rPr>
                <w:rFonts w:ascii="Arial" w:hAnsi="Arial" w:cs="Arial"/>
                <w:color w:val="000000"/>
                <w:sz w:val="16"/>
                <w:szCs w:val="16"/>
              </w:rPr>
            </w:pPr>
            <w:r w:rsidRPr="00D77000">
              <w:rPr>
                <w:rFonts w:ascii="Arial" w:hAnsi="Arial" w:cs="Arial"/>
                <w:color w:val="000000"/>
                <w:sz w:val="16"/>
                <w:szCs w:val="16"/>
              </w:rPr>
              <w:t> </w:t>
            </w:r>
          </w:p>
        </w:tc>
        <w:tc>
          <w:tcPr>
            <w:tcW w:w="498" w:type="pct"/>
            <w:tcBorders>
              <w:top w:val="nil"/>
              <w:left w:val="nil"/>
              <w:bottom w:val="nil"/>
              <w:right w:val="nil"/>
            </w:tcBorders>
            <w:shd w:val="clear" w:color="000000" w:fill="FFFFFF"/>
            <w:noWrap/>
            <w:vAlign w:val="center"/>
            <w:hideMark/>
          </w:tcPr>
          <w:p w14:paraId="08E8ADB8" w14:textId="77777777" w:rsidR="00D77000" w:rsidRPr="00D77000" w:rsidRDefault="00D77000" w:rsidP="00D77000">
            <w:pPr>
              <w:spacing w:before="0" w:after="0" w:line="240" w:lineRule="auto"/>
              <w:jc w:val="right"/>
              <w:rPr>
                <w:rFonts w:ascii="Arial" w:hAnsi="Arial" w:cs="Arial"/>
                <w:color w:val="000000"/>
                <w:sz w:val="16"/>
                <w:szCs w:val="16"/>
              </w:rPr>
            </w:pPr>
            <w:r w:rsidRPr="00D77000">
              <w:rPr>
                <w:rFonts w:ascii="Arial" w:hAnsi="Arial" w:cs="Arial"/>
                <w:color w:val="000000"/>
                <w:sz w:val="16"/>
                <w:szCs w:val="16"/>
              </w:rPr>
              <w:t>29,215</w:t>
            </w:r>
          </w:p>
        </w:tc>
        <w:tc>
          <w:tcPr>
            <w:tcW w:w="497" w:type="pct"/>
            <w:tcBorders>
              <w:top w:val="nil"/>
              <w:left w:val="nil"/>
              <w:bottom w:val="nil"/>
              <w:right w:val="nil"/>
            </w:tcBorders>
            <w:shd w:val="clear" w:color="000000" w:fill="E6F2FF"/>
            <w:noWrap/>
            <w:vAlign w:val="center"/>
            <w:hideMark/>
          </w:tcPr>
          <w:p w14:paraId="615D1474" w14:textId="77777777" w:rsidR="00D77000" w:rsidRPr="00D77000" w:rsidRDefault="00D77000" w:rsidP="00D77000">
            <w:pPr>
              <w:spacing w:before="0" w:after="0" w:line="240" w:lineRule="auto"/>
              <w:jc w:val="right"/>
              <w:rPr>
                <w:rFonts w:ascii="Arial" w:hAnsi="Arial" w:cs="Arial"/>
                <w:color w:val="000000"/>
                <w:sz w:val="16"/>
                <w:szCs w:val="16"/>
              </w:rPr>
            </w:pPr>
            <w:r w:rsidRPr="00D77000">
              <w:rPr>
                <w:rFonts w:ascii="Arial" w:hAnsi="Arial" w:cs="Arial"/>
                <w:color w:val="000000"/>
                <w:sz w:val="16"/>
                <w:szCs w:val="16"/>
              </w:rPr>
              <w:t>30,201</w:t>
            </w:r>
          </w:p>
        </w:tc>
        <w:tc>
          <w:tcPr>
            <w:tcW w:w="497" w:type="pct"/>
            <w:tcBorders>
              <w:top w:val="nil"/>
              <w:left w:val="nil"/>
              <w:bottom w:val="nil"/>
              <w:right w:val="nil"/>
            </w:tcBorders>
            <w:shd w:val="clear" w:color="000000" w:fill="FFFFFF"/>
            <w:noWrap/>
            <w:vAlign w:val="center"/>
            <w:hideMark/>
          </w:tcPr>
          <w:p w14:paraId="4AE69136" w14:textId="77777777" w:rsidR="00D77000" w:rsidRPr="00D77000" w:rsidRDefault="00D77000" w:rsidP="00D77000">
            <w:pPr>
              <w:spacing w:before="0" w:after="0" w:line="240" w:lineRule="auto"/>
              <w:jc w:val="right"/>
              <w:rPr>
                <w:rFonts w:ascii="Arial" w:hAnsi="Arial" w:cs="Arial"/>
                <w:color w:val="000000"/>
                <w:sz w:val="16"/>
                <w:szCs w:val="16"/>
              </w:rPr>
            </w:pPr>
            <w:r w:rsidRPr="00D77000">
              <w:rPr>
                <w:rFonts w:ascii="Arial" w:hAnsi="Arial" w:cs="Arial"/>
                <w:color w:val="000000"/>
                <w:sz w:val="16"/>
                <w:szCs w:val="16"/>
              </w:rPr>
              <w:t>31,385</w:t>
            </w:r>
          </w:p>
        </w:tc>
        <w:tc>
          <w:tcPr>
            <w:tcW w:w="497" w:type="pct"/>
            <w:tcBorders>
              <w:top w:val="nil"/>
              <w:left w:val="nil"/>
              <w:bottom w:val="nil"/>
              <w:right w:val="nil"/>
            </w:tcBorders>
            <w:shd w:val="clear" w:color="000000" w:fill="FFFFFF"/>
            <w:noWrap/>
            <w:vAlign w:val="center"/>
            <w:hideMark/>
          </w:tcPr>
          <w:p w14:paraId="0A5DB41D" w14:textId="77777777" w:rsidR="00D77000" w:rsidRPr="00D77000" w:rsidRDefault="00D77000" w:rsidP="00D77000">
            <w:pPr>
              <w:spacing w:before="0" w:after="0" w:line="240" w:lineRule="auto"/>
              <w:jc w:val="right"/>
              <w:rPr>
                <w:rFonts w:ascii="Arial" w:hAnsi="Arial" w:cs="Arial"/>
                <w:color w:val="000000"/>
                <w:sz w:val="16"/>
                <w:szCs w:val="16"/>
              </w:rPr>
            </w:pPr>
            <w:r w:rsidRPr="00D77000">
              <w:rPr>
                <w:rFonts w:ascii="Arial" w:hAnsi="Arial" w:cs="Arial"/>
                <w:color w:val="000000"/>
                <w:sz w:val="16"/>
                <w:szCs w:val="16"/>
              </w:rPr>
              <w:t>32,597</w:t>
            </w:r>
          </w:p>
        </w:tc>
        <w:tc>
          <w:tcPr>
            <w:tcW w:w="497" w:type="pct"/>
            <w:tcBorders>
              <w:top w:val="nil"/>
              <w:left w:val="nil"/>
              <w:bottom w:val="nil"/>
              <w:right w:val="nil"/>
            </w:tcBorders>
            <w:shd w:val="clear" w:color="000000" w:fill="FFFFFF"/>
            <w:noWrap/>
            <w:vAlign w:val="center"/>
            <w:hideMark/>
          </w:tcPr>
          <w:p w14:paraId="47D37ACD" w14:textId="77777777" w:rsidR="00D77000" w:rsidRPr="00D77000" w:rsidRDefault="00D77000" w:rsidP="00D77000">
            <w:pPr>
              <w:spacing w:before="0" w:after="0" w:line="240" w:lineRule="auto"/>
              <w:jc w:val="right"/>
              <w:rPr>
                <w:rFonts w:ascii="Arial" w:hAnsi="Arial" w:cs="Arial"/>
                <w:color w:val="000000"/>
                <w:sz w:val="16"/>
                <w:szCs w:val="16"/>
              </w:rPr>
            </w:pPr>
            <w:r w:rsidRPr="00D77000">
              <w:rPr>
                <w:rFonts w:ascii="Arial" w:hAnsi="Arial" w:cs="Arial"/>
                <w:color w:val="000000"/>
                <w:sz w:val="16"/>
                <w:szCs w:val="16"/>
              </w:rPr>
              <w:t>33,833</w:t>
            </w:r>
          </w:p>
        </w:tc>
      </w:tr>
      <w:tr w:rsidR="00D77000" w:rsidRPr="00D77000" w14:paraId="395925F4" w14:textId="77777777" w:rsidTr="00D77000">
        <w:trPr>
          <w:trHeight w:hRule="exact" w:val="225"/>
        </w:trPr>
        <w:tc>
          <w:tcPr>
            <w:tcW w:w="1950" w:type="pct"/>
            <w:tcBorders>
              <w:top w:val="nil"/>
              <w:left w:val="nil"/>
              <w:bottom w:val="nil"/>
              <w:right w:val="nil"/>
            </w:tcBorders>
            <w:shd w:val="clear" w:color="000000" w:fill="FFFFFF"/>
            <w:noWrap/>
            <w:vAlign w:val="center"/>
            <w:hideMark/>
          </w:tcPr>
          <w:p w14:paraId="7D62467B" w14:textId="4AA8C7F0" w:rsidR="00D77000" w:rsidRPr="00D77000" w:rsidRDefault="00D77000" w:rsidP="00D77000">
            <w:pPr>
              <w:spacing w:before="0" w:after="0" w:line="240" w:lineRule="auto"/>
              <w:ind w:left="340"/>
              <w:rPr>
                <w:rFonts w:ascii="Arial" w:hAnsi="Arial" w:cs="Arial"/>
                <w:i/>
                <w:iCs/>
                <w:color w:val="000000"/>
                <w:sz w:val="16"/>
                <w:szCs w:val="16"/>
              </w:rPr>
            </w:pPr>
            <w:r w:rsidRPr="00D77000">
              <w:rPr>
                <w:rFonts w:ascii="Arial" w:hAnsi="Arial" w:cs="Arial"/>
                <w:i/>
                <w:iCs/>
                <w:color w:val="000000"/>
                <w:sz w:val="16"/>
                <w:szCs w:val="16"/>
              </w:rPr>
              <w:t>Non</w:t>
            </w:r>
            <w:r w:rsidR="008D4F6B">
              <w:rPr>
                <w:rFonts w:ascii="Arial" w:hAnsi="Arial" w:cs="Arial"/>
                <w:i/>
                <w:iCs/>
                <w:color w:val="000000"/>
                <w:sz w:val="16"/>
                <w:szCs w:val="16"/>
              </w:rPr>
              <w:noBreakHyphen/>
            </w:r>
            <w:r w:rsidRPr="00D77000">
              <w:rPr>
                <w:rFonts w:ascii="Arial" w:hAnsi="Arial" w:cs="Arial"/>
                <w:i/>
                <w:iCs/>
                <w:color w:val="000000"/>
                <w:sz w:val="16"/>
                <w:szCs w:val="16"/>
              </w:rPr>
              <w:t>government schools</w:t>
            </w:r>
          </w:p>
        </w:tc>
        <w:tc>
          <w:tcPr>
            <w:tcW w:w="506" w:type="pct"/>
            <w:tcBorders>
              <w:top w:val="nil"/>
              <w:left w:val="nil"/>
              <w:bottom w:val="nil"/>
              <w:right w:val="nil"/>
            </w:tcBorders>
            <w:shd w:val="clear" w:color="000000" w:fill="FFFFFF"/>
            <w:noWrap/>
            <w:vAlign w:val="center"/>
            <w:hideMark/>
          </w:tcPr>
          <w:p w14:paraId="3E36E0DC" w14:textId="77777777" w:rsidR="00D77000" w:rsidRPr="00D77000" w:rsidRDefault="00D77000" w:rsidP="00D77000">
            <w:pPr>
              <w:spacing w:before="0" w:after="0" w:line="240" w:lineRule="auto"/>
              <w:jc w:val="right"/>
              <w:rPr>
                <w:rFonts w:ascii="Arial" w:hAnsi="Arial" w:cs="Arial"/>
                <w:i/>
                <w:iCs/>
                <w:color w:val="000000"/>
                <w:sz w:val="16"/>
                <w:szCs w:val="16"/>
              </w:rPr>
            </w:pPr>
            <w:r w:rsidRPr="00D77000">
              <w:rPr>
                <w:rFonts w:ascii="Arial" w:hAnsi="Arial" w:cs="Arial"/>
                <w:i/>
                <w:iCs/>
                <w:color w:val="000000"/>
                <w:sz w:val="16"/>
                <w:szCs w:val="16"/>
              </w:rPr>
              <w:t>16,705</w:t>
            </w:r>
          </w:p>
        </w:tc>
        <w:tc>
          <w:tcPr>
            <w:tcW w:w="56" w:type="pct"/>
            <w:tcBorders>
              <w:top w:val="nil"/>
              <w:left w:val="nil"/>
              <w:bottom w:val="nil"/>
              <w:right w:val="nil"/>
            </w:tcBorders>
            <w:shd w:val="clear" w:color="000000" w:fill="FFFFFF"/>
            <w:noWrap/>
            <w:vAlign w:val="center"/>
            <w:hideMark/>
          </w:tcPr>
          <w:p w14:paraId="5A5D1B48" w14:textId="77777777" w:rsidR="00D77000" w:rsidRPr="00D77000" w:rsidRDefault="00D77000" w:rsidP="00D77000">
            <w:pPr>
              <w:spacing w:before="0" w:after="0" w:line="240" w:lineRule="auto"/>
              <w:rPr>
                <w:rFonts w:ascii="Arial" w:hAnsi="Arial" w:cs="Arial"/>
                <w:i/>
                <w:iCs/>
                <w:color w:val="000000"/>
                <w:sz w:val="16"/>
                <w:szCs w:val="16"/>
              </w:rPr>
            </w:pPr>
            <w:r w:rsidRPr="00D77000">
              <w:rPr>
                <w:rFonts w:ascii="Arial" w:hAnsi="Arial" w:cs="Arial"/>
                <w:i/>
                <w:iCs/>
                <w:color w:val="000000"/>
                <w:sz w:val="16"/>
                <w:szCs w:val="16"/>
              </w:rPr>
              <w:t> </w:t>
            </w:r>
          </w:p>
        </w:tc>
        <w:tc>
          <w:tcPr>
            <w:tcW w:w="498" w:type="pct"/>
            <w:tcBorders>
              <w:top w:val="nil"/>
              <w:left w:val="nil"/>
              <w:bottom w:val="nil"/>
              <w:right w:val="nil"/>
            </w:tcBorders>
            <w:shd w:val="clear" w:color="000000" w:fill="FFFFFF"/>
            <w:noWrap/>
            <w:vAlign w:val="center"/>
            <w:hideMark/>
          </w:tcPr>
          <w:p w14:paraId="40EC7E4F" w14:textId="77777777" w:rsidR="00D77000" w:rsidRPr="00D77000" w:rsidRDefault="00D77000" w:rsidP="00D77000">
            <w:pPr>
              <w:spacing w:before="0" w:after="0" w:line="240" w:lineRule="auto"/>
              <w:jc w:val="right"/>
              <w:rPr>
                <w:rFonts w:ascii="Arial" w:hAnsi="Arial" w:cs="Arial"/>
                <w:i/>
                <w:iCs/>
                <w:color w:val="000000"/>
                <w:sz w:val="16"/>
                <w:szCs w:val="16"/>
              </w:rPr>
            </w:pPr>
            <w:r w:rsidRPr="00D77000">
              <w:rPr>
                <w:rFonts w:ascii="Arial" w:hAnsi="Arial" w:cs="Arial"/>
                <w:i/>
                <w:iCs/>
                <w:color w:val="000000"/>
                <w:sz w:val="16"/>
                <w:szCs w:val="16"/>
              </w:rPr>
              <w:t>18,116</w:t>
            </w:r>
          </w:p>
        </w:tc>
        <w:tc>
          <w:tcPr>
            <w:tcW w:w="497" w:type="pct"/>
            <w:tcBorders>
              <w:top w:val="nil"/>
              <w:left w:val="nil"/>
              <w:bottom w:val="nil"/>
              <w:right w:val="nil"/>
            </w:tcBorders>
            <w:shd w:val="clear" w:color="000000" w:fill="E6F2FF"/>
            <w:noWrap/>
            <w:vAlign w:val="center"/>
            <w:hideMark/>
          </w:tcPr>
          <w:p w14:paraId="4BB67EC8" w14:textId="77777777" w:rsidR="00D77000" w:rsidRPr="00D77000" w:rsidRDefault="00D77000" w:rsidP="00D77000">
            <w:pPr>
              <w:spacing w:before="0" w:after="0" w:line="240" w:lineRule="auto"/>
              <w:jc w:val="right"/>
              <w:rPr>
                <w:rFonts w:ascii="Arial" w:hAnsi="Arial" w:cs="Arial"/>
                <w:i/>
                <w:iCs/>
                <w:color w:val="000000"/>
                <w:sz w:val="16"/>
                <w:szCs w:val="16"/>
              </w:rPr>
            </w:pPr>
            <w:r w:rsidRPr="00D77000">
              <w:rPr>
                <w:rFonts w:ascii="Arial" w:hAnsi="Arial" w:cs="Arial"/>
                <w:i/>
                <w:iCs/>
                <w:color w:val="000000"/>
                <w:sz w:val="16"/>
                <w:szCs w:val="16"/>
              </w:rPr>
              <w:t>18,726</w:t>
            </w:r>
          </w:p>
        </w:tc>
        <w:tc>
          <w:tcPr>
            <w:tcW w:w="497" w:type="pct"/>
            <w:tcBorders>
              <w:top w:val="nil"/>
              <w:left w:val="nil"/>
              <w:bottom w:val="nil"/>
              <w:right w:val="nil"/>
            </w:tcBorders>
            <w:shd w:val="clear" w:color="000000" w:fill="FFFFFF"/>
            <w:noWrap/>
            <w:vAlign w:val="center"/>
            <w:hideMark/>
          </w:tcPr>
          <w:p w14:paraId="332A8F94" w14:textId="77777777" w:rsidR="00D77000" w:rsidRPr="00D77000" w:rsidRDefault="00D77000" w:rsidP="00D77000">
            <w:pPr>
              <w:spacing w:before="0" w:after="0" w:line="240" w:lineRule="auto"/>
              <w:jc w:val="right"/>
              <w:rPr>
                <w:rFonts w:ascii="Arial" w:hAnsi="Arial" w:cs="Arial"/>
                <w:i/>
                <w:iCs/>
                <w:color w:val="000000"/>
                <w:sz w:val="16"/>
                <w:szCs w:val="16"/>
              </w:rPr>
            </w:pPr>
            <w:r w:rsidRPr="00D77000">
              <w:rPr>
                <w:rFonts w:ascii="Arial" w:hAnsi="Arial" w:cs="Arial"/>
                <w:i/>
                <w:iCs/>
                <w:color w:val="000000"/>
                <w:sz w:val="16"/>
                <w:szCs w:val="16"/>
              </w:rPr>
              <w:t>19,497</w:t>
            </w:r>
          </w:p>
        </w:tc>
        <w:tc>
          <w:tcPr>
            <w:tcW w:w="497" w:type="pct"/>
            <w:tcBorders>
              <w:top w:val="nil"/>
              <w:left w:val="nil"/>
              <w:bottom w:val="nil"/>
              <w:right w:val="nil"/>
            </w:tcBorders>
            <w:shd w:val="clear" w:color="000000" w:fill="FFFFFF"/>
            <w:noWrap/>
            <w:vAlign w:val="center"/>
            <w:hideMark/>
          </w:tcPr>
          <w:p w14:paraId="02D30134" w14:textId="77777777" w:rsidR="00D77000" w:rsidRPr="00D77000" w:rsidRDefault="00D77000" w:rsidP="00D77000">
            <w:pPr>
              <w:spacing w:before="0" w:after="0" w:line="240" w:lineRule="auto"/>
              <w:jc w:val="right"/>
              <w:rPr>
                <w:rFonts w:ascii="Arial" w:hAnsi="Arial" w:cs="Arial"/>
                <w:i/>
                <w:iCs/>
                <w:color w:val="000000"/>
                <w:sz w:val="16"/>
                <w:szCs w:val="16"/>
              </w:rPr>
            </w:pPr>
            <w:r w:rsidRPr="00D77000">
              <w:rPr>
                <w:rFonts w:ascii="Arial" w:hAnsi="Arial" w:cs="Arial"/>
                <w:i/>
                <w:iCs/>
                <w:color w:val="000000"/>
                <w:sz w:val="16"/>
                <w:szCs w:val="16"/>
              </w:rPr>
              <w:t>20,275</w:t>
            </w:r>
          </w:p>
        </w:tc>
        <w:tc>
          <w:tcPr>
            <w:tcW w:w="497" w:type="pct"/>
            <w:tcBorders>
              <w:top w:val="nil"/>
              <w:left w:val="nil"/>
              <w:bottom w:val="nil"/>
              <w:right w:val="nil"/>
            </w:tcBorders>
            <w:shd w:val="clear" w:color="000000" w:fill="FFFFFF"/>
            <w:noWrap/>
            <w:vAlign w:val="center"/>
            <w:hideMark/>
          </w:tcPr>
          <w:p w14:paraId="73E1D299" w14:textId="77777777" w:rsidR="00D77000" w:rsidRPr="00D77000" w:rsidRDefault="00D77000" w:rsidP="00D77000">
            <w:pPr>
              <w:spacing w:before="0" w:after="0" w:line="240" w:lineRule="auto"/>
              <w:jc w:val="right"/>
              <w:rPr>
                <w:rFonts w:ascii="Arial" w:hAnsi="Arial" w:cs="Arial"/>
                <w:i/>
                <w:iCs/>
                <w:color w:val="000000"/>
                <w:sz w:val="16"/>
                <w:szCs w:val="16"/>
              </w:rPr>
            </w:pPr>
            <w:r w:rsidRPr="00D77000">
              <w:rPr>
                <w:rFonts w:ascii="Arial" w:hAnsi="Arial" w:cs="Arial"/>
                <w:i/>
                <w:iCs/>
                <w:color w:val="000000"/>
                <w:sz w:val="16"/>
                <w:szCs w:val="16"/>
              </w:rPr>
              <w:t>21,051</w:t>
            </w:r>
          </w:p>
        </w:tc>
      </w:tr>
      <w:tr w:rsidR="00D77000" w:rsidRPr="00D77000" w14:paraId="0640649C" w14:textId="77777777" w:rsidTr="00D77000">
        <w:trPr>
          <w:trHeight w:hRule="exact" w:val="225"/>
        </w:trPr>
        <w:tc>
          <w:tcPr>
            <w:tcW w:w="1950" w:type="pct"/>
            <w:tcBorders>
              <w:top w:val="nil"/>
              <w:left w:val="nil"/>
              <w:bottom w:val="nil"/>
              <w:right w:val="nil"/>
            </w:tcBorders>
            <w:shd w:val="clear" w:color="000000" w:fill="FFFFFF"/>
            <w:noWrap/>
            <w:vAlign w:val="center"/>
            <w:hideMark/>
          </w:tcPr>
          <w:p w14:paraId="2C11E17A" w14:textId="77777777" w:rsidR="00D77000" w:rsidRPr="00D77000" w:rsidRDefault="00D77000" w:rsidP="00D77000">
            <w:pPr>
              <w:spacing w:before="0" w:after="0" w:line="240" w:lineRule="auto"/>
              <w:ind w:left="340"/>
              <w:rPr>
                <w:rFonts w:ascii="Arial" w:hAnsi="Arial" w:cs="Arial"/>
                <w:i/>
                <w:iCs/>
                <w:color w:val="000000"/>
                <w:sz w:val="16"/>
                <w:szCs w:val="16"/>
              </w:rPr>
            </w:pPr>
            <w:r w:rsidRPr="00D77000">
              <w:rPr>
                <w:rFonts w:ascii="Arial" w:hAnsi="Arial" w:cs="Arial"/>
                <w:i/>
                <w:iCs/>
                <w:color w:val="000000"/>
                <w:sz w:val="16"/>
                <w:szCs w:val="16"/>
              </w:rPr>
              <w:t>Government schools</w:t>
            </w:r>
          </w:p>
        </w:tc>
        <w:tc>
          <w:tcPr>
            <w:tcW w:w="506" w:type="pct"/>
            <w:tcBorders>
              <w:top w:val="nil"/>
              <w:left w:val="nil"/>
              <w:bottom w:val="nil"/>
              <w:right w:val="nil"/>
            </w:tcBorders>
            <w:shd w:val="clear" w:color="000000" w:fill="FFFFFF"/>
            <w:noWrap/>
            <w:vAlign w:val="center"/>
            <w:hideMark/>
          </w:tcPr>
          <w:p w14:paraId="4503C502" w14:textId="77777777" w:rsidR="00D77000" w:rsidRPr="00D77000" w:rsidRDefault="00D77000" w:rsidP="00D77000">
            <w:pPr>
              <w:spacing w:before="0" w:after="0" w:line="240" w:lineRule="auto"/>
              <w:jc w:val="right"/>
              <w:rPr>
                <w:rFonts w:ascii="Arial" w:hAnsi="Arial" w:cs="Arial"/>
                <w:i/>
                <w:iCs/>
                <w:color w:val="000000"/>
                <w:sz w:val="16"/>
                <w:szCs w:val="16"/>
              </w:rPr>
            </w:pPr>
            <w:r w:rsidRPr="00D77000">
              <w:rPr>
                <w:rFonts w:ascii="Arial" w:hAnsi="Arial" w:cs="Arial"/>
                <w:i/>
                <w:iCs/>
                <w:color w:val="000000"/>
                <w:sz w:val="16"/>
                <w:szCs w:val="16"/>
              </w:rPr>
              <w:t>10,292</w:t>
            </w:r>
          </w:p>
        </w:tc>
        <w:tc>
          <w:tcPr>
            <w:tcW w:w="56" w:type="pct"/>
            <w:tcBorders>
              <w:top w:val="nil"/>
              <w:left w:val="nil"/>
              <w:bottom w:val="nil"/>
              <w:right w:val="nil"/>
            </w:tcBorders>
            <w:shd w:val="clear" w:color="000000" w:fill="FFFFFF"/>
            <w:noWrap/>
            <w:vAlign w:val="center"/>
            <w:hideMark/>
          </w:tcPr>
          <w:p w14:paraId="3CA9C6B4" w14:textId="77777777" w:rsidR="00D77000" w:rsidRPr="00D77000" w:rsidRDefault="00D77000" w:rsidP="00D77000">
            <w:pPr>
              <w:spacing w:before="0" w:after="0" w:line="240" w:lineRule="auto"/>
              <w:rPr>
                <w:rFonts w:ascii="Arial" w:hAnsi="Arial" w:cs="Arial"/>
                <w:i/>
                <w:iCs/>
                <w:color w:val="000000"/>
                <w:sz w:val="16"/>
                <w:szCs w:val="16"/>
              </w:rPr>
            </w:pPr>
            <w:r w:rsidRPr="00D77000">
              <w:rPr>
                <w:rFonts w:ascii="Arial" w:hAnsi="Arial" w:cs="Arial"/>
                <w:i/>
                <w:iCs/>
                <w:color w:val="000000"/>
                <w:sz w:val="16"/>
                <w:szCs w:val="16"/>
              </w:rPr>
              <w:t> </w:t>
            </w:r>
          </w:p>
        </w:tc>
        <w:tc>
          <w:tcPr>
            <w:tcW w:w="498" w:type="pct"/>
            <w:tcBorders>
              <w:top w:val="nil"/>
              <w:left w:val="nil"/>
              <w:bottom w:val="nil"/>
              <w:right w:val="nil"/>
            </w:tcBorders>
            <w:shd w:val="clear" w:color="000000" w:fill="FFFFFF"/>
            <w:noWrap/>
            <w:vAlign w:val="center"/>
            <w:hideMark/>
          </w:tcPr>
          <w:p w14:paraId="5838AD39" w14:textId="77777777" w:rsidR="00D77000" w:rsidRPr="00D77000" w:rsidRDefault="00D77000" w:rsidP="00D77000">
            <w:pPr>
              <w:spacing w:before="0" w:after="0" w:line="240" w:lineRule="auto"/>
              <w:jc w:val="right"/>
              <w:rPr>
                <w:rFonts w:ascii="Arial" w:hAnsi="Arial" w:cs="Arial"/>
                <w:i/>
                <w:iCs/>
                <w:color w:val="000000"/>
                <w:sz w:val="16"/>
                <w:szCs w:val="16"/>
              </w:rPr>
            </w:pPr>
            <w:r w:rsidRPr="00D77000">
              <w:rPr>
                <w:rFonts w:ascii="Arial" w:hAnsi="Arial" w:cs="Arial"/>
                <w:i/>
                <w:iCs/>
                <w:color w:val="000000"/>
                <w:sz w:val="16"/>
                <w:szCs w:val="16"/>
              </w:rPr>
              <w:t>11,099</w:t>
            </w:r>
          </w:p>
        </w:tc>
        <w:tc>
          <w:tcPr>
            <w:tcW w:w="497" w:type="pct"/>
            <w:tcBorders>
              <w:top w:val="nil"/>
              <w:left w:val="nil"/>
              <w:bottom w:val="nil"/>
              <w:right w:val="nil"/>
            </w:tcBorders>
            <w:shd w:val="clear" w:color="000000" w:fill="E6F2FF"/>
            <w:noWrap/>
            <w:vAlign w:val="center"/>
            <w:hideMark/>
          </w:tcPr>
          <w:p w14:paraId="115A48A3" w14:textId="77777777" w:rsidR="00D77000" w:rsidRPr="00D77000" w:rsidRDefault="00D77000" w:rsidP="00D77000">
            <w:pPr>
              <w:spacing w:before="0" w:after="0" w:line="240" w:lineRule="auto"/>
              <w:jc w:val="right"/>
              <w:rPr>
                <w:rFonts w:ascii="Arial" w:hAnsi="Arial" w:cs="Arial"/>
                <w:i/>
                <w:iCs/>
                <w:color w:val="000000"/>
                <w:sz w:val="16"/>
                <w:szCs w:val="16"/>
              </w:rPr>
            </w:pPr>
            <w:r w:rsidRPr="00D77000">
              <w:rPr>
                <w:rFonts w:ascii="Arial" w:hAnsi="Arial" w:cs="Arial"/>
                <w:i/>
                <w:iCs/>
                <w:color w:val="000000"/>
                <w:sz w:val="16"/>
                <w:szCs w:val="16"/>
              </w:rPr>
              <w:t>11,474</w:t>
            </w:r>
          </w:p>
        </w:tc>
        <w:tc>
          <w:tcPr>
            <w:tcW w:w="497" w:type="pct"/>
            <w:tcBorders>
              <w:top w:val="nil"/>
              <w:left w:val="nil"/>
              <w:bottom w:val="nil"/>
              <w:right w:val="nil"/>
            </w:tcBorders>
            <w:shd w:val="clear" w:color="000000" w:fill="FFFFFF"/>
            <w:noWrap/>
            <w:vAlign w:val="center"/>
            <w:hideMark/>
          </w:tcPr>
          <w:p w14:paraId="4FA16264" w14:textId="77777777" w:rsidR="00D77000" w:rsidRPr="00D77000" w:rsidRDefault="00D77000" w:rsidP="00D77000">
            <w:pPr>
              <w:spacing w:before="0" w:after="0" w:line="240" w:lineRule="auto"/>
              <w:jc w:val="right"/>
              <w:rPr>
                <w:rFonts w:ascii="Arial" w:hAnsi="Arial" w:cs="Arial"/>
                <w:i/>
                <w:iCs/>
                <w:color w:val="000000"/>
                <w:sz w:val="16"/>
                <w:szCs w:val="16"/>
              </w:rPr>
            </w:pPr>
            <w:r w:rsidRPr="00D77000">
              <w:rPr>
                <w:rFonts w:ascii="Arial" w:hAnsi="Arial" w:cs="Arial"/>
                <w:i/>
                <w:iCs/>
                <w:color w:val="000000"/>
                <w:sz w:val="16"/>
                <w:szCs w:val="16"/>
              </w:rPr>
              <w:t>11,889</w:t>
            </w:r>
          </w:p>
        </w:tc>
        <w:tc>
          <w:tcPr>
            <w:tcW w:w="497" w:type="pct"/>
            <w:tcBorders>
              <w:top w:val="nil"/>
              <w:left w:val="nil"/>
              <w:bottom w:val="nil"/>
              <w:right w:val="nil"/>
            </w:tcBorders>
            <w:shd w:val="clear" w:color="000000" w:fill="FFFFFF"/>
            <w:noWrap/>
            <w:vAlign w:val="center"/>
            <w:hideMark/>
          </w:tcPr>
          <w:p w14:paraId="7D48739C" w14:textId="77777777" w:rsidR="00D77000" w:rsidRPr="00D77000" w:rsidRDefault="00D77000" w:rsidP="00D77000">
            <w:pPr>
              <w:spacing w:before="0" w:after="0" w:line="240" w:lineRule="auto"/>
              <w:jc w:val="right"/>
              <w:rPr>
                <w:rFonts w:ascii="Arial" w:hAnsi="Arial" w:cs="Arial"/>
                <w:i/>
                <w:iCs/>
                <w:color w:val="000000"/>
                <w:sz w:val="16"/>
                <w:szCs w:val="16"/>
              </w:rPr>
            </w:pPr>
            <w:r w:rsidRPr="00D77000">
              <w:rPr>
                <w:rFonts w:ascii="Arial" w:hAnsi="Arial" w:cs="Arial"/>
                <w:i/>
                <w:iCs/>
                <w:color w:val="000000"/>
                <w:sz w:val="16"/>
                <w:szCs w:val="16"/>
              </w:rPr>
              <w:t>12,322</w:t>
            </w:r>
          </w:p>
        </w:tc>
        <w:tc>
          <w:tcPr>
            <w:tcW w:w="497" w:type="pct"/>
            <w:tcBorders>
              <w:top w:val="nil"/>
              <w:left w:val="nil"/>
              <w:bottom w:val="nil"/>
              <w:right w:val="nil"/>
            </w:tcBorders>
            <w:shd w:val="clear" w:color="000000" w:fill="FFFFFF"/>
            <w:noWrap/>
            <w:vAlign w:val="center"/>
            <w:hideMark/>
          </w:tcPr>
          <w:p w14:paraId="5F882D58" w14:textId="77777777" w:rsidR="00D77000" w:rsidRPr="00D77000" w:rsidRDefault="00D77000" w:rsidP="00D77000">
            <w:pPr>
              <w:spacing w:before="0" w:after="0" w:line="240" w:lineRule="auto"/>
              <w:jc w:val="right"/>
              <w:rPr>
                <w:rFonts w:ascii="Arial" w:hAnsi="Arial" w:cs="Arial"/>
                <w:i/>
                <w:iCs/>
                <w:color w:val="000000"/>
                <w:sz w:val="16"/>
                <w:szCs w:val="16"/>
              </w:rPr>
            </w:pPr>
            <w:r w:rsidRPr="00D77000">
              <w:rPr>
                <w:rFonts w:ascii="Arial" w:hAnsi="Arial" w:cs="Arial"/>
                <w:i/>
                <w:iCs/>
                <w:color w:val="000000"/>
                <w:sz w:val="16"/>
                <w:szCs w:val="16"/>
              </w:rPr>
              <w:t>12,782</w:t>
            </w:r>
          </w:p>
        </w:tc>
      </w:tr>
      <w:tr w:rsidR="00D77000" w:rsidRPr="00D77000" w14:paraId="42607742" w14:textId="77777777" w:rsidTr="00D77000">
        <w:trPr>
          <w:trHeight w:hRule="exact" w:val="225"/>
        </w:trPr>
        <w:tc>
          <w:tcPr>
            <w:tcW w:w="1950" w:type="pct"/>
            <w:tcBorders>
              <w:top w:val="nil"/>
              <w:left w:val="nil"/>
              <w:bottom w:val="nil"/>
              <w:right w:val="nil"/>
            </w:tcBorders>
            <w:shd w:val="clear" w:color="000000" w:fill="FFFFFF"/>
            <w:noWrap/>
            <w:vAlign w:val="center"/>
            <w:hideMark/>
          </w:tcPr>
          <w:p w14:paraId="6F606DC4" w14:textId="761A9D5D" w:rsidR="00D77000" w:rsidRPr="00D77000" w:rsidRDefault="00D77000" w:rsidP="00D77000">
            <w:pPr>
              <w:spacing w:before="0" w:after="0" w:line="240" w:lineRule="auto"/>
              <w:ind w:left="170"/>
              <w:rPr>
                <w:rFonts w:ascii="Arial" w:hAnsi="Arial" w:cs="Arial"/>
                <w:color w:val="000000"/>
                <w:sz w:val="16"/>
                <w:szCs w:val="16"/>
              </w:rPr>
            </w:pPr>
            <w:r w:rsidRPr="00D77000">
              <w:rPr>
                <w:rFonts w:ascii="Arial" w:hAnsi="Arial" w:cs="Arial"/>
                <w:color w:val="000000"/>
                <w:sz w:val="16"/>
                <w:szCs w:val="16"/>
              </w:rPr>
              <w:t>School education</w:t>
            </w:r>
            <w:r w:rsidR="008D4F6B">
              <w:rPr>
                <w:rFonts w:ascii="Arial" w:hAnsi="Arial" w:cs="Arial"/>
                <w:color w:val="000000"/>
                <w:sz w:val="16"/>
                <w:szCs w:val="16"/>
              </w:rPr>
              <w:t xml:space="preserve"> – </w:t>
            </w:r>
          </w:p>
        </w:tc>
        <w:tc>
          <w:tcPr>
            <w:tcW w:w="506" w:type="pct"/>
            <w:tcBorders>
              <w:top w:val="nil"/>
              <w:left w:val="nil"/>
              <w:bottom w:val="nil"/>
              <w:right w:val="nil"/>
            </w:tcBorders>
            <w:shd w:val="clear" w:color="000000" w:fill="FFFFFF"/>
            <w:noWrap/>
            <w:vAlign w:val="center"/>
            <w:hideMark/>
          </w:tcPr>
          <w:p w14:paraId="615FE1C6" w14:textId="77777777" w:rsidR="00D77000" w:rsidRPr="00D77000" w:rsidRDefault="00D77000" w:rsidP="00D77000">
            <w:pPr>
              <w:spacing w:before="0" w:after="0" w:line="240" w:lineRule="auto"/>
              <w:rPr>
                <w:rFonts w:ascii="Arial" w:hAnsi="Arial" w:cs="Arial"/>
                <w:i/>
                <w:iCs/>
                <w:color w:val="000000"/>
                <w:sz w:val="16"/>
                <w:szCs w:val="16"/>
              </w:rPr>
            </w:pPr>
            <w:r w:rsidRPr="00D77000">
              <w:rPr>
                <w:rFonts w:ascii="Arial" w:hAnsi="Arial" w:cs="Arial"/>
                <w:i/>
                <w:iCs/>
                <w:color w:val="000000"/>
                <w:sz w:val="16"/>
                <w:szCs w:val="16"/>
              </w:rPr>
              <w:t> </w:t>
            </w:r>
          </w:p>
        </w:tc>
        <w:tc>
          <w:tcPr>
            <w:tcW w:w="56" w:type="pct"/>
            <w:tcBorders>
              <w:top w:val="nil"/>
              <w:left w:val="nil"/>
              <w:bottom w:val="nil"/>
              <w:right w:val="nil"/>
            </w:tcBorders>
            <w:shd w:val="clear" w:color="000000" w:fill="FFFFFF"/>
            <w:noWrap/>
            <w:vAlign w:val="center"/>
            <w:hideMark/>
          </w:tcPr>
          <w:p w14:paraId="36656696" w14:textId="77777777" w:rsidR="00D77000" w:rsidRPr="00D77000" w:rsidRDefault="00D77000" w:rsidP="00D77000">
            <w:pPr>
              <w:spacing w:before="0" w:after="0" w:line="240" w:lineRule="auto"/>
              <w:rPr>
                <w:rFonts w:ascii="Arial" w:hAnsi="Arial" w:cs="Arial"/>
                <w:i/>
                <w:iCs/>
                <w:color w:val="000000"/>
                <w:sz w:val="16"/>
                <w:szCs w:val="16"/>
              </w:rPr>
            </w:pPr>
            <w:r w:rsidRPr="00D77000">
              <w:rPr>
                <w:rFonts w:ascii="Arial" w:hAnsi="Arial" w:cs="Arial"/>
                <w:i/>
                <w:iCs/>
                <w:color w:val="000000"/>
                <w:sz w:val="16"/>
                <w:szCs w:val="16"/>
              </w:rPr>
              <w:t> </w:t>
            </w:r>
          </w:p>
        </w:tc>
        <w:tc>
          <w:tcPr>
            <w:tcW w:w="498" w:type="pct"/>
            <w:tcBorders>
              <w:top w:val="nil"/>
              <w:left w:val="nil"/>
              <w:bottom w:val="nil"/>
              <w:right w:val="nil"/>
            </w:tcBorders>
            <w:shd w:val="clear" w:color="000000" w:fill="FFFFFF"/>
            <w:noWrap/>
            <w:vAlign w:val="center"/>
            <w:hideMark/>
          </w:tcPr>
          <w:p w14:paraId="6B1D536B" w14:textId="77777777" w:rsidR="00D77000" w:rsidRPr="00D77000" w:rsidRDefault="00D77000" w:rsidP="00D77000">
            <w:pPr>
              <w:spacing w:before="0" w:after="0" w:line="240" w:lineRule="auto"/>
              <w:rPr>
                <w:rFonts w:ascii="Arial" w:hAnsi="Arial" w:cs="Arial"/>
                <w:i/>
                <w:iCs/>
                <w:color w:val="000000"/>
                <w:sz w:val="16"/>
                <w:szCs w:val="16"/>
              </w:rPr>
            </w:pPr>
            <w:r w:rsidRPr="00D77000">
              <w:rPr>
                <w:rFonts w:ascii="Arial" w:hAnsi="Arial" w:cs="Arial"/>
                <w:i/>
                <w:iCs/>
                <w:color w:val="000000"/>
                <w:sz w:val="16"/>
                <w:szCs w:val="16"/>
              </w:rPr>
              <w:t> </w:t>
            </w:r>
          </w:p>
        </w:tc>
        <w:tc>
          <w:tcPr>
            <w:tcW w:w="497" w:type="pct"/>
            <w:tcBorders>
              <w:top w:val="nil"/>
              <w:left w:val="nil"/>
              <w:bottom w:val="nil"/>
              <w:right w:val="nil"/>
            </w:tcBorders>
            <w:shd w:val="clear" w:color="000000" w:fill="E6F2FF"/>
            <w:noWrap/>
            <w:vAlign w:val="center"/>
            <w:hideMark/>
          </w:tcPr>
          <w:p w14:paraId="5F162249" w14:textId="77777777" w:rsidR="00D77000" w:rsidRPr="00D77000" w:rsidRDefault="00D77000" w:rsidP="00D77000">
            <w:pPr>
              <w:spacing w:before="0" w:after="0" w:line="240" w:lineRule="auto"/>
              <w:rPr>
                <w:rFonts w:ascii="Arial" w:hAnsi="Arial" w:cs="Arial"/>
                <w:i/>
                <w:iCs/>
                <w:color w:val="000000"/>
                <w:sz w:val="16"/>
                <w:szCs w:val="16"/>
              </w:rPr>
            </w:pPr>
            <w:r w:rsidRPr="00D77000">
              <w:rPr>
                <w:rFonts w:ascii="Arial" w:hAnsi="Arial" w:cs="Arial"/>
                <w:i/>
                <w:iCs/>
                <w:color w:val="000000"/>
                <w:sz w:val="16"/>
                <w:szCs w:val="16"/>
              </w:rPr>
              <w:t> </w:t>
            </w:r>
          </w:p>
        </w:tc>
        <w:tc>
          <w:tcPr>
            <w:tcW w:w="497" w:type="pct"/>
            <w:tcBorders>
              <w:top w:val="nil"/>
              <w:left w:val="nil"/>
              <w:bottom w:val="nil"/>
              <w:right w:val="nil"/>
            </w:tcBorders>
            <w:shd w:val="clear" w:color="000000" w:fill="FFFFFF"/>
            <w:noWrap/>
            <w:vAlign w:val="center"/>
            <w:hideMark/>
          </w:tcPr>
          <w:p w14:paraId="6F2E3271" w14:textId="77777777" w:rsidR="00D77000" w:rsidRPr="00D77000" w:rsidRDefault="00D77000" w:rsidP="00D77000">
            <w:pPr>
              <w:spacing w:before="0" w:after="0" w:line="240" w:lineRule="auto"/>
              <w:rPr>
                <w:rFonts w:ascii="Arial" w:hAnsi="Arial" w:cs="Arial"/>
                <w:i/>
                <w:iCs/>
                <w:color w:val="000000"/>
                <w:sz w:val="16"/>
                <w:szCs w:val="16"/>
              </w:rPr>
            </w:pPr>
            <w:r w:rsidRPr="00D77000">
              <w:rPr>
                <w:rFonts w:ascii="Arial" w:hAnsi="Arial" w:cs="Arial"/>
                <w:i/>
                <w:iCs/>
                <w:color w:val="000000"/>
                <w:sz w:val="16"/>
                <w:szCs w:val="16"/>
              </w:rPr>
              <w:t> </w:t>
            </w:r>
          </w:p>
        </w:tc>
        <w:tc>
          <w:tcPr>
            <w:tcW w:w="497" w:type="pct"/>
            <w:tcBorders>
              <w:top w:val="nil"/>
              <w:left w:val="nil"/>
              <w:bottom w:val="nil"/>
              <w:right w:val="nil"/>
            </w:tcBorders>
            <w:shd w:val="clear" w:color="000000" w:fill="FFFFFF"/>
            <w:noWrap/>
            <w:vAlign w:val="center"/>
            <w:hideMark/>
          </w:tcPr>
          <w:p w14:paraId="5A5216C7" w14:textId="77777777" w:rsidR="00D77000" w:rsidRPr="00D77000" w:rsidRDefault="00D77000" w:rsidP="00D77000">
            <w:pPr>
              <w:spacing w:before="0" w:after="0" w:line="240" w:lineRule="auto"/>
              <w:rPr>
                <w:rFonts w:ascii="Arial" w:hAnsi="Arial" w:cs="Arial"/>
                <w:i/>
                <w:iCs/>
                <w:color w:val="000000"/>
                <w:sz w:val="16"/>
                <w:szCs w:val="16"/>
              </w:rPr>
            </w:pPr>
            <w:r w:rsidRPr="00D77000">
              <w:rPr>
                <w:rFonts w:ascii="Arial" w:hAnsi="Arial" w:cs="Arial"/>
                <w:i/>
                <w:iCs/>
                <w:color w:val="000000"/>
                <w:sz w:val="16"/>
                <w:szCs w:val="16"/>
              </w:rPr>
              <w:t> </w:t>
            </w:r>
          </w:p>
        </w:tc>
        <w:tc>
          <w:tcPr>
            <w:tcW w:w="497" w:type="pct"/>
            <w:tcBorders>
              <w:top w:val="nil"/>
              <w:left w:val="nil"/>
              <w:bottom w:val="nil"/>
              <w:right w:val="nil"/>
            </w:tcBorders>
            <w:shd w:val="clear" w:color="000000" w:fill="FFFFFF"/>
            <w:noWrap/>
            <w:vAlign w:val="center"/>
            <w:hideMark/>
          </w:tcPr>
          <w:p w14:paraId="1A40C8B5" w14:textId="77777777" w:rsidR="00D77000" w:rsidRPr="00D77000" w:rsidRDefault="00D77000" w:rsidP="00D77000">
            <w:pPr>
              <w:spacing w:before="0" w:after="0" w:line="240" w:lineRule="auto"/>
              <w:rPr>
                <w:rFonts w:ascii="Arial" w:hAnsi="Arial" w:cs="Arial"/>
                <w:i/>
                <w:iCs/>
                <w:color w:val="000000"/>
                <w:sz w:val="16"/>
                <w:szCs w:val="16"/>
              </w:rPr>
            </w:pPr>
            <w:r w:rsidRPr="00D77000">
              <w:rPr>
                <w:rFonts w:ascii="Arial" w:hAnsi="Arial" w:cs="Arial"/>
                <w:i/>
                <w:iCs/>
                <w:color w:val="000000"/>
                <w:sz w:val="16"/>
                <w:szCs w:val="16"/>
              </w:rPr>
              <w:t> </w:t>
            </w:r>
          </w:p>
        </w:tc>
      </w:tr>
      <w:tr w:rsidR="00D77000" w:rsidRPr="00D77000" w14:paraId="0559E017" w14:textId="77777777" w:rsidTr="00D77000">
        <w:trPr>
          <w:trHeight w:hRule="exact" w:val="225"/>
        </w:trPr>
        <w:tc>
          <w:tcPr>
            <w:tcW w:w="1950" w:type="pct"/>
            <w:tcBorders>
              <w:top w:val="nil"/>
              <w:left w:val="nil"/>
              <w:bottom w:val="nil"/>
              <w:right w:val="nil"/>
            </w:tcBorders>
            <w:shd w:val="clear" w:color="000000" w:fill="FFFFFF"/>
            <w:noWrap/>
            <w:vAlign w:val="center"/>
            <w:hideMark/>
          </w:tcPr>
          <w:p w14:paraId="09CBFEF7" w14:textId="77777777" w:rsidR="00D77000" w:rsidRPr="00D77000" w:rsidRDefault="00D77000" w:rsidP="00D77000">
            <w:pPr>
              <w:spacing w:before="0" w:after="0" w:line="240" w:lineRule="auto"/>
              <w:ind w:left="340"/>
              <w:rPr>
                <w:rFonts w:ascii="Arial" w:hAnsi="Arial" w:cs="Arial"/>
                <w:color w:val="000000"/>
                <w:sz w:val="16"/>
                <w:szCs w:val="16"/>
              </w:rPr>
            </w:pPr>
            <w:r w:rsidRPr="00D77000">
              <w:rPr>
                <w:rFonts w:ascii="Arial" w:hAnsi="Arial" w:cs="Arial"/>
                <w:color w:val="000000"/>
                <w:sz w:val="16"/>
                <w:szCs w:val="16"/>
              </w:rPr>
              <w:t>specific funding</w:t>
            </w:r>
          </w:p>
        </w:tc>
        <w:tc>
          <w:tcPr>
            <w:tcW w:w="506" w:type="pct"/>
            <w:tcBorders>
              <w:top w:val="nil"/>
              <w:left w:val="nil"/>
              <w:bottom w:val="nil"/>
              <w:right w:val="nil"/>
            </w:tcBorders>
            <w:shd w:val="clear" w:color="000000" w:fill="FFFFFF"/>
            <w:noWrap/>
            <w:vAlign w:val="center"/>
            <w:hideMark/>
          </w:tcPr>
          <w:p w14:paraId="7200F0FD" w14:textId="77777777" w:rsidR="00D77000" w:rsidRPr="00D77000" w:rsidRDefault="00D77000" w:rsidP="00D77000">
            <w:pPr>
              <w:spacing w:before="0" w:after="0" w:line="240" w:lineRule="auto"/>
              <w:jc w:val="right"/>
              <w:rPr>
                <w:rFonts w:ascii="Arial" w:hAnsi="Arial" w:cs="Arial"/>
                <w:color w:val="000000"/>
                <w:sz w:val="16"/>
                <w:szCs w:val="16"/>
              </w:rPr>
            </w:pPr>
            <w:r w:rsidRPr="00D77000">
              <w:rPr>
                <w:rFonts w:ascii="Arial" w:hAnsi="Arial" w:cs="Arial"/>
                <w:color w:val="000000"/>
                <w:sz w:val="16"/>
                <w:szCs w:val="16"/>
              </w:rPr>
              <w:t>1,082</w:t>
            </w:r>
          </w:p>
        </w:tc>
        <w:tc>
          <w:tcPr>
            <w:tcW w:w="56" w:type="pct"/>
            <w:tcBorders>
              <w:top w:val="nil"/>
              <w:left w:val="nil"/>
              <w:bottom w:val="nil"/>
              <w:right w:val="nil"/>
            </w:tcBorders>
            <w:shd w:val="clear" w:color="000000" w:fill="FFFFFF"/>
            <w:noWrap/>
            <w:vAlign w:val="center"/>
            <w:hideMark/>
          </w:tcPr>
          <w:p w14:paraId="292A2102" w14:textId="77777777" w:rsidR="00D77000" w:rsidRPr="00D77000" w:rsidRDefault="00D77000" w:rsidP="00D77000">
            <w:pPr>
              <w:spacing w:before="0" w:after="0" w:line="240" w:lineRule="auto"/>
              <w:rPr>
                <w:rFonts w:ascii="Arial" w:hAnsi="Arial" w:cs="Arial"/>
                <w:i/>
                <w:iCs/>
                <w:color w:val="000000"/>
                <w:sz w:val="16"/>
                <w:szCs w:val="16"/>
              </w:rPr>
            </w:pPr>
            <w:r w:rsidRPr="00D77000">
              <w:rPr>
                <w:rFonts w:ascii="Arial" w:hAnsi="Arial" w:cs="Arial"/>
                <w:i/>
                <w:iCs/>
                <w:color w:val="000000"/>
                <w:sz w:val="16"/>
                <w:szCs w:val="16"/>
              </w:rPr>
              <w:t> </w:t>
            </w:r>
          </w:p>
        </w:tc>
        <w:tc>
          <w:tcPr>
            <w:tcW w:w="498" w:type="pct"/>
            <w:tcBorders>
              <w:top w:val="nil"/>
              <w:left w:val="nil"/>
              <w:bottom w:val="nil"/>
              <w:right w:val="nil"/>
            </w:tcBorders>
            <w:shd w:val="clear" w:color="000000" w:fill="FFFFFF"/>
            <w:noWrap/>
            <w:vAlign w:val="center"/>
            <w:hideMark/>
          </w:tcPr>
          <w:p w14:paraId="50411062" w14:textId="77777777" w:rsidR="00D77000" w:rsidRPr="00D77000" w:rsidRDefault="00D77000" w:rsidP="00D77000">
            <w:pPr>
              <w:spacing w:before="0" w:after="0" w:line="240" w:lineRule="auto"/>
              <w:jc w:val="right"/>
              <w:rPr>
                <w:rFonts w:ascii="Arial" w:hAnsi="Arial" w:cs="Arial"/>
                <w:color w:val="000000"/>
                <w:sz w:val="16"/>
                <w:szCs w:val="16"/>
              </w:rPr>
            </w:pPr>
            <w:r w:rsidRPr="00D77000">
              <w:rPr>
                <w:rFonts w:ascii="Arial" w:hAnsi="Arial" w:cs="Arial"/>
                <w:color w:val="000000"/>
                <w:sz w:val="16"/>
                <w:szCs w:val="16"/>
              </w:rPr>
              <w:t>1,182</w:t>
            </w:r>
          </w:p>
        </w:tc>
        <w:tc>
          <w:tcPr>
            <w:tcW w:w="497" w:type="pct"/>
            <w:tcBorders>
              <w:top w:val="nil"/>
              <w:left w:val="nil"/>
              <w:bottom w:val="nil"/>
              <w:right w:val="nil"/>
            </w:tcBorders>
            <w:shd w:val="clear" w:color="000000" w:fill="E6F2FF"/>
            <w:noWrap/>
            <w:vAlign w:val="center"/>
            <w:hideMark/>
          </w:tcPr>
          <w:p w14:paraId="6B1E6474" w14:textId="77777777" w:rsidR="00D77000" w:rsidRPr="00D77000" w:rsidRDefault="00D77000" w:rsidP="00D77000">
            <w:pPr>
              <w:spacing w:before="0" w:after="0" w:line="240" w:lineRule="auto"/>
              <w:jc w:val="right"/>
              <w:rPr>
                <w:rFonts w:ascii="Arial" w:hAnsi="Arial" w:cs="Arial"/>
                <w:color w:val="000000"/>
                <w:sz w:val="16"/>
                <w:szCs w:val="16"/>
              </w:rPr>
            </w:pPr>
            <w:r w:rsidRPr="00D77000">
              <w:rPr>
                <w:rFonts w:ascii="Arial" w:hAnsi="Arial" w:cs="Arial"/>
                <w:color w:val="000000"/>
                <w:sz w:val="16"/>
                <w:szCs w:val="16"/>
              </w:rPr>
              <w:t>940</w:t>
            </w:r>
          </w:p>
        </w:tc>
        <w:tc>
          <w:tcPr>
            <w:tcW w:w="497" w:type="pct"/>
            <w:tcBorders>
              <w:top w:val="nil"/>
              <w:left w:val="nil"/>
              <w:bottom w:val="nil"/>
              <w:right w:val="nil"/>
            </w:tcBorders>
            <w:shd w:val="clear" w:color="000000" w:fill="FFFFFF"/>
            <w:noWrap/>
            <w:vAlign w:val="center"/>
            <w:hideMark/>
          </w:tcPr>
          <w:p w14:paraId="0800A2B7" w14:textId="77777777" w:rsidR="00D77000" w:rsidRPr="00D77000" w:rsidRDefault="00D77000" w:rsidP="00D77000">
            <w:pPr>
              <w:spacing w:before="0" w:after="0" w:line="240" w:lineRule="auto"/>
              <w:jc w:val="right"/>
              <w:rPr>
                <w:rFonts w:ascii="Arial" w:hAnsi="Arial" w:cs="Arial"/>
                <w:color w:val="000000"/>
                <w:sz w:val="16"/>
                <w:szCs w:val="16"/>
              </w:rPr>
            </w:pPr>
            <w:r w:rsidRPr="00D77000">
              <w:rPr>
                <w:rFonts w:ascii="Arial" w:hAnsi="Arial" w:cs="Arial"/>
                <w:color w:val="000000"/>
                <w:sz w:val="16"/>
                <w:szCs w:val="16"/>
              </w:rPr>
              <w:t>895</w:t>
            </w:r>
          </w:p>
        </w:tc>
        <w:tc>
          <w:tcPr>
            <w:tcW w:w="497" w:type="pct"/>
            <w:tcBorders>
              <w:top w:val="nil"/>
              <w:left w:val="nil"/>
              <w:bottom w:val="nil"/>
              <w:right w:val="nil"/>
            </w:tcBorders>
            <w:shd w:val="clear" w:color="000000" w:fill="FFFFFF"/>
            <w:noWrap/>
            <w:vAlign w:val="center"/>
            <w:hideMark/>
          </w:tcPr>
          <w:p w14:paraId="1B6F019A" w14:textId="77777777" w:rsidR="00D77000" w:rsidRPr="00D77000" w:rsidRDefault="00D77000" w:rsidP="00D77000">
            <w:pPr>
              <w:spacing w:before="0" w:after="0" w:line="240" w:lineRule="auto"/>
              <w:jc w:val="right"/>
              <w:rPr>
                <w:rFonts w:ascii="Arial" w:hAnsi="Arial" w:cs="Arial"/>
                <w:color w:val="000000"/>
                <w:sz w:val="16"/>
                <w:szCs w:val="16"/>
              </w:rPr>
            </w:pPr>
            <w:r w:rsidRPr="00D77000">
              <w:rPr>
                <w:rFonts w:ascii="Arial" w:hAnsi="Arial" w:cs="Arial"/>
                <w:color w:val="000000"/>
                <w:sz w:val="16"/>
                <w:szCs w:val="16"/>
              </w:rPr>
              <w:t>861</w:t>
            </w:r>
          </w:p>
        </w:tc>
        <w:tc>
          <w:tcPr>
            <w:tcW w:w="497" w:type="pct"/>
            <w:tcBorders>
              <w:top w:val="nil"/>
              <w:left w:val="nil"/>
              <w:bottom w:val="nil"/>
              <w:right w:val="nil"/>
            </w:tcBorders>
            <w:shd w:val="clear" w:color="000000" w:fill="FFFFFF"/>
            <w:noWrap/>
            <w:vAlign w:val="center"/>
            <w:hideMark/>
          </w:tcPr>
          <w:p w14:paraId="0C9D307D" w14:textId="77777777" w:rsidR="00D77000" w:rsidRPr="00D77000" w:rsidRDefault="00D77000" w:rsidP="00D77000">
            <w:pPr>
              <w:spacing w:before="0" w:after="0" w:line="240" w:lineRule="auto"/>
              <w:jc w:val="right"/>
              <w:rPr>
                <w:rFonts w:ascii="Arial" w:hAnsi="Arial" w:cs="Arial"/>
                <w:color w:val="000000"/>
                <w:sz w:val="16"/>
                <w:szCs w:val="16"/>
              </w:rPr>
            </w:pPr>
            <w:r w:rsidRPr="00D77000">
              <w:rPr>
                <w:rFonts w:ascii="Arial" w:hAnsi="Arial" w:cs="Arial"/>
                <w:color w:val="000000"/>
                <w:sz w:val="16"/>
                <w:szCs w:val="16"/>
              </w:rPr>
              <w:t>808</w:t>
            </w:r>
          </w:p>
        </w:tc>
      </w:tr>
      <w:tr w:rsidR="00D77000" w:rsidRPr="00D77000" w14:paraId="20F6FF68" w14:textId="77777777" w:rsidTr="00D77000">
        <w:trPr>
          <w:trHeight w:hRule="exact" w:val="225"/>
        </w:trPr>
        <w:tc>
          <w:tcPr>
            <w:tcW w:w="1950" w:type="pct"/>
            <w:tcBorders>
              <w:top w:val="nil"/>
              <w:left w:val="nil"/>
              <w:bottom w:val="nil"/>
              <w:right w:val="nil"/>
            </w:tcBorders>
            <w:shd w:val="clear" w:color="000000" w:fill="FFFFFF"/>
            <w:noWrap/>
            <w:vAlign w:val="center"/>
            <w:hideMark/>
          </w:tcPr>
          <w:p w14:paraId="63F67A11" w14:textId="77777777" w:rsidR="00D77000" w:rsidRPr="00D77000" w:rsidRDefault="00D77000" w:rsidP="00D77000">
            <w:pPr>
              <w:spacing w:before="0" w:after="0" w:line="240" w:lineRule="auto"/>
              <w:ind w:left="170"/>
              <w:rPr>
                <w:rFonts w:ascii="Arial" w:hAnsi="Arial" w:cs="Arial"/>
                <w:color w:val="000000"/>
                <w:sz w:val="16"/>
                <w:szCs w:val="16"/>
              </w:rPr>
            </w:pPr>
            <w:r w:rsidRPr="00D77000">
              <w:rPr>
                <w:rFonts w:ascii="Arial" w:hAnsi="Arial" w:cs="Arial"/>
                <w:color w:val="000000"/>
                <w:sz w:val="16"/>
                <w:szCs w:val="16"/>
              </w:rPr>
              <w:t>Student assistance</w:t>
            </w:r>
          </w:p>
        </w:tc>
        <w:tc>
          <w:tcPr>
            <w:tcW w:w="506" w:type="pct"/>
            <w:tcBorders>
              <w:top w:val="nil"/>
              <w:left w:val="nil"/>
              <w:bottom w:val="nil"/>
              <w:right w:val="nil"/>
            </w:tcBorders>
            <w:shd w:val="clear" w:color="000000" w:fill="FFFFFF"/>
            <w:noWrap/>
            <w:vAlign w:val="center"/>
            <w:hideMark/>
          </w:tcPr>
          <w:p w14:paraId="01B5C25C" w14:textId="77777777" w:rsidR="00D77000" w:rsidRPr="00D77000" w:rsidRDefault="00D77000" w:rsidP="00D77000">
            <w:pPr>
              <w:spacing w:before="0" w:after="0" w:line="240" w:lineRule="auto"/>
              <w:jc w:val="right"/>
              <w:rPr>
                <w:rFonts w:ascii="Arial" w:hAnsi="Arial" w:cs="Arial"/>
                <w:color w:val="000000"/>
                <w:sz w:val="16"/>
                <w:szCs w:val="16"/>
              </w:rPr>
            </w:pPr>
            <w:r w:rsidRPr="00D77000">
              <w:rPr>
                <w:rFonts w:ascii="Arial" w:hAnsi="Arial" w:cs="Arial"/>
                <w:color w:val="000000"/>
                <w:sz w:val="16"/>
                <w:szCs w:val="16"/>
              </w:rPr>
              <w:t>3,925</w:t>
            </w:r>
          </w:p>
        </w:tc>
        <w:tc>
          <w:tcPr>
            <w:tcW w:w="56" w:type="pct"/>
            <w:tcBorders>
              <w:top w:val="nil"/>
              <w:left w:val="nil"/>
              <w:bottom w:val="nil"/>
              <w:right w:val="nil"/>
            </w:tcBorders>
            <w:shd w:val="clear" w:color="000000" w:fill="FFFFFF"/>
            <w:noWrap/>
            <w:vAlign w:val="center"/>
            <w:hideMark/>
          </w:tcPr>
          <w:p w14:paraId="34EDF147" w14:textId="77777777" w:rsidR="00D77000" w:rsidRPr="00D77000" w:rsidRDefault="00D77000" w:rsidP="00D77000">
            <w:pPr>
              <w:spacing w:before="0" w:after="0" w:line="240" w:lineRule="auto"/>
              <w:rPr>
                <w:rFonts w:ascii="Arial" w:hAnsi="Arial" w:cs="Arial"/>
                <w:color w:val="000000"/>
                <w:sz w:val="16"/>
                <w:szCs w:val="16"/>
              </w:rPr>
            </w:pPr>
            <w:r w:rsidRPr="00D77000">
              <w:rPr>
                <w:rFonts w:ascii="Arial" w:hAnsi="Arial" w:cs="Arial"/>
                <w:color w:val="000000"/>
                <w:sz w:val="16"/>
                <w:szCs w:val="16"/>
              </w:rPr>
              <w:t> </w:t>
            </w:r>
          </w:p>
        </w:tc>
        <w:tc>
          <w:tcPr>
            <w:tcW w:w="498" w:type="pct"/>
            <w:tcBorders>
              <w:top w:val="nil"/>
              <w:left w:val="nil"/>
              <w:bottom w:val="nil"/>
              <w:right w:val="nil"/>
            </w:tcBorders>
            <w:shd w:val="clear" w:color="000000" w:fill="FFFFFF"/>
            <w:noWrap/>
            <w:vAlign w:val="center"/>
            <w:hideMark/>
          </w:tcPr>
          <w:p w14:paraId="274E10EE" w14:textId="77777777" w:rsidR="00D77000" w:rsidRPr="00D77000" w:rsidRDefault="00D77000" w:rsidP="00D77000">
            <w:pPr>
              <w:spacing w:before="0" w:after="0" w:line="240" w:lineRule="auto"/>
              <w:jc w:val="right"/>
              <w:rPr>
                <w:rFonts w:ascii="Arial" w:hAnsi="Arial" w:cs="Arial"/>
                <w:color w:val="000000"/>
                <w:sz w:val="16"/>
                <w:szCs w:val="16"/>
              </w:rPr>
            </w:pPr>
            <w:r w:rsidRPr="00D77000">
              <w:rPr>
                <w:rFonts w:ascii="Arial" w:hAnsi="Arial" w:cs="Arial"/>
                <w:color w:val="000000"/>
                <w:sz w:val="16"/>
                <w:szCs w:val="16"/>
              </w:rPr>
              <w:t>5,132</w:t>
            </w:r>
          </w:p>
        </w:tc>
        <w:tc>
          <w:tcPr>
            <w:tcW w:w="497" w:type="pct"/>
            <w:tcBorders>
              <w:top w:val="nil"/>
              <w:left w:val="nil"/>
              <w:bottom w:val="nil"/>
              <w:right w:val="nil"/>
            </w:tcBorders>
            <w:shd w:val="clear" w:color="000000" w:fill="E6F2FF"/>
            <w:noWrap/>
            <w:vAlign w:val="center"/>
            <w:hideMark/>
          </w:tcPr>
          <w:p w14:paraId="78EC46A9" w14:textId="77777777" w:rsidR="00D77000" w:rsidRPr="00D77000" w:rsidRDefault="00D77000" w:rsidP="00D77000">
            <w:pPr>
              <w:spacing w:before="0" w:after="0" w:line="240" w:lineRule="auto"/>
              <w:jc w:val="right"/>
              <w:rPr>
                <w:rFonts w:ascii="Arial" w:hAnsi="Arial" w:cs="Arial"/>
                <w:color w:val="000000"/>
                <w:sz w:val="16"/>
                <w:szCs w:val="16"/>
              </w:rPr>
            </w:pPr>
            <w:r w:rsidRPr="00D77000">
              <w:rPr>
                <w:rFonts w:ascii="Arial" w:hAnsi="Arial" w:cs="Arial"/>
                <w:color w:val="000000"/>
                <w:sz w:val="16"/>
                <w:szCs w:val="16"/>
              </w:rPr>
              <w:t>7,482</w:t>
            </w:r>
          </w:p>
        </w:tc>
        <w:tc>
          <w:tcPr>
            <w:tcW w:w="497" w:type="pct"/>
            <w:tcBorders>
              <w:top w:val="nil"/>
              <w:left w:val="nil"/>
              <w:bottom w:val="nil"/>
              <w:right w:val="nil"/>
            </w:tcBorders>
            <w:shd w:val="clear" w:color="000000" w:fill="FFFFFF"/>
            <w:noWrap/>
            <w:vAlign w:val="center"/>
            <w:hideMark/>
          </w:tcPr>
          <w:p w14:paraId="1B5FB72F" w14:textId="77777777" w:rsidR="00D77000" w:rsidRPr="00D77000" w:rsidRDefault="00D77000" w:rsidP="00D77000">
            <w:pPr>
              <w:spacing w:before="0" w:after="0" w:line="240" w:lineRule="auto"/>
              <w:jc w:val="right"/>
              <w:rPr>
                <w:rFonts w:ascii="Arial" w:hAnsi="Arial" w:cs="Arial"/>
                <w:color w:val="000000"/>
                <w:sz w:val="16"/>
                <w:szCs w:val="16"/>
              </w:rPr>
            </w:pPr>
            <w:r w:rsidRPr="00D77000">
              <w:rPr>
                <w:rFonts w:ascii="Arial" w:hAnsi="Arial" w:cs="Arial"/>
                <w:color w:val="000000"/>
                <w:sz w:val="16"/>
                <w:szCs w:val="16"/>
              </w:rPr>
              <w:t>5,863</w:t>
            </w:r>
          </w:p>
        </w:tc>
        <w:tc>
          <w:tcPr>
            <w:tcW w:w="497" w:type="pct"/>
            <w:tcBorders>
              <w:top w:val="nil"/>
              <w:left w:val="nil"/>
              <w:bottom w:val="nil"/>
              <w:right w:val="nil"/>
            </w:tcBorders>
            <w:shd w:val="clear" w:color="000000" w:fill="FFFFFF"/>
            <w:noWrap/>
            <w:vAlign w:val="center"/>
            <w:hideMark/>
          </w:tcPr>
          <w:p w14:paraId="42034E3B" w14:textId="77777777" w:rsidR="00D77000" w:rsidRPr="00D77000" w:rsidRDefault="00D77000" w:rsidP="00D77000">
            <w:pPr>
              <w:spacing w:before="0" w:after="0" w:line="240" w:lineRule="auto"/>
              <w:jc w:val="right"/>
              <w:rPr>
                <w:rFonts w:ascii="Arial" w:hAnsi="Arial" w:cs="Arial"/>
                <w:color w:val="000000"/>
                <w:sz w:val="16"/>
                <w:szCs w:val="16"/>
              </w:rPr>
            </w:pPr>
            <w:r w:rsidRPr="00D77000">
              <w:rPr>
                <w:rFonts w:ascii="Arial" w:hAnsi="Arial" w:cs="Arial"/>
                <w:color w:val="000000"/>
                <w:sz w:val="16"/>
                <w:szCs w:val="16"/>
              </w:rPr>
              <w:t>6,156</w:t>
            </w:r>
          </w:p>
        </w:tc>
        <w:tc>
          <w:tcPr>
            <w:tcW w:w="497" w:type="pct"/>
            <w:tcBorders>
              <w:top w:val="nil"/>
              <w:left w:val="nil"/>
              <w:bottom w:val="nil"/>
              <w:right w:val="nil"/>
            </w:tcBorders>
            <w:shd w:val="clear" w:color="000000" w:fill="FFFFFF"/>
            <w:noWrap/>
            <w:vAlign w:val="center"/>
            <w:hideMark/>
          </w:tcPr>
          <w:p w14:paraId="13DD0434" w14:textId="77777777" w:rsidR="00D77000" w:rsidRPr="00D77000" w:rsidRDefault="00D77000" w:rsidP="00D77000">
            <w:pPr>
              <w:spacing w:before="0" w:after="0" w:line="240" w:lineRule="auto"/>
              <w:jc w:val="right"/>
              <w:rPr>
                <w:rFonts w:ascii="Arial" w:hAnsi="Arial" w:cs="Arial"/>
                <w:color w:val="000000"/>
                <w:sz w:val="16"/>
                <w:szCs w:val="16"/>
              </w:rPr>
            </w:pPr>
            <w:r w:rsidRPr="00D77000">
              <w:rPr>
                <w:rFonts w:ascii="Arial" w:hAnsi="Arial" w:cs="Arial"/>
                <w:color w:val="000000"/>
                <w:sz w:val="16"/>
                <w:szCs w:val="16"/>
              </w:rPr>
              <w:t>6,478</w:t>
            </w:r>
          </w:p>
        </w:tc>
      </w:tr>
      <w:tr w:rsidR="00D77000" w:rsidRPr="00D77000" w14:paraId="6489774B" w14:textId="77777777" w:rsidTr="00D77000">
        <w:trPr>
          <w:trHeight w:hRule="exact" w:val="225"/>
        </w:trPr>
        <w:tc>
          <w:tcPr>
            <w:tcW w:w="1950" w:type="pct"/>
            <w:tcBorders>
              <w:top w:val="nil"/>
              <w:left w:val="nil"/>
              <w:bottom w:val="nil"/>
              <w:right w:val="nil"/>
            </w:tcBorders>
            <w:shd w:val="clear" w:color="000000" w:fill="FFFFFF"/>
            <w:noWrap/>
            <w:vAlign w:val="center"/>
            <w:hideMark/>
          </w:tcPr>
          <w:p w14:paraId="3EB0FB51" w14:textId="77777777" w:rsidR="00D77000" w:rsidRPr="00D77000" w:rsidRDefault="00D77000" w:rsidP="00D77000">
            <w:pPr>
              <w:spacing w:before="0" w:after="0" w:line="240" w:lineRule="auto"/>
              <w:ind w:left="170"/>
              <w:rPr>
                <w:rFonts w:ascii="Arial" w:hAnsi="Arial" w:cs="Arial"/>
                <w:color w:val="000000"/>
                <w:sz w:val="16"/>
                <w:szCs w:val="16"/>
              </w:rPr>
            </w:pPr>
            <w:r w:rsidRPr="00D77000">
              <w:rPr>
                <w:rFonts w:ascii="Arial" w:hAnsi="Arial" w:cs="Arial"/>
                <w:color w:val="000000"/>
                <w:sz w:val="16"/>
                <w:szCs w:val="16"/>
              </w:rPr>
              <w:t>General administration</w:t>
            </w:r>
          </w:p>
        </w:tc>
        <w:tc>
          <w:tcPr>
            <w:tcW w:w="506" w:type="pct"/>
            <w:tcBorders>
              <w:top w:val="nil"/>
              <w:left w:val="nil"/>
              <w:bottom w:val="single" w:sz="4" w:space="0" w:color="293F5B"/>
              <w:right w:val="nil"/>
            </w:tcBorders>
            <w:shd w:val="clear" w:color="000000" w:fill="FFFFFF"/>
            <w:noWrap/>
            <w:vAlign w:val="center"/>
            <w:hideMark/>
          </w:tcPr>
          <w:p w14:paraId="26A637A8" w14:textId="77777777" w:rsidR="00D77000" w:rsidRPr="00D77000" w:rsidRDefault="00D77000" w:rsidP="00D77000">
            <w:pPr>
              <w:spacing w:before="0" w:after="0" w:line="240" w:lineRule="auto"/>
              <w:jc w:val="right"/>
              <w:rPr>
                <w:rFonts w:ascii="Arial" w:hAnsi="Arial" w:cs="Arial"/>
                <w:color w:val="000000"/>
                <w:sz w:val="16"/>
                <w:szCs w:val="16"/>
              </w:rPr>
            </w:pPr>
            <w:r w:rsidRPr="00D77000">
              <w:rPr>
                <w:rFonts w:ascii="Arial" w:hAnsi="Arial" w:cs="Arial"/>
                <w:color w:val="000000"/>
                <w:sz w:val="16"/>
                <w:szCs w:val="16"/>
              </w:rPr>
              <w:t>264</w:t>
            </w:r>
          </w:p>
        </w:tc>
        <w:tc>
          <w:tcPr>
            <w:tcW w:w="56" w:type="pct"/>
            <w:tcBorders>
              <w:top w:val="nil"/>
              <w:left w:val="nil"/>
              <w:bottom w:val="nil"/>
              <w:right w:val="nil"/>
            </w:tcBorders>
            <w:shd w:val="clear" w:color="000000" w:fill="FFFFFF"/>
            <w:noWrap/>
            <w:vAlign w:val="center"/>
            <w:hideMark/>
          </w:tcPr>
          <w:p w14:paraId="51B1EAB7" w14:textId="77777777" w:rsidR="00D77000" w:rsidRPr="00D77000" w:rsidRDefault="00D77000" w:rsidP="00D77000">
            <w:pPr>
              <w:spacing w:before="0" w:after="0" w:line="240" w:lineRule="auto"/>
              <w:rPr>
                <w:rFonts w:ascii="Arial" w:hAnsi="Arial" w:cs="Arial"/>
                <w:color w:val="000000"/>
                <w:sz w:val="16"/>
                <w:szCs w:val="16"/>
              </w:rPr>
            </w:pPr>
            <w:r w:rsidRPr="00D77000">
              <w:rPr>
                <w:rFonts w:ascii="Arial" w:hAnsi="Arial" w:cs="Arial"/>
                <w:color w:val="000000"/>
                <w:sz w:val="16"/>
                <w:szCs w:val="16"/>
              </w:rPr>
              <w:t> </w:t>
            </w:r>
          </w:p>
        </w:tc>
        <w:tc>
          <w:tcPr>
            <w:tcW w:w="498" w:type="pct"/>
            <w:tcBorders>
              <w:top w:val="nil"/>
              <w:left w:val="nil"/>
              <w:bottom w:val="single" w:sz="4" w:space="0" w:color="293F5B"/>
              <w:right w:val="nil"/>
            </w:tcBorders>
            <w:shd w:val="clear" w:color="000000" w:fill="FFFFFF"/>
            <w:noWrap/>
            <w:vAlign w:val="center"/>
            <w:hideMark/>
          </w:tcPr>
          <w:p w14:paraId="318661A5" w14:textId="77777777" w:rsidR="00D77000" w:rsidRPr="00D77000" w:rsidRDefault="00D77000" w:rsidP="00D77000">
            <w:pPr>
              <w:spacing w:before="0" w:after="0" w:line="240" w:lineRule="auto"/>
              <w:jc w:val="right"/>
              <w:rPr>
                <w:rFonts w:ascii="Arial" w:hAnsi="Arial" w:cs="Arial"/>
                <w:color w:val="000000"/>
                <w:sz w:val="16"/>
                <w:szCs w:val="16"/>
              </w:rPr>
            </w:pPr>
            <w:r w:rsidRPr="00D77000">
              <w:rPr>
                <w:rFonts w:ascii="Arial" w:hAnsi="Arial" w:cs="Arial"/>
                <w:color w:val="000000"/>
                <w:sz w:val="16"/>
                <w:szCs w:val="16"/>
              </w:rPr>
              <w:t>301</w:t>
            </w:r>
          </w:p>
        </w:tc>
        <w:tc>
          <w:tcPr>
            <w:tcW w:w="497" w:type="pct"/>
            <w:tcBorders>
              <w:top w:val="nil"/>
              <w:left w:val="nil"/>
              <w:bottom w:val="single" w:sz="4" w:space="0" w:color="293F5B"/>
              <w:right w:val="nil"/>
            </w:tcBorders>
            <w:shd w:val="clear" w:color="000000" w:fill="E6F2FF"/>
            <w:noWrap/>
            <w:vAlign w:val="center"/>
            <w:hideMark/>
          </w:tcPr>
          <w:p w14:paraId="0B5CD7C1" w14:textId="77777777" w:rsidR="00D77000" w:rsidRPr="00D77000" w:rsidRDefault="00D77000" w:rsidP="00D77000">
            <w:pPr>
              <w:spacing w:before="0" w:after="0" w:line="240" w:lineRule="auto"/>
              <w:jc w:val="right"/>
              <w:rPr>
                <w:rFonts w:ascii="Arial" w:hAnsi="Arial" w:cs="Arial"/>
                <w:color w:val="000000"/>
                <w:sz w:val="16"/>
                <w:szCs w:val="16"/>
              </w:rPr>
            </w:pPr>
            <w:r w:rsidRPr="00D77000">
              <w:rPr>
                <w:rFonts w:ascii="Arial" w:hAnsi="Arial" w:cs="Arial"/>
                <w:color w:val="000000"/>
                <w:sz w:val="16"/>
                <w:szCs w:val="16"/>
              </w:rPr>
              <w:t>343</w:t>
            </w:r>
          </w:p>
        </w:tc>
        <w:tc>
          <w:tcPr>
            <w:tcW w:w="497" w:type="pct"/>
            <w:tcBorders>
              <w:top w:val="nil"/>
              <w:left w:val="nil"/>
              <w:bottom w:val="single" w:sz="4" w:space="0" w:color="293F5B"/>
              <w:right w:val="nil"/>
            </w:tcBorders>
            <w:shd w:val="clear" w:color="000000" w:fill="FFFFFF"/>
            <w:noWrap/>
            <w:vAlign w:val="center"/>
            <w:hideMark/>
          </w:tcPr>
          <w:p w14:paraId="03CDAE4E" w14:textId="77777777" w:rsidR="00D77000" w:rsidRPr="00D77000" w:rsidRDefault="00D77000" w:rsidP="00D77000">
            <w:pPr>
              <w:spacing w:before="0" w:after="0" w:line="240" w:lineRule="auto"/>
              <w:jc w:val="right"/>
              <w:rPr>
                <w:rFonts w:ascii="Arial" w:hAnsi="Arial" w:cs="Arial"/>
                <w:color w:val="000000"/>
                <w:sz w:val="16"/>
                <w:szCs w:val="16"/>
              </w:rPr>
            </w:pPr>
            <w:r w:rsidRPr="00D77000">
              <w:rPr>
                <w:rFonts w:ascii="Arial" w:hAnsi="Arial" w:cs="Arial"/>
                <w:color w:val="000000"/>
                <w:sz w:val="16"/>
                <w:szCs w:val="16"/>
              </w:rPr>
              <w:t>309</w:t>
            </w:r>
          </w:p>
        </w:tc>
        <w:tc>
          <w:tcPr>
            <w:tcW w:w="497" w:type="pct"/>
            <w:tcBorders>
              <w:top w:val="nil"/>
              <w:left w:val="nil"/>
              <w:bottom w:val="single" w:sz="4" w:space="0" w:color="293F5B"/>
              <w:right w:val="nil"/>
            </w:tcBorders>
            <w:shd w:val="clear" w:color="000000" w:fill="FFFFFF"/>
            <w:noWrap/>
            <w:vAlign w:val="center"/>
            <w:hideMark/>
          </w:tcPr>
          <w:p w14:paraId="04A499BE" w14:textId="77777777" w:rsidR="00D77000" w:rsidRPr="00D77000" w:rsidRDefault="00D77000" w:rsidP="00D77000">
            <w:pPr>
              <w:spacing w:before="0" w:after="0" w:line="240" w:lineRule="auto"/>
              <w:jc w:val="right"/>
              <w:rPr>
                <w:rFonts w:ascii="Arial" w:hAnsi="Arial" w:cs="Arial"/>
                <w:color w:val="000000"/>
                <w:sz w:val="16"/>
                <w:szCs w:val="16"/>
              </w:rPr>
            </w:pPr>
            <w:r w:rsidRPr="00D77000">
              <w:rPr>
                <w:rFonts w:ascii="Arial" w:hAnsi="Arial" w:cs="Arial"/>
                <w:color w:val="000000"/>
                <w:sz w:val="16"/>
                <w:szCs w:val="16"/>
              </w:rPr>
              <w:t>294</w:t>
            </w:r>
          </w:p>
        </w:tc>
        <w:tc>
          <w:tcPr>
            <w:tcW w:w="497" w:type="pct"/>
            <w:tcBorders>
              <w:top w:val="nil"/>
              <w:left w:val="nil"/>
              <w:bottom w:val="single" w:sz="4" w:space="0" w:color="293F5B"/>
              <w:right w:val="nil"/>
            </w:tcBorders>
            <w:shd w:val="clear" w:color="000000" w:fill="FFFFFF"/>
            <w:noWrap/>
            <w:vAlign w:val="center"/>
            <w:hideMark/>
          </w:tcPr>
          <w:p w14:paraId="39AAB25D" w14:textId="77777777" w:rsidR="00D77000" w:rsidRPr="00D77000" w:rsidRDefault="00D77000" w:rsidP="00D77000">
            <w:pPr>
              <w:spacing w:before="0" w:after="0" w:line="240" w:lineRule="auto"/>
              <w:jc w:val="right"/>
              <w:rPr>
                <w:rFonts w:ascii="Arial" w:hAnsi="Arial" w:cs="Arial"/>
                <w:color w:val="000000"/>
                <w:sz w:val="16"/>
                <w:szCs w:val="16"/>
              </w:rPr>
            </w:pPr>
            <w:r w:rsidRPr="00D77000">
              <w:rPr>
                <w:rFonts w:ascii="Arial" w:hAnsi="Arial" w:cs="Arial"/>
                <w:color w:val="000000"/>
                <w:sz w:val="16"/>
                <w:szCs w:val="16"/>
              </w:rPr>
              <w:t>294</w:t>
            </w:r>
          </w:p>
        </w:tc>
      </w:tr>
      <w:tr w:rsidR="00D77000" w:rsidRPr="00D77000" w14:paraId="6B61C0E0" w14:textId="77777777" w:rsidTr="00D77000">
        <w:trPr>
          <w:trHeight w:hRule="exact" w:val="225"/>
        </w:trPr>
        <w:tc>
          <w:tcPr>
            <w:tcW w:w="1950" w:type="pct"/>
            <w:tcBorders>
              <w:top w:val="nil"/>
              <w:left w:val="nil"/>
              <w:bottom w:val="nil"/>
              <w:right w:val="nil"/>
            </w:tcBorders>
            <w:shd w:val="clear" w:color="000000" w:fill="FFFFFF"/>
            <w:noWrap/>
            <w:vAlign w:val="center"/>
            <w:hideMark/>
          </w:tcPr>
          <w:p w14:paraId="08B26C77" w14:textId="77777777" w:rsidR="00D77000" w:rsidRPr="00D77000" w:rsidRDefault="00D77000" w:rsidP="00D77000">
            <w:pPr>
              <w:spacing w:before="0" w:after="0" w:line="240" w:lineRule="auto"/>
              <w:rPr>
                <w:rFonts w:ascii="Arial" w:hAnsi="Arial" w:cs="Arial"/>
                <w:b/>
                <w:bCs/>
                <w:color w:val="000000"/>
                <w:sz w:val="16"/>
                <w:szCs w:val="16"/>
              </w:rPr>
            </w:pPr>
            <w:r w:rsidRPr="00D77000">
              <w:rPr>
                <w:rFonts w:ascii="Arial" w:hAnsi="Arial" w:cs="Arial"/>
                <w:b/>
                <w:bCs/>
                <w:color w:val="000000"/>
                <w:sz w:val="16"/>
                <w:szCs w:val="16"/>
              </w:rPr>
              <w:t>Total education</w:t>
            </w:r>
          </w:p>
        </w:tc>
        <w:tc>
          <w:tcPr>
            <w:tcW w:w="506" w:type="pct"/>
            <w:tcBorders>
              <w:top w:val="nil"/>
              <w:left w:val="nil"/>
              <w:bottom w:val="single" w:sz="4" w:space="0" w:color="293F5B"/>
              <w:right w:val="nil"/>
            </w:tcBorders>
            <w:shd w:val="clear" w:color="000000" w:fill="FFFFFF"/>
            <w:noWrap/>
            <w:vAlign w:val="center"/>
            <w:hideMark/>
          </w:tcPr>
          <w:p w14:paraId="3FF7BA24" w14:textId="77777777" w:rsidR="00D77000" w:rsidRPr="00D77000" w:rsidRDefault="00D77000" w:rsidP="00D77000">
            <w:pPr>
              <w:spacing w:before="0" w:after="0" w:line="240" w:lineRule="auto"/>
              <w:jc w:val="right"/>
              <w:rPr>
                <w:rFonts w:ascii="Arial" w:hAnsi="Arial" w:cs="Arial"/>
                <w:b/>
                <w:bCs/>
                <w:color w:val="000000"/>
                <w:sz w:val="16"/>
                <w:szCs w:val="16"/>
              </w:rPr>
            </w:pPr>
            <w:r w:rsidRPr="00D77000">
              <w:rPr>
                <w:rFonts w:ascii="Arial" w:hAnsi="Arial" w:cs="Arial"/>
                <w:b/>
                <w:bCs/>
                <w:color w:val="000000"/>
                <w:sz w:val="16"/>
                <w:szCs w:val="16"/>
              </w:rPr>
              <w:t>44,932</w:t>
            </w:r>
          </w:p>
        </w:tc>
        <w:tc>
          <w:tcPr>
            <w:tcW w:w="56" w:type="pct"/>
            <w:tcBorders>
              <w:top w:val="nil"/>
              <w:left w:val="nil"/>
              <w:bottom w:val="nil"/>
              <w:right w:val="nil"/>
            </w:tcBorders>
            <w:shd w:val="clear" w:color="000000" w:fill="FFFFFF"/>
            <w:noWrap/>
            <w:vAlign w:val="center"/>
            <w:hideMark/>
          </w:tcPr>
          <w:p w14:paraId="1DACD7AA" w14:textId="77777777" w:rsidR="00D77000" w:rsidRPr="00D77000" w:rsidRDefault="00D77000" w:rsidP="00D77000">
            <w:pPr>
              <w:spacing w:before="0" w:after="0" w:line="240" w:lineRule="auto"/>
              <w:rPr>
                <w:rFonts w:ascii="Arial" w:hAnsi="Arial" w:cs="Arial"/>
                <w:b/>
                <w:bCs/>
                <w:color w:val="000000"/>
                <w:sz w:val="16"/>
                <w:szCs w:val="16"/>
              </w:rPr>
            </w:pPr>
            <w:r w:rsidRPr="00D77000">
              <w:rPr>
                <w:rFonts w:ascii="Arial" w:hAnsi="Arial" w:cs="Arial"/>
                <w:b/>
                <w:bCs/>
                <w:color w:val="000000"/>
                <w:sz w:val="16"/>
                <w:szCs w:val="16"/>
              </w:rPr>
              <w:t> </w:t>
            </w:r>
          </w:p>
        </w:tc>
        <w:tc>
          <w:tcPr>
            <w:tcW w:w="498" w:type="pct"/>
            <w:tcBorders>
              <w:top w:val="nil"/>
              <w:left w:val="nil"/>
              <w:bottom w:val="single" w:sz="4" w:space="0" w:color="293F5B"/>
              <w:right w:val="nil"/>
            </w:tcBorders>
            <w:shd w:val="clear" w:color="000000" w:fill="FFFFFF"/>
            <w:noWrap/>
            <w:vAlign w:val="center"/>
            <w:hideMark/>
          </w:tcPr>
          <w:p w14:paraId="0ADA4D68" w14:textId="77777777" w:rsidR="00D77000" w:rsidRPr="00D77000" w:rsidRDefault="00D77000" w:rsidP="00D77000">
            <w:pPr>
              <w:spacing w:before="0" w:after="0" w:line="240" w:lineRule="auto"/>
              <w:jc w:val="right"/>
              <w:rPr>
                <w:rFonts w:ascii="Arial" w:hAnsi="Arial" w:cs="Arial"/>
                <w:b/>
                <w:bCs/>
                <w:color w:val="000000"/>
                <w:sz w:val="16"/>
                <w:szCs w:val="16"/>
              </w:rPr>
            </w:pPr>
            <w:r w:rsidRPr="00D77000">
              <w:rPr>
                <w:rFonts w:ascii="Arial" w:hAnsi="Arial" w:cs="Arial"/>
                <w:b/>
                <w:bCs/>
                <w:color w:val="000000"/>
                <w:sz w:val="16"/>
                <w:szCs w:val="16"/>
              </w:rPr>
              <w:t>49,099</w:t>
            </w:r>
          </w:p>
        </w:tc>
        <w:tc>
          <w:tcPr>
            <w:tcW w:w="497" w:type="pct"/>
            <w:tcBorders>
              <w:top w:val="nil"/>
              <w:left w:val="nil"/>
              <w:bottom w:val="single" w:sz="4" w:space="0" w:color="293F5B"/>
              <w:right w:val="nil"/>
            </w:tcBorders>
            <w:shd w:val="clear" w:color="000000" w:fill="E6F2FF"/>
            <w:noWrap/>
            <w:vAlign w:val="center"/>
            <w:hideMark/>
          </w:tcPr>
          <w:p w14:paraId="73D84E8B" w14:textId="77777777" w:rsidR="00D77000" w:rsidRPr="00D77000" w:rsidRDefault="00D77000" w:rsidP="00D77000">
            <w:pPr>
              <w:spacing w:before="0" w:after="0" w:line="240" w:lineRule="auto"/>
              <w:jc w:val="right"/>
              <w:rPr>
                <w:rFonts w:ascii="Arial" w:hAnsi="Arial" w:cs="Arial"/>
                <w:b/>
                <w:bCs/>
                <w:color w:val="000000"/>
                <w:sz w:val="16"/>
                <w:szCs w:val="16"/>
              </w:rPr>
            </w:pPr>
            <w:r w:rsidRPr="00D77000">
              <w:rPr>
                <w:rFonts w:ascii="Arial" w:hAnsi="Arial" w:cs="Arial"/>
                <w:b/>
                <w:bCs/>
                <w:color w:val="000000"/>
                <w:sz w:val="16"/>
                <w:szCs w:val="16"/>
              </w:rPr>
              <w:t>53,046</w:t>
            </w:r>
          </w:p>
        </w:tc>
        <w:tc>
          <w:tcPr>
            <w:tcW w:w="497" w:type="pct"/>
            <w:tcBorders>
              <w:top w:val="nil"/>
              <w:left w:val="nil"/>
              <w:bottom w:val="single" w:sz="4" w:space="0" w:color="293F5B"/>
              <w:right w:val="nil"/>
            </w:tcBorders>
            <w:shd w:val="clear" w:color="000000" w:fill="FFFFFF"/>
            <w:noWrap/>
            <w:vAlign w:val="center"/>
            <w:hideMark/>
          </w:tcPr>
          <w:p w14:paraId="4C4A1A70" w14:textId="77777777" w:rsidR="00D77000" w:rsidRPr="00D77000" w:rsidRDefault="00D77000" w:rsidP="00D77000">
            <w:pPr>
              <w:spacing w:before="0" w:after="0" w:line="240" w:lineRule="auto"/>
              <w:jc w:val="right"/>
              <w:rPr>
                <w:rFonts w:ascii="Arial" w:hAnsi="Arial" w:cs="Arial"/>
                <w:b/>
                <w:bCs/>
                <w:color w:val="000000"/>
                <w:sz w:val="16"/>
                <w:szCs w:val="16"/>
              </w:rPr>
            </w:pPr>
            <w:r w:rsidRPr="00D77000">
              <w:rPr>
                <w:rFonts w:ascii="Arial" w:hAnsi="Arial" w:cs="Arial"/>
                <w:b/>
                <w:bCs/>
                <w:color w:val="000000"/>
                <w:sz w:val="16"/>
                <w:szCs w:val="16"/>
              </w:rPr>
              <w:t>53,220</w:t>
            </w:r>
          </w:p>
        </w:tc>
        <w:tc>
          <w:tcPr>
            <w:tcW w:w="497" w:type="pct"/>
            <w:tcBorders>
              <w:top w:val="nil"/>
              <w:left w:val="nil"/>
              <w:bottom w:val="single" w:sz="4" w:space="0" w:color="293F5B"/>
              <w:right w:val="nil"/>
            </w:tcBorders>
            <w:shd w:val="clear" w:color="000000" w:fill="FFFFFF"/>
            <w:noWrap/>
            <w:vAlign w:val="center"/>
            <w:hideMark/>
          </w:tcPr>
          <w:p w14:paraId="51E522E9" w14:textId="77777777" w:rsidR="00D77000" w:rsidRPr="00D77000" w:rsidRDefault="00D77000" w:rsidP="00D77000">
            <w:pPr>
              <w:spacing w:before="0" w:after="0" w:line="240" w:lineRule="auto"/>
              <w:jc w:val="right"/>
              <w:rPr>
                <w:rFonts w:ascii="Arial" w:hAnsi="Arial" w:cs="Arial"/>
                <w:b/>
                <w:bCs/>
                <w:color w:val="000000"/>
                <w:sz w:val="16"/>
                <w:szCs w:val="16"/>
              </w:rPr>
            </w:pPr>
            <w:r w:rsidRPr="00D77000">
              <w:rPr>
                <w:rFonts w:ascii="Arial" w:hAnsi="Arial" w:cs="Arial"/>
                <w:b/>
                <w:bCs/>
                <w:color w:val="000000"/>
                <w:sz w:val="16"/>
                <w:szCs w:val="16"/>
              </w:rPr>
              <w:t>55,093</w:t>
            </w:r>
          </w:p>
        </w:tc>
        <w:tc>
          <w:tcPr>
            <w:tcW w:w="497" w:type="pct"/>
            <w:tcBorders>
              <w:top w:val="nil"/>
              <w:left w:val="nil"/>
              <w:bottom w:val="single" w:sz="4" w:space="0" w:color="293F5B"/>
              <w:right w:val="nil"/>
            </w:tcBorders>
            <w:shd w:val="clear" w:color="000000" w:fill="FFFFFF"/>
            <w:noWrap/>
            <w:vAlign w:val="center"/>
            <w:hideMark/>
          </w:tcPr>
          <w:p w14:paraId="5E7937E2" w14:textId="77777777" w:rsidR="00D77000" w:rsidRPr="00D77000" w:rsidRDefault="00D77000" w:rsidP="00D77000">
            <w:pPr>
              <w:spacing w:before="0" w:after="0" w:line="240" w:lineRule="auto"/>
              <w:jc w:val="right"/>
              <w:rPr>
                <w:rFonts w:ascii="Arial" w:hAnsi="Arial" w:cs="Arial"/>
                <w:b/>
                <w:bCs/>
                <w:color w:val="000000"/>
                <w:sz w:val="16"/>
                <w:szCs w:val="16"/>
              </w:rPr>
            </w:pPr>
            <w:r w:rsidRPr="00D77000">
              <w:rPr>
                <w:rFonts w:ascii="Arial" w:hAnsi="Arial" w:cs="Arial"/>
                <w:b/>
                <w:bCs/>
                <w:color w:val="000000"/>
                <w:sz w:val="16"/>
                <w:szCs w:val="16"/>
              </w:rPr>
              <w:t>56,925</w:t>
            </w:r>
          </w:p>
        </w:tc>
      </w:tr>
      <w:tr w:rsidR="00D77000" w:rsidRPr="00D77000" w14:paraId="41831405" w14:textId="77777777" w:rsidTr="00D77000">
        <w:trPr>
          <w:trHeight w:hRule="exact" w:val="60"/>
        </w:trPr>
        <w:tc>
          <w:tcPr>
            <w:tcW w:w="1950" w:type="pct"/>
            <w:tcBorders>
              <w:top w:val="nil"/>
              <w:left w:val="nil"/>
              <w:bottom w:val="nil"/>
              <w:right w:val="nil"/>
            </w:tcBorders>
            <w:shd w:val="clear" w:color="000000" w:fill="FFFFFF"/>
            <w:noWrap/>
            <w:vAlign w:val="center"/>
            <w:hideMark/>
          </w:tcPr>
          <w:p w14:paraId="2031412C" w14:textId="77777777" w:rsidR="00D77000" w:rsidRPr="00D77000" w:rsidRDefault="00D77000" w:rsidP="00D77000">
            <w:pPr>
              <w:spacing w:before="0" w:after="0" w:line="240" w:lineRule="auto"/>
              <w:rPr>
                <w:rFonts w:ascii="Arial" w:hAnsi="Arial" w:cs="Arial"/>
                <w:b/>
                <w:bCs/>
                <w:color w:val="000000"/>
                <w:sz w:val="16"/>
                <w:szCs w:val="16"/>
              </w:rPr>
            </w:pPr>
            <w:r w:rsidRPr="00D77000">
              <w:rPr>
                <w:rFonts w:ascii="Arial" w:hAnsi="Arial" w:cs="Arial"/>
                <w:b/>
                <w:bCs/>
                <w:color w:val="000000"/>
                <w:sz w:val="16"/>
                <w:szCs w:val="16"/>
              </w:rPr>
              <w:t> </w:t>
            </w:r>
          </w:p>
        </w:tc>
        <w:tc>
          <w:tcPr>
            <w:tcW w:w="506" w:type="pct"/>
            <w:tcBorders>
              <w:top w:val="nil"/>
              <w:left w:val="nil"/>
              <w:bottom w:val="nil"/>
              <w:right w:val="nil"/>
            </w:tcBorders>
            <w:shd w:val="clear" w:color="000000" w:fill="FFFFFF"/>
            <w:noWrap/>
            <w:vAlign w:val="center"/>
            <w:hideMark/>
          </w:tcPr>
          <w:p w14:paraId="1C9DE8C3" w14:textId="77777777" w:rsidR="00D77000" w:rsidRPr="00D77000" w:rsidRDefault="00D77000" w:rsidP="00D77000">
            <w:pPr>
              <w:spacing w:before="0" w:after="0" w:line="240" w:lineRule="auto"/>
              <w:rPr>
                <w:rFonts w:ascii="Arial" w:hAnsi="Arial" w:cs="Arial"/>
                <w:b/>
                <w:bCs/>
                <w:color w:val="000000"/>
                <w:sz w:val="16"/>
                <w:szCs w:val="16"/>
              </w:rPr>
            </w:pPr>
            <w:r w:rsidRPr="00D77000">
              <w:rPr>
                <w:rFonts w:ascii="Arial" w:hAnsi="Arial" w:cs="Arial"/>
                <w:b/>
                <w:bCs/>
                <w:color w:val="000000"/>
                <w:sz w:val="16"/>
                <w:szCs w:val="16"/>
              </w:rPr>
              <w:t> </w:t>
            </w:r>
          </w:p>
        </w:tc>
        <w:tc>
          <w:tcPr>
            <w:tcW w:w="56" w:type="pct"/>
            <w:tcBorders>
              <w:top w:val="nil"/>
              <w:left w:val="nil"/>
              <w:bottom w:val="nil"/>
              <w:right w:val="nil"/>
            </w:tcBorders>
            <w:shd w:val="clear" w:color="000000" w:fill="FFFFFF"/>
            <w:noWrap/>
            <w:vAlign w:val="center"/>
            <w:hideMark/>
          </w:tcPr>
          <w:p w14:paraId="70F74805" w14:textId="77777777" w:rsidR="00D77000" w:rsidRPr="00D77000" w:rsidRDefault="00D77000" w:rsidP="00D77000">
            <w:pPr>
              <w:spacing w:before="0" w:after="0" w:line="240" w:lineRule="auto"/>
              <w:rPr>
                <w:rFonts w:ascii="Arial" w:hAnsi="Arial" w:cs="Arial"/>
                <w:b/>
                <w:bCs/>
                <w:color w:val="000000"/>
                <w:sz w:val="16"/>
                <w:szCs w:val="16"/>
              </w:rPr>
            </w:pPr>
            <w:r w:rsidRPr="00D77000">
              <w:rPr>
                <w:rFonts w:ascii="Arial" w:hAnsi="Arial" w:cs="Arial"/>
                <w:b/>
                <w:bCs/>
                <w:color w:val="000000"/>
                <w:sz w:val="16"/>
                <w:szCs w:val="16"/>
              </w:rPr>
              <w:t> </w:t>
            </w:r>
          </w:p>
        </w:tc>
        <w:tc>
          <w:tcPr>
            <w:tcW w:w="498" w:type="pct"/>
            <w:tcBorders>
              <w:top w:val="nil"/>
              <w:left w:val="nil"/>
              <w:bottom w:val="nil"/>
              <w:right w:val="nil"/>
            </w:tcBorders>
            <w:shd w:val="clear" w:color="000000" w:fill="FFFFFF"/>
            <w:noWrap/>
            <w:vAlign w:val="center"/>
            <w:hideMark/>
          </w:tcPr>
          <w:p w14:paraId="5992D715" w14:textId="77777777" w:rsidR="00D77000" w:rsidRPr="00D77000" w:rsidRDefault="00D77000" w:rsidP="00D77000">
            <w:pPr>
              <w:spacing w:before="0" w:after="0" w:line="240" w:lineRule="auto"/>
              <w:rPr>
                <w:rFonts w:ascii="Arial" w:hAnsi="Arial" w:cs="Arial"/>
                <w:b/>
                <w:bCs/>
                <w:color w:val="000000"/>
                <w:sz w:val="16"/>
                <w:szCs w:val="16"/>
              </w:rPr>
            </w:pPr>
            <w:r w:rsidRPr="00D77000">
              <w:rPr>
                <w:rFonts w:ascii="Arial" w:hAnsi="Arial" w:cs="Arial"/>
                <w:b/>
                <w:bCs/>
                <w:color w:val="000000"/>
                <w:sz w:val="16"/>
                <w:szCs w:val="16"/>
              </w:rPr>
              <w:t> </w:t>
            </w:r>
          </w:p>
        </w:tc>
        <w:tc>
          <w:tcPr>
            <w:tcW w:w="497" w:type="pct"/>
            <w:tcBorders>
              <w:top w:val="nil"/>
              <w:left w:val="nil"/>
              <w:bottom w:val="nil"/>
              <w:right w:val="nil"/>
            </w:tcBorders>
            <w:shd w:val="clear" w:color="000000" w:fill="E6F2FF"/>
            <w:noWrap/>
            <w:vAlign w:val="center"/>
            <w:hideMark/>
          </w:tcPr>
          <w:p w14:paraId="715236CA" w14:textId="77777777" w:rsidR="00D77000" w:rsidRPr="00D77000" w:rsidRDefault="00D77000" w:rsidP="00D77000">
            <w:pPr>
              <w:spacing w:before="0" w:after="0" w:line="240" w:lineRule="auto"/>
              <w:rPr>
                <w:rFonts w:ascii="Arial" w:hAnsi="Arial" w:cs="Arial"/>
                <w:b/>
                <w:bCs/>
                <w:color w:val="000000"/>
                <w:sz w:val="16"/>
                <w:szCs w:val="16"/>
              </w:rPr>
            </w:pPr>
            <w:r w:rsidRPr="00D77000">
              <w:rPr>
                <w:rFonts w:ascii="Arial" w:hAnsi="Arial" w:cs="Arial"/>
                <w:b/>
                <w:bCs/>
                <w:color w:val="000000"/>
                <w:sz w:val="16"/>
                <w:szCs w:val="16"/>
              </w:rPr>
              <w:t> </w:t>
            </w:r>
          </w:p>
        </w:tc>
        <w:tc>
          <w:tcPr>
            <w:tcW w:w="497" w:type="pct"/>
            <w:tcBorders>
              <w:top w:val="nil"/>
              <w:left w:val="nil"/>
              <w:bottom w:val="nil"/>
              <w:right w:val="nil"/>
            </w:tcBorders>
            <w:shd w:val="clear" w:color="000000" w:fill="FFFFFF"/>
            <w:noWrap/>
            <w:vAlign w:val="center"/>
            <w:hideMark/>
          </w:tcPr>
          <w:p w14:paraId="7A0CCE61" w14:textId="77777777" w:rsidR="00D77000" w:rsidRPr="00D77000" w:rsidRDefault="00D77000" w:rsidP="00D77000">
            <w:pPr>
              <w:spacing w:before="0" w:after="0" w:line="240" w:lineRule="auto"/>
              <w:rPr>
                <w:rFonts w:ascii="Arial" w:hAnsi="Arial" w:cs="Arial"/>
                <w:b/>
                <w:bCs/>
                <w:color w:val="000000"/>
                <w:sz w:val="16"/>
                <w:szCs w:val="16"/>
              </w:rPr>
            </w:pPr>
            <w:r w:rsidRPr="00D77000">
              <w:rPr>
                <w:rFonts w:ascii="Arial" w:hAnsi="Arial" w:cs="Arial"/>
                <w:b/>
                <w:bCs/>
                <w:color w:val="000000"/>
                <w:sz w:val="16"/>
                <w:szCs w:val="16"/>
              </w:rPr>
              <w:t> </w:t>
            </w:r>
          </w:p>
        </w:tc>
        <w:tc>
          <w:tcPr>
            <w:tcW w:w="497" w:type="pct"/>
            <w:tcBorders>
              <w:top w:val="nil"/>
              <w:left w:val="nil"/>
              <w:bottom w:val="nil"/>
              <w:right w:val="nil"/>
            </w:tcBorders>
            <w:shd w:val="clear" w:color="000000" w:fill="FFFFFF"/>
            <w:noWrap/>
            <w:vAlign w:val="center"/>
            <w:hideMark/>
          </w:tcPr>
          <w:p w14:paraId="585647C3" w14:textId="77777777" w:rsidR="00D77000" w:rsidRPr="00D77000" w:rsidRDefault="00D77000" w:rsidP="00D77000">
            <w:pPr>
              <w:spacing w:before="0" w:after="0" w:line="240" w:lineRule="auto"/>
              <w:rPr>
                <w:rFonts w:ascii="Arial" w:hAnsi="Arial" w:cs="Arial"/>
                <w:b/>
                <w:bCs/>
                <w:color w:val="000000"/>
                <w:sz w:val="16"/>
                <w:szCs w:val="16"/>
              </w:rPr>
            </w:pPr>
            <w:r w:rsidRPr="00D77000">
              <w:rPr>
                <w:rFonts w:ascii="Arial" w:hAnsi="Arial" w:cs="Arial"/>
                <w:b/>
                <w:bCs/>
                <w:color w:val="000000"/>
                <w:sz w:val="16"/>
                <w:szCs w:val="16"/>
              </w:rPr>
              <w:t> </w:t>
            </w:r>
          </w:p>
        </w:tc>
        <w:tc>
          <w:tcPr>
            <w:tcW w:w="497" w:type="pct"/>
            <w:tcBorders>
              <w:top w:val="nil"/>
              <w:left w:val="nil"/>
              <w:bottom w:val="nil"/>
              <w:right w:val="nil"/>
            </w:tcBorders>
            <w:shd w:val="clear" w:color="000000" w:fill="FFFFFF"/>
            <w:noWrap/>
            <w:vAlign w:val="center"/>
            <w:hideMark/>
          </w:tcPr>
          <w:p w14:paraId="010BECAB" w14:textId="77777777" w:rsidR="00D77000" w:rsidRPr="00D77000" w:rsidRDefault="00D77000" w:rsidP="00D77000">
            <w:pPr>
              <w:spacing w:before="0" w:after="0" w:line="240" w:lineRule="auto"/>
              <w:rPr>
                <w:rFonts w:ascii="Arial" w:hAnsi="Arial" w:cs="Arial"/>
                <w:b/>
                <w:bCs/>
                <w:color w:val="000000"/>
                <w:sz w:val="16"/>
                <w:szCs w:val="16"/>
              </w:rPr>
            </w:pPr>
            <w:r w:rsidRPr="00D77000">
              <w:rPr>
                <w:rFonts w:ascii="Arial" w:hAnsi="Arial" w:cs="Arial"/>
                <w:b/>
                <w:bCs/>
                <w:color w:val="000000"/>
                <w:sz w:val="16"/>
                <w:szCs w:val="16"/>
              </w:rPr>
              <w:t> </w:t>
            </w:r>
          </w:p>
        </w:tc>
      </w:tr>
      <w:tr w:rsidR="00D77000" w:rsidRPr="00D77000" w14:paraId="0BB943AC" w14:textId="77777777" w:rsidTr="00D77000">
        <w:trPr>
          <w:trHeight w:hRule="exact" w:val="225"/>
        </w:trPr>
        <w:tc>
          <w:tcPr>
            <w:tcW w:w="1950" w:type="pct"/>
            <w:tcBorders>
              <w:top w:val="nil"/>
              <w:left w:val="nil"/>
              <w:bottom w:val="nil"/>
              <w:right w:val="nil"/>
            </w:tcBorders>
            <w:shd w:val="clear" w:color="000000" w:fill="FFFFFF"/>
            <w:noWrap/>
            <w:vAlign w:val="center"/>
            <w:hideMark/>
          </w:tcPr>
          <w:p w14:paraId="5CA3CAA0" w14:textId="77777777" w:rsidR="00D77000" w:rsidRPr="00D77000" w:rsidRDefault="00D77000" w:rsidP="00D77000">
            <w:pPr>
              <w:spacing w:before="0" w:after="0" w:line="240" w:lineRule="auto"/>
              <w:rPr>
                <w:rFonts w:ascii="Arial" w:hAnsi="Arial" w:cs="Arial"/>
                <w:b/>
                <w:bCs/>
                <w:color w:val="000000"/>
                <w:sz w:val="16"/>
                <w:szCs w:val="16"/>
              </w:rPr>
            </w:pPr>
            <w:r w:rsidRPr="00D77000">
              <w:rPr>
                <w:rFonts w:ascii="Arial" w:hAnsi="Arial" w:cs="Arial"/>
                <w:b/>
                <w:bCs/>
                <w:color w:val="000000"/>
                <w:sz w:val="16"/>
                <w:szCs w:val="16"/>
              </w:rPr>
              <w:t>Health</w:t>
            </w:r>
          </w:p>
        </w:tc>
        <w:tc>
          <w:tcPr>
            <w:tcW w:w="506" w:type="pct"/>
            <w:tcBorders>
              <w:top w:val="nil"/>
              <w:left w:val="nil"/>
              <w:bottom w:val="nil"/>
              <w:right w:val="nil"/>
            </w:tcBorders>
            <w:shd w:val="clear" w:color="000000" w:fill="FFFFFF"/>
            <w:noWrap/>
            <w:vAlign w:val="center"/>
            <w:hideMark/>
          </w:tcPr>
          <w:p w14:paraId="12A13405" w14:textId="77777777" w:rsidR="00D77000" w:rsidRPr="00D77000" w:rsidRDefault="00D77000" w:rsidP="00D77000">
            <w:pPr>
              <w:spacing w:before="0" w:after="0" w:line="240" w:lineRule="auto"/>
              <w:rPr>
                <w:rFonts w:ascii="Arial" w:hAnsi="Arial" w:cs="Arial"/>
                <w:color w:val="000000"/>
                <w:sz w:val="16"/>
                <w:szCs w:val="16"/>
              </w:rPr>
            </w:pPr>
            <w:r w:rsidRPr="00D77000">
              <w:rPr>
                <w:rFonts w:ascii="Arial" w:hAnsi="Arial" w:cs="Arial"/>
                <w:color w:val="000000"/>
                <w:sz w:val="16"/>
                <w:szCs w:val="16"/>
              </w:rPr>
              <w:t> </w:t>
            </w:r>
          </w:p>
        </w:tc>
        <w:tc>
          <w:tcPr>
            <w:tcW w:w="56" w:type="pct"/>
            <w:tcBorders>
              <w:top w:val="nil"/>
              <w:left w:val="nil"/>
              <w:bottom w:val="nil"/>
              <w:right w:val="nil"/>
            </w:tcBorders>
            <w:shd w:val="clear" w:color="000000" w:fill="FFFFFF"/>
            <w:noWrap/>
            <w:vAlign w:val="center"/>
            <w:hideMark/>
          </w:tcPr>
          <w:p w14:paraId="4D5559C4" w14:textId="77777777" w:rsidR="00D77000" w:rsidRPr="00D77000" w:rsidRDefault="00D77000" w:rsidP="00D77000">
            <w:pPr>
              <w:spacing w:before="0" w:after="0" w:line="240" w:lineRule="auto"/>
              <w:rPr>
                <w:rFonts w:ascii="Arial" w:hAnsi="Arial" w:cs="Arial"/>
                <w:color w:val="000000"/>
                <w:sz w:val="16"/>
                <w:szCs w:val="16"/>
              </w:rPr>
            </w:pPr>
            <w:r w:rsidRPr="00D77000">
              <w:rPr>
                <w:rFonts w:ascii="Arial" w:hAnsi="Arial" w:cs="Arial"/>
                <w:color w:val="000000"/>
                <w:sz w:val="16"/>
                <w:szCs w:val="16"/>
              </w:rPr>
              <w:t> </w:t>
            </w:r>
          </w:p>
        </w:tc>
        <w:tc>
          <w:tcPr>
            <w:tcW w:w="498" w:type="pct"/>
            <w:tcBorders>
              <w:top w:val="nil"/>
              <w:left w:val="nil"/>
              <w:bottom w:val="nil"/>
              <w:right w:val="nil"/>
            </w:tcBorders>
            <w:shd w:val="clear" w:color="000000" w:fill="FFFFFF"/>
            <w:noWrap/>
            <w:vAlign w:val="center"/>
            <w:hideMark/>
          </w:tcPr>
          <w:p w14:paraId="5E6185A6" w14:textId="77777777" w:rsidR="00D77000" w:rsidRPr="00D77000" w:rsidRDefault="00D77000" w:rsidP="00D77000">
            <w:pPr>
              <w:spacing w:before="0" w:after="0" w:line="240" w:lineRule="auto"/>
              <w:rPr>
                <w:rFonts w:ascii="Arial" w:hAnsi="Arial" w:cs="Arial"/>
                <w:color w:val="000000"/>
                <w:sz w:val="16"/>
                <w:szCs w:val="16"/>
              </w:rPr>
            </w:pPr>
            <w:r w:rsidRPr="00D77000">
              <w:rPr>
                <w:rFonts w:ascii="Arial" w:hAnsi="Arial" w:cs="Arial"/>
                <w:color w:val="000000"/>
                <w:sz w:val="16"/>
                <w:szCs w:val="16"/>
              </w:rPr>
              <w:t> </w:t>
            </w:r>
          </w:p>
        </w:tc>
        <w:tc>
          <w:tcPr>
            <w:tcW w:w="497" w:type="pct"/>
            <w:tcBorders>
              <w:top w:val="nil"/>
              <w:left w:val="nil"/>
              <w:bottom w:val="nil"/>
              <w:right w:val="nil"/>
            </w:tcBorders>
            <w:shd w:val="clear" w:color="000000" w:fill="E6F2FF"/>
            <w:noWrap/>
            <w:vAlign w:val="center"/>
            <w:hideMark/>
          </w:tcPr>
          <w:p w14:paraId="5E511C27" w14:textId="77777777" w:rsidR="00D77000" w:rsidRPr="00D77000" w:rsidRDefault="00D77000" w:rsidP="00D77000">
            <w:pPr>
              <w:spacing w:before="0" w:after="0" w:line="240" w:lineRule="auto"/>
              <w:rPr>
                <w:rFonts w:ascii="Arial" w:hAnsi="Arial" w:cs="Arial"/>
                <w:color w:val="000000"/>
                <w:sz w:val="16"/>
                <w:szCs w:val="16"/>
              </w:rPr>
            </w:pPr>
            <w:r w:rsidRPr="00D77000">
              <w:rPr>
                <w:rFonts w:ascii="Arial" w:hAnsi="Arial" w:cs="Arial"/>
                <w:color w:val="000000"/>
                <w:sz w:val="16"/>
                <w:szCs w:val="16"/>
              </w:rPr>
              <w:t> </w:t>
            </w:r>
          </w:p>
        </w:tc>
        <w:tc>
          <w:tcPr>
            <w:tcW w:w="497" w:type="pct"/>
            <w:tcBorders>
              <w:top w:val="nil"/>
              <w:left w:val="nil"/>
              <w:bottom w:val="nil"/>
              <w:right w:val="nil"/>
            </w:tcBorders>
            <w:shd w:val="clear" w:color="000000" w:fill="FFFFFF"/>
            <w:noWrap/>
            <w:vAlign w:val="center"/>
            <w:hideMark/>
          </w:tcPr>
          <w:p w14:paraId="68B1DEC1" w14:textId="77777777" w:rsidR="00D77000" w:rsidRPr="00D77000" w:rsidRDefault="00D77000" w:rsidP="00D77000">
            <w:pPr>
              <w:spacing w:before="0" w:after="0" w:line="240" w:lineRule="auto"/>
              <w:rPr>
                <w:rFonts w:ascii="Arial" w:hAnsi="Arial" w:cs="Arial"/>
                <w:color w:val="000000"/>
                <w:sz w:val="16"/>
                <w:szCs w:val="16"/>
              </w:rPr>
            </w:pPr>
            <w:r w:rsidRPr="00D77000">
              <w:rPr>
                <w:rFonts w:ascii="Arial" w:hAnsi="Arial" w:cs="Arial"/>
                <w:color w:val="000000"/>
                <w:sz w:val="16"/>
                <w:szCs w:val="16"/>
              </w:rPr>
              <w:t> </w:t>
            </w:r>
          </w:p>
        </w:tc>
        <w:tc>
          <w:tcPr>
            <w:tcW w:w="497" w:type="pct"/>
            <w:tcBorders>
              <w:top w:val="nil"/>
              <w:left w:val="nil"/>
              <w:bottom w:val="nil"/>
              <w:right w:val="nil"/>
            </w:tcBorders>
            <w:shd w:val="clear" w:color="000000" w:fill="FFFFFF"/>
            <w:noWrap/>
            <w:vAlign w:val="center"/>
            <w:hideMark/>
          </w:tcPr>
          <w:p w14:paraId="0ABB831C" w14:textId="77777777" w:rsidR="00D77000" w:rsidRPr="00D77000" w:rsidRDefault="00D77000" w:rsidP="00D77000">
            <w:pPr>
              <w:spacing w:before="0" w:after="0" w:line="240" w:lineRule="auto"/>
              <w:rPr>
                <w:rFonts w:ascii="Arial" w:hAnsi="Arial" w:cs="Arial"/>
                <w:color w:val="000000"/>
                <w:sz w:val="16"/>
                <w:szCs w:val="16"/>
              </w:rPr>
            </w:pPr>
            <w:r w:rsidRPr="00D77000">
              <w:rPr>
                <w:rFonts w:ascii="Arial" w:hAnsi="Arial" w:cs="Arial"/>
                <w:color w:val="000000"/>
                <w:sz w:val="16"/>
                <w:szCs w:val="16"/>
              </w:rPr>
              <w:t> </w:t>
            </w:r>
          </w:p>
        </w:tc>
        <w:tc>
          <w:tcPr>
            <w:tcW w:w="497" w:type="pct"/>
            <w:tcBorders>
              <w:top w:val="nil"/>
              <w:left w:val="nil"/>
              <w:bottom w:val="nil"/>
              <w:right w:val="nil"/>
            </w:tcBorders>
            <w:shd w:val="clear" w:color="000000" w:fill="FFFFFF"/>
            <w:noWrap/>
            <w:vAlign w:val="center"/>
            <w:hideMark/>
          </w:tcPr>
          <w:p w14:paraId="56A1795A" w14:textId="77777777" w:rsidR="00D77000" w:rsidRPr="00D77000" w:rsidRDefault="00D77000" w:rsidP="00D77000">
            <w:pPr>
              <w:spacing w:before="0" w:after="0" w:line="240" w:lineRule="auto"/>
              <w:rPr>
                <w:rFonts w:ascii="Arial" w:hAnsi="Arial" w:cs="Arial"/>
                <w:color w:val="000000"/>
                <w:sz w:val="16"/>
                <w:szCs w:val="16"/>
              </w:rPr>
            </w:pPr>
            <w:r w:rsidRPr="00D77000">
              <w:rPr>
                <w:rFonts w:ascii="Arial" w:hAnsi="Arial" w:cs="Arial"/>
                <w:color w:val="000000"/>
                <w:sz w:val="16"/>
                <w:szCs w:val="16"/>
              </w:rPr>
              <w:t> </w:t>
            </w:r>
          </w:p>
        </w:tc>
      </w:tr>
      <w:tr w:rsidR="00D77000" w:rsidRPr="00D77000" w14:paraId="1DEDB0A8" w14:textId="77777777" w:rsidTr="00D77000">
        <w:trPr>
          <w:trHeight w:hRule="exact" w:val="225"/>
        </w:trPr>
        <w:tc>
          <w:tcPr>
            <w:tcW w:w="1950" w:type="pct"/>
            <w:tcBorders>
              <w:top w:val="nil"/>
              <w:left w:val="nil"/>
              <w:bottom w:val="nil"/>
              <w:right w:val="nil"/>
            </w:tcBorders>
            <w:shd w:val="clear" w:color="000000" w:fill="FFFFFF"/>
            <w:noWrap/>
            <w:vAlign w:val="center"/>
            <w:hideMark/>
          </w:tcPr>
          <w:p w14:paraId="5D65C605" w14:textId="77777777" w:rsidR="00D77000" w:rsidRPr="00D77000" w:rsidRDefault="00D77000" w:rsidP="00D77000">
            <w:pPr>
              <w:spacing w:before="0" w:after="0" w:line="240" w:lineRule="auto"/>
              <w:ind w:left="170"/>
              <w:rPr>
                <w:rFonts w:ascii="Arial" w:hAnsi="Arial" w:cs="Arial"/>
                <w:color w:val="000000"/>
                <w:sz w:val="16"/>
                <w:szCs w:val="16"/>
              </w:rPr>
            </w:pPr>
            <w:r w:rsidRPr="00D77000">
              <w:rPr>
                <w:rFonts w:ascii="Arial" w:hAnsi="Arial" w:cs="Arial"/>
                <w:color w:val="000000"/>
                <w:sz w:val="16"/>
                <w:szCs w:val="16"/>
              </w:rPr>
              <w:t>Medical services and benefits</w:t>
            </w:r>
          </w:p>
        </w:tc>
        <w:tc>
          <w:tcPr>
            <w:tcW w:w="506" w:type="pct"/>
            <w:tcBorders>
              <w:top w:val="nil"/>
              <w:left w:val="nil"/>
              <w:bottom w:val="nil"/>
              <w:right w:val="nil"/>
            </w:tcBorders>
            <w:shd w:val="clear" w:color="000000" w:fill="FFFFFF"/>
            <w:noWrap/>
            <w:vAlign w:val="center"/>
            <w:hideMark/>
          </w:tcPr>
          <w:p w14:paraId="246A91EC" w14:textId="77777777" w:rsidR="00D77000" w:rsidRPr="00D77000" w:rsidRDefault="00D77000" w:rsidP="00D77000">
            <w:pPr>
              <w:spacing w:before="0" w:after="0" w:line="240" w:lineRule="auto"/>
              <w:jc w:val="right"/>
              <w:rPr>
                <w:rFonts w:ascii="Arial" w:hAnsi="Arial" w:cs="Arial"/>
                <w:color w:val="000000"/>
                <w:sz w:val="16"/>
                <w:szCs w:val="16"/>
              </w:rPr>
            </w:pPr>
            <w:r w:rsidRPr="00D77000">
              <w:rPr>
                <w:rFonts w:ascii="Arial" w:hAnsi="Arial" w:cs="Arial"/>
                <w:color w:val="000000"/>
                <w:sz w:val="16"/>
                <w:szCs w:val="16"/>
              </w:rPr>
              <w:t>36,224</w:t>
            </w:r>
          </w:p>
        </w:tc>
        <w:tc>
          <w:tcPr>
            <w:tcW w:w="56" w:type="pct"/>
            <w:tcBorders>
              <w:top w:val="nil"/>
              <w:left w:val="nil"/>
              <w:bottom w:val="nil"/>
              <w:right w:val="nil"/>
            </w:tcBorders>
            <w:shd w:val="clear" w:color="000000" w:fill="FFFFFF"/>
            <w:noWrap/>
            <w:vAlign w:val="center"/>
            <w:hideMark/>
          </w:tcPr>
          <w:p w14:paraId="276CD7FD" w14:textId="77777777" w:rsidR="00D77000" w:rsidRPr="00D77000" w:rsidRDefault="00D77000" w:rsidP="00D77000">
            <w:pPr>
              <w:spacing w:before="0" w:after="0" w:line="240" w:lineRule="auto"/>
              <w:rPr>
                <w:rFonts w:ascii="Arial" w:hAnsi="Arial" w:cs="Arial"/>
                <w:color w:val="000000"/>
                <w:sz w:val="16"/>
                <w:szCs w:val="16"/>
              </w:rPr>
            </w:pPr>
            <w:r w:rsidRPr="00D77000">
              <w:rPr>
                <w:rFonts w:ascii="Arial" w:hAnsi="Arial" w:cs="Arial"/>
                <w:color w:val="000000"/>
                <w:sz w:val="16"/>
                <w:szCs w:val="16"/>
              </w:rPr>
              <w:t> </w:t>
            </w:r>
          </w:p>
        </w:tc>
        <w:tc>
          <w:tcPr>
            <w:tcW w:w="498" w:type="pct"/>
            <w:tcBorders>
              <w:top w:val="nil"/>
              <w:left w:val="nil"/>
              <w:bottom w:val="nil"/>
              <w:right w:val="nil"/>
            </w:tcBorders>
            <w:shd w:val="clear" w:color="000000" w:fill="FFFFFF"/>
            <w:noWrap/>
            <w:vAlign w:val="center"/>
            <w:hideMark/>
          </w:tcPr>
          <w:p w14:paraId="15A6C2CE" w14:textId="77777777" w:rsidR="00D77000" w:rsidRPr="00D77000" w:rsidRDefault="00D77000" w:rsidP="00D77000">
            <w:pPr>
              <w:spacing w:before="0" w:after="0" w:line="240" w:lineRule="auto"/>
              <w:jc w:val="right"/>
              <w:rPr>
                <w:rFonts w:ascii="Arial" w:hAnsi="Arial" w:cs="Arial"/>
                <w:color w:val="000000"/>
                <w:sz w:val="16"/>
                <w:szCs w:val="16"/>
              </w:rPr>
            </w:pPr>
            <w:r w:rsidRPr="00D77000">
              <w:rPr>
                <w:rFonts w:ascii="Arial" w:hAnsi="Arial" w:cs="Arial"/>
                <w:color w:val="000000"/>
                <w:sz w:val="16"/>
                <w:szCs w:val="16"/>
              </w:rPr>
              <w:t>38,777</w:t>
            </w:r>
          </w:p>
        </w:tc>
        <w:tc>
          <w:tcPr>
            <w:tcW w:w="497" w:type="pct"/>
            <w:tcBorders>
              <w:top w:val="nil"/>
              <w:left w:val="nil"/>
              <w:bottom w:val="nil"/>
              <w:right w:val="nil"/>
            </w:tcBorders>
            <w:shd w:val="clear" w:color="000000" w:fill="E6F2FF"/>
            <w:noWrap/>
            <w:vAlign w:val="center"/>
            <w:hideMark/>
          </w:tcPr>
          <w:p w14:paraId="398C0DA9" w14:textId="77777777" w:rsidR="00D77000" w:rsidRPr="00D77000" w:rsidRDefault="00D77000" w:rsidP="00D77000">
            <w:pPr>
              <w:spacing w:before="0" w:after="0" w:line="240" w:lineRule="auto"/>
              <w:jc w:val="right"/>
              <w:rPr>
                <w:rFonts w:ascii="Arial" w:hAnsi="Arial" w:cs="Arial"/>
                <w:color w:val="000000"/>
                <w:sz w:val="16"/>
                <w:szCs w:val="16"/>
              </w:rPr>
            </w:pPr>
            <w:r w:rsidRPr="00D77000">
              <w:rPr>
                <w:rFonts w:ascii="Arial" w:hAnsi="Arial" w:cs="Arial"/>
                <w:color w:val="000000"/>
                <w:sz w:val="16"/>
                <w:szCs w:val="16"/>
              </w:rPr>
              <w:t>41,233</w:t>
            </w:r>
          </w:p>
        </w:tc>
        <w:tc>
          <w:tcPr>
            <w:tcW w:w="497" w:type="pct"/>
            <w:tcBorders>
              <w:top w:val="nil"/>
              <w:left w:val="nil"/>
              <w:bottom w:val="nil"/>
              <w:right w:val="nil"/>
            </w:tcBorders>
            <w:shd w:val="clear" w:color="000000" w:fill="FFFFFF"/>
            <w:noWrap/>
            <w:vAlign w:val="center"/>
            <w:hideMark/>
          </w:tcPr>
          <w:p w14:paraId="4CF4E868" w14:textId="77777777" w:rsidR="00D77000" w:rsidRPr="00D77000" w:rsidRDefault="00D77000" w:rsidP="00D77000">
            <w:pPr>
              <w:spacing w:before="0" w:after="0" w:line="240" w:lineRule="auto"/>
              <w:jc w:val="right"/>
              <w:rPr>
                <w:rFonts w:ascii="Arial" w:hAnsi="Arial" w:cs="Arial"/>
                <w:color w:val="000000"/>
                <w:sz w:val="16"/>
                <w:szCs w:val="16"/>
              </w:rPr>
            </w:pPr>
            <w:r w:rsidRPr="00D77000">
              <w:rPr>
                <w:rFonts w:ascii="Arial" w:hAnsi="Arial" w:cs="Arial"/>
                <w:color w:val="000000"/>
                <w:sz w:val="16"/>
                <w:szCs w:val="16"/>
              </w:rPr>
              <w:t>43,341</w:t>
            </w:r>
          </w:p>
        </w:tc>
        <w:tc>
          <w:tcPr>
            <w:tcW w:w="497" w:type="pct"/>
            <w:tcBorders>
              <w:top w:val="nil"/>
              <w:left w:val="nil"/>
              <w:bottom w:val="nil"/>
              <w:right w:val="nil"/>
            </w:tcBorders>
            <w:shd w:val="clear" w:color="000000" w:fill="FFFFFF"/>
            <w:noWrap/>
            <w:vAlign w:val="center"/>
            <w:hideMark/>
          </w:tcPr>
          <w:p w14:paraId="6A84B9B7" w14:textId="77777777" w:rsidR="00D77000" w:rsidRPr="00D77000" w:rsidRDefault="00D77000" w:rsidP="00D77000">
            <w:pPr>
              <w:spacing w:before="0" w:after="0" w:line="240" w:lineRule="auto"/>
              <w:jc w:val="right"/>
              <w:rPr>
                <w:rFonts w:ascii="Arial" w:hAnsi="Arial" w:cs="Arial"/>
                <w:color w:val="000000"/>
                <w:sz w:val="16"/>
                <w:szCs w:val="16"/>
              </w:rPr>
            </w:pPr>
            <w:r w:rsidRPr="00D77000">
              <w:rPr>
                <w:rFonts w:ascii="Arial" w:hAnsi="Arial" w:cs="Arial"/>
                <w:color w:val="000000"/>
                <w:sz w:val="16"/>
                <w:szCs w:val="16"/>
              </w:rPr>
              <w:t>45,141</w:t>
            </w:r>
          </w:p>
        </w:tc>
        <w:tc>
          <w:tcPr>
            <w:tcW w:w="497" w:type="pct"/>
            <w:tcBorders>
              <w:top w:val="nil"/>
              <w:left w:val="nil"/>
              <w:bottom w:val="nil"/>
              <w:right w:val="nil"/>
            </w:tcBorders>
            <w:shd w:val="clear" w:color="000000" w:fill="FFFFFF"/>
            <w:noWrap/>
            <w:vAlign w:val="center"/>
            <w:hideMark/>
          </w:tcPr>
          <w:p w14:paraId="00D59CD1" w14:textId="77777777" w:rsidR="00D77000" w:rsidRPr="00D77000" w:rsidRDefault="00D77000" w:rsidP="00D77000">
            <w:pPr>
              <w:spacing w:before="0" w:after="0" w:line="240" w:lineRule="auto"/>
              <w:jc w:val="right"/>
              <w:rPr>
                <w:rFonts w:ascii="Arial" w:hAnsi="Arial" w:cs="Arial"/>
                <w:color w:val="000000"/>
                <w:sz w:val="16"/>
                <w:szCs w:val="16"/>
              </w:rPr>
            </w:pPr>
            <w:r w:rsidRPr="00D77000">
              <w:rPr>
                <w:rFonts w:ascii="Arial" w:hAnsi="Arial" w:cs="Arial"/>
                <w:color w:val="000000"/>
                <w:sz w:val="16"/>
                <w:szCs w:val="16"/>
              </w:rPr>
              <w:t>47,206</w:t>
            </w:r>
          </w:p>
        </w:tc>
      </w:tr>
      <w:tr w:rsidR="00D77000" w:rsidRPr="00D77000" w14:paraId="0F5118E2" w14:textId="77777777" w:rsidTr="00D77000">
        <w:trPr>
          <w:trHeight w:hRule="exact" w:val="225"/>
        </w:trPr>
        <w:tc>
          <w:tcPr>
            <w:tcW w:w="1950" w:type="pct"/>
            <w:tcBorders>
              <w:top w:val="nil"/>
              <w:left w:val="nil"/>
              <w:bottom w:val="nil"/>
              <w:right w:val="nil"/>
            </w:tcBorders>
            <w:shd w:val="clear" w:color="000000" w:fill="FFFFFF"/>
            <w:noWrap/>
            <w:vAlign w:val="center"/>
            <w:hideMark/>
          </w:tcPr>
          <w:p w14:paraId="429ECF62" w14:textId="77777777" w:rsidR="00D77000" w:rsidRPr="00D77000" w:rsidRDefault="00D77000" w:rsidP="00D77000">
            <w:pPr>
              <w:spacing w:before="0" w:after="0" w:line="240" w:lineRule="auto"/>
              <w:ind w:left="170"/>
              <w:rPr>
                <w:rFonts w:ascii="Arial" w:hAnsi="Arial" w:cs="Arial"/>
                <w:color w:val="000000"/>
                <w:sz w:val="16"/>
                <w:szCs w:val="16"/>
              </w:rPr>
            </w:pPr>
            <w:r w:rsidRPr="00D77000">
              <w:rPr>
                <w:rFonts w:ascii="Arial" w:hAnsi="Arial" w:cs="Arial"/>
                <w:color w:val="000000"/>
                <w:sz w:val="16"/>
                <w:szCs w:val="16"/>
              </w:rPr>
              <w:t xml:space="preserve">Pharmaceutical benefits and </w:t>
            </w:r>
          </w:p>
        </w:tc>
        <w:tc>
          <w:tcPr>
            <w:tcW w:w="506" w:type="pct"/>
            <w:tcBorders>
              <w:top w:val="nil"/>
              <w:left w:val="nil"/>
              <w:bottom w:val="nil"/>
              <w:right w:val="nil"/>
            </w:tcBorders>
            <w:shd w:val="clear" w:color="000000" w:fill="FFFFFF"/>
            <w:noWrap/>
            <w:vAlign w:val="center"/>
            <w:hideMark/>
          </w:tcPr>
          <w:p w14:paraId="6186CA57" w14:textId="77777777" w:rsidR="00D77000" w:rsidRPr="00D77000" w:rsidRDefault="00D77000" w:rsidP="00D77000">
            <w:pPr>
              <w:spacing w:before="0" w:after="0" w:line="240" w:lineRule="auto"/>
              <w:rPr>
                <w:rFonts w:ascii="Arial" w:hAnsi="Arial" w:cs="Arial"/>
                <w:i/>
                <w:iCs/>
                <w:color w:val="000000"/>
                <w:sz w:val="16"/>
                <w:szCs w:val="16"/>
              </w:rPr>
            </w:pPr>
            <w:r w:rsidRPr="00D77000">
              <w:rPr>
                <w:rFonts w:ascii="Arial" w:hAnsi="Arial" w:cs="Arial"/>
                <w:i/>
                <w:iCs/>
                <w:color w:val="000000"/>
                <w:sz w:val="16"/>
                <w:szCs w:val="16"/>
              </w:rPr>
              <w:t> </w:t>
            </w:r>
          </w:p>
        </w:tc>
        <w:tc>
          <w:tcPr>
            <w:tcW w:w="56" w:type="pct"/>
            <w:tcBorders>
              <w:top w:val="nil"/>
              <w:left w:val="nil"/>
              <w:bottom w:val="nil"/>
              <w:right w:val="nil"/>
            </w:tcBorders>
            <w:shd w:val="clear" w:color="000000" w:fill="FFFFFF"/>
            <w:noWrap/>
            <w:vAlign w:val="center"/>
            <w:hideMark/>
          </w:tcPr>
          <w:p w14:paraId="0B0D44C6" w14:textId="77777777" w:rsidR="00D77000" w:rsidRPr="00D77000" w:rsidRDefault="00D77000" w:rsidP="00D77000">
            <w:pPr>
              <w:spacing w:before="0" w:after="0" w:line="240" w:lineRule="auto"/>
              <w:rPr>
                <w:rFonts w:ascii="Arial" w:hAnsi="Arial" w:cs="Arial"/>
                <w:i/>
                <w:iCs/>
                <w:sz w:val="16"/>
                <w:szCs w:val="16"/>
              </w:rPr>
            </w:pPr>
            <w:r w:rsidRPr="00D77000">
              <w:rPr>
                <w:rFonts w:ascii="Arial" w:hAnsi="Arial" w:cs="Arial"/>
                <w:i/>
                <w:iCs/>
                <w:sz w:val="16"/>
                <w:szCs w:val="16"/>
              </w:rPr>
              <w:t> </w:t>
            </w:r>
          </w:p>
        </w:tc>
        <w:tc>
          <w:tcPr>
            <w:tcW w:w="498" w:type="pct"/>
            <w:tcBorders>
              <w:top w:val="nil"/>
              <w:left w:val="nil"/>
              <w:bottom w:val="nil"/>
              <w:right w:val="nil"/>
            </w:tcBorders>
            <w:shd w:val="clear" w:color="000000" w:fill="FFFFFF"/>
            <w:noWrap/>
            <w:vAlign w:val="center"/>
            <w:hideMark/>
          </w:tcPr>
          <w:p w14:paraId="17141941" w14:textId="77777777" w:rsidR="00D77000" w:rsidRPr="00D77000" w:rsidRDefault="00D77000" w:rsidP="00D77000">
            <w:pPr>
              <w:spacing w:before="0" w:after="0" w:line="240" w:lineRule="auto"/>
              <w:rPr>
                <w:rFonts w:ascii="Arial" w:hAnsi="Arial" w:cs="Arial"/>
                <w:i/>
                <w:iCs/>
                <w:sz w:val="16"/>
                <w:szCs w:val="16"/>
              </w:rPr>
            </w:pPr>
            <w:r w:rsidRPr="00D77000">
              <w:rPr>
                <w:rFonts w:ascii="Arial" w:hAnsi="Arial" w:cs="Arial"/>
                <w:i/>
                <w:iCs/>
                <w:sz w:val="16"/>
                <w:szCs w:val="16"/>
              </w:rPr>
              <w:t> </w:t>
            </w:r>
          </w:p>
        </w:tc>
        <w:tc>
          <w:tcPr>
            <w:tcW w:w="497" w:type="pct"/>
            <w:tcBorders>
              <w:top w:val="nil"/>
              <w:left w:val="nil"/>
              <w:bottom w:val="nil"/>
              <w:right w:val="nil"/>
            </w:tcBorders>
            <w:shd w:val="clear" w:color="000000" w:fill="E6F2FF"/>
            <w:noWrap/>
            <w:vAlign w:val="center"/>
            <w:hideMark/>
          </w:tcPr>
          <w:p w14:paraId="7919845D" w14:textId="77777777" w:rsidR="00D77000" w:rsidRPr="00D77000" w:rsidRDefault="00D77000" w:rsidP="00D77000">
            <w:pPr>
              <w:spacing w:before="0" w:after="0" w:line="240" w:lineRule="auto"/>
              <w:rPr>
                <w:rFonts w:ascii="Arial" w:hAnsi="Arial" w:cs="Arial"/>
                <w:i/>
                <w:iCs/>
                <w:sz w:val="16"/>
                <w:szCs w:val="16"/>
              </w:rPr>
            </w:pPr>
            <w:r w:rsidRPr="00D77000">
              <w:rPr>
                <w:rFonts w:ascii="Arial" w:hAnsi="Arial" w:cs="Arial"/>
                <w:i/>
                <w:iCs/>
                <w:sz w:val="16"/>
                <w:szCs w:val="16"/>
              </w:rPr>
              <w:t> </w:t>
            </w:r>
          </w:p>
        </w:tc>
        <w:tc>
          <w:tcPr>
            <w:tcW w:w="497" w:type="pct"/>
            <w:tcBorders>
              <w:top w:val="nil"/>
              <w:left w:val="nil"/>
              <w:bottom w:val="nil"/>
              <w:right w:val="nil"/>
            </w:tcBorders>
            <w:shd w:val="clear" w:color="000000" w:fill="FFFFFF"/>
            <w:noWrap/>
            <w:vAlign w:val="center"/>
            <w:hideMark/>
          </w:tcPr>
          <w:p w14:paraId="62F7D500" w14:textId="77777777" w:rsidR="00D77000" w:rsidRPr="00D77000" w:rsidRDefault="00D77000" w:rsidP="00D77000">
            <w:pPr>
              <w:spacing w:before="0" w:after="0" w:line="240" w:lineRule="auto"/>
              <w:rPr>
                <w:rFonts w:ascii="Arial" w:hAnsi="Arial" w:cs="Arial"/>
                <w:i/>
                <w:iCs/>
                <w:sz w:val="16"/>
                <w:szCs w:val="16"/>
              </w:rPr>
            </w:pPr>
            <w:r w:rsidRPr="00D77000">
              <w:rPr>
                <w:rFonts w:ascii="Arial" w:hAnsi="Arial" w:cs="Arial"/>
                <w:i/>
                <w:iCs/>
                <w:sz w:val="16"/>
                <w:szCs w:val="16"/>
              </w:rPr>
              <w:t> </w:t>
            </w:r>
          </w:p>
        </w:tc>
        <w:tc>
          <w:tcPr>
            <w:tcW w:w="497" w:type="pct"/>
            <w:tcBorders>
              <w:top w:val="nil"/>
              <w:left w:val="nil"/>
              <w:bottom w:val="nil"/>
              <w:right w:val="nil"/>
            </w:tcBorders>
            <w:shd w:val="clear" w:color="000000" w:fill="FFFFFF"/>
            <w:noWrap/>
            <w:vAlign w:val="center"/>
            <w:hideMark/>
          </w:tcPr>
          <w:p w14:paraId="58B34C85" w14:textId="77777777" w:rsidR="00D77000" w:rsidRPr="00D77000" w:rsidRDefault="00D77000" w:rsidP="00D77000">
            <w:pPr>
              <w:spacing w:before="0" w:after="0" w:line="240" w:lineRule="auto"/>
              <w:rPr>
                <w:rFonts w:ascii="Arial" w:hAnsi="Arial" w:cs="Arial"/>
                <w:i/>
                <w:iCs/>
                <w:sz w:val="16"/>
                <w:szCs w:val="16"/>
              </w:rPr>
            </w:pPr>
            <w:r w:rsidRPr="00D77000">
              <w:rPr>
                <w:rFonts w:ascii="Arial" w:hAnsi="Arial" w:cs="Arial"/>
                <w:i/>
                <w:iCs/>
                <w:sz w:val="16"/>
                <w:szCs w:val="16"/>
              </w:rPr>
              <w:t> </w:t>
            </w:r>
          </w:p>
        </w:tc>
        <w:tc>
          <w:tcPr>
            <w:tcW w:w="497" w:type="pct"/>
            <w:tcBorders>
              <w:top w:val="nil"/>
              <w:left w:val="nil"/>
              <w:bottom w:val="nil"/>
              <w:right w:val="nil"/>
            </w:tcBorders>
            <w:shd w:val="clear" w:color="000000" w:fill="FFFFFF"/>
            <w:noWrap/>
            <w:vAlign w:val="center"/>
            <w:hideMark/>
          </w:tcPr>
          <w:p w14:paraId="718B7D41" w14:textId="77777777" w:rsidR="00D77000" w:rsidRPr="00D77000" w:rsidRDefault="00D77000" w:rsidP="00D77000">
            <w:pPr>
              <w:spacing w:before="0" w:after="0" w:line="240" w:lineRule="auto"/>
              <w:rPr>
                <w:rFonts w:ascii="Arial" w:hAnsi="Arial" w:cs="Arial"/>
                <w:i/>
                <w:iCs/>
                <w:sz w:val="16"/>
                <w:szCs w:val="16"/>
              </w:rPr>
            </w:pPr>
            <w:r w:rsidRPr="00D77000">
              <w:rPr>
                <w:rFonts w:ascii="Arial" w:hAnsi="Arial" w:cs="Arial"/>
                <w:i/>
                <w:iCs/>
                <w:sz w:val="16"/>
                <w:szCs w:val="16"/>
              </w:rPr>
              <w:t> </w:t>
            </w:r>
          </w:p>
        </w:tc>
      </w:tr>
      <w:tr w:rsidR="00D77000" w:rsidRPr="00D77000" w14:paraId="332FB640" w14:textId="77777777" w:rsidTr="00D77000">
        <w:trPr>
          <w:trHeight w:hRule="exact" w:val="225"/>
        </w:trPr>
        <w:tc>
          <w:tcPr>
            <w:tcW w:w="1950" w:type="pct"/>
            <w:tcBorders>
              <w:top w:val="nil"/>
              <w:left w:val="nil"/>
              <w:bottom w:val="nil"/>
              <w:right w:val="nil"/>
            </w:tcBorders>
            <w:shd w:val="clear" w:color="000000" w:fill="FFFFFF"/>
            <w:noWrap/>
            <w:vAlign w:val="center"/>
            <w:hideMark/>
          </w:tcPr>
          <w:p w14:paraId="353449BA" w14:textId="77777777" w:rsidR="00D77000" w:rsidRPr="00D77000" w:rsidRDefault="00D77000" w:rsidP="00D77000">
            <w:pPr>
              <w:spacing w:before="0" w:after="0" w:line="240" w:lineRule="auto"/>
              <w:ind w:left="340"/>
              <w:rPr>
                <w:rFonts w:ascii="Arial" w:hAnsi="Arial" w:cs="Arial"/>
                <w:color w:val="000000"/>
                <w:sz w:val="16"/>
                <w:szCs w:val="16"/>
              </w:rPr>
            </w:pPr>
            <w:r w:rsidRPr="00D77000">
              <w:rPr>
                <w:rFonts w:ascii="Arial" w:hAnsi="Arial" w:cs="Arial"/>
                <w:color w:val="000000"/>
                <w:sz w:val="16"/>
                <w:szCs w:val="16"/>
              </w:rPr>
              <w:t>services</w:t>
            </w:r>
          </w:p>
        </w:tc>
        <w:tc>
          <w:tcPr>
            <w:tcW w:w="506" w:type="pct"/>
            <w:tcBorders>
              <w:top w:val="nil"/>
              <w:left w:val="nil"/>
              <w:bottom w:val="nil"/>
              <w:right w:val="nil"/>
            </w:tcBorders>
            <w:shd w:val="clear" w:color="000000" w:fill="FFFFFF"/>
            <w:noWrap/>
            <w:vAlign w:val="center"/>
            <w:hideMark/>
          </w:tcPr>
          <w:p w14:paraId="31FD442E" w14:textId="77777777" w:rsidR="00D77000" w:rsidRPr="00D77000" w:rsidRDefault="00D77000" w:rsidP="00D77000">
            <w:pPr>
              <w:spacing w:before="0" w:after="0" w:line="240" w:lineRule="auto"/>
              <w:jc w:val="right"/>
              <w:rPr>
                <w:rFonts w:ascii="Arial" w:hAnsi="Arial" w:cs="Arial"/>
                <w:color w:val="000000"/>
                <w:sz w:val="16"/>
                <w:szCs w:val="16"/>
              </w:rPr>
            </w:pPr>
            <w:r w:rsidRPr="00D77000">
              <w:rPr>
                <w:rFonts w:ascii="Arial" w:hAnsi="Arial" w:cs="Arial"/>
                <w:color w:val="000000"/>
                <w:sz w:val="16"/>
                <w:szCs w:val="16"/>
              </w:rPr>
              <w:t>18,569</w:t>
            </w:r>
          </w:p>
        </w:tc>
        <w:tc>
          <w:tcPr>
            <w:tcW w:w="56" w:type="pct"/>
            <w:tcBorders>
              <w:top w:val="nil"/>
              <w:left w:val="nil"/>
              <w:bottom w:val="nil"/>
              <w:right w:val="nil"/>
            </w:tcBorders>
            <w:shd w:val="clear" w:color="000000" w:fill="FFFFFF"/>
            <w:noWrap/>
            <w:vAlign w:val="center"/>
            <w:hideMark/>
          </w:tcPr>
          <w:p w14:paraId="5C2D69DB" w14:textId="77777777" w:rsidR="00D77000" w:rsidRPr="00D77000" w:rsidRDefault="00D77000" w:rsidP="00D77000">
            <w:pPr>
              <w:spacing w:before="0" w:after="0" w:line="240" w:lineRule="auto"/>
              <w:rPr>
                <w:rFonts w:ascii="Arial" w:hAnsi="Arial" w:cs="Arial"/>
                <w:color w:val="000000"/>
                <w:sz w:val="16"/>
                <w:szCs w:val="16"/>
              </w:rPr>
            </w:pPr>
            <w:r w:rsidRPr="00D77000">
              <w:rPr>
                <w:rFonts w:ascii="Arial" w:hAnsi="Arial" w:cs="Arial"/>
                <w:color w:val="000000"/>
                <w:sz w:val="16"/>
                <w:szCs w:val="16"/>
              </w:rPr>
              <w:t> </w:t>
            </w:r>
          </w:p>
        </w:tc>
        <w:tc>
          <w:tcPr>
            <w:tcW w:w="498" w:type="pct"/>
            <w:tcBorders>
              <w:top w:val="nil"/>
              <w:left w:val="nil"/>
              <w:bottom w:val="nil"/>
              <w:right w:val="nil"/>
            </w:tcBorders>
            <w:shd w:val="clear" w:color="000000" w:fill="FFFFFF"/>
            <w:noWrap/>
            <w:vAlign w:val="center"/>
            <w:hideMark/>
          </w:tcPr>
          <w:p w14:paraId="5542EBE5" w14:textId="77777777" w:rsidR="00D77000" w:rsidRPr="00D77000" w:rsidRDefault="00D77000" w:rsidP="00D77000">
            <w:pPr>
              <w:spacing w:before="0" w:after="0" w:line="240" w:lineRule="auto"/>
              <w:jc w:val="right"/>
              <w:rPr>
                <w:rFonts w:ascii="Arial" w:hAnsi="Arial" w:cs="Arial"/>
                <w:color w:val="000000"/>
                <w:sz w:val="16"/>
                <w:szCs w:val="16"/>
              </w:rPr>
            </w:pPr>
            <w:r w:rsidRPr="00D77000">
              <w:rPr>
                <w:rFonts w:ascii="Arial" w:hAnsi="Arial" w:cs="Arial"/>
                <w:color w:val="000000"/>
                <w:sz w:val="16"/>
                <w:szCs w:val="16"/>
              </w:rPr>
              <w:t>20,131</w:t>
            </w:r>
          </w:p>
        </w:tc>
        <w:tc>
          <w:tcPr>
            <w:tcW w:w="497" w:type="pct"/>
            <w:tcBorders>
              <w:top w:val="nil"/>
              <w:left w:val="nil"/>
              <w:bottom w:val="nil"/>
              <w:right w:val="nil"/>
            </w:tcBorders>
            <w:shd w:val="clear" w:color="000000" w:fill="E6F2FF"/>
            <w:noWrap/>
            <w:vAlign w:val="center"/>
            <w:hideMark/>
          </w:tcPr>
          <w:p w14:paraId="03609B45" w14:textId="77777777" w:rsidR="00D77000" w:rsidRPr="00D77000" w:rsidRDefault="00D77000" w:rsidP="00D77000">
            <w:pPr>
              <w:spacing w:before="0" w:after="0" w:line="240" w:lineRule="auto"/>
              <w:jc w:val="right"/>
              <w:rPr>
                <w:rFonts w:ascii="Arial" w:hAnsi="Arial" w:cs="Arial"/>
                <w:color w:val="000000"/>
                <w:sz w:val="16"/>
                <w:szCs w:val="16"/>
              </w:rPr>
            </w:pPr>
            <w:r w:rsidRPr="00D77000">
              <w:rPr>
                <w:rFonts w:ascii="Arial" w:hAnsi="Arial" w:cs="Arial"/>
                <w:color w:val="000000"/>
                <w:sz w:val="16"/>
                <w:szCs w:val="16"/>
              </w:rPr>
              <w:t>20,574</w:t>
            </w:r>
          </w:p>
        </w:tc>
        <w:tc>
          <w:tcPr>
            <w:tcW w:w="497" w:type="pct"/>
            <w:tcBorders>
              <w:top w:val="nil"/>
              <w:left w:val="nil"/>
              <w:bottom w:val="nil"/>
              <w:right w:val="nil"/>
            </w:tcBorders>
            <w:shd w:val="clear" w:color="000000" w:fill="FFFFFF"/>
            <w:noWrap/>
            <w:vAlign w:val="center"/>
            <w:hideMark/>
          </w:tcPr>
          <w:p w14:paraId="2C3148D6" w14:textId="77777777" w:rsidR="00D77000" w:rsidRPr="00D77000" w:rsidRDefault="00D77000" w:rsidP="00D77000">
            <w:pPr>
              <w:spacing w:before="0" w:after="0" w:line="240" w:lineRule="auto"/>
              <w:jc w:val="right"/>
              <w:rPr>
                <w:rFonts w:ascii="Arial" w:hAnsi="Arial" w:cs="Arial"/>
                <w:color w:val="000000"/>
                <w:sz w:val="16"/>
                <w:szCs w:val="16"/>
              </w:rPr>
            </w:pPr>
            <w:r w:rsidRPr="00D77000">
              <w:rPr>
                <w:rFonts w:ascii="Arial" w:hAnsi="Arial" w:cs="Arial"/>
                <w:color w:val="000000"/>
                <w:sz w:val="16"/>
                <w:szCs w:val="16"/>
              </w:rPr>
              <w:t>20,740</w:t>
            </w:r>
          </w:p>
        </w:tc>
        <w:tc>
          <w:tcPr>
            <w:tcW w:w="497" w:type="pct"/>
            <w:tcBorders>
              <w:top w:val="nil"/>
              <w:left w:val="nil"/>
              <w:bottom w:val="nil"/>
              <w:right w:val="nil"/>
            </w:tcBorders>
            <w:shd w:val="clear" w:color="000000" w:fill="FFFFFF"/>
            <w:noWrap/>
            <w:vAlign w:val="center"/>
            <w:hideMark/>
          </w:tcPr>
          <w:p w14:paraId="79C3F801" w14:textId="77777777" w:rsidR="00D77000" w:rsidRPr="00D77000" w:rsidRDefault="00D77000" w:rsidP="00D77000">
            <w:pPr>
              <w:spacing w:before="0" w:after="0" w:line="240" w:lineRule="auto"/>
              <w:jc w:val="right"/>
              <w:rPr>
                <w:rFonts w:ascii="Arial" w:hAnsi="Arial" w:cs="Arial"/>
                <w:color w:val="000000"/>
                <w:sz w:val="16"/>
                <w:szCs w:val="16"/>
              </w:rPr>
            </w:pPr>
            <w:r w:rsidRPr="00D77000">
              <w:rPr>
                <w:rFonts w:ascii="Arial" w:hAnsi="Arial" w:cs="Arial"/>
                <w:color w:val="000000"/>
                <w:sz w:val="16"/>
                <w:szCs w:val="16"/>
              </w:rPr>
              <w:t>20,516</w:t>
            </w:r>
          </w:p>
        </w:tc>
        <w:tc>
          <w:tcPr>
            <w:tcW w:w="497" w:type="pct"/>
            <w:tcBorders>
              <w:top w:val="nil"/>
              <w:left w:val="nil"/>
              <w:bottom w:val="nil"/>
              <w:right w:val="nil"/>
            </w:tcBorders>
            <w:shd w:val="clear" w:color="000000" w:fill="FFFFFF"/>
            <w:noWrap/>
            <w:vAlign w:val="center"/>
            <w:hideMark/>
          </w:tcPr>
          <w:p w14:paraId="6E0E3C64" w14:textId="77777777" w:rsidR="00D77000" w:rsidRPr="00D77000" w:rsidRDefault="00D77000" w:rsidP="00D77000">
            <w:pPr>
              <w:spacing w:before="0" w:after="0" w:line="240" w:lineRule="auto"/>
              <w:jc w:val="right"/>
              <w:rPr>
                <w:rFonts w:ascii="Arial" w:hAnsi="Arial" w:cs="Arial"/>
                <w:color w:val="000000"/>
                <w:sz w:val="16"/>
                <w:szCs w:val="16"/>
              </w:rPr>
            </w:pPr>
            <w:r w:rsidRPr="00D77000">
              <w:rPr>
                <w:rFonts w:ascii="Arial" w:hAnsi="Arial" w:cs="Arial"/>
                <w:color w:val="000000"/>
                <w:sz w:val="16"/>
                <w:szCs w:val="16"/>
              </w:rPr>
              <w:t>20,640</w:t>
            </w:r>
          </w:p>
        </w:tc>
      </w:tr>
      <w:tr w:rsidR="00D77000" w:rsidRPr="00D77000" w14:paraId="0AA60388" w14:textId="77777777" w:rsidTr="00D77000">
        <w:trPr>
          <w:trHeight w:hRule="exact" w:val="225"/>
        </w:trPr>
        <w:tc>
          <w:tcPr>
            <w:tcW w:w="1950" w:type="pct"/>
            <w:tcBorders>
              <w:top w:val="nil"/>
              <w:left w:val="nil"/>
              <w:bottom w:val="nil"/>
              <w:right w:val="nil"/>
            </w:tcBorders>
            <w:shd w:val="clear" w:color="000000" w:fill="FFFFFF"/>
            <w:noWrap/>
            <w:vAlign w:val="center"/>
            <w:hideMark/>
          </w:tcPr>
          <w:p w14:paraId="486F7AB5" w14:textId="77777777" w:rsidR="00D77000" w:rsidRPr="00D77000" w:rsidRDefault="00D77000" w:rsidP="00D77000">
            <w:pPr>
              <w:spacing w:before="0" w:after="0" w:line="240" w:lineRule="auto"/>
              <w:ind w:left="170"/>
              <w:rPr>
                <w:rFonts w:ascii="Arial" w:hAnsi="Arial" w:cs="Arial"/>
                <w:color w:val="000000"/>
                <w:sz w:val="16"/>
                <w:szCs w:val="16"/>
              </w:rPr>
            </w:pPr>
            <w:r w:rsidRPr="00D77000">
              <w:rPr>
                <w:rFonts w:ascii="Arial" w:hAnsi="Arial" w:cs="Arial"/>
                <w:color w:val="000000"/>
                <w:sz w:val="16"/>
                <w:szCs w:val="16"/>
              </w:rPr>
              <w:t>Assistance to the states for</w:t>
            </w:r>
          </w:p>
        </w:tc>
        <w:tc>
          <w:tcPr>
            <w:tcW w:w="506" w:type="pct"/>
            <w:tcBorders>
              <w:top w:val="nil"/>
              <w:left w:val="nil"/>
              <w:bottom w:val="nil"/>
              <w:right w:val="nil"/>
            </w:tcBorders>
            <w:shd w:val="clear" w:color="000000" w:fill="FFFFFF"/>
            <w:noWrap/>
            <w:vAlign w:val="center"/>
            <w:hideMark/>
          </w:tcPr>
          <w:p w14:paraId="77C35A33" w14:textId="77777777" w:rsidR="00D77000" w:rsidRPr="00D77000" w:rsidRDefault="00D77000" w:rsidP="00D77000">
            <w:pPr>
              <w:spacing w:before="0" w:after="0" w:line="240" w:lineRule="auto"/>
              <w:rPr>
                <w:rFonts w:ascii="Arial" w:hAnsi="Arial" w:cs="Arial"/>
                <w:color w:val="000000"/>
                <w:sz w:val="16"/>
                <w:szCs w:val="16"/>
              </w:rPr>
            </w:pPr>
            <w:r w:rsidRPr="00D77000">
              <w:rPr>
                <w:rFonts w:ascii="Arial" w:hAnsi="Arial" w:cs="Arial"/>
                <w:color w:val="000000"/>
                <w:sz w:val="16"/>
                <w:szCs w:val="16"/>
              </w:rPr>
              <w:t> </w:t>
            </w:r>
          </w:p>
        </w:tc>
        <w:tc>
          <w:tcPr>
            <w:tcW w:w="56" w:type="pct"/>
            <w:tcBorders>
              <w:top w:val="nil"/>
              <w:left w:val="nil"/>
              <w:bottom w:val="nil"/>
              <w:right w:val="nil"/>
            </w:tcBorders>
            <w:shd w:val="clear" w:color="000000" w:fill="FFFFFF"/>
            <w:noWrap/>
            <w:vAlign w:val="center"/>
            <w:hideMark/>
          </w:tcPr>
          <w:p w14:paraId="1C685EAD" w14:textId="77777777" w:rsidR="00D77000" w:rsidRPr="00D77000" w:rsidRDefault="00D77000" w:rsidP="00D77000">
            <w:pPr>
              <w:spacing w:before="0" w:after="0" w:line="240" w:lineRule="auto"/>
              <w:rPr>
                <w:rFonts w:ascii="Arial" w:hAnsi="Arial" w:cs="Arial"/>
                <w:color w:val="000000"/>
                <w:sz w:val="16"/>
                <w:szCs w:val="16"/>
              </w:rPr>
            </w:pPr>
            <w:r w:rsidRPr="00D77000">
              <w:rPr>
                <w:rFonts w:ascii="Arial" w:hAnsi="Arial" w:cs="Arial"/>
                <w:color w:val="000000"/>
                <w:sz w:val="16"/>
                <w:szCs w:val="16"/>
              </w:rPr>
              <w:t> </w:t>
            </w:r>
          </w:p>
        </w:tc>
        <w:tc>
          <w:tcPr>
            <w:tcW w:w="498" w:type="pct"/>
            <w:tcBorders>
              <w:top w:val="nil"/>
              <w:left w:val="nil"/>
              <w:bottom w:val="nil"/>
              <w:right w:val="nil"/>
            </w:tcBorders>
            <w:shd w:val="clear" w:color="000000" w:fill="FFFFFF"/>
            <w:noWrap/>
            <w:vAlign w:val="center"/>
            <w:hideMark/>
          </w:tcPr>
          <w:p w14:paraId="6B04C7F8" w14:textId="77777777" w:rsidR="00D77000" w:rsidRPr="00D77000" w:rsidRDefault="00D77000" w:rsidP="00D77000">
            <w:pPr>
              <w:spacing w:before="0" w:after="0" w:line="240" w:lineRule="auto"/>
              <w:rPr>
                <w:rFonts w:ascii="Arial" w:hAnsi="Arial" w:cs="Arial"/>
                <w:color w:val="000000"/>
                <w:sz w:val="16"/>
                <w:szCs w:val="16"/>
              </w:rPr>
            </w:pPr>
            <w:r w:rsidRPr="00D77000">
              <w:rPr>
                <w:rFonts w:ascii="Arial" w:hAnsi="Arial" w:cs="Arial"/>
                <w:color w:val="000000"/>
                <w:sz w:val="16"/>
                <w:szCs w:val="16"/>
              </w:rPr>
              <w:t> </w:t>
            </w:r>
          </w:p>
        </w:tc>
        <w:tc>
          <w:tcPr>
            <w:tcW w:w="497" w:type="pct"/>
            <w:tcBorders>
              <w:top w:val="nil"/>
              <w:left w:val="nil"/>
              <w:bottom w:val="nil"/>
              <w:right w:val="nil"/>
            </w:tcBorders>
            <w:shd w:val="clear" w:color="000000" w:fill="E6F2FF"/>
            <w:noWrap/>
            <w:vAlign w:val="center"/>
            <w:hideMark/>
          </w:tcPr>
          <w:p w14:paraId="31786CFB" w14:textId="77777777" w:rsidR="00D77000" w:rsidRPr="00D77000" w:rsidRDefault="00D77000" w:rsidP="00D77000">
            <w:pPr>
              <w:spacing w:before="0" w:after="0" w:line="240" w:lineRule="auto"/>
              <w:rPr>
                <w:rFonts w:ascii="Arial" w:hAnsi="Arial" w:cs="Arial"/>
                <w:color w:val="000000"/>
                <w:sz w:val="16"/>
                <w:szCs w:val="16"/>
              </w:rPr>
            </w:pPr>
            <w:r w:rsidRPr="00D77000">
              <w:rPr>
                <w:rFonts w:ascii="Arial" w:hAnsi="Arial" w:cs="Arial"/>
                <w:color w:val="000000"/>
                <w:sz w:val="16"/>
                <w:szCs w:val="16"/>
              </w:rPr>
              <w:t> </w:t>
            </w:r>
          </w:p>
        </w:tc>
        <w:tc>
          <w:tcPr>
            <w:tcW w:w="497" w:type="pct"/>
            <w:tcBorders>
              <w:top w:val="nil"/>
              <w:left w:val="nil"/>
              <w:bottom w:val="nil"/>
              <w:right w:val="nil"/>
            </w:tcBorders>
            <w:shd w:val="clear" w:color="000000" w:fill="FFFFFF"/>
            <w:noWrap/>
            <w:vAlign w:val="center"/>
            <w:hideMark/>
          </w:tcPr>
          <w:p w14:paraId="73F9A4A2" w14:textId="77777777" w:rsidR="00D77000" w:rsidRPr="00D77000" w:rsidRDefault="00D77000" w:rsidP="00D77000">
            <w:pPr>
              <w:spacing w:before="0" w:after="0" w:line="240" w:lineRule="auto"/>
              <w:rPr>
                <w:rFonts w:ascii="Arial" w:hAnsi="Arial" w:cs="Arial"/>
                <w:color w:val="000000"/>
                <w:sz w:val="16"/>
                <w:szCs w:val="16"/>
              </w:rPr>
            </w:pPr>
            <w:r w:rsidRPr="00D77000">
              <w:rPr>
                <w:rFonts w:ascii="Arial" w:hAnsi="Arial" w:cs="Arial"/>
                <w:color w:val="000000"/>
                <w:sz w:val="16"/>
                <w:szCs w:val="16"/>
              </w:rPr>
              <w:t> </w:t>
            </w:r>
          </w:p>
        </w:tc>
        <w:tc>
          <w:tcPr>
            <w:tcW w:w="497" w:type="pct"/>
            <w:tcBorders>
              <w:top w:val="nil"/>
              <w:left w:val="nil"/>
              <w:bottom w:val="nil"/>
              <w:right w:val="nil"/>
            </w:tcBorders>
            <w:shd w:val="clear" w:color="000000" w:fill="FFFFFF"/>
            <w:noWrap/>
            <w:vAlign w:val="center"/>
            <w:hideMark/>
          </w:tcPr>
          <w:p w14:paraId="4B2DD7AF" w14:textId="77777777" w:rsidR="00D77000" w:rsidRPr="00D77000" w:rsidRDefault="00D77000" w:rsidP="00D77000">
            <w:pPr>
              <w:spacing w:before="0" w:after="0" w:line="240" w:lineRule="auto"/>
              <w:rPr>
                <w:rFonts w:ascii="Arial" w:hAnsi="Arial" w:cs="Arial"/>
                <w:color w:val="000000"/>
                <w:sz w:val="16"/>
                <w:szCs w:val="16"/>
              </w:rPr>
            </w:pPr>
            <w:r w:rsidRPr="00D77000">
              <w:rPr>
                <w:rFonts w:ascii="Arial" w:hAnsi="Arial" w:cs="Arial"/>
                <w:color w:val="000000"/>
                <w:sz w:val="16"/>
                <w:szCs w:val="16"/>
              </w:rPr>
              <w:t> </w:t>
            </w:r>
          </w:p>
        </w:tc>
        <w:tc>
          <w:tcPr>
            <w:tcW w:w="497" w:type="pct"/>
            <w:tcBorders>
              <w:top w:val="nil"/>
              <w:left w:val="nil"/>
              <w:bottom w:val="nil"/>
              <w:right w:val="nil"/>
            </w:tcBorders>
            <w:shd w:val="clear" w:color="000000" w:fill="FFFFFF"/>
            <w:noWrap/>
            <w:vAlign w:val="center"/>
            <w:hideMark/>
          </w:tcPr>
          <w:p w14:paraId="38B81FBA" w14:textId="77777777" w:rsidR="00D77000" w:rsidRPr="00D77000" w:rsidRDefault="00D77000" w:rsidP="00D77000">
            <w:pPr>
              <w:spacing w:before="0" w:after="0" w:line="240" w:lineRule="auto"/>
              <w:rPr>
                <w:rFonts w:ascii="Arial" w:hAnsi="Arial" w:cs="Arial"/>
                <w:color w:val="000000"/>
                <w:sz w:val="16"/>
                <w:szCs w:val="16"/>
              </w:rPr>
            </w:pPr>
            <w:r w:rsidRPr="00D77000">
              <w:rPr>
                <w:rFonts w:ascii="Arial" w:hAnsi="Arial" w:cs="Arial"/>
                <w:color w:val="000000"/>
                <w:sz w:val="16"/>
                <w:szCs w:val="16"/>
              </w:rPr>
              <w:t> </w:t>
            </w:r>
          </w:p>
        </w:tc>
      </w:tr>
      <w:tr w:rsidR="00D77000" w:rsidRPr="00D77000" w14:paraId="45DCCD1C" w14:textId="77777777" w:rsidTr="00D77000">
        <w:trPr>
          <w:trHeight w:hRule="exact" w:val="225"/>
        </w:trPr>
        <w:tc>
          <w:tcPr>
            <w:tcW w:w="1950" w:type="pct"/>
            <w:tcBorders>
              <w:top w:val="nil"/>
              <w:left w:val="nil"/>
              <w:bottom w:val="nil"/>
              <w:right w:val="nil"/>
            </w:tcBorders>
            <w:shd w:val="clear" w:color="000000" w:fill="FFFFFF"/>
            <w:noWrap/>
            <w:vAlign w:val="center"/>
            <w:hideMark/>
          </w:tcPr>
          <w:p w14:paraId="1DE22D88" w14:textId="77777777" w:rsidR="00D77000" w:rsidRPr="00D77000" w:rsidRDefault="00D77000" w:rsidP="00D77000">
            <w:pPr>
              <w:spacing w:before="0" w:after="0" w:line="240" w:lineRule="auto"/>
              <w:ind w:left="340"/>
              <w:rPr>
                <w:rFonts w:ascii="Arial" w:hAnsi="Arial" w:cs="Arial"/>
                <w:color w:val="000000"/>
                <w:sz w:val="16"/>
                <w:szCs w:val="16"/>
              </w:rPr>
            </w:pPr>
            <w:r w:rsidRPr="00D77000">
              <w:rPr>
                <w:rFonts w:ascii="Arial" w:hAnsi="Arial" w:cs="Arial"/>
                <w:color w:val="000000"/>
                <w:sz w:val="16"/>
                <w:szCs w:val="16"/>
              </w:rPr>
              <w:t>public hospitals</w:t>
            </w:r>
          </w:p>
        </w:tc>
        <w:tc>
          <w:tcPr>
            <w:tcW w:w="506" w:type="pct"/>
            <w:tcBorders>
              <w:top w:val="nil"/>
              <w:left w:val="nil"/>
              <w:bottom w:val="nil"/>
              <w:right w:val="nil"/>
            </w:tcBorders>
            <w:shd w:val="clear" w:color="000000" w:fill="FFFFFF"/>
            <w:noWrap/>
            <w:vAlign w:val="center"/>
            <w:hideMark/>
          </w:tcPr>
          <w:p w14:paraId="08F98BEF" w14:textId="77777777" w:rsidR="00D77000" w:rsidRPr="00D77000" w:rsidRDefault="00D77000" w:rsidP="00D77000">
            <w:pPr>
              <w:spacing w:before="0" w:after="0" w:line="240" w:lineRule="auto"/>
              <w:jc w:val="right"/>
              <w:rPr>
                <w:rFonts w:ascii="Arial" w:hAnsi="Arial" w:cs="Arial"/>
                <w:color w:val="000000"/>
                <w:sz w:val="16"/>
                <w:szCs w:val="16"/>
              </w:rPr>
            </w:pPr>
            <w:r w:rsidRPr="00D77000">
              <w:rPr>
                <w:rFonts w:ascii="Arial" w:hAnsi="Arial" w:cs="Arial"/>
                <w:color w:val="000000"/>
                <w:sz w:val="16"/>
                <w:szCs w:val="16"/>
              </w:rPr>
              <w:t>25,821</w:t>
            </w:r>
          </w:p>
        </w:tc>
        <w:tc>
          <w:tcPr>
            <w:tcW w:w="56" w:type="pct"/>
            <w:tcBorders>
              <w:top w:val="nil"/>
              <w:left w:val="nil"/>
              <w:bottom w:val="nil"/>
              <w:right w:val="nil"/>
            </w:tcBorders>
            <w:shd w:val="clear" w:color="000000" w:fill="FFFFFF"/>
            <w:noWrap/>
            <w:vAlign w:val="center"/>
            <w:hideMark/>
          </w:tcPr>
          <w:p w14:paraId="6879F4E9" w14:textId="77777777" w:rsidR="00D77000" w:rsidRPr="00D77000" w:rsidRDefault="00D77000" w:rsidP="00D77000">
            <w:pPr>
              <w:spacing w:before="0" w:after="0" w:line="240" w:lineRule="auto"/>
              <w:rPr>
                <w:rFonts w:ascii="Arial" w:hAnsi="Arial" w:cs="Arial"/>
                <w:color w:val="000000"/>
                <w:sz w:val="16"/>
                <w:szCs w:val="16"/>
              </w:rPr>
            </w:pPr>
            <w:r w:rsidRPr="00D77000">
              <w:rPr>
                <w:rFonts w:ascii="Arial" w:hAnsi="Arial" w:cs="Arial"/>
                <w:color w:val="000000"/>
                <w:sz w:val="16"/>
                <w:szCs w:val="16"/>
              </w:rPr>
              <w:t> </w:t>
            </w:r>
          </w:p>
        </w:tc>
        <w:tc>
          <w:tcPr>
            <w:tcW w:w="498" w:type="pct"/>
            <w:tcBorders>
              <w:top w:val="nil"/>
              <w:left w:val="nil"/>
              <w:bottom w:val="nil"/>
              <w:right w:val="nil"/>
            </w:tcBorders>
            <w:shd w:val="clear" w:color="000000" w:fill="FFFFFF"/>
            <w:noWrap/>
            <w:vAlign w:val="center"/>
            <w:hideMark/>
          </w:tcPr>
          <w:p w14:paraId="29B58B7A" w14:textId="77777777" w:rsidR="00D77000" w:rsidRPr="00D77000" w:rsidRDefault="00D77000" w:rsidP="00D77000">
            <w:pPr>
              <w:spacing w:before="0" w:after="0" w:line="240" w:lineRule="auto"/>
              <w:jc w:val="right"/>
              <w:rPr>
                <w:rFonts w:ascii="Arial" w:hAnsi="Arial" w:cs="Arial"/>
                <w:color w:val="000000"/>
                <w:sz w:val="16"/>
                <w:szCs w:val="16"/>
              </w:rPr>
            </w:pPr>
            <w:r w:rsidRPr="00D77000">
              <w:rPr>
                <w:rFonts w:ascii="Arial" w:hAnsi="Arial" w:cs="Arial"/>
                <w:color w:val="000000"/>
                <w:sz w:val="16"/>
                <w:szCs w:val="16"/>
              </w:rPr>
              <w:t>27,853</w:t>
            </w:r>
          </w:p>
        </w:tc>
        <w:tc>
          <w:tcPr>
            <w:tcW w:w="497" w:type="pct"/>
            <w:tcBorders>
              <w:top w:val="nil"/>
              <w:left w:val="nil"/>
              <w:bottom w:val="nil"/>
              <w:right w:val="nil"/>
            </w:tcBorders>
            <w:shd w:val="clear" w:color="000000" w:fill="E6F2FF"/>
            <w:noWrap/>
            <w:vAlign w:val="center"/>
            <w:hideMark/>
          </w:tcPr>
          <w:p w14:paraId="34B49253" w14:textId="77777777" w:rsidR="00D77000" w:rsidRPr="00D77000" w:rsidRDefault="00D77000" w:rsidP="00D77000">
            <w:pPr>
              <w:spacing w:before="0" w:after="0" w:line="240" w:lineRule="auto"/>
              <w:jc w:val="right"/>
              <w:rPr>
                <w:rFonts w:ascii="Arial" w:hAnsi="Arial" w:cs="Arial"/>
                <w:color w:val="000000"/>
                <w:sz w:val="16"/>
                <w:szCs w:val="16"/>
              </w:rPr>
            </w:pPr>
            <w:r w:rsidRPr="00D77000">
              <w:rPr>
                <w:rFonts w:ascii="Arial" w:hAnsi="Arial" w:cs="Arial"/>
                <w:color w:val="000000"/>
                <w:sz w:val="16"/>
                <w:szCs w:val="16"/>
              </w:rPr>
              <w:t>30,149</w:t>
            </w:r>
          </w:p>
        </w:tc>
        <w:tc>
          <w:tcPr>
            <w:tcW w:w="497" w:type="pct"/>
            <w:tcBorders>
              <w:top w:val="nil"/>
              <w:left w:val="nil"/>
              <w:bottom w:val="nil"/>
              <w:right w:val="nil"/>
            </w:tcBorders>
            <w:shd w:val="clear" w:color="000000" w:fill="FFFFFF"/>
            <w:noWrap/>
            <w:vAlign w:val="center"/>
            <w:hideMark/>
          </w:tcPr>
          <w:p w14:paraId="0E5E4D2D" w14:textId="77777777" w:rsidR="00D77000" w:rsidRPr="00D77000" w:rsidRDefault="00D77000" w:rsidP="00D77000">
            <w:pPr>
              <w:spacing w:before="0" w:after="0" w:line="240" w:lineRule="auto"/>
              <w:jc w:val="right"/>
              <w:rPr>
                <w:rFonts w:ascii="Arial" w:hAnsi="Arial" w:cs="Arial"/>
                <w:color w:val="000000"/>
                <w:sz w:val="16"/>
                <w:szCs w:val="16"/>
              </w:rPr>
            </w:pPr>
            <w:r w:rsidRPr="00D77000">
              <w:rPr>
                <w:rFonts w:ascii="Arial" w:hAnsi="Arial" w:cs="Arial"/>
                <w:color w:val="000000"/>
                <w:sz w:val="16"/>
                <w:szCs w:val="16"/>
              </w:rPr>
              <w:t>32,187</w:t>
            </w:r>
          </w:p>
        </w:tc>
        <w:tc>
          <w:tcPr>
            <w:tcW w:w="497" w:type="pct"/>
            <w:tcBorders>
              <w:top w:val="nil"/>
              <w:left w:val="nil"/>
              <w:bottom w:val="nil"/>
              <w:right w:val="nil"/>
            </w:tcBorders>
            <w:shd w:val="clear" w:color="000000" w:fill="FFFFFF"/>
            <w:noWrap/>
            <w:vAlign w:val="center"/>
            <w:hideMark/>
          </w:tcPr>
          <w:p w14:paraId="52C374B7" w14:textId="77777777" w:rsidR="00D77000" w:rsidRPr="00D77000" w:rsidRDefault="00D77000" w:rsidP="00D77000">
            <w:pPr>
              <w:spacing w:before="0" w:after="0" w:line="240" w:lineRule="auto"/>
              <w:jc w:val="right"/>
              <w:rPr>
                <w:rFonts w:ascii="Arial" w:hAnsi="Arial" w:cs="Arial"/>
                <w:color w:val="000000"/>
                <w:sz w:val="16"/>
                <w:szCs w:val="16"/>
              </w:rPr>
            </w:pPr>
            <w:r w:rsidRPr="00D77000">
              <w:rPr>
                <w:rFonts w:ascii="Arial" w:hAnsi="Arial" w:cs="Arial"/>
                <w:color w:val="000000"/>
                <w:sz w:val="16"/>
                <w:szCs w:val="16"/>
              </w:rPr>
              <w:t>34,229</w:t>
            </w:r>
          </w:p>
        </w:tc>
        <w:tc>
          <w:tcPr>
            <w:tcW w:w="497" w:type="pct"/>
            <w:tcBorders>
              <w:top w:val="nil"/>
              <w:left w:val="nil"/>
              <w:bottom w:val="nil"/>
              <w:right w:val="nil"/>
            </w:tcBorders>
            <w:shd w:val="clear" w:color="000000" w:fill="FFFFFF"/>
            <w:noWrap/>
            <w:vAlign w:val="center"/>
            <w:hideMark/>
          </w:tcPr>
          <w:p w14:paraId="2F616141" w14:textId="77777777" w:rsidR="00D77000" w:rsidRPr="00D77000" w:rsidRDefault="00D77000" w:rsidP="00D77000">
            <w:pPr>
              <w:spacing w:before="0" w:after="0" w:line="240" w:lineRule="auto"/>
              <w:jc w:val="right"/>
              <w:rPr>
                <w:rFonts w:ascii="Arial" w:hAnsi="Arial" w:cs="Arial"/>
                <w:color w:val="000000"/>
                <w:sz w:val="16"/>
                <w:szCs w:val="16"/>
              </w:rPr>
            </w:pPr>
            <w:r w:rsidRPr="00D77000">
              <w:rPr>
                <w:rFonts w:ascii="Arial" w:hAnsi="Arial" w:cs="Arial"/>
                <w:color w:val="000000"/>
                <w:sz w:val="16"/>
                <w:szCs w:val="16"/>
              </w:rPr>
              <w:t>36,454</w:t>
            </w:r>
          </w:p>
        </w:tc>
      </w:tr>
      <w:tr w:rsidR="00D77000" w:rsidRPr="00D77000" w14:paraId="6F72D8F9" w14:textId="77777777" w:rsidTr="00D77000">
        <w:trPr>
          <w:trHeight w:hRule="exact" w:val="225"/>
        </w:trPr>
        <w:tc>
          <w:tcPr>
            <w:tcW w:w="1950" w:type="pct"/>
            <w:tcBorders>
              <w:top w:val="nil"/>
              <w:left w:val="nil"/>
              <w:bottom w:val="nil"/>
              <w:right w:val="nil"/>
            </w:tcBorders>
            <w:shd w:val="clear" w:color="000000" w:fill="FFFFFF"/>
            <w:noWrap/>
            <w:vAlign w:val="center"/>
            <w:hideMark/>
          </w:tcPr>
          <w:p w14:paraId="42B5847D" w14:textId="77777777" w:rsidR="00D77000" w:rsidRPr="00D77000" w:rsidRDefault="00D77000" w:rsidP="00D77000">
            <w:pPr>
              <w:spacing w:before="0" w:after="0" w:line="240" w:lineRule="auto"/>
              <w:ind w:left="170"/>
              <w:rPr>
                <w:rFonts w:ascii="Arial" w:hAnsi="Arial" w:cs="Arial"/>
                <w:color w:val="000000"/>
                <w:sz w:val="16"/>
                <w:szCs w:val="16"/>
              </w:rPr>
            </w:pPr>
            <w:r w:rsidRPr="00D77000">
              <w:rPr>
                <w:rFonts w:ascii="Arial" w:hAnsi="Arial" w:cs="Arial"/>
                <w:color w:val="000000"/>
                <w:sz w:val="16"/>
                <w:szCs w:val="16"/>
              </w:rPr>
              <w:t>Hospital services(a)</w:t>
            </w:r>
          </w:p>
        </w:tc>
        <w:tc>
          <w:tcPr>
            <w:tcW w:w="506" w:type="pct"/>
            <w:tcBorders>
              <w:top w:val="nil"/>
              <w:left w:val="nil"/>
              <w:bottom w:val="nil"/>
              <w:right w:val="nil"/>
            </w:tcBorders>
            <w:shd w:val="clear" w:color="000000" w:fill="FFFFFF"/>
            <w:noWrap/>
            <w:vAlign w:val="center"/>
            <w:hideMark/>
          </w:tcPr>
          <w:p w14:paraId="48A876AB" w14:textId="77777777" w:rsidR="00D77000" w:rsidRPr="00D77000" w:rsidRDefault="00D77000" w:rsidP="00D77000">
            <w:pPr>
              <w:spacing w:before="0" w:after="0" w:line="240" w:lineRule="auto"/>
              <w:jc w:val="right"/>
              <w:rPr>
                <w:rFonts w:ascii="Arial" w:hAnsi="Arial" w:cs="Arial"/>
                <w:color w:val="000000"/>
                <w:sz w:val="16"/>
                <w:szCs w:val="16"/>
              </w:rPr>
            </w:pPr>
            <w:r w:rsidRPr="00D77000">
              <w:rPr>
                <w:rFonts w:ascii="Arial" w:hAnsi="Arial" w:cs="Arial"/>
                <w:color w:val="000000"/>
                <w:sz w:val="16"/>
                <w:szCs w:val="16"/>
              </w:rPr>
              <w:t>956</w:t>
            </w:r>
          </w:p>
        </w:tc>
        <w:tc>
          <w:tcPr>
            <w:tcW w:w="56" w:type="pct"/>
            <w:tcBorders>
              <w:top w:val="nil"/>
              <w:left w:val="nil"/>
              <w:bottom w:val="nil"/>
              <w:right w:val="nil"/>
            </w:tcBorders>
            <w:shd w:val="clear" w:color="000000" w:fill="FFFFFF"/>
            <w:noWrap/>
            <w:vAlign w:val="center"/>
            <w:hideMark/>
          </w:tcPr>
          <w:p w14:paraId="01DD4E00" w14:textId="77777777" w:rsidR="00D77000" w:rsidRPr="00D77000" w:rsidRDefault="00D77000" w:rsidP="00D77000">
            <w:pPr>
              <w:spacing w:before="0" w:after="0" w:line="240" w:lineRule="auto"/>
              <w:rPr>
                <w:rFonts w:ascii="Arial" w:hAnsi="Arial" w:cs="Arial"/>
                <w:color w:val="000000"/>
                <w:sz w:val="16"/>
                <w:szCs w:val="16"/>
              </w:rPr>
            </w:pPr>
            <w:r w:rsidRPr="00D77000">
              <w:rPr>
                <w:rFonts w:ascii="Arial" w:hAnsi="Arial" w:cs="Arial"/>
                <w:color w:val="000000"/>
                <w:sz w:val="16"/>
                <w:szCs w:val="16"/>
              </w:rPr>
              <w:t> </w:t>
            </w:r>
          </w:p>
        </w:tc>
        <w:tc>
          <w:tcPr>
            <w:tcW w:w="498" w:type="pct"/>
            <w:tcBorders>
              <w:top w:val="nil"/>
              <w:left w:val="nil"/>
              <w:bottom w:val="nil"/>
              <w:right w:val="nil"/>
            </w:tcBorders>
            <w:shd w:val="clear" w:color="000000" w:fill="FFFFFF"/>
            <w:noWrap/>
            <w:vAlign w:val="center"/>
            <w:hideMark/>
          </w:tcPr>
          <w:p w14:paraId="2205FB3E" w14:textId="77777777" w:rsidR="00D77000" w:rsidRPr="00D77000" w:rsidRDefault="00D77000" w:rsidP="00D77000">
            <w:pPr>
              <w:spacing w:before="0" w:after="0" w:line="240" w:lineRule="auto"/>
              <w:jc w:val="right"/>
              <w:rPr>
                <w:rFonts w:ascii="Arial" w:hAnsi="Arial" w:cs="Arial"/>
                <w:color w:val="000000"/>
                <w:sz w:val="16"/>
                <w:szCs w:val="16"/>
              </w:rPr>
            </w:pPr>
            <w:r w:rsidRPr="00D77000">
              <w:rPr>
                <w:rFonts w:ascii="Arial" w:hAnsi="Arial" w:cs="Arial"/>
                <w:color w:val="000000"/>
                <w:sz w:val="16"/>
                <w:szCs w:val="16"/>
              </w:rPr>
              <w:t>1,100</w:t>
            </w:r>
          </w:p>
        </w:tc>
        <w:tc>
          <w:tcPr>
            <w:tcW w:w="497" w:type="pct"/>
            <w:tcBorders>
              <w:top w:val="nil"/>
              <w:left w:val="nil"/>
              <w:bottom w:val="nil"/>
              <w:right w:val="nil"/>
            </w:tcBorders>
            <w:shd w:val="clear" w:color="000000" w:fill="E6F2FF"/>
            <w:noWrap/>
            <w:vAlign w:val="center"/>
            <w:hideMark/>
          </w:tcPr>
          <w:p w14:paraId="5A843791" w14:textId="77777777" w:rsidR="00D77000" w:rsidRPr="00D77000" w:rsidRDefault="00D77000" w:rsidP="00D77000">
            <w:pPr>
              <w:spacing w:before="0" w:after="0" w:line="240" w:lineRule="auto"/>
              <w:jc w:val="right"/>
              <w:rPr>
                <w:rFonts w:ascii="Arial" w:hAnsi="Arial" w:cs="Arial"/>
                <w:color w:val="000000"/>
                <w:sz w:val="16"/>
                <w:szCs w:val="16"/>
              </w:rPr>
            </w:pPr>
            <w:r w:rsidRPr="00D77000">
              <w:rPr>
                <w:rFonts w:ascii="Arial" w:hAnsi="Arial" w:cs="Arial"/>
                <w:color w:val="000000"/>
                <w:sz w:val="16"/>
                <w:szCs w:val="16"/>
              </w:rPr>
              <w:t>1,130</w:t>
            </w:r>
          </w:p>
        </w:tc>
        <w:tc>
          <w:tcPr>
            <w:tcW w:w="497" w:type="pct"/>
            <w:tcBorders>
              <w:top w:val="nil"/>
              <w:left w:val="nil"/>
              <w:bottom w:val="nil"/>
              <w:right w:val="nil"/>
            </w:tcBorders>
            <w:shd w:val="clear" w:color="000000" w:fill="FFFFFF"/>
            <w:noWrap/>
            <w:vAlign w:val="center"/>
            <w:hideMark/>
          </w:tcPr>
          <w:p w14:paraId="1D548F71" w14:textId="77777777" w:rsidR="00D77000" w:rsidRPr="00D77000" w:rsidRDefault="00D77000" w:rsidP="00D77000">
            <w:pPr>
              <w:spacing w:before="0" w:after="0" w:line="240" w:lineRule="auto"/>
              <w:jc w:val="right"/>
              <w:rPr>
                <w:rFonts w:ascii="Arial" w:hAnsi="Arial" w:cs="Arial"/>
                <w:color w:val="000000"/>
                <w:sz w:val="16"/>
                <w:szCs w:val="16"/>
              </w:rPr>
            </w:pPr>
            <w:r w:rsidRPr="00D77000">
              <w:rPr>
                <w:rFonts w:ascii="Arial" w:hAnsi="Arial" w:cs="Arial"/>
                <w:color w:val="000000"/>
                <w:sz w:val="16"/>
                <w:szCs w:val="16"/>
              </w:rPr>
              <w:t>1,189</w:t>
            </w:r>
          </w:p>
        </w:tc>
        <w:tc>
          <w:tcPr>
            <w:tcW w:w="497" w:type="pct"/>
            <w:tcBorders>
              <w:top w:val="nil"/>
              <w:left w:val="nil"/>
              <w:bottom w:val="nil"/>
              <w:right w:val="nil"/>
            </w:tcBorders>
            <w:shd w:val="clear" w:color="000000" w:fill="FFFFFF"/>
            <w:noWrap/>
            <w:vAlign w:val="center"/>
            <w:hideMark/>
          </w:tcPr>
          <w:p w14:paraId="500FACC1" w14:textId="77777777" w:rsidR="00D77000" w:rsidRPr="00D77000" w:rsidRDefault="00D77000" w:rsidP="00D77000">
            <w:pPr>
              <w:spacing w:before="0" w:after="0" w:line="240" w:lineRule="auto"/>
              <w:jc w:val="right"/>
              <w:rPr>
                <w:rFonts w:ascii="Arial" w:hAnsi="Arial" w:cs="Arial"/>
                <w:color w:val="000000"/>
                <w:sz w:val="16"/>
                <w:szCs w:val="16"/>
              </w:rPr>
            </w:pPr>
            <w:r w:rsidRPr="00D77000">
              <w:rPr>
                <w:rFonts w:ascii="Arial" w:hAnsi="Arial" w:cs="Arial"/>
                <w:color w:val="000000"/>
                <w:sz w:val="16"/>
                <w:szCs w:val="16"/>
              </w:rPr>
              <w:t>1,215</w:t>
            </w:r>
          </w:p>
        </w:tc>
        <w:tc>
          <w:tcPr>
            <w:tcW w:w="497" w:type="pct"/>
            <w:tcBorders>
              <w:top w:val="nil"/>
              <w:left w:val="nil"/>
              <w:bottom w:val="nil"/>
              <w:right w:val="nil"/>
            </w:tcBorders>
            <w:shd w:val="clear" w:color="000000" w:fill="FFFFFF"/>
            <w:noWrap/>
            <w:vAlign w:val="center"/>
            <w:hideMark/>
          </w:tcPr>
          <w:p w14:paraId="046345A1" w14:textId="77777777" w:rsidR="00D77000" w:rsidRPr="00D77000" w:rsidRDefault="00D77000" w:rsidP="00D77000">
            <w:pPr>
              <w:spacing w:before="0" w:after="0" w:line="240" w:lineRule="auto"/>
              <w:jc w:val="right"/>
              <w:rPr>
                <w:rFonts w:ascii="Arial" w:hAnsi="Arial" w:cs="Arial"/>
                <w:color w:val="000000"/>
                <w:sz w:val="16"/>
                <w:szCs w:val="16"/>
              </w:rPr>
            </w:pPr>
            <w:r w:rsidRPr="00D77000">
              <w:rPr>
                <w:rFonts w:ascii="Arial" w:hAnsi="Arial" w:cs="Arial"/>
                <w:color w:val="000000"/>
                <w:sz w:val="16"/>
                <w:szCs w:val="16"/>
              </w:rPr>
              <w:t>1,249</w:t>
            </w:r>
          </w:p>
        </w:tc>
      </w:tr>
      <w:tr w:rsidR="00D77000" w:rsidRPr="00D77000" w14:paraId="014B8551" w14:textId="77777777" w:rsidTr="00D77000">
        <w:trPr>
          <w:trHeight w:hRule="exact" w:val="225"/>
        </w:trPr>
        <w:tc>
          <w:tcPr>
            <w:tcW w:w="1950" w:type="pct"/>
            <w:tcBorders>
              <w:top w:val="nil"/>
              <w:left w:val="nil"/>
              <w:bottom w:val="nil"/>
              <w:right w:val="nil"/>
            </w:tcBorders>
            <w:shd w:val="clear" w:color="000000" w:fill="FFFFFF"/>
            <w:noWrap/>
            <w:vAlign w:val="center"/>
            <w:hideMark/>
          </w:tcPr>
          <w:p w14:paraId="23FABE19" w14:textId="77777777" w:rsidR="00D77000" w:rsidRPr="00D77000" w:rsidRDefault="00D77000" w:rsidP="00D77000">
            <w:pPr>
              <w:spacing w:before="0" w:after="0" w:line="240" w:lineRule="auto"/>
              <w:ind w:left="170"/>
              <w:rPr>
                <w:rFonts w:ascii="Arial" w:hAnsi="Arial" w:cs="Arial"/>
                <w:color w:val="000000"/>
                <w:sz w:val="16"/>
                <w:szCs w:val="16"/>
              </w:rPr>
            </w:pPr>
            <w:r w:rsidRPr="00D77000">
              <w:rPr>
                <w:rFonts w:ascii="Arial" w:hAnsi="Arial" w:cs="Arial"/>
                <w:color w:val="000000"/>
                <w:sz w:val="16"/>
                <w:szCs w:val="16"/>
              </w:rPr>
              <w:t>Health services</w:t>
            </w:r>
          </w:p>
        </w:tc>
        <w:tc>
          <w:tcPr>
            <w:tcW w:w="506" w:type="pct"/>
            <w:tcBorders>
              <w:top w:val="nil"/>
              <w:left w:val="nil"/>
              <w:bottom w:val="nil"/>
              <w:right w:val="nil"/>
            </w:tcBorders>
            <w:shd w:val="clear" w:color="000000" w:fill="FFFFFF"/>
            <w:noWrap/>
            <w:vAlign w:val="center"/>
            <w:hideMark/>
          </w:tcPr>
          <w:p w14:paraId="655B7F73" w14:textId="77777777" w:rsidR="00D77000" w:rsidRPr="00D77000" w:rsidRDefault="00D77000" w:rsidP="00D77000">
            <w:pPr>
              <w:spacing w:before="0" w:after="0" w:line="240" w:lineRule="auto"/>
              <w:jc w:val="right"/>
              <w:rPr>
                <w:rFonts w:ascii="Arial" w:hAnsi="Arial" w:cs="Arial"/>
                <w:color w:val="000000"/>
                <w:sz w:val="16"/>
                <w:szCs w:val="16"/>
              </w:rPr>
            </w:pPr>
            <w:r w:rsidRPr="00D77000">
              <w:rPr>
                <w:rFonts w:ascii="Arial" w:hAnsi="Arial" w:cs="Arial"/>
                <w:color w:val="000000"/>
                <w:sz w:val="16"/>
                <w:szCs w:val="16"/>
              </w:rPr>
              <w:t>15,844</w:t>
            </w:r>
          </w:p>
        </w:tc>
        <w:tc>
          <w:tcPr>
            <w:tcW w:w="56" w:type="pct"/>
            <w:tcBorders>
              <w:top w:val="nil"/>
              <w:left w:val="nil"/>
              <w:bottom w:val="nil"/>
              <w:right w:val="nil"/>
            </w:tcBorders>
            <w:shd w:val="clear" w:color="000000" w:fill="FFFFFF"/>
            <w:noWrap/>
            <w:vAlign w:val="center"/>
            <w:hideMark/>
          </w:tcPr>
          <w:p w14:paraId="02354BBA" w14:textId="77777777" w:rsidR="00D77000" w:rsidRPr="00D77000" w:rsidRDefault="00D77000" w:rsidP="00D77000">
            <w:pPr>
              <w:spacing w:before="0" w:after="0" w:line="240" w:lineRule="auto"/>
              <w:rPr>
                <w:rFonts w:ascii="Arial" w:hAnsi="Arial" w:cs="Arial"/>
                <w:color w:val="000000"/>
                <w:sz w:val="16"/>
                <w:szCs w:val="16"/>
              </w:rPr>
            </w:pPr>
            <w:r w:rsidRPr="00D77000">
              <w:rPr>
                <w:rFonts w:ascii="Arial" w:hAnsi="Arial" w:cs="Arial"/>
                <w:color w:val="000000"/>
                <w:sz w:val="16"/>
                <w:szCs w:val="16"/>
              </w:rPr>
              <w:t> </w:t>
            </w:r>
          </w:p>
        </w:tc>
        <w:tc>
          <w:tcPr>
            <w:tcW w:w="498" w:type="pct"/>
            <w:tcBorders>
              <w:top w:val="nil"/>
              <w:left w:val="nil"/>
              <w:bottom w:val="nil"/>
              <w:right w:val="nil"/>
            </w:tcBorders>
            <w:shd w:val="clear" w:color="000000" w:fill="FFFFFF"/>
            <w:noWrap/>
            <w:vAlign w:val="center"/>
            <w:hideMark/>
          </w:tcPr>
          <w:p w14:paraId="51A6D617" w14:textId="77777777" w:rsidR="00D77000" w:rsidRPr="00D77000" w:rsidRDefault="00D77000" w:rsidP="00D77000">
            <w:pPr>
              <w:spacing w:before="0" w:after="0" w:line="240" w:lineRule="auto"/>
              <w:jc w:val="right"/>
              <w:rPr>
                <w:rFonts w:ascii="Arial" w:hAnsi="Arial" w:cs="Arial"/>
                <w:color w:val="000000"/>
                <w:sz w:val="16"/>
                <w:szCs w:val="16"/>
              </w:rPr>
            </w:pPr>
            <w:r w:rsidRPr="00D77000">
              <w:rPr>
                <w:rFonts w:ascii="Arial" w:hAnsi="Arial" w:cs="Arial"/>
                <w:color w:val="000000"/>
                <w:sz w:val="16"/>
                <w:szCs w:val="16"/>
              </w:rPr>
              <w:t>13,860</w:t>
            </w:r>
          </w:p>
        </w:tc>
        <w:tc>
          <w:tcPr>
            <w:tcW w:w="497" w:type="pct"/>
            <w:tcBorders>
              <w:top w:val="nil"/>
              <w:left w:val="nil"/>
              <w:bottom w:val="nil"/>
              <w:right w:val="nil"/>
            </w:tcBorders>
            <w:shd w:val="clear" w:color="000000" w:fill="E6F2FF"/>
            <w:noWrap/>
            <w:vAlign w:val="center"/>
            <w:hideMark/>
          </w:tcPr>
          <w:p w14:paraId="0870210E" w14:textId="77777777" w:rsidR="00D77000" w:rsidRPr="00D77000" w:rsidRDefault="00D77000" w:rsidP="00D77000">
            <w:pPr>
              <w:spacing w:before="0" w:after="0" w:line="240" w:lineRule="auto"/>
              <w:jc w:val="right"/>
              <w:rPr>
                <w:rFonts w:ascii="Arial" w:hAnsi="Arial" w:cs="Arial"/>
                <w:color w:val="000000"/>
                <w:sz w:val="16"/>
                <w:szCs w:val="16"/>
              </w:rPr>
            </w:pPr>
            <w:r w:rsidRPr="00D77000">
              <w:rPr>
                <w:rFonts w:ascii="Arial" w:hAnsi="Arial" w:cs="Arial"/>
                <w:color w:val="000000"/>
                <w:sz w:val="16"/>
                <w:szCs w:val="16"/>
              </w:rPr>
              <w:t>13,363</w:t>
            </w:r>
          </w:p>
        </w:tc>
        <w:tc>
          <w:tcPr>
            <w:tcW w:w="497" w:type="pct"/>
            <w:tcBorders>
              <w:top w:val="nil"/>
              <w:left w:val="nil"/>
              <w:bottom w:val="nil"/>
              <w:right w:val="nil"/>
            </w:tcBorders>
            <w:shd w:val="clear" w:color="000000" w:fill="FFFFFF"/>
            <w:noWrap/>
            <w:vAlign w:val="center"/>
            <w:hideMark/>
          </w:tcPr>
          <w:p w14:paraId="50B0C165" w14:textId="77777777" w:rsidR="00D77000" w:rsidRPr="00D77000" w:rsidRDefault="00D77000" w:rsidP="00D77000">
            <w:pPr>
              <w:spacing w:before="0" w:after="0" w:line="240" w:lineRule="auto"/>
              <w:jc w:val="right"/>
              <w:rPr>
                <w:rFonts w:ascii="Arial" w:hAnsi="Arial" w:cs="Arial"/>
                <w:color w:val="000000"/>
                <w:sz w:val="16"/>
                <w:szCs w:val="16"/>
              </w:rPr>
            </w:pPr>
            <w:r w:rsidRPr="00D77000">
              <w:rPr>
                <w:rFonts w:ascii="Arial" w:hAnsi="Arial" w:cs="Arial"/>
                <w:color w:val="000000"/>
                <w:sz w:val="16"/>
                <w:szCs w:val="16"/>
              </w:rPr>
              <w:t>12,715</w:t>
            </w:r>
          </w:p>
        </w:tc>
        <w:tc>
          <w:tcPr>
            <w:tcW w:w="497" w:type="pct"/>
            <w:tcBorders>
              <w:top w:val="nil"/>
              <w:left w:val="nil"/>
              <w:bottom w:val="nil"/>
              <w:right w:val="nil"/>
            </w:tcBorders>
            <w:shd w:val="clear" w:color="000000" w:fill="FFFFFF"/>
            <w:noWrap/>
            <w:vAlign w:val="center"/>
            <w:hideMark/>
          </w:tcPr>
          <w:p w14:paraId="27F81915" w14:textId="77777777" w:rsidR="00D77000" w:rsidRPr="00D77000" w:rsidRDefault="00D77000" w:rsidP="00D77000">
            <w:pPr>
              <w:spacing w:before="0" w:after="0" w:line="240" w:lineRule="auto"/>
              <w:jc w:val="right"/>
              <w:rPr>
                <w:rFonts w:ascii="Arial" w:hAnsi="Arial" w:cs="Arial"/>
                <w:color w:val="000000"/>
                <w:sz w:val="16"/>
                <w:szCs w:val="16"/>
              </w:rPr>
            </w:pPr>
            <w:r w:rsidRPr="00D77000">
              <w:rPr>
                <w:rFonts w:ascii="Arial" w:hAnsi="Arial" w:cs="Arial"/>
                <w:color w:val="000000"/>
                <w:sz w:val="16"/>
                <w:szCs w:val="16"/>
              </w:rPr>
              <w:t>12,423</w:t>
            </w:r>
          </w:p>
        </w:tc>
        <w:tc>
          <w:tcPr>
            <w:tcW w:w="497" w:type="pct"/>
            <w:tcBorders>
              <w:top w:val="nil"/>
              <w:left w:val="nil"/>
              <w:bottom w:val="nil"/>
              <w:right w:val="nil"/>
            </w:tcBorders>
            <w:shd w:val="clear" w:color="000000" w:fill="FFFFFF"/>
            <w:noWrap/>
            <w:vAlign w:val="center"/>
            <w:hideMark/>
          </w:tcPr>
          <w:p w14:paraId="73E708DA" w14:textId="77777777" w:rsidR="00D77000" w:rsidRPr="00D77000" w:rsidRDefault="00D77000" w:rsidP="00D77000">
            <w:pPr>
              <w:spacing w:before="0" w:after="0" w:line="240" w:lineRule="auto"/>
              <w:jc w:val="right"/>
              <w:rPr>
                <w:rFonts w:ascii="Arial" w:hAnsi="Arial" w:cs="Arial"/>
                <w:color w:val="000000"/>
                <w:sz w:val="16"/>
                <w:szCs w:val="16"/>
              </w:rPr>
            </w:pPr>
            <w:r w:rsidRPr="00D77000">
              <w:rPr>
                <w:rFonts w:ascii="Arial" w:hAnsi="Arial" w:cs="Arial"/>
                <w:color w:val="000000"/>
                <w:sz w:val="16"/>
                <w:szCs w:val="16"/>
              </w:rPr>
              <w:t>12,515</w:t>
            </w:r>
          </w:p>
        </w:tc>
      </w:tr>
      <w:tr w:rsidR="00D77000" w:rsidRPr="00D77000" w14:paraId="19CB3147" w14:textId="77777777" w:rsidTr="00D77000">
        <w:trPr>
          <w:trHeight w:hRule="exact" w:val="225"/>
        </w:trPr>
        <w:tc>
          <w:tcPr>
            <w:tcW w:w="1950" w:type="pct"/>
            <w:tcBorders>
              <w:top w:val="nil"/>
              <w:left w:val="nil"/>
              <w:bottom w:val="nil"/>
              <w:right w:val="nil"/>
            </w:tcBorders>
            <w:shd w:val="clear" w:color="000000" w:fill="FFFFFF"/>
            <w:noWrap/>
            <w:vAlign w:val="center"/>
            <w:hideMark/>
          </w:tcPr>
          <w:p w14:paraId="49461A1D" w14:textId="77777777" w:rsidR="00D77000" w:rsidRPr="00D77000" w:rsidRDefault="00D77000" w:rsidP="00D77000">
            <w:pPr>
              <w:spacing w:before="0" w:after="0" w:line="240" w:lineRule="auto"/>
              <w:ind w:left="170"/>
              <w:rPr>
                <w:rFonts w:ascii="Arial" w:hAnsi="Arial" w:cs="Arial"/>
                <w:color w:val="000000"/>
                <w:sz w:val="16"/>
                <w:szCs w:val="16"/>
              </w:rPr>
            </w:pPr>
            <w:r w:rsidRPr="00D77000">
              <w:rPr>
                <w:rFonts w:ascii="Arial" w:hAnsi="Arial" w:cs="Arial"/>
                <w:color w:val="000000"/>
                <w:sz w:val="16"/>
                <w:szCs w:val="16"/>
              </w:rPr>
              <w:t>General administration</w:t>
            </w:r>
          </w:p>
        </w:tc>
        <w:tc>
          <w:tcPr>
            <w:tcW w:w="506" w:type="pct"/>
            <w:tcBorders>
              <w:top w:val="nil"/>
              <w:left w:val="nil"/>
              <w:bottom w:val="nil"/>
              <w:right w:val="nil"/>
            </w:tcBorders>
            <w:shd w:val="clear" w:color="000000" w:fill="FFFFFF"/>
            <w:noWrap/>
            <w:vAlign w:val="center"/>
            <w:hideMark/>
          </w:tcPr>
          <w:p w14:paraId="2164B264" w14:textId="77777777" w:rsidR="00D77000" w:rsidRPr="00D77000" w:rsidRDefault="00D77000" w:rsidP="00D77000">
            <w:pPr>
              <w:spacing w:before="0" w:after="0" w:line="240" w:lineRule="auto"/>
              <w:jc w:val="right"/>
              <w:rPr>
                <w:rFonts w:ascii="Arial" w:hAnsi="Arial" w:cs="Arial"/>
                <w:color w:val="000000"/>
                <w:sz w:val="16"/>
                <w:szCs w:val="16"/>
              </w:rPr>
            </w:pPr>
            <w:r w:rsidRPr="00D77000">
              <w:rPr>
                <w:rFonts w:ascii="Arial" w:hAnsi="Arial" w:cs="Arial"/>
                <w:color w:val="000000"/>
                <w:sz w:val="16"/>
                <w:szCs w:val="16"/>
              </w:rPr>
              <w:t>4,147</w:t>
            </w:r>
          </w:p>
        </w:tc>
        <w:tc>
          <w:tcPr>
            <w:tcW w:w="56" w:type="pct"/>
            <w:tcBorders>
              <w:top w:val="nil"/>
              <w:left w:val="nil"/>
              <w:bottom w:val="nil"/>
              <w:right w:val="nil"/>
            </w:tcBorders>
            <w:shd w:val="clear" w:color="000000" w:fill="FFFFFF"/>
            <w:noWrap/>
            <w:vAlign w:val="center"/>
            <w:hideMark/>
          </w:tcPr>
          <w:p w14:paraId="2F1C5BD4" w14:textId="77777777" w:rsidR="00D77000" w:rsidRPr="00D77000" w:rsidRDefault="00D77000" w:rsidP="00D77000">
            <w:pPr>
              <w:spacing w:before="0" w:after="0" w:line="240" w:lineRule="auto"/>
              <w:rPr>
                <w:rFonts w:ascii="Arial" w:hAnsi="Arial" w:cs="Arial"/>
                <w:color w:val="000000"/>
                <w:sz w:val="16"/>
                <w:szCs w:val="16"/>
              </w:rPr>
            </w:pPr>
            <w:r w:rsidRPr="00D77000">
              <w:rPr>
                <w:rFonts w:ascii="Arial" w:hAnsi="Arial" w:cs="Arial"/>
                <w:color w:val="000000"/>
                <w:sz w:val="16"/>
                <w:szCs w:val="16"/>
              </w:rPr>
              <w:t> </w:t>
            </w:r>
          </w:p>
        </w:tc>
        <w:tc>
          <w:tcPr>
            <w:tcW w:w="498" w:type="pct"/>
            <w:tcBorders>
              <w:top w:val="nil"/>
              <w:left w:val="nil"/>
              <w:bottom w:val="nil"/>
              <w:right w:val="nil"/>
            </w:tcBorders>
            <w:shd w:val="clear" w:color="000000" w:fill="FFFFFF"/>
            <w:noWrap/>
            <w:vAlign w:val="center"/>
            <w:hideMark/>
          </w:tcPr>
          <w:p w14:paraId="6DFBA203" w14:textId="77777777" w:rsidR="00D77000" w:rsidRPr="00D77000" w:rsidRDefault="00D77000" w:rsidP="00D77000">
            <w:pPr>
              <w:spacing w:before="0" w:after="0" w:line="240" w:lineRule="auto"/>
              <w:jc w:val="right"/>
              <w:rPr>
                <w:rFonts w:ascii="Arial" w:hAnsi="Arial" w:cs="Arial"/>
                <w:color w:val="000000"/>
                <w:sz w:val="16"/>
                <w:szCs w:val="16"/>
              </w:rPr>
            </w:pPr>
            <w:r w:rsidRPr="00D77000">
              <w:rPr>
                <w:rFonts w:ascii="Arial" w:hAnsi="Arial" w:cs="Arial"/>
                <w:color w:val="000000"/>
                <w:sz w:val="16"/>
                <w:szCs w:val="16"/>
              </w:rPr>
              <w:t>4,460</w:t>
            </w:r>
          </w:p>
        </w:tc>
        <w:tc>
          <w:tcPr>
            <w:tcW w:w="497" w:type="pct"/>
            <w:tcBorders>
              <w:top w:val="nil"/>
              <w:left w:val="nil"/>
              <w:bottom w:val="nil"/>
              <w:right w:val="nil"/>
            </w:tcBorders>
            <w:shd w:val="clear" w:color="000000" w:fill="E6F2FF"/>
            <w:noWrap/>
            <w:vAlign w:val="center"/>
            <w:hideMark/>
          </w:tcPr>
          <w:p w14:paraId="698350A9" w14:textId="77777777" w:rsidR="00D77000" w:rsidRPr="00D77000" w:rsidRDefault="00D77000" w:rsidP="00D77000">
            <w:pPr>
              <w:spacing w:before="0" w:after="0" w:line="240" w:lineRule="auto"/>
              <w:jc w:val="right"/>
              <w:rPr>
                <w:rFonts w:ascii="Arial" w:hAnsi="Arial" w:cs="Arial"/>
                <w:color w:val="000000"/>
                <w:sz w:val="16"/>
                <w:szCs w:val="16"/>
              </w:rPr>
            </w:pPr>
            <w:r w:rsidRPr="00D77000">
              <w:rPr>
                <w:rFonts w:ascii="Arial" w:hAnsi="Arial" w:cs="Arial"/>
                <w:color w:val="000000"/>
                <w:sz w:val="16"/>
                <w:szCs w:val="16"/>
              </w:rPr>
              <w:t>4,900</w:t>
            </w:r>
          </w:p>
        </w:tc>
        <w:tc>
          <w:tcPr>
            <w:tcW w:w="497" w:type="pct"/>
            <w:tcBorders>
              <w:top w:val="nil"/>
              <w:left w:val="nil"/>
              <w:bottom w:val="nil"/>
              <w:right w:val="nil"/>
            </w:tcBorders>
            <w:shd w:val="clear" w:color="000000" w:fill="FFFFFF"/>
            <w:noWrap/>
            <w:vAlign w:val="center"/>
            <w:hideMark/>
          </w:tcPr>
          <w:p w14:paraId="6DBA6219" w14:textId="77777777" w:rsidR="00D77000" w:rsidRPr="00D77000" w:rsidRDefault="00D77000" w:rsidP="00D77000">
            <w:pPr>
              <w:spacing w:before="0" w:after="0" w:line="240" w:lineRule="auto"/>
              <w:jc w:val="right"/>
              <w:rPr>
                <w:rFonts w:ascii="Arial" w:hAnsi="Arial" w:cs="Arial"/>
                <w:color w:val="000000"/>
                <w:sz w:val="16"/>
                <w:szCs w:val="16"/>
              </w:rPr>
            </w:pPr>
            <w:r w:rsidRPr="00D77000">
              <w:rPr>
                <w:rFonts w:ascii="Arial" w:hAnsi="Arial" w:cs="Arial"/>
                <w:color w:val="000000"/>
                <w:sz w:val="16"/>
                <w:szCs w:val="16"/>
              </w:rPr>
              <w:t>4,434</w:t>
            </w:r>
          </w:p>
        </w:tc>
        <w:tc>
          <w:tcPr>
            <w:tcW w:w="497" w:type="pct"/>
            <w:tcBorders>
              <w:top w:val="nil"/>
              <w:left w:val="nil"/>
              <w:bottom w:val="nil"/>
              <w:right w:val="nil"/>
            </w:tcBorders>
            <w:shd w:val="clear" w:color="000000" w:fill="FFFFFF"/>
            <w:noWrap/>
            <w:vAlign w:val="center"/>
            <w:hideMark/>
          </w:tcPr>
          <w:p w14:paraId="225238D8" w14:textId="77777777" w:rsidR="00D77000" w:rsidRPr="00D77000" w:rsidRDefault="00D77000" w:rsidP="00D77000">
            <w:pPr>
              <w:spacing w:before="0" w:after="0" w:line="240" w:lineRule="auto"/>
              <w:jc w:val="right"/>
              <w:rPr>
                <w:rFonts w:ascii="Arial" w:hAnsi="Arial" w:cs="Arial"/>
                <w:color w:val="000000"/>
                <w:sz w:val="16"/>
                <w:szCs w:val="16"/>
              </w:rPr>
            </w:pPr>
            <w:r w:rsidRPr="00D77000">
              <w:rPr>
                <w:rFonts w:ascii="Arial" w:hAnsi="Arial" w:cs="Arial"/>
                <w:color w:val="000000"/>
                <w:sz w:val="16"/>
                <w:szCs w:val="16"/>
              </w:rPr>
              <w:t>3,701</w:t>
            </w:r>
          </w:p>
        </w:tc>
        <w:tc>
          <w:tcPr>
            <w:tcW w:w="497" w:type="pct"/>
            <w:tcBorders>
              <w:top w:val="nil"/>
              <w:left w:val="nil"/>
              <w:bottom w:val="nil"/>
              <w:right w:val="nil"/>
            </w:tcBorders>
            <w:shd w:val="clear" w:color="000000" w:fill="FFFFFF"/>
            <w:noWrap/>
            <w:vAlign w:val="center"/>
            <w:hideMark/>
          </w:tcPr>
          <w:p w14:paraId="475B6F57" w14:textId="77777777" w:rsidR="00D77000" w:rsidRPr="00D77000" w:rsidRDefault="00D77000" w:rsidP="00D77000">
            <w:pPr>
              <w:spacing w:before="0" w:after="0" w:line="240" w:lineRule="auto"/>
              <w:jc w:val="right"/>
              <w:rPr>
                <w:rFonts w:ascii="Arial" w:hAnsi="Arial" w:cs="Arial"/>
                <w:color w:val="000000"/>
                <w:sz w:val="16"/>
                <w:szCs w:val="16"/>
              </w:rPr>
            </w:pPr>
            <w:r w:rsidRPr="00D77000">
              <w:rPr>
                <w:rFonts w:ascii="Arial" w:hAnsi="Arial" w:cs="Arial"/>
                <w:color w:val="000000"/>
                <w:sz w:val="16"/>
                <w:szCs w:val="16"/>
              </w:rPr>
              <w:t>3,476</w:t>
            </w:r>
          </w:p>
        </w:tc>
      </w:tr>
      <w:tr w:rsidR="00D77000" w:rsidRPr="00D77000" w14:paraId="60152C46" w14:textId="77777777" w:rsidTr="00D77000">
        <w:trPr>
          <w:trHeight w:hRule="exact" w:val="225"/>
        </w:trPr>
        <w:tc>
          <w:tcPr>
            <w:tcW w:w="1950" w:type="pct"/>
            <w:tcBorders>
              <w:top w:val="nil"/>
              <w:left w:val="nil"/>
              <w:bottom w:val="nil"/>
              <w:right w:val="nil"/>
            </w:tcBorders>
            <w:shd w:val="clear" w:color="000000" w:fill="FFFFFF"/>
            <w:noWrap/>
            <w:vAlign w:val="center"/>
            <w:hideMark/>
          </w:tcPr>
          <w:p w14:paraId="232E2E03" w14:textId="77777777" w:rsidR="00D77000" w:rsidRPr="00D77000" w:rsidRDefault="00D77000" w:rsidP="00D77000">
            <w:pPr>
              <w:spacing w:before="0" w:after="0" w:line="240" w:lineRule="auto"/>
              <w:ind w:left="170"/>
              <w:rPr>
                <w:rFonts w:ascii="Arial" w:hAnsi="Arial" w:cs="Arial"/>
                <w:color w:val="000000"/>
                <w:sz w:val="16"/>
                <w:szCs w:val="16"/>
              </w:rPr>
            </w:pPr>
            <w:r w:rsidRPr="00D77000">
              <w:rPr>
                <w:rFonts w:ascii="Arial" w:hAnsi="Arial" w:cs="Arial"/>
                <w:color w:val="000000"/>
                <w:sz w:val="16"/>
                <w:szCs w:val="16"/>
              </w:rPr>
              <w:t>Aboriginal and Torres Strait</w:t>
            </w:r>
          </w:p>
        </w:tc>
        <w:tc>
          <w:tcPr>
            <w:tcW w:w="506" w:type="pct"/>
            <w:tcBorders>
              <w:top w:val="nil"/>
              <w:left w:val="nil"/>
              <w:bottom w:val="nil"/>
              <w:right w:val="nil"/>
            </w:tcBorders>
            <w:shd w:val="clear" w:color="000000" w:fill="FFFFFF"/>
            <w:noWrap/>
            <w:vAlign w:val="center"/>
            <w:hideMark/>
          </w:tcPr>
          <w:p w14:paraId="3DA7EBED" w14:textId="77777777" w:rsidR="00D77000" w:rsidRPr="00D77000" w:rsidRDefault="00D77000" w:rsidP="00D77000">
            <w:pPr>
              <w:spacing w:before="0" w:after="0" w:line="240" w:lineRule="auto"/>
              <w:rPr>
                <w:rFonts w:ascii="Arial" w:hAnsi="Arial" w:cs="Arial"/>
                <w:color w:val="000000"/>
                <w:sz w:val="16"/>
                <w:szCs w:val="16"/>
              </w:rPr>
            </w:pPr>
            <w:r w:rsidRPr="00D77000">
              <w:rPr>
                <w:rFonts w:ascii="Arial" w:hAnsi="Arial" w:cs="Arial"/>
                <w:color w:val="000000"/>
                <w:sz w:val="16"/>
                <w:szCs w:val="16"/>
              </w:rPr>
              <w:t> </w:t>
            </w:r>
          </w:p>
        </w:tc>
        <w:tc>
          <w:tcPr>
            <w:tcW w:w="56" w:type="pct"/>
            <w:tcBorders>
              <w:top w:val="nil"/>
              <w:left w:val="nil"/>
              <w:bottom w:val="nil"/>
              <w:right w:val="nil"/>
            </w:tcBorders>
            <w:shd w:val="clear" w:color="000000" w:fill="FFFFFF"/>
            <w:noWrap/>
            <w:vAlign w:val="center"/>
            <w:hideMark/>
          </w:tcPr>
          <w:p w14:paraId="6E12BDD5" w14:textId="77777777" w:rsidR="00D77000" w:rsidRPr="00D77000" w:rsidRDefault="00D77000" w:rsidP="00D77000">
            <w:pPr>
              <w:spacing w:before="0" w:after="0" w:line="240" w:lineRule="auto"/>
              <w:rPr>
                <w:rFonts w:ascii="Arial" w:hAnsi="Arial" w:cs="Arial"/>
                <w:color w:val="000000"/>
                <w:sz w:val="16"/>
                <w:szCs w:val="16"/>
              </w:rPr>
            </w:pPr>
            <w:r w:rsidRPr="00D77000">
              <w:rPr>
                <w:rFonts w:ascii="Arial" w:hAnsi="Arial" w:cs="Arial"/>
                <w:color w:val="000000"/>
                <w:sz w:val="16"/>
                <w:szCs w:val="16"/>
              </w:rPr>
              <w:t> </w:t>
            </w:r>
          </w:p>
        </w:tc>
        <w:tc>
          <w:tcPr>
            <w:tcW w:w="498" w:type="pct"/>
            <w:tcBorders>
              <w:top w:val="nil"/>
              <w:left w:val="nil"/>
              <w:bottom w:val="nil"/>
              <w:right w:val="nil"/>
            </w:tcBorders>
            <w:shd w:val="clear" w:color="000000" w:fill="FFFFFF"/>
            <w:noWrap/>
            <w:vAlign w:val="center"/>
            <w:hideMark/>
          </w:tcPr>
          <w:p w14:paraId="6009934E" w14:textId="77777777" w:rsidR="00D77000" w:rsidRPr="00D77000" w:rsidRDefault="00D77000" w:rsidP="00D77000">
            <w:pPr>
              <w:spacing w:before="0" w:after="0" w:line="240" w:lineRule="auto"/>
              <w:rPr>
                <w:rFonts w:ascii="Arial" w:hAnsi="Arial" w:cs="Arial"/>
                <w:color w:val="000000"/>
                <w:sz w:val="16"/>
                <w:szCs w:val="16"/>
              </w:rPr>
            </w:pPr>
            <w:r w:rsidRPr="00D77000">
              <w:rPr>
                <w:rFonts w:ascii="Arial" w:hAnsi="Arial" w:cs="Arial"/>
                <w:color w:val="000000"/>
                <w:sz w:val="16"/>
                <w:szCs w:val="16"/>
              </w:rPr>
              <w:t> </w:t>
            </w:r>
          </w:p>
        </w:tc>
        <w:tc>
          <w:tcPr>
            <w:tcW w:w="497" w:type="pct"/>
            <w:tcBorders>
              <w:top w:val="nil"/>
              <w:left w:val="nil"/>
              <w:bottom w:val="nil"/>
              <w:right w:val="nil"/>
            </w:tcBorders>
            <w:shd w:val="clear" w:color="000000" w:fill="E6F2FF"/>
            <w:noWrap/>
            <w:vAlign w:val="center"/>
            <w:hideMark/>
          </w:tcPr>
          <w:p w14:paraId="6A650C26" w14:textId="77777777" w:rsidR="00D77000" w:rsidRPr="00D77000" w:rsidRDefault="00D77000" w:rsidP="00D77000">
            <w:pPr>
              <w:spacing w:before="0" w:after="0" w:line="240" w:lineRule="auto"/>
              <w:rPr>
                <w:rFonts w:ascii="Arial" w:hAnsi="Arial" w:cs="Arial"/>
                <w:color w:val="000000"/>
                <w:sz w:val="16"/>
                <w:szCs w:val="16"/>
              </w:rPr>
            </w:pPr>
            <w:r w:rsidRPr="00D77000">
              <w:rPr>
                <w:rFonts w:ascii="Arial" w:hAnsi="Arial" w:cs="Arial"/>
                <w:color w:val="000000"/>
                <w:sz w:val="16"/>
                <w:szCs w:val="16"/>
              </w:rPr>
              <w:t> </w:t>
            </w:r>
          </w:p>
        </w:tc>
        <w:tc>
          <w:tcPr>
            <w:tcW w:w="497" w:type="pct"/>
            <w:tcBorders>
              <w:top w:val="nil"/>
              <w:left w:val="nil"/>
              <w:bottom w:val="nil"/>
              <w:right w:val="nil"/>
            </w:tcBorders>
            <w:shd w:val="clear" w:color="000000" w:fill="FFFFFF"/>
            <w:noWrap/>
            <w:vAlign w:val="center"/>
            <w:hideMark/>
          </w:tcPr>
          <w:p w14:paraId="418FEE76" w14:textId="77777777" w:rsidR="00D77000" w:rsidRPr="00D77000" w:rsidRDefault="00D77000" w:rsidP="00D77000">
            <w:pPr>
              <w:spacing w:before="0" w:after="0" w:line="240" w:lineRule="auto"/>
              <w:rPr>
                <w:rFonts w:ascii="Arial" w:hAnsi="Arial" w:cs="Arial"/>
                <w:color w:val="000000"/>
                <w:sz w:val="16"/>
                <w:szCs w:val="16"/>
              </w:rPr>
            </w:pPr>
            <w:r w:rsidRPr="00D77000">
              <w:rPr>
                <w:rFonts w:ascii="Arial" w:hAnsi="Arial" w:cs="Arial"/>
                <w:color w:val="000000"/>
                <w:sz w:val="16"/>
                <w:szCs w:val="16"/>
              </w:rPr>
              <w:t> </w:t>
            </w:r>
          </w:p>
        </w:tc>
        <w:tc>
          <w:tcPr>
            <w:tcW w:w="497" w:type="pct"/>
            <w:tcBorders>
              <w:top w:val="nil"/>
              <w:left w:val="nil"/>
              <w:bottom w:val="nil"/>
              <w:right w:val="nil"/>
            </w:tcBorders>
            <w:shd w:val="clear" w:color="000000" w:fill="FFFFFF"/>
            <w:noWrap/>
            <w:vAlign w:val="center"/>
            <w:hideMark/>
          </w:tcPr>
          <w:p w14:paraId="49BC0AD8" w14:textId="77777777" w:rsidR="00D77000" w:rsidRPr="00D77000" w:rsidRDefault="00D77000" w:rsidP="00D77000">
            <w:pPr>
              <w:spacing w:before="0" w:after="0" w:line="240" w:lineRule="auto"/>
              <w:rPr>
                <w:rFonts w:ascii="Arial" w:hAnsi="Arial" w:cs="Arial"/>
                <w:color w:val="000000"/>
                <w:sz w:val="16"/>
                <w:szCs w:val="16"/>
              </w:rPr>
            </w:pPr>
            <w:r w:rsidRPr="00D77000">
              <w:rPr>
                <w:rFonts w:ascii="Arial" w:hAnsi="Arial" w:cs="Arial"/>
                <w:color w:val="000000"/>
                <w:sz w:val="16"/>
                <w:szCs w:val="16"/>
              </w:rPr>
              <w:t> </w:t>
            </w:r>
          </w:p>
        </w:tc>
        <w:tc>
          <w:tcPr>
            <w:tcW w:w="497" w:type="pct"/>
            <w:tcBorders>
              <w:top w:val="nil"/>
              <w:left w:val="nil"/>
              <w:bottom w:val="nil"/>
              <w:right w:val="nil"/>
            </w:tcBorders>
            <w:shd w:val="clear" w:color="000000" w:fill="FFFFFF"/>
            <w:noWrap/>
            <w:vAlign w:val="center"/>
            <w:hideMark/>
          </w:tcPr>
          <w:p w14:paraId="4DF8E279" w14:textId="77777777" w:rsidR="00D77000" w:rsidRPr="00D77000" w:rsidRDefault="00D77000" w:rsidP="00D77000">
            <w:pPr>
              <w:spacing w:before="0" w:after="0" w:line="240" w:lineRule="auto"/>
              <w:rPr>
                <w:rFonts w:ascii="Arial" w:hAnsi="Arial" w:cs="Arial"/>
                <w:color w:val="000000"/>
                <w:sz w:val="16"/>
                <w:szCs w:val="16"/>
              </w:rPr>
            </w:pPr>
            <w:r w:rsidRPr="00D77000">
              <w:rPr>
                <w:rFonts w:ascii="Arial" w:hAnsi="Arial" w:cs="Arial"/>
                <w:color w:val="000000"/>
                <w:sz w:val="16"/>
                <w:szCs w:val="16"/>
              </w:rPr>
              <w:t> </w:t>
            </w:r>
          </w:p>
        </w:tc>
      </w:tr>
      <w:tr w:rsidR="00D77000" w:rsidRPr="00D77000" w14:paraId="57B2B7E8" w14:textId="77777777" w:rsidTr="007C7AA6">
        <w:trPr>
          <w:trHeight w:hRule="exact" w:val="225"/>
        </w:trPr>
        <w:tc>
          <w:tcPr>
            <w:tcW w:w="1950" w:type="pct"/>
            <w:tcBorders>
              <w:top w:val="nil"/>
              <w:left w:val="nil"/>
              <w:bottom w:val="nil"/>
              <w:right w:val="nil"/>
            </w:tcBorders>
            <w:shd w:val="clear" w:color="000000" w:fill="FFFFFF"/>
            <w:noWrap/>
            <w:vAlign w:val="center"/>
            <w:hideMark/>
          </w:tcPr>
          <w:p w14:paraId="27505DFC" w14:textId="77777777" w:rsidR="00D77000" w:rsidRPr="00D77000" w:rsidRDefault="00D77000" w:rsidP="00D77000">
            <w:pPr>
              <w:spacing w:before="0" w:after="0" w:line="240" w:lineRule="auto"/>
              <w:ind w:left="340"/>
              <w:rPr>
                <w:rFonts w:ascii="Arial" w:hAnsi="Arial" w:cs="Arial"/>
                <w:color w:val="000000"/>
                <w:sz w:val="16"/>
                <w:szCs w:val="16"/>
              </w:rPr>
            </w:pPr>
            <w:r w:rsidRPr="00D77000">
              <w:rPr>
                <w:rFonts w:ascii="Arial" w:hAnsi="Arial" w:cs="Arial"/>
                <w:color w:val="000000"/>
                <w:sz w:val="16"/>
                <w:szCs w:val="16"/>
              </w:rPr>
              <w:t xml:space="preserve"> Islander health</w:t>
            </w:r>
          </w:p>
        </w:tc>
        <w:tc>
          <w:tcPr>
            <w:tcW w:w="506" w:type="pct"/>
            <w:tcBorders>
              <w:top w:val="nil"/>
              <w:left w:val="nil"/>
              <w:bottom w:val="single" w:sz="4" w:space="0" w:color="293F5B"/>
              <w:right w:val="nil"/>
            </w:tcBorders>
            <w:shd w:val="clear" w:color="000000" w:fill="FFFFFF"/>
            <w:noWrap/>
            <w:vAlign w:val="center"/>
            <w:hideMark/>
          </w:tcPr>
          <w:p w14:paraId="51325D3E" w14:textId="77777777" w:rsidR="00D77000" w:rsidRPr="00D77000" w:rsidRDefault="00D77000" w:rsidP="00D77000">
            <w:pPr>
              <w:spacing w:before="0" w:after="0" w:line="240" w:lineRule="auto"/>
              <w:jc w:val="right"/>
              <w:rPr>
                <w:rFonts w:ascii="Arial" w:hAnsi="Arial" w:cs="Arial"/>
                <w:color w:val="000000"/>
                <w:sz w:val="16"/>
                <w:szCs w:val="16"/>
              </w:rPr>
            </w:pPr>
            <w:r w:rsidRPr="00D77000">
              <w:rPr>
                <w:rFonts w:ascii="Arial" w:hAnsi="Arial" w:cs="Arial"/>
                <w:color w:val="000000"/>
                <w:sz w:val="16"/>
                <w:szCs w:val="16"/>
              </w:rPr>
              <w:t>1,119</w:t>
            </w:r>
          </w:p>
        </w:tc>
        <w:tc>
          <w:tcPr>
            <w:tcW w:w="56" w:type="pct"/>
            <w:tcBorders>
              <w:top w:val="nil"/>
              <w:left w:val="nil"/>
              <w:bottom w:val="nil"/>
              <w:right w:val="nil"/>
            </w:tcBorders>
            <w:shd w:val="clear" w:color="000000" w:fill="FFFFFF"/>
            <w:noWrap/>
            <w:vAlign w:val="center"/>
            <w:hideMark/>
          </w:tcPr>
          <w:p w14:paraId="1430056B" w14:textId="77777777" w:rsidR="00D77000" w:rsidRPr="00D77000" w:rsidRDefault="00D77000" w:rsidP="00D77000">
            <w:pPr>
              <w:spacing w:before="0" w:after="0" w:line="240" w:lineRule="auto"/>
              <w:rPr>
                <w:rFonts w:ascii="Arial" w:hAnsi="Arial" w:cs="Arial"/>
                <w:color w:val="000000"/>
                <w:sz w:val="16"/>
                <w:szCs w:val="16"/>
              </w:rPr>
            </w:pPr>
            <w:r w:rsidRPr="00D77000">
              <w:rPr>
                <w:rFonts w:ascii="Arial" w:hAnsi="Arial" w:cs="Arial"/>
                <w:color w:val="000000"/>
                <w:sz w:val="16"/>
                <w:szCs w:val="16"/>
              </w:rPr>
              <w:t> </w:t>
            </w:r>
          </w:p>
        </w:tc>
        <w:tc>
          <w:tcPr>
            <w:tcW w:w="498" w:type="pct"/>
            <w:tcBorders>
              <w:top w:val="nil"/>
              <w:left w:val="nil"/>
              <w:bottom w:val="single" w:sz="4" w:space="0" w:color="293F5B"/>
              <w:right w:val="nil"/>
            </w:tcBorders>
            <w:shd w:val="clear" w:color="000000" w:fill="FFFFFF"/>
            <w:noWrap/>
            <w:vAlign w:val="center"/>
            <w:hideMark/>
          </w:tcPr>
          <w:p w14:paraId="114C90F2" w14:textId="77777777" w:rsidR="00D77000" w:rsidRPr="00D77000" w:rsidRDefault="00D77000" w:rsidP="00D77000">
            <w:pPr>
              <w:spacing w:before="0" w:after="0" w:line="240" w:lineRule="auto"/>
              <w:jc w:val="right"/>
              <w:rPr>
                <w:rFonts w:ascii="Arial" w:hAnsi="Arial" w:cs="Arial"/>
                <w:color w:val="000000"/>
                <w:sz w:val="16"/>
                <w:szCs w:val="16"/>
              </w:rPr>
            </w:pPr>
            <w:r w:rsidRPr="00D77000">
              <w:rPr>
                <w:rFonts w:ascii="Arial" w:hAnsi="Arial" w:cs="Arial"/>
                <w:color w:val="000000"/>
                <w:sz w:val="16"/>
                <w:szCs w:val="16"/>
              </w:rPr>
              <w:t>1,235</w:t>
            </w:r>
          </w:p>
        </w:tc>
        <w:tc>
          <w:tcPr>
            <w:tcW w:w="497" w:type="pct"/>
            <w:tcBorders>
              <w:top w:val="nil"/>
              <w:left w:val="nil"/>
              <w:bottom w:val="single" w:sz="4" w:space="0" w:color="293F5B"/>
              <w:right w:val="nil"/>
            </w:tcBorders>
            <w:shd w:val="clear" w:color="000000" w:fill="E6F2FF"/>
            <w:noWrap/>
            <w:vAlign w:val="center"/>
            <w:hideMark/>
          </w:tcPr>
          <w:p w14:paraId="41615ACC" w14:textId="77777777" w:rsidR="00D77000" w:rsidRPr="00D77000" w:rsidRDefault="00D77000" w:rsidP="00D77000">
            <w:pPr>
              <w:spacing w:before="0" w:after="0" w:line="240" w:lineRule="auto"/>
              <w:jc w:val="right"/>
              <w:rPr>
                <w:rFonts w:ascii="Arial" w:hAnsi="Arial" w:cs="Arial"/>
                <w:color w:val="000000"/>
                <w:sz w:val="16"/>
                <w:szCs w:val="16"/>
              </w:rPr>
            </w:pPr>
            <w:r w:rsidRPr="00D77000">
              <w:rPr>
                <w:rFonts w:ascii="Arial" w:hAnsi="Arial" w:cs="Arial"/>
                <w:color w:val="000000"/>
                <w:sz w:val="16"/>
                <w:szCs w:val="16"/>
              </w:rPr>
              <w:t>1,344</w:t>
            </w:r>
          </w:p>
        </w:tc>
        <w:tc>
          <w:tcPr>
            <w:tcW w:w="497" w:type="pct"/>
            <w:tcBorders>
              <w:top w:val="nil"/>
              <w:left w:val="nil"/>
              <w:bottom w:val="single" w:sz="4" w:space="0" w:color="293F5B"/>
              <w:right w:val="nil"/>
            </w:tcBorders>
            <w:shd w:val="clear" w:color="000000" w:fill="FFFFFF"/>
            <w:noWrap/>
            <w:vAlign w:val="center"/>
            <w:hideMark/>
          </w:tcPr>
          <w:p w14:paraId="4EE51781" w14:textId="77777777" w:rsidR="00D77000" w:rsidRPr="00D77000" w:rsidRDefault="00D77000" w:rsidP="00D77000">
            <w:pPr>
              <w:spacing w:before="0" w:after="0" w:line="240" w:lineRule="auto"/>
              <w:jc w:val="right"/>
              <w:rPr>
                <w:rFonts w:ascii="Arial" w:hAnsi="Arial" w:cs="Arial"/>
                <w:color w:val="000000"/>
                <w:sz w:val="16"/>
                <w:szCs w:val="16"/>
              </w:rPr>
            </w:pPr>
            <w:r w:rsidRPr="00D77000">
              <w:rPr>
                <w:rFonts w:ascii="Arial" w:hAnsi="Arial" w:cs="Arial"/>
                <w:color w:val="000000"/>
                <w:sz w:val="16"/>
                <w:szCs w:val="16"/>
              </w:rPr>
              <w:t>1,308</w:t>
            </w:r>
          </w:p>
        </w:tc>
        <w:tc>
          <w:tcPr>
            <w:tcW w:w="497" w:type="pct"/>
            <w:tcBorders>
              <w:top w:val="nil"/>
              <w:left w:val="nil"/>
              <w:bottom w:val="single" w:sz="4" w:space="0" w:color="293F5B"/>
              <w:right w:val="nil"/>
            </w:tcBorders>
            <w:shd w:val="clear" w:color="000000" w:fill="FFFFFF"/>
            <w:noWrap/>
            <w:vAlign w:val="center"/>
            <w:hideMark/>
          </w:tcPr>
          <w:p w14:paraId="45C39012" w14:textId="77777777" w:rsidR="00D77000" w:rsidRPr="00D77000" w:rsidRDefault="00D77000" w:rsidP="00D77000">
            <w:pPr>
              <w:spacing w:before="0" w:after="0" w:line="240" w:lineRule="auto"/>
              <w:jc w:val="right"/>
              <w:rPr>
                <w:rFonts w:ascii="Arial" w:hAnsi="Arial" w:cs="Arial"/>
                <w:color w:val="000000"/>
                <w:sz w:val="16"/>
                <w:szCs w:val="16"/>
              </w:rPr>
            </w:pPr>
            <w:r w:rsidRPr="00D77000">
              <w:rPr>
                <w:rFonts w:ascii="Arial" w:hAnsi="Arial" w:cs="Arial"/>
                <w:color w:val="000000"/>
                <w:sz w:val="16"/>
                <w:szCs w:val="16"/>
              </w:rPr>
              <w:t>1,286</w:t>
            </w:r>
          </w:p>
        </w:tc>
        <w:tc>
          <w:tcPr>
            <w:tcW w:w="497" w:type="pct"/>
            <w:tcBorders>
              <w:top w:val="nil"/>
              <w:left w:val="nil"/>
              <w:bottom w:val="single" w:sz="4" w:space="0" w:color="293F5B"/>
              <w:right w:val="nil"/>
            </w:tcBorders>
            <w:shd w:val="clear" w:color="000000" w:fill="FFFFFF"/>
            <w:noWrap/>
            <w:vAlign w:val="center"/>
            <w:hideMark/>
          </w:tcPr>
          <w:p w14:paraId="7A7AE511" w14:textId="77777777" w:rsidR="00D77000" w:rsidRPr="00D77000" w:rsidRDefault="00D77000" w:rsidP="00D77000">
            <w:pPr>
              <w:spacing w:before="0" w:after="0" w:line="240" w:lineRule="auto"/>
              <w:jc w:val="right"/>
              <w:rPr>
                <w:rFonts w:ascii="Arial" w:hAnsi="Arial" w:cs="Arial"/>
                <w:color w:val="000000"/>
                <w:sz w:val="16"/>
                <w:szCs w:val="16"/>
              </w:rPr>
            </w:pPr>
            <w:r w:rsidRPr="00D77000">
              <w:rPr>
                <w:rFonts w:ascii="Arial" w:hAnsi="Arial" w:cs="Arial"/>
                <w:color w:val="000000"/>
                <w:sz w:val="16"/>
                <w:szCs w:val="16"/>
              </w:rPr>
              <w:t>1,260</w:t>
            </w:r>
          </w:p>
        </w:tc>
      </w:tr>
      <w:tr w:rsidR="00D77000" w:rsidRPr="00D77000" w14:paraId="52F7623D" w14:textId="77777777" w:rsidTr="007C7AA6">
        <w:trPr>
          <w:trHeight w:hRule="exact" w:val="225"/>
        </w:trPr>
        <w:tc>
          <w:tcPr>
            <w:tcW w:w="1950" w:type="pct"/>
            <w:tcBorders>
              <w:top w:val="nil"/>
              <w:left w:val="nil"/>
              <w:bottom w:val="single" w:sz="4" w:space="0" w:color="293F5B"/>
              <w:right w:val="nil"/>
            </w:tcBorders>
            <w:shd w:val="clear" w:color="000000" w:fill="FFFFFF"/>
            <w:noWrap/>
            <w:vAlign w:val="center"/>
            <w:hideMark/>
          </w:tcPr>
          <w:p w14:paraId="7E462D7F" w14:textId="77777777" w:rsidR="00D77000" w:rsidRPr="00D77000" w:rsidRDefault="00D77000" w:rsidP="00D77000">
            <w:pPr>
              <w:spacing w:before="0" w:after="0" w:line="240" w:lineRule="auto"/>
              <w:rPr>
                <w:rFonts w:ascii="Arial" w:hAnsi="Arial" w:cs="Arial"/>
                <w:b/>
                <w:bCs/>
                <w:color w:val="000000"/>
                <w:sz w:val="16"/>
                <w:szCs w:val="16"/>
              </w:rPr>
            </w:pPr>
            <w:r w:rsidRPr="00D77000">
              <w:rPr>
                <w:rFonts w:ascii="Arial" w:hAnsi="Arial" w:cs="Arial"/>
                <w:b/>
                <w:bCs/>
                <w:color w:val="000000"/>
                <w:sz w:val="16"/>
                <w:szCs w:val="16"/>
              </w:rPr>
              <w:t>Total health</w:t>
            </w:r>
          </w:p>
        </w:tc>
        <w:tc>
          <w:tcPr>
            <w:tcW w:w="506" w:type="pct"/>
            <w:tcBorders>
              <w:top w:val="single" w:sz="4" w:space="0" w:color="293F5B"/>
              <w:left w:val="nil"/>
              <w:bottom w:val="single" w:sz="4" w:space="0" w:color="293F5B"/>
              <w:right w:val="nil"/>
            </w:tcBorders>
            <w:shd w:val="clear" w:color="000000" w:fill="FFFFFF"/>
            <w:noWrap/>
            <w:vAlign w:val="center"/>
            <w:hideMark/>
          </w:tcPr>
          <w:p w14:paraId="654C68C1" w14:textId="77777777" w:rsidR="00D77000" w:rsidRPr="00D77000" w:rsidRDefault="00D77000" w:rsidP="00D77000">
            <w:pPr>
              <w:spacing w:before="0" w:after="0" w:line="240" w:lineRule="auto"/>
              <w:jc w:val="right"/>
              <w:rPr>
                <w:rFonts w:ascii="Arial" w:hAnsi="Arial" w:cs="Arial"/>
                <w:b/>
                <w:bCs/>
                <w:color w:val="000000"/>
                <w:sz w:val="16"/>
                <w:szCs w:val="16"/>
              </w:rPr>
            </w:pPr>
            <w:r w:rsidRPr="00D77000">
              <w:rPr>
                <w:rFonts w:ascii="Arial" w:hAnsi="Arial" w:cs="Arial"/>
                <w:b/>
                <w:bCs/>
                <w:color w:val="000000"/>
                <w:sz w:val="16"/>
                <w:szCs w:val="16"/>
              </w:rPr>
              <w:t>102,680</w:t>
            </w:r>
          </w:p>
        </w:tc>
        <w:tc>
          <w:tcPr>
            <w:tcW w:w="56" w:type="pct"/>
            <w:tcBorders>
              <w:top w:val="nil"/>
              <w:left w:val="nil"/>
              <w:bottom w:val="single" w:sz="4" w:space="0" w:color="293F5B"/>
              <w:right w:val="nil"/>
            </w:tcBorders>
            <w:shd w:val="clear" w:color="000000" w:fill="FFFFFF"/>
            <w:noWrap/>
            <w:vAlign w:val="center"/>
            <w:hideMark/>
          </w:tcPr>
          <w:p w14:paraId="3F5BABA0" w14:textId="77777777" w:rsidR="00D77000" w:rsidRPr="00D77000" w:rsidRDefault="00D77000" w:rsidP="00D77000">
            <w:pPr>
              <w:spacing w:before="0" w:after="0" w:line="240" w:lineRule="auto"/>
              <w:rPr>
                <w:rFonts w:ascii="Arial" w:hAnsi="Arial" w:cs="Arial"/>
                <w:b/>
                <w:bCs/>
                <w:color w:val="000000"/>
                <w:sz w:val="16"/>
                <w:szCs w:val="16"/>
              </w:rPr>
            </w:pPr>
            <w:r w:rsidRPr="00D77000">
              <w:rPr>
                <w:rFonts w:ascii="Arial" w:hAnsi="Arial" w:cs="Arial"/>
                <w:b/>
                <w:bCs/>
                <w:color w:val="000000"/>
                <w:sz w:val="16"/>
                <w:szCs w:val="16"/>
              </w:rPr>
              <w:t> </w:t>
            </w:r>
          </w:p>
        </w:tc>
        <w:tc>
          <w:tcPr>
            <w:tcW w:w="498" w:type="pct"/>
            <w:tcBorders>
              <w:top w:val="single" w:sz="4" w:space="0" w:color="293F5B"/>
              <w:left w:val="nil"/>
              <w:bottom w:val="single" w:sz="4" w:space="0" w:color="293F5B"/>
              <w:right w:val="nil"/>
            </w:tcBorders>
            <w:shd w:val="clear" w:color="000000" w:fill="FFFFFF"/>
            <w:noWrap/>
            <w:vAlign w:val="center"/>
            <w:hideMark/>
          </w:tcPr>
          <w:p w14:paraId="3AD3E81A" w14:textId="77777777" w:rsidR="00D77000" w:rsidRPr="00D77000" w:rsidRDefault="00D77000" w:rsidP="00D77000">
            <w:pPr>
              <w:spacing w:before="0" w:after="0" w:line="240" w:lineRule="auto"/>
              <w:jc w:val="right"/>
              <w:rPr>
                <w:rFonts w:ascii="Arial" w:hAnsi="Arial" w:cs="Arial"/>
                <w:b/>
                <w:bCs/>
                <w:color w:val="000000"/>
                <w:sz w:val="16"/>
                <w:szCs w:val="16"/>
              </w:rPr>
            </w:pPr>
            <w:r w:rsidRPr="00D77000">
              <w:rPr>
                <w:rFonts w:ascii="Arial" w:hAnsi="Arial" w:cs="Arial"/>
                <w:b/>
                <w:bCs/>
                <w:color w:val="000000"/>
                <w:sz w:val="16"/>
                <w:szCs w:val="16"/>
              </w:rPr>
              <w:t>107,416</w:t>
            </w:r>
          </w:p>
        </w:tc>
        <w:tc>
          <w:tcPr>
            <w:tcW w:w="497" w:type="pct"/>
            <w:tcBorders>
              <w:top w:val="single" w:sz="4" w:space="0" w:color="293F5B"/>
              <w:left w:val="nil"/>
              <w:bottom w:val="single" w:sz="4" w:space="0" w:color="293F5B"/>
              <w:right w:val="nil"/>
            </w:tcBorders>
            <w:shd w:val="clear" w:color="000000" w:fill="E6F2FF"/>
            <w:noWrap/>
            <w:vAlign w:val="center"/>
            <w:hideMark/>
          </w:tcPr>
          <w:p w14:paraId="6E7BF227" w14:textId="77777777" w:rsidR="00D77000" w:rsidRPr="00D77000" w:rsidRDefault="00D77000" w:rsidP="00D77000">
            <w:pPr>
              <w:spacing w:before="0" w:after="0" w:line="240" w:lineRule="auto"/>
              <w:jc w:val="right"/>
              <w:rPr>
                <w:rFonts w:ascii="Arial" w:hAnsi="Arial" w:cs="Arial"/>
                <w:b/>
                <w:bCs/>
                <w:color w:val="000000"/>
                <w:sz w:val="16"/>
                <w:szCs w:val="16"/>
              </w:rPr>
            </w:pPr>
            <w:r w:rsidRPr="00D77000">
              <w:rPr>
                <w:rFonts w:ascii="Arial" w:hAnsi="Arial" w:cs="Arial"/>
                <w:b/>
                <w:bCs/>
                <w:color w:val="000000"/>
                <w:sz w:val="16"/>
                <w:szCs w:val="16"/>
              </w:rPr>
              <w:t>112,693</w:t>
            </w:r>
          </w:p>
        </w:tc>
        <w:tc>
          <w:tcPr>
            <w:tcW w:w="497" w:type="pct"/>
            <w:tcBorders>
              <w:top w:val="single" w:sz="4" w:space="0" w:color="293F5B"/>
              <w:left w:val="nil"/>
              <w:bottom w:val="single" w:sz="4" w:space="0" w:color="293F5B"/>
              <w:right w:val="nil"/>
            </w:tcBorders>
            <w:shd w:val="clear" w:color="000000" w:fill="FFFFFF"/>
            <w:noWrap/>
            <w:vAlign w:val="center"/>
            <w:hideMark/>
          </w:tcPr>
          <w:p w14:paraId="2405B1AA" w14:textId="77777777" w:rsidR="00D77000" w:rsidRPr="00D77000" w:rsidRDefault="00D77000" w:rsidP="00D77000">
            <w:pPr>
              <w:spacing w:before="0" w:after="0" w:line="240" w:lineRule="auto"/>
              <w:jc w:val="right"/>
              <w:rPr>
                <w:rFonts w:ascii="Arial" w:hAnsi="Arial" w:cs="Arial"/>
                <w:b/>
                <w:bCs/>
                <w:color w:val="000000"/>
                <w:sz w:val="16"/>
                <w:szCs w:val="16"/>
              </w:rPr>
            </w:pPr>
            <w:r w:rsidRPr="00D77000">
              <w:rPr>
                <w:rFonts w:ascii="Arial" w:hAnsi="Arial" w:cs="Arial"/>
                <w:b/>
                <w:bCs/>
                <w:color w:val="000000"/>
                <w:sz w:val="16"/>
                <w:szCs w:val="16"/>
              </w:rPr>
              <w:t>115,913</w:t>
            </w:r>
          </w:p>
        </w:tc>
        <w:tc>
          <w:tcPr>
            <w:tcW w:w="497" w:type="pct"/>
            <w:tcBorders>
              <w:top w:val="single" w:sz="4" w:space="0" w:color="293F5B"/>
              <w:left w:val="nil"/>
              <w:bottom w:val="single" w:sz="4" w:space="0" w:color="293F5B"/>
              <w:right w:val="nil"/>
            </w:tcBorders>
            <w:shd w:val="clear" w:color="000000" w:fill="FFFFFF"/>
            <w:noWrap/>
            <w:vAlign w:val="center"/>
            <w:hideMark/>
          </w:tcPr>
          <w:p w14:paraId="097D8507" w14:textId="77777777" w:rsidR="00D77000" w:rsidRPr="00D77000" w:rsidRDefault="00D77000" w:rsidP="00D77000">
            <w:pPr>
              <w:spacing w:before="0" w:after="0" w:line="240" w:lineRule="auto"/>
              <w:jc w:val="right"/>
              <w:rPr>
                <w:rFonts w:ascii="Arial" w:hAnsi="Arial" w:cs="Arial"/>
                <w:b/>
                <w:bCs/>
                <w:color w:val="000000"/>
                <w:sz w:val="16"/>
                <w:szCs w:val="16"/>
              </w:rPr>
            </w:pPr>
            <w:r w:rsidRPr="00D77000">
              <w:rPr>
                <w:rFonts w:ascii="Arial" w:hAnsi="Arial" w:cs="Arial"/>
                <w:b/>
                <w:bCs/>
                <w:color w:val="000000"/>
                <w:sz w:val="16"/>
                <w:szCs w:val="16"/>
              </w:rPr>
              <w:t>118,512</w:t>
            </w:r>
          </w:p>
        </w:tc>
        <w:tc>
          <w:tcPr>
            <w:tcW w:w="497" w:type="pct"/>
            <w:tcBorders>
              <w:top w:val="single" w:sz="4" w:space="0" w:color="293F5B"/>
              <w:left w:val="nil"/>
              <w:bottom w:val="single" w:sz="4" w:space="0" w:color="293F5B"/>
              <w:right w:val="nil"/>
            </w:tcBorders>
            <w:shd w:val="clear" w:color="000000" w:fill="FFFFFF"/>
            <w:noWrap/>
            <w:vAlign w:val="center"/>
            <w:hideMark/>
          </w:tcPr>
          <w:p w14:paraId="2F650ED9" w14:textId="77777777" w:rsidR="00D77000" w:rsidRPr="00D77000" w:rsidRDefault="00D77000" w:rsidP="00D77000">
            <w:pPr>
              <w:spacing w:before="0" w:after="0" w:line="240" w:lineRule="auto"/>
              <w:jc w:val="right"/>
              <w:rPr>
                <w:rFonts w:ascii="Arial" w:hAnsi="Arial" w:cs="Arial"/>
                <w:b/>
                <w:bCs/>
                <w:color w:val="000000"/>
                <w:sz w:val="16"/>
                <w:szCs w:val="16"/>
              </w:rPr>
            </w:pPr>
            <w:r w:rsidRPr="00D77000">
              <w:rPr>
                <w:rFonts w:ascii="Arial" w:hAnsi="Arial" w:cs="Arial"/>
                <w:b/>
                <w:bCs/>
                <w:color w:val="000000"/>
                <w:sz w:val="16"/>
                <w:szCs w:val="16"/>
              </w:rPr>
              <w:t>122,801</w:t>
            </w:r>
          </w:p>
        </w:tc>
      </w:tr>
    </w:tbl>
    <w:p w14:paraId="63B9C2DA" w14:textId="776BF17C" w:rsidR="004B027C" w:rsidRDefault="004B027C" w:rsidP="004B027C">
      <w:pPr>
        <w:pStyle w:val="TableHeading"/>
        <w:rPr>
          <w:rFonts w:eastAsiaTheme="minorHAnsi"/>
          <w:b w:val="0"/>
        </w:rPr>
      </w:pPr>
      <w:bookmarkStart w:id="207" w:name="_1727774429"/>
      <w:bookmarkEnd w:id="207"/>
      <w:r>
        <w:rPr>
          <w:rFonts w:eastAsiaTheme="minorHAnsi"/>
        </w:rPr>
        <w:br w:type="page"/>
      </w:r>
    </w:p>
    <w:p w14:paraId="5A16B8A5" w14:textId="3557768E" w:rsidR="00295832" w:rsidRDefault="004C4B96" w:rsidP="00295832">
      <w:pPr>
        <w:pStyle w:val="TableHeading"/>
        <w:rPr>
          <w:rFonts w:asciiTheme="minorHAnsi" w:eastAsiaTheme="minorHAnsi" w:hAnsiTheme="minorHAnsi" w:cstheme="minorBidi"/>
          <w:sz w:val="22"/>
          <w:szCs w:val="22"/>
          <w:lang w:eastAsia="en-US"/>
        </w:rPr>
      </w:pPr>
      <w:r w:rsidRPr="006079AA">
        <w:lastRenderedPageBreak/>
        <w:t>Table 6A.1: Estimates of expenses by function and sub</w:t>
      </w:r>
      <w:r w:rsidR="008D4F6B" w:rsidRPr="006079AA">
        <w:noBreakHyphen/>
      </w:r>
      <w:r w:rsidRPr="006079AA">
        <w:t>function (</w:t>
      </w:r>
      <w:r w:rsidRPr="002B383F">
        <w:t>continued</w:t>
      </w:r>
      <w:r w:rsidR="00814EC4" w:rsidRPr="006079AA">
        <w:t>)</w:t>
      </w:r>
      <w:r w:rsidR="00295832">
        <w:t xml:space="preserve"> </w:t>
      </w:r>
      <w:bookmarkStart w:id="208" w:name="_1776948526"/>
      <w:bookmarkStart w:id="209" w:name="_1776948184"/>
      <w:bookmarkEnd w:id="208"/>
      <w:bookmarkEnd w:id="209"/>
    </w:p>
    <w:tbl>
      <w:tblPr>
        <w:tblW w:w="5000" w:type="pct"/>
        <w:tblCellMar>
          <w:left w:w="0" w:type="dxa"/>
          <w:right w:w="28" w:type="dxa"/>
        </w:tblCellMar>
        <w:tblLook w:val="04A0" w:firstRow="1" w:lastRow="0" w:firstColumn="1" w:lastColumn="0" w:noHBand="0" w:noVBand="1"/>
      </w:tblPr>
      <w:tblGrid>
        <w:gridCol w:w="3008"/>
        <w:gridCol w:w="781"/>
        <w:gridCol w:w="86"/>
        <w:gridCol w:w="768"/>
        <w:gridCol w:w="766"/>
        <w:gridCol w:w="766"/>
        <w:gridCol w:w="766"/>
        <w:gridCol w:w="769"/>
      </w:tblGrid>
      <w:tr w:rsidR="00295832" w:rsidRPr="00295832" w14:paraId="412D5E8B" w14:textId="77777777" w:rsidTr="00931C28">
        <w:trPr>
          <w:divId w:val="779882756"/>
          <w:trHeight w:hRule="exact" w:val="225"/>
        </w:trPr>
        <w:tc>
          <w:tcPr>
            <w:tcW w:w="1950" w:type="pct"/>
            <w:tcBorders>
              <w:top w:val="single" w:sz="4" w:space="0" w:color="293F5B"/>
              <w:left w:val="nil"/>
              <w:bottom w:val="nil"/>
              <w:right w:val="nil"/>
            </w:tcBorders>
            <w:shd w:val="clear" w:color="000000" w:fill="FFFFFF"/>
            <w:noWrap/>
            <w:vAlign w:val="center"/>
            <w:hideMark/>
          </w:tcPr>
          <w:p w14:paraId="43B0319D" w14:textId="14389772" w:rsidR="00295832" w:rsidRPr="00295832" w:rsidRDefault="00295832" w:rsidP="00295832">
            <w:pPr>
              <w:spacing w:before="0" w:after="0" w:line="240" w:lineRule="auto"/>
              <w:rPr>
                <w:rFonts w:ascii="Arial" w:hAnsi="Arial" w:cs="Arial"/>
                <w:color w:val="000000"/>
                <w:sz w:val="16"/>
                <w:szCs w:val="16"/>
              </w:rPr>
            </w:pPr>
            <w:r w:rsidRPr="00295832">
              <w:rPr>
                <w:rFonts w:ascii="Arial" w:hAnsi="Arial" w:cs="Arial"/>
                <w:color w:val="000000"/>
                <w:sz w:val="16"/>
                <w:szCs w:val="16"/>
              </w:rPr>
              <w:t> </w:t>
            </w:r>
          </w:p>
        </w:tc>
        <w:tc>
          <w:tcPr>
            <w:tcW w:w="506" w:type="pct"/>
            <w:tcBorders>
              <w:top w:val="single" w:sz="4" w:space="0" w:color="293F5B"/>
              <w:left w:val="nil"/>
              <w:bottom w:val="single" w:sz="4" w:space="0" w:color="293F5B"/>
              <w:right w:val="nil"/>
            </w:tcBorders>
            <w:shd w:val="clear" w:color="000000" w:fill="FFFFFF"/>
            <w:noWrap/>
            <w:vAlign w:val="center"/>
            <w:hideMark/>
          </w:tcPr>
          <w:p w14:paraId="596C2CF9" w14:textId="77777777" w:rsidR="00295832" w:rsidRPr="00295832" w:rsidRDefault="00295832" w:rsidP="00295832">
            <w:pPr>
              <w:spacing w:before="0" w:after="0" w:line="240" w:lineRule="auto"/>
              <w:jc w:val="center"/>
              <w:rPr>
                <w:rFonts w:ascii="Arial" w:hAnsi="Arial" w:cs="Arial"/>
                <w:color w:val="000000"/>
                <w:sz w:val="16"/>
                <w:szCs w:val="16"/>
              </w:rPr>
            </w:pPr>
            <w:r w:rsidRPr="00295832">
              <w:rPr>
                <w:rFonts w:ascii="Arial" w:hAnsi="Arial" w:cs="Arial"/>
                <w:color w:val="000000"/>
                <w:sz w:val="16"/>
                <w:szCs w:val="16"/>
              </w:rPr>
              <w:t>Actual</w:t>
            </w:r>
          </w:p>
        </w:tc>
        <w:tc>
          <w:tcPr>
            <w:tcW w:w="56" w:type="pct"/>
            <w:tcBorders>
              <w:top w:val="single" w:sz="4" w:space="0" w:color="293F5B"/>
              <w:left w:val="nil"/>
              <w:bottom w:val="nil"/>
              <w:right w:val="nil"/>
            </w:tcBorders>
            <w:shd w:val="clear" w:color="000000" w:fill="FFFFFF"/>
            <w:noWrap/>
            <w:vAlign w:val="center"/>
            <w:hideMark/>
          </w:tcPr>
          <w:p w14:paraId="26063D9A" w14:textId="77777777" w:rsidR="00295832" w:rsidRPr="00295832" w:rsidRDefault="00295832" w:rsidP="00295832">
            <w:pPr>
              <w:spacing w:before="0" w:after="0" w:line="240" w:lineRule="auto"/>
              <w:jc w:val="right"/>
              <w:rPr>
                <w:rFonts w:ascii="Arial" w:hAnsi="Arial" w:cs="Arial"/>
                <w:color w:val="000000"/>
                <w:sz w:val="16"/>
                <w:szCs w:val="16"/>
              </w:rPr>
            </w:pPr>
            <w:r w:rsidRPr="00295832">
              <w:rPr>
                <w:rFonts w:ascii="Arial" w:hAnsi="Arial" w:cs="Arial"/>
                <w:color w:val="000000"/>
                <w:sz w:val="16"/>
                <w:szCs w:val="16"/>
              </w:rPr>
              <w:t> </w:t>
            </w:r>
          </w:p>
        </w:tc>
        <w:tc>
          <w:tcPr>
            <w:tcW w:w="2488" w:type="pct"/>
            <w:gridSpan w:val="5"/>
            <w:tcBorders>
              <w:top w:val="single" w:sz="4" w:space="0" w:color="293F5B"/>
              <w:left w:val="nil"/>
              <w:bottom w:val="nil"/>
              <w:right w:val="nil"/>
            </w:tcBorders>
            <w:shd w:val="clear" w:color="000000" w:fill="FFFFFF"/>
            <w:noWrap/>
            <w:vAlign w:val="center"/>
            <w:hideMark/>
          </w:tcPr>
          <w:p w14:paraId="5875FB0F" w14:textId="77777777" w:rsidR="00295832" w:rsidRPr="00295832" w:rsidRDefault="00295832" w:rsidP="00295832">
            <w:pPr>
              <w:spacing w:before="0" w:after="0" w:line="240" w:lineRule="auto"/>
              <w:jc w:val="center"/>
              <w:rPr>
                <w:rFonts w:ascii="Arial" w:hAnsi="Arial" w:cs="Arial"/>
                <w:sz w:val="16"/>
                <w:szCs w:val="16"/>
              </w:rPr>
            </w:pPr>
            <w:r w:rsidRPr="00295832">
              <w:rPr>
                <w:rFonts w:ascii="Arial" w:hAnsi="Arial" w:cs="Arial"/>
                <w:sz w:val="16"/>
                <w:szCs w:val="16"/>
              </w:rPr>
              <w:t>Estimates</w:t>
            </w:r>
          </w:p>
        </w:tc>
      </w:tr>
      <w:tr w:rsidR="00295832" w:rsidRPr="00295832" w14:paraId="4AD4CA01" w14:textId="77777777" w:rsidTr="00931C28">
        <w:trPr>
          <w:divId w:val="779882756"/>
          <w:trHeight w:hRule="exact" w:val="225"/>
        </w:trPr>
        <w:tc>
          <w:tcPr>
            <w:tcW w:w="1950" w:type="pct"/>
            <w:tcBorders>
              <w:top w:val="nil"/>
              <w:left w:val="nil"/>
              <w:bottom w:val="nil"/>
              <w:right w:val="nil"/>
            </w:tcBorders>
            <w:shd w:val="clear" w:color="000000" w:fill="FFFFFF"/>
            <w:noWrap/>
            <w:vAlign w:val="center"/>
            <w:hideMark/>
          </w:tcPr>
          <w:p w14:paraId="0490CA26" w14:textId="77777777" w:rsidR="00295832" w:rsidRPr="00295832" w:rsidRDefault="00295832" w:rsidP="00295832">
            <w:pPr>
              <w:spacing w:before="0" w:after="0" w:line="240" w:lineRule="auto"/>
              <w:rPr>
                <w:rFonts w:ascii="Arial" w:hAnsi="Arial" w:cs="Arial"/>
                <w:color w:val="000000"/>
                <w:sz w:val="16"/>
                <w:szCs w:val="16"/>
              </w:rPr>
            </w:pPr>
            <w:r w:rsidRPr="00295832">
              <w:rPr>
                <w:rFonts w:ascii="Arial" w:hAnsi="Arial" w:cs="Arial"/>
                <w:color w:val="000000"/>
                <w:sz w:val="16"/>
                <w:szCs w:val="16"/>
              </w:rPr>
              <w:t> </w:t>
            </w:r>
          </w:p>
        </w:tc>
        <w:tc>
          <w:tcPr>
            <w:tcW w:w="506" w:type="pct"/>
            <w:tcBorders>
              <w:top w:val="single" w:sz="4" w:space="0" w:color="293F5B"/>
              <w:left w:val="nil"/>
              <w:bottom w:val="nil"/>
              <w:right w:val="nil"/>
            </w:tcBorders>
            <w:shd w:val="clear" w:color="000000" w:fill="FFFFFF"/>
            <w:noWrap/>
            <w:vAlign w:val="center"/>
            <w:hideMark/>
          </w:tcPr>
          <w:p w14:paraId="41A7CA81" w14:textId="77777777" w:rsidR="00295832" w:rsidRPr="00295832" w:rsidRDefault="00295832" w:rsidP="00295832">
            <w:pPr>
              <w:spacing w:before="0" w:after="0" w:line="240" w:lineRule="auto"/>
              <w:jc w:val="right"/>
              <w:rPr>
                <w:rFonts w:ascii="Arial" w:hAnsi="Arial" w:cs="Arial"/>
                <w:color w:val="000000"/>
                <w:sz w:val="16"/>
                <w:szCs w:val="16"/>
              </w:rPr>
            </w:pPr>
            <w:r w:rsidRPr="00295832">
              <w:rPr>
                <w:rFonts w:ascii="Arial" w:hAnsi="Arial" w:cs="Arial"/>
                <w:color w:val="000000"/>
                <w:sz w:val="16"/>
                <w:szCs w:val="16"/>
              </w:rPr>
              <w:t>2022-23</w:t>
            </w:r>
          </w:p>
        </w:tc>
        <w:tc>
          <w:tcPr>
            <w:tcW w:w="56" w:type="pct"/>
            <w:tcBorders>
              <w:top w:val="nil"/>
              <w:left w:val="nil"/>
              <w:bottom w:val="nil"/>
              <w:right w:val="nil"/>
            </w:tcBorders>
            <w:shd w:val="clear" w:color="000000" w:fill="FFFFFF"/>
            <w:noWrap/>
            <w:vAlign w:val="center"/>
            <w:hideMark/>
          </w:tcPr>
          <w:p w14:paraId="5D108144" w14:textId="77777777" w:rsidR="00295832" w:rsidRPr="00295832" w:rsidRDefault="00295832" w:rsidP="00295832">
            <w:pPr>
              <w:spacing w:before="0" w:after="0" w:line="240" w:lineRule="auto"/>
              <w:jc w:val="right"/>
              <w:rPr>
                <w:rFonts w:ascii="Arial" w:hAnsi="Arial" w:cs="Arial"/>
                <w:color w:val="000000"/>
                <w:sz w:val="16"/>
                <w:szCs w:val="16"/>
              </w:rPr>
            </w:pPr>
            <w:r w:rsidRPr="00295832">
              <w:rPr>
                <w:rFonts w:ascii="Arial" w:hAnsi="Arial" w:cs="Arial"/>
                <w:color w:val="000000"/>
                <w:sz w:val="16"/>
                <w:szCs w:val="16"/>
              </w:rPr>
              <w:t> </w:t>
            </w:r>
          </w:p>
        </w:tc>
        <w:tc>
          <w:tcPr>
            <w:tcW w:w="498" w:type="pct"/>
            <w:tcBorders>
              <w:top w:val="single" w:sz="4" w:space="0" w:color="293F5B"/>
              <w:left w:val="nil"/>
              <w:bottom w:val="nil"/>
              <w:right w:val="nil"/>
            </w:tcBorders>
            <w:shd w:val="clear" w:color="000000" w:fill="FFFFFF"/>
            <w:noWrap/>
            <w:vAlign w:val="center"/>
            <w:hideMark/>
          </w:tcPr>
          <w:p w14:paraId="5D3BF5B4" w14:textId="77777777" w:rsidR="00295832" w:rsidRPr="00295832" w:rsidRDefault="00295832" w:rsidP="00295832">
            <w:pPr>
              <w:spacing w:before="0" w:after="0" w:line="240" w:lineRule="auto"/>
              <w:jc w:val="right"/>
              <w:rPr>
                <w:rFonts w:ascii="Arial" w:hAnsi="Arial" w:cs="Arial"/>
                <w:sz w:val="16"/>
                <w:szCs w:val="16"/>
              </w:rPr>
            </w:pPr>
            <w:r w:rsidRPr="00295832">
              <w:rPr>
                <w:rFonts w:ascii="Arial" w:hAnsi="Arial" w:cs="Arial"/>
                <w:sz w:val="16"/>
                <w:szCs w:val="16"/>
              </w:rPr>
              <w:t>2023-24</w:t>
            </w:r>
          </w:p>
        </w:tc>
        <w:tc>
          <w:tcPr>
            <w:tcW w:w="497" w:type="pct"/>
            <w:tcBorders>
              <w:top w:val="single" w:sz="4" w:space="0" w:color="293F5B"/>
              <w:left w:val="nil"/>
              <w:bottom w:val="nil"/>
              <w:right w:val="nil"/>
            </w:tcBorders>
            <w:shd w:val="clear" w:color="000000" w:fill="E6F2FF"/>
            <w:noWrap/>
            <w:vAlign w:val="center"/>
            <w:hideMark/>
          </w:tcPr>
          <w:p w14:paraId="604DD8B9" w14:textId="77777777" w:rsidR="00295832" w:rsidRPr="00295832" w:rsidRDefault="00295832" w:rsidP="00295832">
            <w:pPr>
              <w:spacing w:before="0" w:after="0" w:line="240" w:lineRule="auto"/>
              <w:jc w:val="right"/>
              <w:rPr>
                <w:rFonts w:ascii="Arial" w:hAnsi="Arial" w:cs="Arial"/>
                <w:sz w:val="16"/>
                <w:szCs w:val="16"/>
              </w:rPr>
            </w:pPr>
            <w:r w:rsidRPr="00295832">
              <w:rPr>
                <w:rFonts w:ascii="Arial" w:hAnsi="Arial" w:cs="Arial"/>
                <w:sz w:val="16"/>
                <w:szCs w:val="16"/>
              </w:rPr>
              <w:t>2024-25</w:t>
            </w:r>
          </w:p>
        </w:tc>
        <w:tc>
          <w:tcPr>
            <w:tcW w:w="497" w:type="pct"/>
            <w:tcBorders>
              <w:top w:val="single" w:sz="4" w:space="0" w:color="293F5B"/>
              <w:left w:val="nil"/>
              <w:bottom w:val="nil"/>
              <w:right w:val="nil"/>
            </w:tcBorders>
            <w:shd w:val="clear" w:color="000000" w:fill="FFFFFF"/>
            <w:noWrap/>
            <w:vAlign w:val="center"/>
            <w:hideMark/>
          </w:tcPr>
          <w:p w14:paraId="25802559" w14:textId="77777777" w:rsidR="00295832" w:rsidRPr="00295832" w:rsidRDefault="00295832" w:rsidP="00295832">
            <w:pPr>
              <w:spacing w:before="0" w:after="0" w:line="240" w:lineRule="auto"/>
              <w:jc w:val="right"/>
              <w:rPr>
                <w:rFonts w:ascii="Arial" w:hAnsi="Arial" w:cs="Arial"/>
                <w:sz w:val="16"/>
                <w:szCs w:val="16"/>
              </w:rPr>
            </w:pPr>
            <w:r w:rsidRPr="00295832">
              <w:rPr>
                <w:rFonts w:ascii="Arial" w:hAnsi="Arial" w:cs="Arial"/>
                <w:sz w:val="16"/>
                <w:szCs w:val="16"/>
              </w:rPr>
              <w:t>2025-26</w:t>
            </w:r>
          </w:p>
        </w:tc>
        <w:tc>
          <w:tcPr>
            <w:tcW w:w="497" w:type="pct"/>
            <w:tcBorders>
              <w:top w:val="single" w:sz="4" w:space="0" w:color="293F5B"/>
              <w:left w:val="nil"/>
              <w:bottom w:val="nil"/>
              <w:right w:val="nil"/>
            </w:tcBorders>
            <w:shd w:val="clear" w:color="000000" w:fill="FFFFFF"/>
            <w:noWrap/>
            <w:vAlign w:val="center"/>
            <w:hideMark/>
          </w:tcPr>
          <w:p w14:paraId="40258FA3" w14:textId="77777777" w:rsidR="00295832" w:rsidRPr="00295832" w:rsidRDefault="00295832" w:rsidP="00295832">
            <w:pPr>
              <w:spacing w:before="0" w:after="0" w:line="240" w:lineRule="auto"/>
              <w:jc w:val="right"/>
              <w:rPr>
                <w:rFonts w:ascii="Arial" w:hAnsi="Arial" w:cs="Arial"/>
                <w:sz w:val="16"/>
                <w:szCs w:val="16"/>
              </w:rPr>
            </w:pPr>
            <w:r w:rsidRPr="00295832">
              <w:rPr>
                <w:rFonts w:ascii="Arial" w:hAnsi="Arial" w:cs="Arial"/>
                <w:sz w:val="16"/>
                <w:szCs w:val="16"/>
              </w:rPr>
              <w:t>2026-27</w:t>
            </w:r>
          </w:p>
        </w:tc>
        <w:tc>
          <w:tcPr>
            <w:tcW w:w="497" w:type="pct"/>
            <w:tcBorders>
              <w:top w:val="single" w:sz="4" w:space="0" w:color="293F5B"/>
              <w:left w:val="nil"/>
              <w:bottom w:val="nil"/>
              <w:right w:val="nil"/>
            </w:tcBorders>
            <w:shd w:val="clear" w:color="000000" w:fill="FFFFFF"/>
            <w:noWrap/>
            <w:vAlign w:val="center"/>
            <w:hideMark/>
          </w:tcPr>
          <w:p w14:paraId="7C0444EA" w14:textId="77777777" w:rsidR="00295832" w:rsidRPr="00295832" w:rsidRDefault="00295832" w:rsidP="00295832">
            <w:pPr>
              <w:spacing w:before="0" w:after="0" w:line="240" w:lineRule="auto"/>
              <w:jc w:val="right"/>
              <w:rPr>
                <w:rFonts w:ascii="Arial" w:hAnsi="Arial" w:cs="Arial"/>
                <w:color w:val="000000"/>
                <w:sz w:val="16"/>
                <w:szCs w:val="16"/>
              </w:rPr>
            </w:pPr>
            <w:r w:rsidRPr="00295832">
              <w:rPr>
                <w:rFonts w:ascii="Arial" w:hAnsi="Arial" w:cs="Arial"/>
                <w:color w:val="000000"/>
                <w:sz w:val="16"/>
                <w:szCs w:val="16"/>
              </w:rPr>
              <w:t>2027-28</w:t>
            </w:r>
          </w:p>
        </w:tc>
      </w:tr>
      <w:tr w:rsidR="00295832" w:rsidRPr="00295832" w14:paraId="4CA2F72C" w14:textId="77777777" w:rsidTr="00931C28">
        <w:trPr>
          <w:divId w:val="779882756"/>
          <w:trHeight w:hRule="exact" w:val="225"/>
        </w:trPr>
        <w:tc>
          <w:tcPr>
            <w:tcW w:w="1950" w:type="pct"/>
            <w:tcBorders>
              <w:top w:val="nil"/>
              <w:left w:val="nil"/>
              <w:bottom w:val="nil"/>
              <w:right w:val="nil"/>
            </w:tcBorders>
            <w:shd w:val="clear" w:color="000000" w:fill="FFFFFF"/>
            <w:noWrap/>
            <w:vAlign w:val="center"/>
            <w:hideMark/>
          </w:tcPr>
          <w:p w14:paraId="60567216" w14:textId="77777777" w:rsidR="00295832" w:rsidRPr="00295832" w:rsidRDefault="00295832" w:rsidP="00295832">
            <w:pPr>
              <w:spacing w:before="0" w:after="0" w:line="240" w:lineRule="auto"/>
              <w:rPr>
                <w:rFonts w:ascii="Arial" w:hAnsi="Arial" w:cs="Arial"/>
                <w:color w:val="000000"/>
                <w:sz w:val="16"/>
                <w:szCs w:val="16"/>
              </w:rPr>
            </w:pPr>
            <w:r w:rsidRPr="00295832">
              <w:rPr>
                <w:rFonts w:ascii="Arial" w:hAnsi="Arial" w:cs="Arial"/>
                <w:color w:val="000000"/>
                <w:sz w:val="16"/>
                <w:szCs w:val="16"/>
              </w:rPr>
              <w:t> </w:t>
            </w:r>
          </w:p>
        </w:tc>
        <w:tc>
          <w:tcPr>
            <w:tcW w:w="506" w:type="pct"/>
            <w:tcBorders>
              <w:top w:val="nil"/>
              <w:left w:val="nil"/>
              <w:bottom w:val="single" w:sz="4" w:space="0" w:color="293F5B"/>
              <w:right w:val="nil"/>
            </w:tcBorders>
            <w:shd w:val="clear" w:color="000000" w:fill="FFFFFF"/>
            <w:noWrap/>
            <w:vAlign w:val="center"/>
            <w:hideMark/>
          </w:tcPr>
          <w:p w14:paraId="6F639B25" w14:textId="77777777" w:rsidR="00295832" w:rsidRPr="00295832" w:rsidRDefault="00295832" w:rsidP="00295832">
            <w:pPr>
              <w:spacing w:before="0" w:after="0" w:line="240" w:lineRule="auto"/>
              <w:jc w:val="right"/>
              <w:rPr>
                <w:rFonts w:ascii="Arial" w:hAnsi="Arial" w:cs="Arial"/>
                <w:color w:val="000000"/>
                <w:sz w:val="16"/>
                <w:szCs w:val="16"/>
              </w:rPr>
            </w:pPr>
            <w:r w:rsidRPr="00295832">
              <w:rPr>
                <w:rFonts w:ascii="Arial" w:hAnsi="Arial" w:cs="Arial"/>
                <w:color w:val="000000"/>
                <w:sz w:val="16"/>
                <w:szCs w:val="16"/>
              </w:rPr>
              <w:t>$m</w:t>
            </w:r>
          </w:p>
        </w:tc>
        <w:tc>
          <w:tcPr>
            <w:tcW w:w="56" w:type="pct"/>
            <w:tcBorders>
              <w:top w:val="nil"/>
              <w:left w:val="nil"/>
              <w:bottom w:val="nil"/>
              <w:right w:val="nil"/>
            </w:tcBorders>
            <w:shd w:val="clear" w:color="000000" w:fill="FFFFFF"/>
            <w:noWrap/>
            <w:vAlign w:val="center"/>
            <w:hideMark/>
          </w:tcPr>
          <w:p w14:paraId="5B43BC85" w14:textId="77777777" w:rsidR="00295832" w:rsidRPr="00295832" w:rsidRDefault="00295832" w:rsidP="00295832">
            <w:pPr>
              <w:spacing w:before="0" w:after="0" w:line="240" w:lineRule="auto"/>
              <w:jc w:val="right"/>
              <w:rPr>
                <w:rFonts w:ascii="Arial" w:hAnsi="Arial" w:cs="Arial"/>
                <w:color w:val="000000"/>
                <w:sz w:val="16"/>
                <w:szCs w:val="16"/>
              </w:rPr>
            </w:pPr>
            <w:r w:rsidRPr="00295832">
              <w:rPr>
                <w:rFonts w:ascii="Arial" w:hAnsi="Arial" w:cs="Arial"/>
                <w:color w:val="000000"/>
                <w:sz w:val="16"/>
                <w:szCs w:val="16"/>
              </w:rPr>
              <w:t> </w:t>
            </w:r>
          </w:p>
        </w:tc>
        <w:tc>
          <w:tcPr>
            <w:tcW w:w="498" w:type="pct"/>
            <w:tcBorders>
              <w:top w:val="nil"/>
              <w:left w:val="nil"/>
              <w:bottom w:val="single" w:sz="4" w:space="0" w:color="293F5B"/>
              <w:right w:val="nil"/>
            </w:tcBorders>
            <w:shd w:val="clear" w:color="000000" w:fill="FFFFFF"/>
            <w:noWrap/>
            <w:vAlign w:val="center"/>
            <w:hideMark/>
          </w:tcPr>
          <w:p w14:paraId="50A431AD" w14:textId="77777777" w:rsidR="00295832" w:rsidRPr="00295832" w:rsidRDefault="00295832" w:rsidP="00295832">
            <w:pPr>
              <w:spacing w:before="0" w:after="0" w:line="240" w:lineRule="auto"/>
              <w:jc w:val="right"/>
              <w:rPr>
                <w:rFonts w:ascii="Arial" w:hAnsi="Arial" w:cs="Arial"/>
                <w:color w:val="000000"/>
                <w:sz w:val="16"/>
                <w:szCs w:val="16"/>
              </w:rPr>
            </w:pPr>
            <w:r w:rsidRPr="00295832">
              <w:rPr>
                <w:rFonts w:ascii="Arial" w:hAnsi="Arial" w:cs="Arial"/>
                <w:color w:val="000000"/>
                <w:sz w:val="16"/>
                <w:szCs w:val="16"/>
              </w:rPr>
              <w:t>$m</w:t>
            </w:r>
          </w:p>
        </w:tc>
        <w:tc>
          <w:tcPr>
            <w:tcW w:w="497" w:type="pct"/>
            <w:tcBorders>
              <w:top w:val="nil"/>
              <w:left w:val="nil"/>
              <w:bottom w:val="single" w:sz="4" w:space="0" w:color="293F5B"/>
              <w:right w:val="nil"/>
            </w:tcBorders>
            <w:shd w:val="clear" w:color="000000" w:fill="E6F2FF"/>
            <w:noWrap/>
            <w:vAlign w:val="center"/>
            <w:hideMark/>
          </w:tcPr>
          <w:p w14:paraId="4612A140" w14:textId="77777777" w:rsidR="00295832" w:rsidRPr="00295832" w:rsidRDefault="00295832" w:rsidP="00295832">
            <w:pPr>
              <w:spacing w:before="0" w:after="0" w:line="240" w:lineRule="auto"/>
              <w:jc w:val="right"/>
              <w:rPr>
                <w:rFonts w:ascii="Arial" w:hAnsi="Arial" w:cs="Arial"/>
                <w:color w:val="000000"/>
                <w:sz w:val="16"/>
                <w:szCs w:val="16"/>
              </w:rPr>
            </w:pPr>
            <w:r w:rsidRPr="00295832">
              <w:rPr>
                <w:rFonts w:ascii="Arial" w:hAnsi="Arial" w:cs="Arial"/>
                <w:color w:val="000000"/>
                <w:sz w:val="16"/>
                <w:szCs w:val="16"/>
              </w:rPr>
              <w:t>$m</w:t>
            </w:r>
          </w:p>
        </w:tc>
        <w:tc>
          <w:tcPr>
            <w:tcW w:w="497" w:type="pct"/>
            <w:tcBorders>
              <w:top w:val="nil"/>
              <w:left w:val="nil"/>
              <w:bottom w:val="single" w:sz="4" w:space="0" w:color="293F5B"/>
              <w:right w:val="nil"/>
            </w:tcBorders>
            <w:shd w:val="clear" w:color="000000" w:fill="FFFFFF"/>
            <w:noWrap/>
            <w:vAlign w:val="center"/>
            <w:hideMark/>
          </w:tcPr>
          <w:p w14:paraId="53C0E133" w14:textId="77777777" w:rsidR="00295832" w:rsidRPr="00295832" w:rsidRDefault="00295832" w:rsidP="00295832">
            <w:pPr>
              <w:spacing w:before="0" w:after="0" w:line="240" w:lineRule="auto"/>
              <w:jc w:val="right"/>
              <w:rPr>
                <w:rFonts w:ascii="Arial" w:hAnsi="Arial" w:cs="Arial"/>
                <w:color w:val="000000"/>
                <w:sz w:val="16"/>
                <w:szCs w:val="16"/>
              </w:rPr>
            </w:pPr>
            <w:r w:rsidRPr="00295832">
              <w:rPr>
                <w:rFonts w:ascii="Arial" w:hAnsi="Arial" w:cs="Arial"/>
                <w:color w:val="000000"/>
                <w:sz w:val="16"/>
                <w:szCs w:val="16"/>
              </w:rPr>
              <w:t>$m</w:t>
            </w:r>
          </w:p>
        </w:tc>
        <w:tc>
          <w:tcPr>
            <w:tcW w:w="497" w:type="pct"/>
            <w:tcBorders>
              <w:top w:val="nil"/>
              <w:left w:val="nil"/>
              <w:bottom w:val="single" w:sz="4" w:space="0" w:color="293F5B"/>
              <w:right w:val="nil"/>
            </w:tcBorders>
            <w:shd w:val="clear" w:color="000000" w:fill="FFFFFF"/>
            <w:noWrap/>
            <w:vAlign w:val="center"/>
            <w:hideMark/>
          </w:tcPr>
          <w:p w14:paraId="298C5046" w14:textId="77777777" w:rsidR="00295832" w:rsidRPr="00295832" w:rsidRDefault="00295832" w:rsidP="00295832">
            <w:pPr>
              <w:spacing w:before="0" w:after="0" w:line="240" w:lineRule="auto"/>
              <w:jc w:val="right"/>
              <w:rPr>
                <w:rFonts w:ascii="Arial" w:hAnsi="Arial" w:cs="Arial"/>
                <w:color w:val="000000"/>
                <w:sz w:val="16"/>
                <w:szCs w:val="16"/>
              </w:rPr>
            </w:pPr>
            <w:r w:rsidRPr="00295832">
              <w:rPr>
                <w:rFonts w:ascii="Arial" w:hAnsi="Arial" w:cs="Arial"/>
                <w:color w:val="000000"/>
                <w:sz w:val="16"/>
                <w:szCs w:val="16"/>
              </w:rPr>
              <w:t>$m</w:t>
            </w:r>
          </w:p>
        </w:tc>
        <w:tc>
          <w:tcPr>
            <w:tcW w:w="497" w:type="pct"/>
            <w:tcBorders>
              <w:top w:val="nil"/>
              <w:left w:val="nil"/>
              <w:bottom w:val="single" w:sz="4" w:space="0" w:color="293F5B"/>
              <w:right w:val="nil"/>
            </w:tcBorders>
            <w:shd w:val="clear" w:color="000000" w:fill="FFFFFF"/>
            <w:noWrap/>
            <w:vAlign w:val="center"/>
            <w:hideMark/>
          </w:tcPr>
          <w:p w14:paraId="06F052BE" w14:textId="77777777" w:rsidR="00295832" w:rsidRPr="00295832" w:rsidRDefault="00295832" w:rsidP="00295832">
            <w:pPr>
              <w:spacing w:before="0" w:after="0" w:line="240" w:lineRule="auto"/>
              <w:jc w:val="right"/>
              <w:rPr>
                <w:rFonts w:ascii="Arial" w:hAnsi="Arial" w:cs="Arial"/>
                <w:color w:val="000000"/>
                <w:sz w:val="16"/>
                <w:szCs w:val="16"/>
              </w:rPr>
            </w:pPr>
            <w:r w:rsidRPr="00295832">
              <w:rPr>
                <w:rFonts w:ascii="Arial" w:hAnsi="Arial" w:cs="Arial"/>
                <w:color w:val="000000"/>
                <w:sz w:val="16"/>
                <w:szCs w:val="16"/>
              </w:rPr>
              <w:t>$m</w:t>
            </w:r>
          </w:p>
        </w:tc>
      </w:tr>
      <w:tr w:rsidR="00295832" w:rsidRPr="00295832" w14:paraId="1649C154" w14:textId="77777777" w:rsidTr="00931C28">
        <w:trPr>
          <w:divId w:val="779882756"/>
          <w:trHeight w:hRule="exact" w:val="225"/>
        </w:trPr>
        <w:tc>
          <w:tcPr>
            <w:tcW w:w="1950" w:type="pct"/>
            <w:tcBorders>
              <w:top w:val="nil"/>
              <w:left w:val="nil"/>
              <w:bottom w:val="nil"/>
              <w:right w:val="nil"/>
            </w:tcBorders>
            <w:shd w:val="clear" w:color="000000" w:fill="FFFFFF"/>
            <w:noWrap/>
            <w:vAlign w:val="center"/>
            <w:hideMark/>
          </w:tcPr>
          <w:p w14:paraId="22F13D03" w14:textId="77777777" w:rsidR="00295832" w:rsidRPr="00295832" w:rsidRDefault="00295832" w:rsidP="00295832">
            <w:pPr>
              <w:spacing w:before="0" w:after="0" w:line="240" w:lineRule="auto"/>
              <w:rPr>
                <w:rFonts w:ascii="Arial" w:hAnsi="Arial" w:cs="Arial"/>
                <w:b/>
                <w:bCs/>
                <w:color w:val="000000"/>
                <w:sz w:val="16"/>
                <w:szCs w:val="16"/>
              </w:rPr>
            </w:pPr>
            <w:r w:rsidRPr="00295832">
              <w:rPr>
                <w:rFonts w:ascii="Arial" w:hAnsi="Arial" w:cs="Arial"/>
                <w:b/>
                <w:bCs/>
                <w:color w:val="000000"/>
                <w:sz w:val="16"/>
                <w:szCs w:val="16"/>
              </w:rPr>
              <w:t>Social security and welfare</w:t>
            </w:r>
          </w:p>
        </w:tc>
        <w:tc>
          <w:tcPr>
            <w:tcW w:w="506" w:type="pct"/>
            <w:tcBorders>
              <w:top w:val="nil"/>
              <w:left w:val="nil"/>
              <w:bottom w:val="nil"/>
              <w:right w:val="nil"/>
            </w:tcBorders>
            <w:shd w:val="clear" w:color="000000" w:fill="FFFFFF"/>
            <w:noWrap/>
            <w:vAlign w:val="center"/>
            <w:hideMark/>
          </w:tcPr>
          <w:p w14:paraId="1BBE5064" w14:textId="77777777" w:rsidR="00295832" w:rsidRPr="00295832" w:rsidRDefault="00295832" w:rsidP="00295832">
            <w:pPr>
              <w:spacing w:before="0" w:after="0" w:line="240" w:lineRule="auto"/>
              <w:rPr>
                <w:rFonts w:ascii="Arial" w:hAnsi="Arial" w:cs="Arial"/>
                <w:color w:val="000000"/>
                <w:sz w:val="16"/>
                <w:szCs w:val="16"/>
              </w:rPr>
            </w:pPr>
            <w:r w:rsidRPr="00295832">
              <w:rPr>
                <w:rFonts w:ascii="Arial" w:hAnsi="Arial" w:cs="Arial"/>
                <w:color w:val="000000"/>
                <w:sz w:val="16"/>
                <w:szCs w:val="16"/>
              </w:rPr>
              <w:t> </w:t>
            </w:r>
          </w:p>
        </w:tc>
        <w:tc>
          <w:tcPr>
            <w:tcW w:w="56" w:type="pct"/>
            <w:tcBorders>
              <w:top w:val="nil"/>
              <w:left w:val="nil"/>
              <w:bottom w:val="nil"/>
              <w:right w:val="nil"/>
            </w:tcBorders>
            <w:shd w:val="clear" w:color="000000" w:fill="FFFFFF"/>
            <w:noWrap/>
            <w:vAlign w:val="center"/>
            <w:hideMark/>
          </w:tcPr>
          <w:p w14:paraId="6F1EDDEC" w14:textId="77777777" w:rsidR="00295832" w:rsidRPr="00295832" w:rsidRDefault="00295832" w:rsidP="00295832">
            <w:pPr>
              <w:spacing w:before="0" w:after="0" w:line="240" w:lineRule="auto"/>
              <w:rPr>
                <w:rFonts w:ascii="Arial" w:hAnsi="Arial" w:cs="Arial"/>
                <w:color w:val="000000"/>
                <w:sz w:val="16"/>
                <w:szCs w:val="16"/>
              </w:rPr>
            </w:pPr>
            <w:r w:rsidRPr="00295832">
              <w:rPr>
                <w:rFonts w:ascii="Arial" w:hAnsi="Arial" w:cs="Arial"/>
                <w:color w:val="000000"/>
                <w:sz w:val="16"/>
                <w:szCs w:val="16"/>
              </w:rPr>
              <w:t> </w:t>
            </w:r>
          </w:p>
        </w:tc>
        <w:tc>
          <w:tcPr>
            <w:tcW w:w="498" w:type="pct"/>
            <w:tcBorders>
              <w:top w:val="nil"/>
              <w:left w:val="nil"/>
              <w:bottom w:val="nil"/>
              <w:right w:val="nil"/>
            </w:tcBorders>
            <w:shd w:val="clear" w:color="000000" w:fill="FFFFFF"/>
            <w:noWrap/>
            <w:vAlign w:val="center"/>
            <w:hideMark/>
          </w:tcPr>
          <w:p w14:paraId="0E349F86" w14:textId="77777777" w:rsidR="00295832" w:rsidRPr="00295832" w:rsidRDefault="00295832" w:rsidP="00295832">
            <w:pPr>
              <w:spacing w:before="0" w:after="0" w:line="240" w:lineRule="auto"/>
              <w:rPr>
                <w:rFonts w:ascii="Arial" w:hAnsi="Arial" w:cs="Arial"/>
                <w:color w:val="000000"/>
                <w:sz w:val="16"/>
                <w:szCs w:val="16"/>
              </w:rPr>
            </w:pPr>
            <w:r w:rsidRPr="00295832">
              <w:rPr>
                <w:rFonts w:ascii="Arial" w:hAnsi="Arial" w:cs="Arial"/>
                <w:color w:val="000000"/>
                <w:sz w:val="16"/>
                <w:szCs w:val="16"/>
              </w:rPr>
              <w:t> </w:t>
            </w:r>
          </w:p>
        </w:tc>
        <w:tc>
          <w:tcPr>
            <w:tcW w:w="497" w:type="pct"/>
            <w:tcBorders>
              <w:top w:val="nil"/>
              <w:left w:val="nil"/>
              <w:bottom w:val="nil"/>
              <w:right w:val="nil"/>
            </w:tcBorders>
            <w:shd w:val="clear" w:color="000000" w:fill="E6F2FF"/>
            <w:noWrap/>
            <w:vAlign w:val="center"/>
            <w:hideMark/>
          </w:tcPr>
          <w:p w14:paraId="13D883AA" w14:textId="77777777" w:rsidR="00295832" w:rsidRPr="00295832" w:rsidRDefault="00295832" w:rsidP="00295832">
            <w:pPr>
              <w:spacing w:before="0" w:after="0" w:line="240" w:lineRule="auto"/>
              <w:rPr>
                <w:rFonts w:ascii="Arial" w:hAnsi="Arial" w:cs="Arial"/>
                <w:color w:val="000000"/>
                <w:sz w:val="16"/>
                <w:szCs w:val="16"/>
              </w:rPr>
            </w:pPr>
            <w:r w:rsidRPr="00295832">
              <w:rPr>
                <w:rFonts w:ascii="Arial" w:hAnsi="Arial" w:cs="Arial"/>
                <w:color w:val="000000"/>
                <w:sz w:val="16"/>
                <w:szCs w:val="16"/>
              </w:rPr>
              <w:t> </w:t>
            </w:r>
          </w:p>
        </w:tc>
        <w:tc>
          <w:tcPr>
            <w:tcW w:w="497" w:type="pct"/>
            <w:tcBorders>
              <w:top w:val="nil"/>
              <w:left w:val="nil"/>
              <w:bottom w:val="nil"/>
              <w:right w:val="nil"/>
            </w:tcBorders>
            <w:shd w:val="clear" w:color="000000" w:fill="FFFFFF"/>
            <w:noWrap/>
            <w:vAlign w:val="center"/>
            <w:hideMark/>
          </w:tcPr>
          <w:p w14:paraId="743FDC22" w14:textId="77777777" w:rsidR="00295832" w:rsidRPr="00295832" w:rsidRDefault="00295832" w:rsidP="00295832">
            <w:pPr>
              <w:spacing w:before="0" w:after="0" w:line="240" w:lineRule="auto"/>
              <w:rPr>
                <w:rFonts w:ascii="Arial" w:hAnsi="Arial" w:cs="Arial"/>
                <w:color w:val="000000"/>
                <w:sz w:val="16"/>
                <w:szCs w:val="16"/>
              </w:rPr>
            </w:pPr>
            <w:r w:rsidRPr="00295832">
              <w:rPr>
                <w:rFonts w:ascii="Arial" w:hAnsi="Arial" w:cs="Arial"/>
                <w:color w:val="000000"/>
                <w:sz w:val="16"/>
                <w:szCs w:val="16"/>
              </w:rPr>
              <w:t> </w:t>
            </w:r>
          </w:p>
        </w:tc>
        <w:tc>
          <w:tcPr>
            <w:tcW w:w="497" w:type="pct"/>
            <w:tcBorders>
              <w:top w:val="nil"/>
              <w:left w:val="nil"/>
              <w:bottom w:val="nil"/>
              <w:right w:val="nil"/>
            </w:tcBorders>
            <w:shd w:val="clear" w:color="000000" w:fill="FFFFFF"/>
            <w:noWrap/>
            <w:vAlign w:val="center"/>
            <w:hideMark/>
          </w:tcPr>
          <w:p w14:paraId="50ECFA37" w14:textId="77777777" w:rsidR="00295832" w:rsidRPr="00295832" w:rsidRDefault="00295832" w:rsidP="00295832">
            <w:pPr>
              <w:spacing w:before="0" w:after="0" w:line="240" w:lineRule="auto"/>
              <w:rPr>
                <w:rFonts w:ascii="Arial" w:hAnsi="Arial" w:cs="Arial"/>
                <w:color w:val="000000"/>
                <w:sz w:val="16"/>
                <w:szCs w:val="16"/>
              </w:rPr>
            </w:pPr>
            <w:r w:rsidRPr="00295832">
              <w:rPr>
                <w:rFonts w:ascii="Arial" w:hAnsi="Arial" w:cs="Arial"/>
                <w:color w:val="000000"/>
                <w:sz w:val="16"/>
                <w:szCs w:val="16"/>
              </w:rPr>
              <w:t> </w:t>
            </w:r>
          </w:p>
        </w:tc>
        <w:tc>
          <w:tcPr>
            <w:tcW w:w="497" w:type="pct"/>
            <w:tcBorders>
              <w:top w:val="nil"/>
              <w:left w:val="nil"/>
              <w:bottom w:val="nil"/>
              <w:right w:val="nil"/>
            </w:tcBorders>
            <w:shd w:val="clear" w:color="000000" w:fill="FFFFFF"/>
            <w:noWrap/>
            <w:vAlign w:val="center"/>
            <w:hideMark/>
          </w:tcPr>
          <w:p w14:paraId="2E47DF2E" w14:textId="77777777" w:rsidR="00295832" w:rsidRPr="00295832" w:rsidRDefault="00295832" w:rsidP="00295832">
            <w:pPr>
              <w:spacing w:before="0" w:after="0" w:line="240" w:lineRule="auto"/>
              <w:rPr>
                <w:rFonts w:ascii="Arial" w:hAnsi="Arial" w:cs="Arial"/>
                <w:color w:val="000000"/>
                <w:sz w:val="16"/>
                <w:szCs w:val="16"/>
              </w:rPr>
            </w:pPr>
            <w:r w:rsidRPr="00295832">
              <w:rPr>
                <w:rFonts w:ascii="Arial" w:hAnsi="Arial" w:cs="Arial"/>
                <w:color w:val="000000"/>
                <w:sz w:val="16"/>
                <w:szCs w:val="16"/>
              </w:rPr>
              <w:t> </w:t>
            </w:r>
          </w:p>
        </w:tc>
      </w:tr>
      <w:tr w:rsidR="00295832" w:rsidRPr="00295832" w14:paraId="4F492919" w14:textId="77777777" w:rsidTr="00931C28">
        <w:trPr>
          <w:divId w:val="779882756"/>
          <w:trHeight w:hRule="exact" w:val="225"/>
        </w:trPr>
        <w:tc>
          <w:tcPr>
            <w:tcW w:w="1950" w:type="pct"/>
            <w:tcBorders>
              <w:top w:val="nil"/>
              <w:left w:val="nil"/>
              <w:bottom w:val="nil"/>
              <w:right w:val="nil"/>
            </w:tcBorders>
            <w:shd w:val="clear" w:color="000000" w:fill="FFFFFF"/>
            <w:noWrap/>
            <w:vAlign w:val="center"/>
            <w:hideMark/>
          </w:tcPr>
          <w:p w14:paraId="268A7049" w14:textId="77777777" w:rsidR="00295832" w:rsidRPr="00295832" w:rsidRDefault="00295832" w:rsidP="00931C28">
            <w:pPr>
              <w:spacing w:before="0" w:after="0" w:line="240" w:lineRule="auto"/>
              <w:ind w:left="170"/>
              <w:rPr>
                <w:rFonts w:ascii="Arial" w:hAnsi="Arial" w:cs="Arial"/>
                <w:color w:val="000000"/>
                <w:sz w:val="16"/>
                <w:szCs w:val="16"/>
              </w:rPr>
            </w:pPr>
            <w:r w:rsidRPr="00295832">
              <w:rPr>
                <w:rFonts w:ascii="Arial" w:hAnsi="Arial" w:cs="Arial"/>
                <w:color w:val="000000"/>
                <w:sz w:val="16"/>
                <w:szCs w:val="16"/>
              </w:rPr>
              <w:t>Assistance to the aged</w:t>
            </w:r>
          </w:p>
        </w:tc>
        <w:tc>
          <w:tcPr>
            <w:tcW w:w="506" w:type="pct"/>
            <w:tcBorders>
              <w:top w:val="nil"/>
              <w:left w:val="nil"/>
              <w:bottom w:val="nil"/>
              <w:right w:val="nil"/>
            </w:tcBorders>
            <w:shd w:val="clear" w:color="000000" w:fill="FFFFFF"/>
            <w:noWrap/>
            <w:vAlign w:val="center"/>
            <w:hideMark/>
          </w:tcPr>
          <w:p w14:paraId="28025FE9" w14:textId="77777777" w:rsidR="00295832" w:rsidRPr="00295832" w:rsidRDefault="00295832" w:rsidP="00295832">
            <w:pPr>
              <w:spacing w:before="0" w:after="0" w:line="240" w:lineRule="auto"/>
              <w:jc w:val="right"/>
              <w:rPr>
                <w:rFonts w:ascii="Arial" w:hAnsi="Arial" w:cs="Arial"/>
                <w:color w:val="000000"/>
                <w:sz w:val="16"/>
                <w:szCs w:val="16"/>
              </w:rPr>
            </w:pPr>
            <w:r w:rsidRPr="00295832">
              <w:rPr>
                <w:rFonts w:ascii="Arial" w:hAnsi="Arial" w:cs="Arial"/>
                <w:color w:val="000000"/>
                <w:sz w:val="16"/>
                <w:szCs w:val="16"/>
              </w:rPr>
              <w:t>82,946</w:t>
            </w:r>
          </w:p>
        </w:tc>
        <w:tc>
          <w:tcPr>
            <w:tcW w:w="56" w:type="pct"/>
            <w:tcBorders>
              <w:top w:val="nil"/>
              <w:left w:val="nil"/>
              <w:bottom w:val="nil"/>
              <w:right w:val="nil"/>
            </w:tcBorders>
            <w:shd w:val="clear" w:color="000000" w:fill="FFFFFF"/>
            <w:noWrap/>
            <w:vAlign w:val="center"/>
            <w:hideMark/>
          </w:tcPr>
          <w:p w14:paraId="7E263ABE" w14:textId="77777777" w:rsidR="00295832" w:rsidRPr="00295832" w:rsidRDefault="00295832" w:rsidP="00295832">
            <w:pPr>
              <w:spacing w:before="0" w:after="0" w:line="240" w:lineRule="auto"/>
              <w:rPr>
                <w:rFonts w:ascii="Arial" w:hAnsi="Arial" w:cs="Arial"/>
                <w:color w:val="000000"/>
                <w:sz w:val="16"/>
                <w:szCs w:val="16"/>
              </w:rPr>
            </w:pPr>
            <w:r w:rsidRPr="00295832">
              <w:rPr>
                <w:rFonts w:ascii="Arial" w:hAnsi="Arial" w:cs="Arial"/>
                <w:color w:val="000000"/>
                <w:sz w:val="16"/>
                <w:szCs w:val="16"/>
              </w:rPr>
              <w:t> </w:t>
            </w:r>
          </w:p>
        </w:tc>
        <w:tc>
          <w:tcPr>
            <w:tcW w:w="498" w:type="pct"/>
            <w:tcBorders>
              <w:top w:val="nil"/>
              <w:left w:val="nil"/>
              <w:bottom w:val="nil"/>
              <w:right w:val="nil"/>
            </w:tcBorders>
            <w:shd w:val="clear" w:color="000000" w:fill="FFFFFF"/>
            <w:noWrap/>
            <w:vAlign w:val="center"/>
            <w:hideMark/>
          </w:tcPr>
          <w:p w14:paraId="1BA887B5" w14:textId="77777777" w:rsidR="00295832" w:rsidRPr="00295832" w:rsidRDefault="00295832" w:rsidP="00295832">
            <w:pPr>
              <w:spacing w:before="0" w:after="0" w:line="240" w:lineRule="auto"/>
              <w:jc w:val="right"/>
              <w:rPr>
                <w:rFonts w:ascii="Arial" w:hAnsi="Arial" w:cs="Arial"/>
                <w:color w:val="000000"/>
                <w:sz w:val="16"/>
                <w:szCs w:val="16"/>
              </w:rPr>
            </w:pPr>
            <w:r w:rsidRPr="00295832">
              <w:rPr>
                <w:rFonts w:ascii="Arial" w:hAnsi="Arial" w:cs="Arial"/>
                <w:color w:val="000000"/>
                <w:sz w:val="16"/>
                <w:szCs w:val="16"/>
              </w:rPr>
              <w:t>95,306</w:t>
            </w:r>
          </w:p>
        </w:tc>
        <w:tc>
          <w:tcPr>
            <w:tcW w:w="497" w:type="pct"/>
            <w:tcBorders>
              <w:top w:val="nil"/>
              <w:left w:val="nil"/>
              <w:bottom w:val="nil"/>
              <w:right w:val="nil"/>
            </w:tcBorders>
            <w:shd w:val="clear" w:color="000000" w:fill="E6F2FF"/>
            <w:noWrap/>
            <w:vAlign w:val="center"/>
            <w:hideMark/>
          </w:tcPr>
          <w:p w14:paraId="2B6AE7D2" w14:textId="77777777" w:rsidR="00295832" w:rsidRPr="00295832" w:rsidRDefault="00295832" w:rsidP="00295832">
            <w:pPr>
              <w:spacing w:before="0" w:after="0" w:line="240" w:lineRule="auto"/>
              <w:jc w:val="right"/>
              <w:rPr>
                <w:rFonts w:ascii="Arial" w:hAnsi="Arial" w:cs="Arial"/>
                <w:color w:val="000000"/>
                <w:sz w:val="16"/>
                <w:szCs w:val="16"/>
              </w:rPr>
            </w:pPr>
            <w:r w:rsidRPr="00295832">
              <w:rPr>
                <w:rFonts w:ascii="Arial" w:hAnsi="Arial" w:cs="Arial"/>
                <w:color w:val="000000"/>
                <w:sz w:val="16"/>
                <w:szCs w:val="16"/>
              </w:rPr>
              <w:t>100,653</w:t>
            </w:r>
          </w:p>
        </w:tc>
        <w:tc>
          <w:tcPr>
            <w:tcW w:w="497" w:type="pct"/>
            <w:tcBorders>
              <w:top w:val="nil"/>
              <w:left w:val="nil"/>
              <w:bottom w:val="nil"/>
              <w:right w:val="nil"/>
            </w:tcBorders>
            <w:shd w:val="clear" w:color="000000" w:fill="FFFFFF"/>
            <w:noWrap/>
            <w:vAlign w:val="center"/>
            <w:hideMark/>
          </w:tcPr>
          <w:p w14:paraId="3F4C3E8D" w14:textId="77777777" w:rsidR="00295832" w:rsidRPr="00295832" w:rsidRDefault="00295832" w:rsidP="00295832">
            <w:pPr>
              <w:spacing w:before="0" w:after="0" w:line="240" w:lineRule="auto"/>
              <w:jc w:val="right"/>
              <w:rPr>
                <w:rFonts w:ascii="Arial" w:hAnsi="Arial" w:cs="Arial"/>
                <w:color w:val="000000"/>
                <w:sz w:val="16"/>
                <w:szCs w:val="16"/>
              </w:rPr>
            </w:pPr>
            <w:r w:rsidRPr="00295832">
              <w:rPr>
                <w:rFonts w:ascii="Arial" w:hAnsi="Arial" w:cs="Arial"/>
                <w:color w:val="000000"/>
                <w:sz w:val="16"/>
                <w:szCs w:val="16"/>
              </w:rPr>
              <w:t>104,825</w:t>
            </w:r>
          </w:p>
        </w:tc>
        <w:tc>
          <w:tcPr>
            <w:tcW w:w="497" w:type="pct"/>
            <w:tcBorders>
              <w:top w:val="nil"/>
              <w:left w:val="nil"/>
              <w:bottom w:val="nil"/>
              <w:right w:val="nil"/>
            </w:tcBorders>
            <w:shd w:val="clear" w:color="000000" w:fill="FFFFFF"/>
            <w:noWrap/>
            <w:vAlign w:val="center"/>
            <w:hideMark/>
          </w:tcPr>
          <w:p w14:paraId="6B088A33" w14:textId="77777777" w:rsidR="00295832" w:rsidRPr="00295832" w:rsidRDefault="00295832" w:rsidP="00295832">
            <w:pPr>
              <w:spacing w:before="0" w:after="0" w:line="240" w:lineRule="auto"/>
              <w:jc w:val="right"/>
              <w:rPr>
                <w:rFonts w:ascii="Arial" w:hAnsi="Arial" w:cs="Arial"/>
                <w:color w:val="000000"/>
                <w:sz w:val="16"/>
                <w:szCs w:val="16"/>
              </w:rPr>
            </w:pPr>
            <w:r w:rsidRPr="00295832">
              <w:rPr>
                <w:rFonts w:ascii="Arial" w:hAnsi="Arial" w:cs="Arial"/>
                <w:color w:val="000000"/>
                <w:sz w:val="16"/>
                <w:szCs w:val="16"/>
              </w:rPr>
              <w:t>109,575</w:t>
            </w:r>
          </w:p>
        </w:tc>
        <w:tc>
          <w:tcPr>
            <w:tcW w:w="497" w:type="pct"/>
            <w:tcBorders>
              <w:top w:val="nil"/>
              <w:left w:val="nil"/>
              <w:bottom w:val="nil"/>
              <w:right w:val="nil"/>
            </w:tcBorders>
            <w:shd w:val="clear" w:color="000000" w:fill="FFFFFF"/>
            <w:noWrap/>
            <w:vAlign w:val="center"/>
            <w:hideMark/>
          </w:tcPr>
          <w:p w14:paraId="41AAC4B5" w14:textId="77777777" w:rsidR="00295832" w:rsidRPr="00295832" w:rsidRDefault="00295832" w:rsidP="00295832">
            <w:pPr>
              <w:spacing w:before="0" w:after="0" w:line="240" w:lineRule="auto"/>
              <w:jc w:val="right"/>
              <w:rPr>
                <w:rFonts w:ascii="Arial" w:hAnsi="Arial" w:cs="Arial"/>
                <w:color w:val="000000"/>
                <w:sz w:val="16"/>
                <w:szCs w:val="16"/>
              </w:rPr>
            </w:pPr>
            <w:r w:rsidRPr="00295832">
              <w:rPr>
                <w:rFonts w:ascii="Arial" w:hAnsi="Arial" w:cs="Arial"/>
                <w:color w:val="000000"/>
                <w:sz w:val="16"/>
                <w:szCs w:val="16"/>
              </w:rPr>
              <w:t>115,972</w:t>
            </w:r>
          </w:p>
        </w:tc>
      </w:tr>
      <w:tr w:rsidR="00295832" w:rsidRPr="00295832" w14:paraId="79DD12F0" w14:textId="77777777" w:rsidTr="00931C28">
        <w:trPr>
          <w:divId w:val="779882756"/>
          <w:trHeight w:hRule="exact" w:val="225"/>
        </w:trPr>
        <w:tc>
          <w:tcPr>
            <w:tcW w:w="1950" w:type="pct"/>
            <w:tcBorders>
              <w:top w:val="nil"/>
              <w:left w:val="nil"/>
              <w:bottom w:val="nil"/>
              <w:right w:val="nil"/>
            </w:tcBorders>
            <w:shd w:val="clear" w:color="000000" w:fill="FFFFFF"/>
            <w:noWrap/>
            <w:vAlign w:val="center"/>
            <w:hideMark/>
          </w:tcPr>
          <w:p w14:paraId="44BA79A6" w14:textId="77777777" w:rsidR="00295832" w:rsidRPr="00295832" w:rsidRDefault="00295832" w:rsidP="00931C28">
            <w:pPr>
              <w:spacing w:before="0" w:after="0" w:line="240" w:lineRule="auto"/>
              <w:ind w:left="170"/>
              <w:rPr>
                <w:rFonts w:ascii="Arial" w:hAnsi="Arial" w:cs="Arial"/>
                <w:color w:val="000000"/>
                <w:sz w:val="16"/>
                <w:szCs w:val="16"/>
              </w:rPr>
            </w:pPr>
            <w:r w:rsidRPr="00295832">
              <w:rPr>
                <w:rFonts w:ascii="Arial" w:hAnsi="Arial" w:cs="Arial"/>
                <w:color w:val="000000"/>
                <w:sz w:val="16"/>
                <w:szCs w:val="16"/>
              </w:rPr>
              <w:t>Assistance to veterans and</w:t>
            </w:r>
          </w:p>
        </w:tc>
        <w:tc>
          <w:tcPr>
            <w:tcW w:w="506" w:type="pct"/>
            <w:tcBorders>
              <w:top w:val="nil"/>
              <w:left w:val="nil"/>
              <w:bottom w:val="nil"/>
              <w:right w:val="nil"/>
            </w:tcBorders>
            <w:shd w:val="clear" w:color="000000" w:fill="FFFFFF"/>
            <w:noWrap/>
            <w:vAlign w:val="center"/>
            <w:hideMark/>
          </w:tcPr>
          <w:p w14:paraId="40D9BFC7" w14:textId="77777777" w:rsidR="00295832" w:rsidRPr="00295832" w:rsidRDefault="00295832" w:rsidP="00295832">
            <w:pPr>
              <w:spacing w:before="0" w:after="0" w:line="240" w:lineRule="auto"/>
              <w:rPr>
                <w:rFonts w:ascii="Arial" w:hAnsi="Arial" w:cs="Arial"/>
                <w:color w:val="000000"/>
                <w:sz w:val="16"/>
                <w:szCs w:val="16"/>
              </w:rPr>
            </w:pPr>
            <w:r w:rsidRPr="00295832">
              <w:rPr>
                <w:rFonts w:ascii="Arial" w:hAnsi="Arial" w:cs="Arial"/>
                <w:color w:val="000000"/>
                <w:sz w:val="16"/>
                <w:szCs w:val="16"/>
              </w:rPr>
              <w:t> </w:t>
            </w:r>
          </w:p>
        </w:tc>
        <w:tc>
          <w:tcPr>
            <w:tcW w:w="56" w:type="pct"/>
            <w:tcBorders>
              <w:top w:val="nil"/>
              <w:left w:val="nil"/>
              <w:bottom w:val="nil"/>
              <w:right w:val="nil"/>
            </w:tcBorders>
            <w:shd w:val="clear" w:color="000000" w:fill="FFFFFF"/>
            <w:noWrap/>
            <w:vAlign w:val="center"/>
            <w:hideMark/>
          </w:tcPr>
          <w:p w14:paraId="7C9F1366" w14:textId="77777777" w:rsidR="00295832" w:rsidRPr="00295832" w:rsidRDefault="00295832" w:rsidP="00295832">
            <w:pPr>
              <w:spacing w:before="0" w:after="0" w:line="240" w:lineRule="auto"/>
              <w:rPr>
                <w:rFonts w:ascii="Arial" w:hAnsi="Arial" w:cs="Arial"/>
                <w:color w:val="000000"/>
                <w:sz w:val="16"/>
                <w:szCs w:val="16"/>
              </w:rPr>
            </w:pPr>
            <w:r w:rsidRPr="00295832">
              <w:rPr>
                <w:rFonts w:ascii="Arial" w:hAnsi="Arial" w:cs="Arial"/>
                <w:color w:val="000000"/>
                <w:sz w:val="16"/>
                <w:szCs w:val="16"/>
              </w:rPr>
              <w:t> </w:t>
            </w:r>
          </w:p>
        </w:tc>
        <w:tc>
          <w:tcPr>
            <w:tcW w:w="498" w:type="pct"/>
            <w:tcBorders>
              <w:top w:val="nil"/>
              <w:left w:val="nil"/>
              <w:bottom w:val="nil"/>
              <w:right w:val="nil"/>
            </w:tcBorders>
            <w:shd w:val="clear" w:color="000000" w:fill="FFFFFF"/>
            <w:noWrap/>
            <w:vAlign w:val="center"/>
            <w:hideMark/>
          </w:tcPr>
          <w:p w14:paraId="7DB835A6" w14:textId="77777777" w:rsidR="00295832" w:rsidRPr="00295832" w:rsidRDefault="00295832" w:rsidP="00295832">
            <w:pPr>
              <w:spacing w:before="0" w:after="0" w:line="240" w:lineRule="auto"/>
              <w:rPr>
                <w:rFonts w:ascii="Arial" w:hAnsi="Arial" w:cs="Arial"/>
                <w:color w:val="000000"/>
                <w:sz w:val="16"/>
                <w:szCs w:val="16"/>
              </w:rPr>
            </w:pPr>
            <w:r w:rsidRPr="00295832">
              <w:rPr>
                <w:rFonts w:ascii="Arial" w:hAnsi="Arial" w:cs="Arial"/>
                <w:color w:val="000000"/>
                <w:sz w:val="16"/>
                <w:szCs w:val="16"/>
              </w:rPr>
              <w:t> </w:t>
            </w:r>
          </w:p>
        </w:tc>
        <w:tc>
          <w:tcPr>
            <w:tcW w:w="497" w:type="pct"/>
            <w:tcBorders>
              <w:top w:val="nil"/>
              <w:left w:val="nil"/>
              <w:bottom w:val="nil"/>
              <w:right w:val="nil"/>
            </w:tcBorders>
            <w:shd w:val="clear" w:color="000000" w:fill="E6F2FF"/>
            <w:noWrap/>
            <w:vAlign w:val="center"/>
            <w:hideMark/>
          </w:tcPr>
          <w:p w14:paraId="1EEF1C6A" w14:textId="77777777" w:rsidR="00295832" w:rsidRPr="00295832" w:rsidRDefault="00295832" w:rsidP="00295832">
            <w:pPr>
              <w:spacing w:before="0" w:after="0" w:line="240" w:lineRule="auto"/>
              <w:rPr>
                <w:rFonts w:ascii="Arial" w:hAnsi="Arial" w:cs="Arial"/>
                <w:color w:val="000000"/>
                <w:sz w:val="16"/>
                <w:szCs w:val="16"/>
              </w:rPr>
            </w:pPr>
            <w:r w:rsidRPr="00295832">
              <w:rPr>
                <w:rFonts w:ascii="Arial" w:hAnsi="Arial" w:cs="Arial"/>
                <w:color w:val="000000"/>
                <w:sz w:val="16"/>
                <w:szCs w:val="16"/>
              </w:rPr>
              <w:t> </w:t>
            </w:r>
          </w:p>
        </w:tc>
        <w:tc>
          <w:tcPr>
            <w:tcW w:w="497" w:type="pct"/>
            <w:tcBorders>
              <w:top w:val="nil"/>
              <w:left w:val="nil"/>
              <w:bottom w:val="nil"/>
              <w:right w:val="nil"/>
            </w:tcBorders>
            <w:shd w:val="clear" w:color="000000" w:fill="FFFFFF"/>
            <w:noWrap/>
            <w:vAlign w:val="center"/>
            <w:hideMark/>
          </w:tcPr>
          <w:p w14:paraId="5621D2C4" w14:textId="77777777" w:rsidR="00295832" w:rsidRPr="00295832" w:rsidRDefault="00295832" w:rsidP="00295832">
            <w:pPr>
              <w:spacing w:before="0" w:after="0" w:line="240" w:lineRule="auto"/>
              <w:rPr>
                <w:rFonts w:ascii="Arial" w:hAnsi="Arial" w:cs="Arial"/>
                <w:color w:val="000000"/>
                <w:sz w:val="16"/>
                <w:szCs w:val="16"/>
              </w:rPr>
            </w:pPr>
            <w:r w:rsidRPr="00295832">
              <w:rPr>
                <w:rFonts w:ascii="Arial" w:hAnsi="Arial" w:cs="Arial"/>
                <w:color w:val="000000"/>
                <w:sz w:val="16"/>
                <w:szCs w:val="16"/>
              </w:rPr>
              <w:t> </w:t>
            </w:r>
          </w:p>
        </w:tc>
        <w:tc>
          <w:tcPr>
            <w:tcW w:w="497" w:type="pct"/>
            <w:tcBorders>
              <w:top w:val="nil"/>
              <w:left w:val="nil"/>
              <w:bottom w:val="nil"/>
              <w:right w:val="nil"/>
            </w:tcBorders>
            <w:shd w:val="clear" w:color="000000" w:fill="FFFFFF"/>
            <w:noWrap/>
            <w:vAlign w:val="center"/>
            <w:hideMark/>
          </w:tcPr>
          <w:p w14:paraId="6A9F953F" w14:textId="77777777" w:rsidR="00295832" w:rsidRPr="00295832" w:rsidRDefault="00295832" w:rsidP="00295832">
            <w:pPr>
              <w:spacing w:before="0" w:after="0" w:line="240" w:lineRule="auto"/>
              <w:rPr>
                <w:rFonts w:ascii="Arial" w:hAnsi="Arial" w:cs="Arial"/>
                <w:color w:val="000000"/>
                <w:sz w:val="16"/>
                <w:szCs w:val="16"/>
              </w:rPr>
            </w:pPr>
            <w:r w:rsidRPr="00295832">
              <w:rPr>
                <w:rFonts w:ascii="Arial" w:hAnsi="Arial" w:cs="Arial"/>
                <w:color w:val="000000"/>
                <w:sz w:val="16"/>
                <w:szCs w:val="16"/>
              </w:rPr>
              <w:t> </w:t>
            </w:r>
          </w:p>
        </w:tc>
        <w:tc>
          <w:tcPr>
            <w:tcW w:w="497" w:type="pct"/>
            <w:tcBorders>
              <w:top w:val="nil"/>
              <w:left w:val="nil"/>
              <w:bottom w:val="nil"/>
              <w:right w:val="nil"/>
            </w:tcBorders>
            <w:shd w:val="clear" w:color="000000" w:fill="FFFFFF"/>
            <w:noWrap/>
            <w:vAlign w:val="center"/>
            <w:hideMark/>
          </w:tcPr>
          <w:p w14:paraId="072D8F3F" w14:textId="77777777" w:rsidR="00295832" w:rsidRPr="00295832" w:rsidRDefault="00295832" w:rsidP="00295832">
            <w:pPr>
              <w:spacing w:before="0" w:after="0" w:line="240" w:lineRule="auto"/>
              <w:rPr>
                <w:rFonts w:ascii="Arial" w:hAnsi="Arial" w:cs="Arial"/>
                <w:color w:val="000000"/>
                <w:sz w:val="16"/>
                <w:szCs w:val="16"/>
              </w:rPr>
            </w:pPr>
            <w:r w:rsidRPr="00295832">
              <w:rPr>
                <w:rFonts w:ascii="Arial" w:hAnsi="Arial" w:cs="Arial"/>
                <w:color w:val="000000"/>
                <w:sz w:val="16"/>
                <w:szCs w:val="16"/>
              </w:rPr>
              <w:t> </w:t>
            </w:r>
          </w:p>
        </w:tc>
      </w:tr>
      <w:tr w:rsidR="00295832" w:rsidRPr="00295832" w14:paraId="381881F6" w14:textId="77777777" w:rsidTr="00931C28">
        <w:trPr>
          <w:divId w:val="779882756"/>
          <w:trHeight w:hRule="exact" w:val="225"/>
        </w:trPr>
        <w:tc>
          <w:tcPr>
            <w:tcW w:w="1950" w:type="pct"/>
            <w:tcBorders>
              <w:top w:val="nil"/>
              <w:left w:val="nil"/>
              <w:bottom w:val="nil"/>
              <w:right w:val="nil"/>
            </w:tcBorders>
            <w:shd w:val="clear" w:color="000000" w:fill="FFFFFF"/>
            <w:noWrap/>
            <w:vAlign w:val="center"/>
            <w:hideMark/>
          </w:tcPr>
          <w:p w14:paraId="312C8417" w14:textId="77777777" w:rsidR="00295832" w:rsidRPr="00295832" w:rsidRDefault="00295832" w:rsidP="00931C28">
            <w:pPr>
              <w:spacing w:before="0" w:after="0" w:line="240" w:lineRule="auto"/>
              <w:ind w:left="340"/>
              <w:rPr>
                <w:rFonts w:ascii="Arial" w:hAnsi="Arial" w:cs="Arial"/>
                <w:color w:val="000000"/>
                <w:sz w:val="16"/>
                <w:szCs w:val="16"/>
              </w:rPr>
            </w:pPr>
            <w:r w:rsidRPr="00295832">
              <w:rPr>
                <w:rFonts w:ascii="Arial" w:hAnsi="Arial" w:cs="Arial"/>
                <w:color w:val="000000"/>
                <w:sz w:val="16"/>
                <w:szCs w:val="16"/>
              </w:rPr>
              <w:t>dependants</w:t>
            </w:r>
          </w:p>
        </w:tc>
        <w:tc>
          <w:tcPr>
            <w:tcW w:w="506" w:type="pct"/>
            <w:tcBorders>
              <w:top w:val="nil"/>
              <w:left w:val="nil"/>
              <w:bottom w:val="nil"/>
              <w:right w:val="nil"/>
            </w:tcBorders>
            <w:shd w:val="clear" w:color="000000" w:fill="FFFFFF"/>
            <w:noWrap/>
            <w:vAlign w:val="center"/>
            <w:hideMark/>
          </w:tcPr>
          <w:p w14:paraId="13D4266C" w14:textId="77777777" w:rsidR="00295832" w:rsidRPr="00295832" w:rsidRDefault="00295832" w:rsidP="00295832">
            <w:pPr>
              <w:spacing w:before="0" w:after="0" w:line="240" w:lineRule="auto"/>
              <w:jc w:val="right"/>
              <w:rPr>
                <w:rFonts w:ascii="Arial" w:hAnsi="Arial" w:cs="Arial"/>
                <w:color w:val="000000"/>
                <w:sz w:val="16"/>
                <w:szCs w:val="16"/>
              </w:rPr>
            </w:pPr>
            <w:r w:rsidRPr="00295832">
              <w:rPr>
                <w:rFonts w:ascii="Arial" w:hAnsi="Arial" w:cs="Arial"/>
                <w:color w:val="000000"/>
                <w:sz w:val="16"/>
                <w:szCs w:val="16"/>
              </w:rPr>
              <w:t>8,105</w:t>
            </w:r>
          </w:p>
        </w:tc>
        <w:tc>
          <w:tcPr>
            <w:tcW w:w="56" w:type="pct"/>
            <w:tcBorders>
              <w:top w:val="nil"/>
              <w:left w:val="nil"/>
              <w:bottom w:val="nil"/>
              <w:right w:val="nil"/>
            </w:tcBorders>
            <w:shd w:val="clear" w:color="000000" w:fill="FFFFFF"/>
            <w:noWrap/>
            <w:vAlign w:val="center"/>
            <w:hideMark/>
          </w:tcPr>
          <w:p w14:paraId="4CD2BC53" w14:textId="77777777" w:rsidR="00295832" w:rsidRPr="00295832" w:rsidRDefault="00295832" w:rsidP="00295832">
            <w:pPr>
              <w:spacing w:before="0" w:after="0" w:line="240" w:lineRule="auto"/>
              <w:rPr>
                <w:rFonts w:ascii="Arial" w:hAnsi="Arial" w:cs="Arial"/>
                <w:color w:val="000000"/>
                <w:sz w:val="16"/>
                <w:szCs w:val="16"/>
              </w:rPr>
            </w:pPr>
            <w:r w:rsidRPr="00295832">
              <w:rPr>
                <w:rFonts w:ascii="Arial" w:hAnsi="Arial" w:cs="Arial"/>
                <w:color w:val="000000"/>
                <w:sz w:val="16"/>
                <w:szCs w:val="16"/>
              </w:rPr>
              <w:t> </w:t>
            </w:r>
          </w:p>
        </w:tc>
        <w:tc>
          <w:tcPr>
            <w:tcW w:w="498" w:type="pct"/>
            <w:tcBorders>
              <w:top w:val="nil"/>
              <w:left w:val="nil"/>
              <w:bottom w:val="nil"/>
              <w:right w:val="nil"/>
            </w:tcBorders>
            <w:shd w:val="clear" w:color="000000" w:fill="FFFFFF"/>
            <w:noWrap/>
            <w:vAlign w:val="center"/>
            <w:hideMark/>
          </w:tcPr>
          <w:p w14:paraId="4B8F93BE" w14:textId="77777777" w:rsidR="00295832" w:rsidRPr="00295832" w:rsidRDefault="00295832" w:rsidP="00295832">
            <w:pPr>
              <w:spacing w:before="0" w:after="0" w:line="240" w:lineRule="auto"/>
              <w:jc w:val="right"/>
              <w:rPr>
                <w:rFonts w:ascii="Arial" w:hAnsi="Arial" w:cs="Arial"/>
                <w:color w:val="000000"/>
                <w:sz w:val="16"/>
                <w:szCs w:val="16"/>
              </w:rPr>
            </w:pPr>
            <w:r w:rsidRPr="00295832">
              <w:rPr>
                <w:rFonts w:ascii="Arial" w:hAnsi="Arial" w:cs="Arial"/>
                <w:color w:val="000000"/>
                <w:sz w:val="16"/>
                <w:szCs w:val="16"/>
              </w:rPr>
              <w:t>7,666</w:t>
            </w:r>
          </w:p>
        </w:tc>
        <w:tc>
          <w:tcPr>
            <w:tcW w:w="497" w:type="pct"/>
            <w:tcBorders>
              <w:top w:val="nil"/>
              <w:left w:val="nil"/>
              <w:bottom w:val="nil"/>
              <w:right w:val="nil"/>
            </w:tcBorders>
            <w:shd w:val="clear" w:color="000000" w:fill="E6F2FF"/>
            <w:noWrap/>
            <w:vAlign w:val="center"/>
            <w:hideMark/>
          </w:tcPr>
          <w:p w14:paraId="5E23C6D3" w14:textId="77777777" w:rsidR="00295832" w:rsidRPr="00295832" w:rsidRDefault="00295832" w:rsidP="00295832">
            <w:pPr>
              <w:spacing w:before="0" w:after="0" w:line="240" w:lineRule="auto"/>
              <w:jc w:val="right"/>
              <w:rPr>
                <w:rFonts w:ascii="Arial" w:hAnsi="Arial" w:cs="Arial"/>
                <w:color w:val="000000"/>
                <w:sz w:val="16"/>
                <w:szCs w:val="16"/>
              </w:rPr>
            </w:pPr>
            <w:r w:rsidRPr="00295832">
              <w:rPr>
                <w:rFonts w:ascii="Arial" w:hAnsi="Arial" w:cs="Arial"/>
                <w:color w:val="000000"/>
                <w:sz w:val="16"/>
                <w:szCs w:val="16"/>
              </w:rPr>
              <w:t>7,982</w:t>
            </w:r>
          </w:p>
        </w:tc>
        <w:tc>
          <w:tcPr>
            <w:tcW w:w="497" w:type="pct"/>
            <w:tcBorders>
              <w:top w:val="nil"/>
              <w:left w:val="nil"/>
              <w:bottom w:val="nil"/>
              <w:right w:val="nil"/>
            </w:tcBorders>
            <w:shd w:val="clear" w:color="000000" w:fill="FFFFFF"/>
            <w:noWrap/>
            <w:vAlign w:val="center"/>
            <w:hideMark/>
          </w:tcPr>
          <w:p w14:paraId="1D8F6E96" w14:textId="77777777" w:rsidR="00295832" w:rsidRPr="00295832" w:rsidRDefault="00295832" w:rsidP="00295832">
            <w:pPr>
              <w:spacing w:before="0" w:after="0" w:line="240" w:lineRule="auto"/>
              <w:jc w:val="right"/>
              <w:rPr>
                <w:rFonts w:ascii="Arial" w:hAnsi="Arial" w:cs="Arial"/>
                <w:color w:val="000000"/>
                <w:sz w:val="16"/>
                <w:szCs w:val="16"/>
              </w:rPr>
            </w:pPr>
            <w:r w:rsidRPr="00295832">
              <w:rPr>
                <w:rFonts w:ascii="Arial" w:hAnsi="Arial" w:cs="Arial"/>
                <w:color w:val="000000"/>
                <w:sz w:val="16"/>
                <w:szCs w:val="16"/>
              </w:rPr>
              <w:t>12,291</w:t>
            </w:r>
          </w:p>
        </w:tc>
        <w:tc>
          <w:tcPr>
            <w:tcW w:w="497" w:type="pct"/>
            <w:tcBorders>
              <w:top w:val="nil"/>
              <w:left w:val="nil"/>
              <w:bottom w:val="nil"/>
              <w:right w:val="nil"/>
            </w:tcBorders>
            <w:shd w:val="clear" w:color="000000" w:fill="FFFFFF"/>
            <w:noWrap/>
            <w:vAlign w:val="center"/>
            <w:hideMark/>
          </w:tcPr>
          <w:p w14:paraId="2292337B" w14:textId="77777777" w:rsidR="00295832" w:rsidRPr="00295832" w:rsidRDefault="00295832" w:rsidP="00295832">
            <w:pPr>
              <w:spacing w:before="0" w:after="0" w:line="240" w:lineRule="auto"/>
              <w:jc w:val="right"/>
              <w:rPr>
                <w:rFonts w:ascii="Arial" w:hAnsi="Arial" w:cs="Arial"/>
                <w:color w:val="000000"/>
                <w:sz w:val="16"/>
                <w:szCs w:val="16"/>
              </w:rPr>
            </w:pPr>
            <w:r w:rsidRPr="00295832">
              <w:rPr>
                <w:rFonts w:ascii="Arial" w:hAnsi="Arial" w:cs="Arial"/>
                <w:color w:val="000000"/>
                <w:sz w:val="16"/>
                <w:szCs w:val="16"/>
              </w:rPr>
              <w:t>9,565</w:t>
            </w:r>
          </w:p>
        </w:tc>
        <w:tc>
          <w:tcPr>
            <w:tcW w:w="497" w:type="pct"/>
            <w:tcBorders>
              <w:top w:val="nil"/>
              <w:left w:val="nil"/>
              <w:bottom w:val="nil"/>
              <w:right w:val="nil"/>
            </w:tcBorders>
            <w:shd w:val="clear" w:color="000000" w:fill="FFFFFF"/>
            <w:noWrap/>
            <w:vAlign w:val="center"/>
            <w:hideMark/>
          </w:tcPr>
          <w:p w14:paraId="5DCDB7FE" w14:textId="77777777" w:rsidR="00295832" w:rsidRPr="00295832" w:rsidRDefault="00295832" w:rsidP="00295832">
            <w:pPr>
              <w:spacing w:before="0" w:after="0" w:line="240" w:lineRule="auto"/>
              <w:jc w:val="right"/>
              <w:rPr>
                <w:rFonts w:ascii="Arial" w:hAnsi="Arial" w:cs="Arial"/>
                <w:color w:val="000000"/>
                <w:sz w:val="16"/>
                <w:szCs w:val="16"/>
              </w:rPr>
            </w:pPr>
            <w:r w:rsidRPr="00295832">
              <w:rPr>
                <w:rFonts w:ascii="Arial" w:hAnsi="Arial" w:cs="Arial"/>
                <w:color w:val="000000"/>
                <w:sz w:val="16"/>
                <w:szCs w:val="16"/>
              </w:rPr>
              <w:t>9,576</w:t>
            </w:r>
          </w:p>
        </w:tc>
      </w:tr>
      <w:tr w:rsidR="00295832" w:rsidRPr="00295832" w14:paraId="1E9E6EDF" w14:textId="77777777" w:rsidTr="00931C28">
        <w:trPr>
          <w:divId w:val="779882756"/>
          <w:trHeight w:hRule="exact" w:val="225"/>
        </w:trPr>
        <w:tc>
          <w:tcPr>
            <w:tcW w:w="1950" w:type="pct"/>
            <w:tcBorders>
              <w:top w:val="nil"/>
              <w:left w:val="nil"/>
              <w:bottom w:val="nil"/>
              <w:right w:val="nil"/>
            </w:tcBorders>
            <w:shd w:val="clear" w:color="000000" w:fill="FFFFFF"/>
            <w:noWrap/>
            <w:vAlign w:val="center"/>
            <w:hideMark/>
          </w:tcPr>
          <w:p w14:paraId="1F3E896B" w14:textId="77777777" w:rsidR="00295832" w:rsidRPr="00295832" w:rsidRDefault="00295832" w:rsidP="00931C28">
            <w:pPr>
              <w:spacing w:before="0" w:after="0" w:line="240" w:lineRule="auto"/>
              <w:ind w:left="170"/>
              <w:rPr>
                <w:rFonts w:ascii="Arial" w:hAnsi="Arial" w:cs="Arial"/>
                <w:color w:val="000000"/>
                <w:sz w:val="16"/>
                <w:szCs w:val="16"/>
              </w:rPr>
            </w:pPr>
            <w:r w:rsidRPr="00295832">
              <w:rPr>
                <w:rFonts w:ascii="Arial" w:hAnsi="Arial" w:cs="Arial"/>
                <w:color w:val="000000"/>
                <w:sz w:val="16"/>
                <w:szCs w:val="16"/>
              </w:rPr>
              <w:t>Assistance to people with</w:t>
            </w:r>
          </w:p>
        </w:tc>
        <w:tc>
          <w:tcPr>
            <w:tcW w:w="506" w:type="pct"/>
            <w:tcBorders>
              <w:top w:val="nil"/>
              <w:left w:val="nil"/>
              <w:bottom w:val="nil"/>
              <w:right w:val="nil"/>
            </w:tcBorders>
            <w:shd w:val="clear" w:color="000000" w:fill="FFFFFF"/>
            <w:noWrap/>
            <w:vAlign w:val="center"/>
            <w:hideMark/>
          </w:tcPr>
          <w:p w14:paraId="3D2A998D" w14:textId="77777777" w:rsidR="00295832" w:rsidRPr="00295832" w:rsidRDefault="00295832" w:rsidP="00295832">
            <w:pPr>
              <w:spacing w:before="0" w:after="0" w:line="240" w:lineRule="auto"/>
              <w:rPr>
                <w:rFonts w:ascii="Arial" w:hAnsi="Arial" w:cs="Arial"/>
                <w:color w:val="000000"/>
                <w:sz w:val="16"/>
                <w:szCs w:val="16"/>
              </w:rPr>
            </w:pPr>
            <w:r w:rsidRPr="00295832">
              <w:rPr>
                <w:rFonts w:ascii="Arial" w:hAnsi="Arial" w:cs="Arial"/>
                <w:color w:val="000000"/>
                <w:sz w:val="16"/>
                <w:szCs w:val="16"/>
              </w:rPr>
              <w:t> </w:t>
            </w:r>
          </w:p>
        </w:tc>
        <w:tc>
          <w:tcPr>
            <w:tcW w:w="56" w:type="pct"/>
            <w:tcBorders>
              <w:top w:val="nil"/>
              <w:left w:val="nil"/>
              <w:bottom w:val="nil"/>
              <w:right w:val="nil"/>
            </w:tcBorders>
            <w:shd w:val="clear" w:color="000000" w:fill="FFFFFF"/>
            <w:noWrap/>
            <w:vAlign w:val="center"/>
            <w:hideMark/>
          </w:tcPr>
          <w:p w14:paraId="26517B3C" w14:textId="77777777" w:rsidR="00295832" w:rsidRPr="00295832" w:rsidRDefault="00295832" w:rsidP="00295832">
            <w:pPr>
              <w:spacing w:before="0" w:after="0" w:line="240" w:lineRule="auto"/>
              <w:rPr>
                <w:rFonts w:ascii="Arial" w:hAnsi="Arial" w:cs="Arial"/>
                <w:color w:val="000000"/>
                <w:sz w:val="16"/>
                <w:szCs w:val="16"/>
              </w:rPr>
            </w:pPr>
            <w:r w:rsidRPr="00295832">
              <w:rPr>
                <w:rFonts w:ascii="Arial" w:hAnsi="Arial" w:cs="Arial"/>
                <w:color w:val="000000"/>
                <w:sz w:val="16"/>
                <w:szCs w:val="16"/>
              </w:rPr>
              <w:t> </w:t>
            </w:r>
          </w:p>
        </w:tc>
        <w:tc>
          <w:tcPr>
            <w:tcW w:w="498" w:type="pct"/>
            <w:tcBorders>
              <w:top w:val="nil"/>
              <w:left w:val="nil"/>
              <w:bottom w:val="nil"/>
              <w:right w:val="nil"/>
            </w:tcBorders>
            <w:shd w:val="clear" w:color="000000" w:fill="FFFFFF"/>
            <w:noWrap/>
            <w:vAlign w:val="center"/>
            <w:hideMark/>
          </w:tcPr>
          <w:p w14:paraId="1EF16B70" w14:textId="77777777" w:rsidR="00295832" w:rsidRPr="00295832" w:rsidRDefault="00295832" w:rsidP="00295832">
            <w:pPr>
              <w:spacing w:before="0" w:after="0" w:line="240" w:lineRule="auto"/>
              <w:rPr>
                <w:rFonts w:ascii="Arial" w:hAnsi="Arial" w:cs="Arial"/>
                <w:color w:val="000000"/>
                <w:sz w:val="16"/>
                <w:szCs w:val="16"/>
              </w:rPr>
            </w:pPr>
            <w:r w:rsidRPr="00295832">
              <w:rPr>
                <w:rFonts w:ascii="Arial" w:hAnsi="Arial" w:cs="Arial"/>
                <w:color w:val="000000"/>
                <w:sz w:val="16"/>
                <w:szCs w:val="16"/>
              </w:rPr>
              <w:t> </w:t>
            </w:r>
          </w:p>
        </w:tc>
        <w:tc>
          <w:tcPr>
            <w:tcW w:w="497" w:type="pct"/>
            <w:tcBorders>
              <w:top w:val="nil"/>
              <w:left w:val="nil"/>
              <w:bottom w:val="nil"/>
              <w:right w:val="nil"/>
            </w:tcBorders>
            <w:shd w:val="clear" w:color="000000" w:fill="E6F2FF"/>
            <w:noWrap/>
            <w:vAlign w:val="center"/>
            <w:hideMark/>
          </w:tcPr>
          <w:p w14:paraId="2EB37BD5" w14:textId="77777777" w:rsidR="00295832" w:rsidRPr="00295832" w:rsidRDefault="00295832" w:rsidP="00295832">
            <w:pPr>
              <w:spacing w:before="0" w:after="0" w:line="240" w:lineRule="auto"/>
              <w:rPr>
                <w:rFonts w:ascii="Arial" w:hAnsi="Arial" w:cs="Arial"/>
                <w:color w:val="000000"/>
                <w:sz w:val="16"/>
                <w:szCs w:val="16"/>
              </w:rPr>
            </w:pPr>
            <w:r w:rsidRPr="00295832">
              <w:rPr>
                <w:rFonts w:ascii="Arial" w:hAnsi="Arial" w:cs="Arial"/>
                <w:color w:val="000000"/>
                <w:sz w:val="16"/>
                <w:szCs w:val="16"/>
              </w:rPr>
              <w:t> </w:t>
            </w:r>
          </w:p>
        </w:tc>
        <w:tc>
          <w:tcPr>
            <w:tcW w:w="497" w:type="pct"/>
            <w:tcBorders>
              <w:top w:val="nil"/>
              <w:left w:val="nil"/>
              <w:bottom w:val="nil"/>
              <w:right w:val="nil"/>
            </w:tcBorders>
            <w:shd w:val="clear" w:color="000000" w:fill="FFFFFF"/>
            <w:noWrap/>
            <w:vAlign w:val="center"/>
            <w:hideMark/>
          </w:tcPr>
          <w:p w14:paraId="36A2738B" w14:textId="77777777" w:rsidR="00295832" w:rsidRPr="00295832" w:rsidRDefault="00295832" w:rsidP="00295832">
            <w:pPr>
              <w:spacing w:before="0" w:after="0" w:line="240" w:lineRule="auto"/>
              <w:rPr>
                <w:rFonts w:ascii="Arial" w:hAnsi="Arial" w:cs="Arial"/>
                <w:color w:val="000000"/>
                <w:sz w:val="16"/>
                <w:szCs w:val="16"/>
              </w:rPr>
            </w:pPr>
            <w:r w:rsidRPr="00295832">
              <w:rPr>
                <w:rFonts w:ascii="Arial" w:hAnsi="Arial" w:cs="Arial"/>
                <w:color w:val="000000"/>
                <w:sz w:val="16"/>
                <w:szCs w:val="16"/>
              </w:rPr>
              <w:t> </w:t>
            </w:r>
          </w:p>
        </w:tc>
        <w:tc>
          <w:tcPr>
            <w:tcW w:w="497" w:type="pct"/>
            <w:tcBorders>
              <w:top w:val="nil"/>
              <w:left w:val="nil"/>
              <w:bottom w:val="nil"/>
              <w:right w:val="nil"/>
            </w:tcBorders>
            <w:shd w:val="clear" w:color="000000" w:fill="FFFFFF"/>
            <w:noWrap/>
            <w:vAlign w:val="center"/>
            <w:hideMark/>
          </w:tcPr>
          <w:p w14:paraId="11377B2F" w14:textId="77777777" w:rsidR="00295832" w:rsidRPr="00295832" w:rsidRDefault="00295832" w:rsidP="00295832">
            <w:pPr>
              <w:spacing w:before="0" w:after="0" w:line="240" w:lineRule="auto"/>
              <w:rPr>
                <w:rFonts w:ascii="Arial" w:hAnsi="Arial" w:cs="Arial"/>
                <w:color w:val="000000"/>
                <w:sz w:val="16"/>
                <w:szCs w:val="16"/>
              </w:rPr>
            </w:pPr>
            <w:r w:rsidRPr="00295832">
              <w:rPr>
                <w:rFonts w:ascii="Arial" w:hAnsi="Arial" w:cs="Arial"/>
                <w:color w:val="000000"/>
                <w:sz w:val="16"/>
                <w:szCs w:val="16"/>
              </w:rPr>
              <w:t> </w:t>
            </w:r>
          </w:p>
        </w:tc>
        <w:tc>
          <w:tcPr>
            <w:tcW w:w="497" w:type="pct"/>
            <w:tcBorders>
              <w:top w:val="nil"/>
              <w:left w:val="nil"/>
              <w:bottom w:val="nil"/>
              <w:right w:val="nil"/>
            </w:tcBorders>
            <w:shd w:val="clear" w:color="000000" w:fill="FFFFFF"/>
            <w:noWrap/>
            <w:vAlign w:val="center"/>
            <w:hideMark/>
          </w:tcPr>
          <w:p w14:paraId="187D6BD4" w14:textId="77777777" w:rsidR="00295832" w:rsidRPr="00295832" w:rsidRDefault="00295832" w:rsidP="00295832">
            <w:pPr>
              <w:spacing w:before="0" w:after="0" w:line="240" w:lineRule="auto"/>
              <w:rPr>
                <w:rFonts w:ascii="Arial" w:hAnsi="Arial" w:cs="Arial"/>
                <w:color w:val="000000"/>
                <w:sz w:val="16"/>
                <w:szCs w:val="16"/>
              </w:rPr>
            </w:pPr>
            <w:r w:rsidRPr="00295832">
              <w:rPr>
                <w:rFonts w:ascii="Arial" w:hAnsi="Arial" w:cs="Arial"/>
                <w:color w:val="000000"/>
                <w:sz w:val="16"/>
                <w:szCs w:val="16"/>
              </w:rPr>
              <w:t> </w:t>
            </w:r>
          </w:p>
        </w:tc>
      </w:tr>
      <w:tr w:rsidR="00295832" w:rsidRPr="00295832" w14:paraId="482D1187" w14:textId="77777777" w:rsidTr="00931C28">
        <w:trPr>
          <w:divId w:val="779882756"/>
          <w:trHeight w:hRule="exact" w:val="225"/>
        </w:trPr>
        <w:tc>
          <w:tcPr>
            <w:tcW w:w="1950" w:type="pct"/>
            <w:tcBorders>
              <w:top w:val="nil"/>
              <w:left w:val="nil"/>
              <w:bottom w:val="nil"/>
              <w:right w:val="nil"/>
            </w:tcBorders>
            <w:shd w:val="clear" w:color="000000" w:fill="FFFFFF"/>
            <w:noWrap/>
            <w:vAlign w:val="center"/>
            <w:hideMark/>
          </w:tcPr>
          <w:p w14:paraId="3F102619" w14:textId="77777777" w:rsidR="00295832" w:rsidRPr="00295832" w:rsidRDefault="00295832" w:rsidP="00931C28">
            <w:pPr>
              <w:spacing w:before="0" w:after="0" w:line="240" w:lineRule="auto"/>
              <w:ind w:left="340"/>
              <w:rPr>
                <w:rFonts w:ascii="Arial" w:hAnsi="Arial" w:cs="Arial"/>
                <w:color w:val="000000"/>
                <w:sz w:val="16"/>
                <w:szCs w:val="16"/>
              </w:rPr>
            </w:pPr>
            <w:r w:rsidRPr="00295832">
              <w:rPr>
                <w:rFonts w:ascii="Arial" w:hAnsi="Arial" w:cs="Arial"/>
                <w:color w:val="000000"/>
                <w:sz w:val="16"/>
                <w:szCs w:val="16"/>
              </w:rPr>
              <w:t>disabilities</w:t>
            </w:r>
          </w:p>
        </w:tc>
        <w:tc>
          <w:tcPr>
            <w:tcW w:w="506" w:type="pct"/>
            <w:tcBorders>
              <w:top w:val="nil"/>
              <w:left w:val="nil"/>
              <w:bottom w:val="nil"/>
              <w:right w:val="nil"/>
            </w:tcBorders>
            <w:shd w:val="clear" w:color="000000" w:fill="FFFFFF"/>
            <w:noWrap/>
            <w:vAlign w:val="center"/>
            <w:hideMark/>
          </w:tcPr>
          <w:p w14:paraId="699252B0" w14:textId="77777777" w:rsidR="00295832" w:rsidRPr="00295832" w:rsidRDefault="00295832" w:rsidP="00295832">
            <w:pPr>
              <w:spacing w:before="0" w:after="0" w:line="240" w:lineRule="auto"/>
              <w:jc w:val="right"/>
              <w:rPr>
                <w:rFonts w:ascii="Arial" w:hAnsi="Arial" w:cs="Arial"/>
                <w:color w:val="000000"/>
                <w:sz w:val="16"/>
                <w:szCs w:val="16"/>
              </w:rPr>
            </w:pPr>
            <w:r w:rsidRPr="00295832">
              <w:rPr>
                <w:rFonts w:ascii="Arial" w:hAnsi="Arial" w:cs="Arial"/>
                <w:color w:val="000000"/>
                <w:sz w:val="16"/>
                <w:szCs w:val="16"/>
              </w:rPr>
              <w:t>69,126</w:t>
            </w:r>
          </w:p>
        </w:tc>
        <w:tc>
          <w:tcPr>
            <w:tcW w:w="56" w:type="pct"/>
            <w:tcBorders>
              <w:top w:val="nil"/>
              <w:left w:val="nil"/>
              <w:bottom w:val="nil"/>
              <w:right w:val="nil"/>
            </w:tcBorders>
            <w:shd w:val="clear" w:color="000000" w:fill="FFFFFF"/>
            <w:noWrap/>
            <w:vAlign w:val="center"/>
            <w:hideMark/>
          </w:tcPr>
          <w:p w14:paraId="2D7B2053" w14:textId="77777777" w:rsidR="00295832" w:rsidRPr="00295832" w:rsidRDefault="00295832" w:rsidP="00295832">
            <w:pPr>
              <w:spacing w:before="0" w:after="0" w:line="240" w:lineRule="auto"/>
              <w:rPr>
                <w:rFonts w:ascii="Arial" w:hAnsi="Arial" w:cs="Arial"/>
                <w:color w:val="000000"/>
                <w:sz w:val="16"/>
                <w:szCs w:val="16"/>
              </w:rPr>
            </w:pPr>
            <w:r w:rsidRPr="00295832">
              <w:rPr>
                <w:rFonts w:ascii="Arial" w:hAnsi="Arial" w:cs="Arial"/>
                <w:color w:val="000000"/>
                <w:sz w:val="16"/>
                <w:szCs w:val="16"/>
              </w:rPr>
              <w:t> </w:t>
            </w:r>
          </w:p>
        </w:tc>
        <w:tc>
          <w:tcPr>
            <w:tcW w:w="498" w:type="pct"/>
            <w:tcBorders>
              <w:top w:val="nil"/>
              <w:left w:val="nil"/>
              <w:bottom w:val="nil"/>
              <w:right w:val="nil"/>
            </w:tcBorders>
            <w:shd w:val="clear" w:color="000000" w:fill="FFFFFF"/>
            <w:noWrap/>
            <w:vAlign w:val="center"/>
            <w:hideMark/>
          </w:tcPr>
          <w:p w14:paraId="6793E9B1" w14:textId="77777777" w:rsidR="00295832" w:rsidRPr="00295832" w:rsidRDefault="00295832" w:rsidP="00295832">
            <w:pPr>
              <w:spacing w:before="0" w:after="0" w:line="240" w:lineRule="auto"/>
              <w:jc w:val="right"/>
              <w:rPr>
                <w:rFonts w:ascii="Arial" w:hAnsi="Arial" w:cs="Arial"/>
                <w:color w:val="000000"/>
                <w:sz w:val="16"/>
                <w:szCs w:val="16"/>
              </w:rPr>
            </w:pPr>
            <w:r w:rsidRPr="00295832">
              <w:rPr>
                <w:rFonts w:ascii="Arial" w:hAnsi="Arial" w:cs="Arial"/>
                <w:color w:val="000000"/>
                <w:sz w:val="16"/>
                <w:szCs w:val="16"/>
              </w:rPr>
              <w:t>80,401</w:t>
            </w:r>
          </w:p>
        </w:tc>
        <w:tc>
          <w:tcPr>
            <w:tcW w:w="497" w:type="pct"/>
            <w:tcBorders>
              <w:top w:val="nil"/>
              <w:left w:val="nil"/>
              <w:bottom w:val="nil"/>
              <w:right w:val="nil"/>
            </w:tcBorders>
            <w:shd w:val="clear" w:color="000000" w:fill="E6F2FF"/>
            <w:noWrap/>
            <w:vAlign w:val="center"/>
            <w:hideMark/>
          </w:tcPr>
          <w:p w14:paraId="30790777" w14:textId="77777777" w:rsidR="00295832" w:rsidRPr="00295832" w:rsidRDefault="00295832" w:rsidP="00295832">
            <w:pPr>
              <w:spacing w:before="0" w:after="0" w:line="240" w:lineRule="auto"/>
              <w:jc w:val="right"/>
              <w:rPr>
                <w:rFonts w:ascii="Arial" w:hAnsi="Arial" w:cs="Arial"/>
                <w:color w:val="000000"/>
                <w:sz w:val="16"/>
                <w:szCs w:val="16"/>
              </w:rPr>
            </w:pPr>
            <w:r w:rsidRPr="00295832">
              <w:rPr>
                <w:rFonts w:ascii="Arial" w:hAnsi="Arial" w:cs="Arial"/>
                <w:color w:val="000000"/>
                <w:sz w:val="16"/>
                <w:szCs w:val="16"/>
              </w:rPr>
              <w:t>84,342</w:t>
            </w:r>
          </w:p>
        </w:tc>
        <w:tc>
          <w:tcPr>
            <w:tcW w:w="497" w:type="pct"/>
            <w:tcBorders>
              <w:top w:val="nil"/>
              <w:left w:val="nil"/>
              <w:bottom w:val="nil"/>
              <w:right w:val="nil"/>
            </w:tcBorders>
            <w:shd w:val="clear" w:color="000000" w:fill="FFFFFF"/>
            <w:noWrap/>
            <w:vAlign w:val="center"/>
            <w:hideMark/>
          </w:tcPr>
          <w:p w14:paraId="2E2023BE" w14:textId="77777777" w:rsidR="00295832" w:rsidRPr="00295832" w:rsidRDefault="00295832" w:rsidP="00295832">
            <w:pPr>
              <w:spacing w:before="0" w:after="0" w:line="240" w:lineRule="auto"/>
              <w:jc w:val="right"/>
              <w:rPr>
                <w:rFonts w:ascii="Arial" w:hAnsi="Arial" w:cs="Arial"/>
                <w:color w:val="000000"/>
                <w:sz w:val="16"/>
                <w:szCs w:val="16"/>
              </w:rPr>
            </w:pPr>
            <w:r w:rsidRPr="00295832">
              <w:rPr>
                <w:rFonts w:ascii="Arial" w:hAnsi="Arial" w:cs="Arial"/>
                <w:color w:val="000000"/>
                <w:sz w:val="16"/>
                <w:szCs w:val="16"/>
              </w:rPr>
              <w:t>89,140</w:t>
            </w:r>
          </w:p>
        </w:tc>
        <w:tc>
          <w:tcPr>
            <w:tcW w:w="497" w:type="pct"/>
            <w:tcBorders>
              <w:top w:val="nil"/>
              <w:left w:val="nil"/>
              <w:bottom w:val="nil"/>
              <w:right w:val="nil"/>
            </w:tcBorders>
            <w:shd w:val="clear" w:color="000000" w:fill="FFFFFF"/>
            <w:noWrap/>
            <w:vAlign w:val="center"/>
            <w:hideMark/>
          </w:tcPr>
          <w:p w14:paraId="2207FCC1" w14:textId="77777777" w:rsidR="00295832" w:rsidRPr="00295832" w:rsidRDefault="00295832" w:rsidP="00295832">
            <w:pPr>
              <w:spacing w:before="0" w:after="0" w:line="240" w:lineRule="auto"/>
              <w:jc w:val="right"/>
              <w:rPr>
                <w:rFonts w:ascii="Arial" w:hAnsi="Arial" w:cs="Arial"/>
                <w:color w:val="000000"/>
                <w:sz w:val="16"/>
                <w:szCs w:val="16"/>
              </w:rPr>
            </w:pPr>
            <w:r w:rsidRPr="00295832">
              <w:rPr>
                <w:rFonts w:ascii="Arial" w:hAnsi="Arial" w:cs="Arial"/>
                <w:color w:val="000000"/>
                <w:sz w:val="16"/>
                <w:szCs w:val="16"/>
              </w:rPr>
              <w:t>94,510</w:t>
            </w:r>
          </w:p>
        </w:tc>
        <w:tc>
          <w:tcPr>
            <w:tcW w:w="497" w:type="pct"/>
            <w:tcBorders>
              <w:top w:val="nil"/>
              <w:left w:val="nil"/>
              <w:bottom w:val="nil"/>
              <w:right w:val="nil"/>
            </w:tcBorders>
            <w:shd w:val="clear" w:color="000000" w:fill="FFFFFF"/>
            <w:noWrap/>
            <w:vAlign w:val="center"/>
            <w:hideMark/>
          </w:tcPr>
          <w:p w14:paraId="27782B97" w14:textId="77777777" w:rsidR="00295832" w:rsidRPr="00295832" w:rsidRDefault="00295832" w:rsidP="00295832">
            <w:pPr>
              <w:spacing w:before="0" w:after="0" w:line="240" w:lineRule="auto"/>
              <w:jc w:val="right"/>
              <w:rPr>
                <w:rFonts w:ascii="Arial" w:hAnsi="Arial" w:cs="Arial"/>
                <w:color w:val="000000"/>
                <w:sz w:val="16"/>
                <w:szCs w:val="16"/>
              </w:rPr>
            </w:pPr>
            <w:r w:rsidRPr="00295832">
              <w:rPr>
                <w:rFonts w:ascii="Arial" w:hAnsi="Arial" w:cs="Arial"/>
                <w:color w:val="000000"/>
                <w:sz w:val="16"/>
                <w:szCs w:val="16"/>
              </w:rPr>
              <w:t>100,547</w:t>
            </w:r>
          </w:p>
        </w:tc>
      </w:tr>
      <w:tr w:rsidR="00295832" w:rsidRPr="00295832" w14:paraId="395BC3AD" w14:textId="77777777" w:rsidTr="00931C28">
        <w:trPr>
          <w:divId w:val="779882756"/>
          <w:trHeight w:hRule="exact" w:val="225"/>
        </w:trPr>
        <w:tc>
          <w:tcPr>
            <w:tcW w:w="1950" w:type="pct"/>
            <w:tcBorders>
              <w:top w:val="nil"/>
              <w:left w:val="nil"/>
              <w:bottom w:val="nil"/>
              <w:right w:val="nil"/>
            </w:tcBorders>
            <w:shd w:val="clear" w:color="000000" w:fill="FFFFFF"/>
            <w:noWrap/>
            <w:vAlign w:val="center"/>
            <w:hideMark/>
          </w:tcPr>
          <w:p w14:paraId="04064170" w14:textId="77777777" w:rsidR="00295832" w:rsidRPr="00295832" w:rsidRDefault="00295832" w:rsidP="00931C28">
            <w:pPr>
              <w:spacing w:before="0" w:after="0" w:line="240" w:lineRule="auto"/>
              <w:ind w:left="170"/>
              <w:rPr>
                <w:rFonts w:ascii="Arial" w:hAnsi="Arial" w:cs="Arial"/>
                <w:color w:val="000000"/>
                <w:sz w:val="16"/>
                <w:szCs w:val="16"/>
              </w:rPr>
            </w:pPr>
            <w:r w:rsidRPr="00295832">
              <w:rPr>
                <w:rFonts w:ascii="Arial" w:hAnsi="Arial" w:cs="Arial"/>
                <w:color w:val="000000"/>
                <w:sz w:val="16"/>
                <w:szCs w:val="16"/>
              </w:rPr>
              <w:t xml:space="preserve">Assistance to families with </w:t>
            </w:r>
          </w:p>
        </w:tc>
        <w:tc>
          <w:tcPr>
            <w:tcW w:w="506" w:type="pct"/>
            <w:tcBorders>
              <w:top w:val="nil"/>
              <w:left w:val="nil"/>
              <w:bottom w:val="nil"/>
              <w:right w:val="nil"/>
            </w:tcBorders>
            <w:shd w:val="clear" w:color="000000" w:fill="FFFFFF"/>
            <w:noWrap/>
            <w:vAlign w:val="center"/>
            <w:hideMark/>
          </w:tcPr>
          <w:p w14:paraId="7F090D8C" w14:textId="77777777" w:rsidR="00295832" w:rsidRPr="00295832" w:rsidRDefault="00295832" w:rsidP="00295832">
            <w:pPr>
              <w:spacing w:before="0" w:after="0" w:line="240" w:lineRule="auto"/>
              <w:rPr>
                <w:rFonts w:ascii="Arial" w:hAnsi="Arial" w:cs="Arial"/>
                <w:color w:val="000000"/>
                <w:sz w:val="16"/>
                <w:szCs w:val="16"/>
              </w:rPr>
            </w:pPr>
            <w:r w:rsidRPr="00295832">
              <w:rPr>
                <w:rFonts w:ascii="Arial" w:hAnsi="Arial" w:cs="Arial"/>
                <w:color w:val="000000"/>
                <w:sz w:val="16"/>
                <w:szCs w:val="16"/>
              </w:rPr>
              <w:t> </w:t>
            </w:r>
          </w:p>
        </w:tc>
        <w:tc>
          <w:tcPr>
            <w:tcW w:w="56" w:type="pct"/>
            <w:tcBorders>
              <w:top w:val="nil"/>
              <w:left w:val="nil"/>
              <w:bottom w:val="nil"/>
              <w:right w:val="nil"/>
            </w:tcBorders>
            <w:shd w:val="clear" w:color="000000" w:fill="FFFFFF"/>
            <w:noWrap/>
            <w:vAlign w:val="center"/>
            <w:hideMark/>
          </w:tcPr>
          <w:p w14:paraId="1959A5FA" w14:textId="77777777" w:rsidR="00295832" w:rsidRPr="00295832" w:rsidRDefault="00295832" w:rsidP="00295832">
            <w:pPr>
              <w:spacing w:before="0" w:after="0" w:line="240" w:lineRule="auto"/>
              <w:rPr>
                <w:rFonts w:ascii="Arial" w:hAnsi="Arial" w:cs="Arial"/>
                <w:color w:val="000000"/>
                <w:sz w:val="16"/>
                <w:szCs w:val="16"/>
              </w:rPr>
            </w:pPr>
            <w:r w:rsidRPr="00295832">
              <w:rPr>
                <w:rFonts w:ascii="Arial" w:hAnsi="Arial" w:cs="Arial"/>
                <w:color w:val="000000"/>
                <w:sz w:val="16"/>
                <w:szCs w:val="16"/>
              </w:rPr>
              <w:t> </w:t>
            </w:r>
          </w:p>
        </w:tc>
        <w:tc>
          <w:tcPr>
            <w:tcW w:w="498" w:type="pct"/>
            <w:tcBorders>
              <w:top w:val="nil"/>
              <w:left w:val="nil"/>
              <w:bottom w:val="nil"/>
              <w:right w:val="nil"/>
            </w:tcBorders>
            <w:shd w:val="clear" w:color="000000" w:fill="FFFFFF"/>
            <w:noWrap/>
            <w:vAlign w:val="center"/>
            <w:hideMark/>
          </w:tcPr>
          <w:p w14:paraId="1F4133E0" w14:textId="77777777" w:rsidR="00295832" w:rsidRPr="00295832" w:rsidRDefault="00295832" w:rsidP="00295832">
            <w:pPr>
              <w:spacing w:before="0" w:after="0" w:line="240" w:lineRule="auto"/>
              <w:rPr>
                <w:rFonts w:ascii="Arial" w:hAnsi="Arial" w:cs="Arial"/>
                <w:color w:val="000000"/>
                <w:sz w:val="16"/>
                <w:szCs w:val="16"/>
              </w:rPr>
            </w:pPr>
            <w:r w:rsidRPr="00295832">
              <w:rPr>
                <w:rFonts w:ascii="Arial" w:hAnsi="Arial" w:cs="Arial"/>
                <w:color w:val="000000"/>
                <w:sz w:val="16"/>
                <w:szCs w:val="16"/>
              </w:rPr>
              <w:t> </w:t>
            </w:r>
          </w:p>
        </w:tc>
        <w:tc>
          <w:tcPr>
            <w:tcW w:w="497" w:type="pct"/>
            <w:tcBorders>
              <w:top w:val="nil"/>
              <w:left w:val="nil"/>
              <w:bottom w:val="nil"/>
              <w:right w:val="nil"/>
            </w:tcBorders>
            <w:shd w:val="clear" w:color="000000" w:fill="E6F2FF"/>
            <w:noWrap/>
            <w:vAlign w:val="center"/>
            <w:hideMark/>
          </w:tcPr>
          <w:p w14:paraId="236FD9DD" w14:textId="77777777" w:rsidR="00295832" w:rsidRPr="00295832" w:rsidRDefault="00295832" w:rsidP="00295832">
            <w:pPr>
              <w:spacing w:before="0" w:after="0" w:line="240" w:lineRule="auto"/>
              <w:rPr>
                <w:rFonts w:ascii="Arial" w:hAnsi="Arial" w:cs="Arial"/>
                <w:color w:val="000000"/>
                <w:sz w:val="16"/>
                <w:szCs w:val="16"/>
              </w:rPr>
            </w:pPr>
            <w:r w:rsidRPr="00295832">
              <w:rPr>
                <w:rFonts w:ascii="Arial" w:hAnsi="Arial" w:cs="Arial"/>
                <w:color w:val="000000"/>
                <w:sz w:val="16"/>
                <w:szCs w:val="16"/>
              </w:rPr>
              <w:t> </w:t>
            </w:r>
          </w:p>
        </w:tc>
        <w:tc>
          <w:tcPr>
            <w:tcW w:w="497" w:type="pct"/>
            <w:tcBorders>
              <w:top w:val="nil"/>
              <w:left w:val="nil"/>
              <w:bottom w:val="nil"/>
              <w:right w:val="nil"/>
            </w:tcBorders>
            <w:shd w:val="clear" w:color="000000" w:fill="FFFFFF"/>
            <w:noWrap/>
            <w:vAlign w:val="center"/>
            <w:hideMark/>
          </w:tcPr>
          <w:p w14:paraId="1505C3B0" w14:textId="77777777" w:rsidR="00295832" w:rsidRPr="00295832" w:rsidRDefault="00295832" w:rsidP="00295832">
            <w:pPr>
              <w:spacing w:before="0" w:after="0" w:line="240" w:lineRule="auto"/>
              <w:rPr>
                <w:rFonts w:ascii="Arial" w:hAnsi="Arial" w:cs="Arial"/>
                <w:color w:val="000000"/>
                <w:sz w:val="16"/>
                <w:szCs w:val="16"/>
              </w:rPr>
            </w:pPr>
            <w:r w:rsidRPr="00295832">
              <w:rPr>
                <w:rFonts w:ascii="Arial" w:hAnsi="Arial" w:cs="Arial"/>
                <w:color w:val="000000"/>
                <w:sz w:val="16"/>
                <w:szCs w:val="16"/>
              </w:rPr>
              <w:t> </w:t>
            </w:r>
          </w:p>
        </w:tc>
        <w:tc>
          <w:tcPr>
            <w:tcW w:w="497" w:type="pct"/>
            <w:tcBorders>
              <w:top w:val="nil"/>
              <w:left w:val="nil"/>
              <w:bottom w:val="nil"/>
              <w:right w:val="nil"/>
            </w:tcBorders>
            <w:shd w:val="clear" w:color="000000" w:fill="FFFFFF"/>
            <w:noWrap/>
            <w:vAlign w:val="center"/>
            <w:hideMark/>
          </w:tcPr>
          <w:p w14:paraId="1930E698" w14:textId="77777777" w:rsidR="00295832" w:rsidRPr="00295832" w:rsidRDefault="00295832" w:rsidP="00295832">
            <w:pPr>
              <w:spacing w:before="0" w:after="0" w:line="240" w:lineRule="auto"/>
              <w:rPr>
                <w:rFonts w:ascii="Arial" w:hAnsi="Arial" w:cs="Arial"/>
                <w:color w:val="000000"/>
                <w:sz w:val="16"/>
                <w:szCs w:val="16"/>
              </w:rPr>
            </w:pPr>
            <w:r w:rsidRPr="00295832">
              <w:rPr>
                <w:rFonts w:ascii="Arial" w:hAnsi="Arial" w:cs="Arial"/>
                <w:color w:val="000000"/>
                <w:sz w:val="16"/>
                <w:szCs w:val="16"/>
              </w:rPr>
              <w:t> </w:t>
            </w:r>
          </w:p>
        </w:tc>
        <w:tc>
          <w:tcPr>
            <w:tcW w:w="497" w:type="pct"/>
            <w:tcBorders>
              <w:top w:val="nil"/>
              <w:left w:val="nil"/>
              <w:bottom w:val="nil"/>
              <w:right w:val="nil"/>
            </w:tcBorders>
            <w:shd w:val="clear" w:color="000000" w:fill="FFFFFF"/>
            <w:noWrap/>
            <w:vAlign w:val="center"/>
            <w:hideMark/>
          </w:tcPr>
          <w:p w14:paraId="040B1CC7" w14:textId="77777777" w:rsidR="00295832" w:rsidRPr="00295832" w:rsidRDefault="00295832" w:rsidP="00295832">
            <w:pPr>
              <w:spacing w:before="0" w:after="0" w:line="240" w:lineRule="auto"/>
              <w:rPr>
                <w:rFonts w:ascii="Arial" w:hAnsi="Arial" w:cs="Arial"/>
                <w:color w:val="000000"/>
                <w:sz w:val="16"/>
                <w:szCs w:val="16"/>
              </w:rPr>
            </w:pPr>
            <w:r w:rsidRPr="00295832">
              <w:rPr>
                <w:rFonts w:ascii="Arial" w:hAnsi="Arial" w:cs="Arial"/>
                <w:color w:val="000000"/>
                <w:sz w:val="16"/>
                <w:szCs w:val="16"/>
              </w:rPr>
              <w:t> </w:t>
            </w:r>
          </w:p>
        </w:tc>
      </w:tr>
      <w:tr w:rsidR="00295832" w:rsidRPr="00295832" w14:paraId="3EE5F9A3" w14:textId="77777777" w:rsidTr="00931C28">
        <w:trPr>
          <w:divId w:val="779882756"/>
          <w:trHeight w:hRule="exact" w:val="225"/>
        </w:trPr>
        <w:tc>
          <w:tcPr>
            <w:tcW w:w="1950" w:type="pct"/>
            <w:tcBorders>
              <w:top w:val="nil"/>
              <w:left w:val="nil"/>
              <w:bottom w:val="nil"/>
              <w:right w:val="nil"/>
            </w:tcBorders>
            <w:shd w:val="clear" w:color="000000" w:fill="FFFFFF"/>
            <w:noWrap/>
            <w:vAlign w:val="center"/>
            <w:hideMark/>
          </w:tcPr>
          <w:p w14:paraId="106EA555" w14:textId="77777777" w:rsidR="00295832" w:rsidRPr="00295832" w:rsidRDefault="00295832" w:rsidP="00931C28">
            <w:pPr>
              <w:spacing w:before="0" w:after="0" w:line="240" w:lineRule="auto"/>
              <w:ind w:left="340"/>
              <w:rPr>
                <w:rFonts w:ascii="Arial" w:hAnsi="Arial" w:cs="Arial"/>
                <w:color w:val="000000"/>
                <w:sz w:val="16"/>
                <w:szCs w:val="16"/>
              </w:rPr>
            </w:pPr>
            <w:r w:rsidRPr="00295832">
              <w:rPr>
                <w:rFonts w:ascii="Arial" w:hAnsi="Arial" w:cs="Arial"/>
                <w:color w:val="000000"/>
                <w:sz w:val="16"/>
                <w:szCs w:val="16"/>
              </w:rPr>
              <w:t>children</w:t>
            </w:r>
          </w:p>
        </w:tc>
        <w:tc>
          <w:tcPr>
            <w:tcW w:w="506" w:type="pct"/>
            <w:tcBorders>
              <w:top w:val="nil"/>
              <w:left w:val="nil"/>
              <w:bottom w:val="nil"/>
              <w:right w:val="nil"/>
            </w:tcBorders>
            <w:shd w:val="clear" w:color="000000" w:fill="FFFFFF"/>
            <w:noWrap/>
            <w:vAlign w:val="center"/>
            <w:hideMark/>
          </w:tcPr>
          <w:p w14:paraId="7FC96D6A" w14:textId="77777777" w:rsidR="00295832" w:rsidRPr="00295832" w:rsidRDefault="00295832" w:rsidP="00295832">
            <w:pPr>
              <w:spacing w:before="0" w:after="0" w:line="240" w:lineRule="auto"/>
              <w:jc w:val="right"/>
              <w:rPr>
                <w:rFonts w:ascii="Arial" w:hAnsi="Arial" w:cs="Arial"/>
                <w:color w:val="000000"/>
                <w:sz w:val="16"/>
                <w:szCs w:val="16"/>
              </w:rPr>
            </w:pPr>
            <w:r w:rsidRPr="00295832">
              <w:rPr>
                <w:rFonts w:ascii="Arial" w:hAnsi="Arial" w:cs="Arial"/>
                <w:color w:val="000000"/>
                <w:sz w:val="16"/>
                <w:szCs w:val="16"/>
              </w:rPr>
              <w:t>38,399</w:t>
            </w:r>
          </w:p>
        </w:tc>
        <w:tc>
          <w:tcPr>
            <w:tcW w:w="56" w:type="pct"/>
            <w:tcBorders>
              <w:top w:val="nil"/>
              <w:left w:val="nil"/>
              <w:bottom w:val="nil"/>
              <w:right w:val="nil"/>
            </w:tcBorders>
            <w:shd w:val="clear" w:color="000000" w:fill="FFFFFF"/>
            <w:noWrap/>
            <w:vAlign w:val="center"/>
            <w:hideMark/>
          </w:tcPr>
          <w:p w14:paraId="6D777CE8" w14:textId="77777777" w:rsidR="00295832" w:rsidRPr="00295832" w:rsidRDefault="00295832" w:rsidP="00295832">
            <w:pPr>
              <w:spacing w:before="0" w:after="0" w:line="240" w:lineRule="auto"/>
              <w:rPr>
                <w:rFonts w:ascii="Arial" w:hAnsi="Arial" w:cs="Arial"/>
                <w:color w:val="000000"/>
                <w:sz w:val="16"/>
                <w:szCs w:val="16"/>
              </w:rPr>
            </w:pPr>
            <w:r w:rsidRPr="00295832">
              <w:rPr>
                <w:rFonts w:ascii="Arial" w:hAnsi="Arial" w:cs="Arial"/>
                <w:color w:val="000000"/>
                <w:sz w:val="16"/>
                <w:szCs w:val="16"/>
              </w:rPr>
              <w:t> </w:t>
            </w:r>
          </w:p>
        </w:tc>
        <w:tc>
          <w:tcPr>
            <w:tcW w:w="498" w:type="pct"/>
            <w:tcBorders>
              <w:top w:val="nil"/>
              <w:left w:val="nil"/>
              <w:bottom w:val="nil"/>
              <w:right w:val="nil"/>
            </w:tcBorders>
            <w:shd w:val="clear" w:color="000000" w:fill="FFFFFF"/>
            <w:noWrap/>
            <w:vAlign w:val="center"/>
            <w:hideMark/>
          </w:tcPr>
          <w:p w14:paraId="1BFFC4CC" w14:textId="77777777" w:rsidR="00295832" w:rsidRPr="00295832" w:rsidRDefault="00295832" w:rsidP="00295832">
            <w:pPr>
              <w:spacing w:before="0" w:after="0" w:line="240" w:lineRule="auto"/>
              <w:jc w:val="right"/>
              <w:rPr>
                <w:rFonts w:ascii="Arial" w:hAnsi="Arial" w:cs="Arial"/>
                <w:color w:val="000000"/>
                <w:sz w:val="16"/>
                <w:szCs w:val="16"/>
              </w:rPr>
            </w:pPr>
            <w:r w:rsidRPr="00295832">
              <w:rPr>
                <w:rFonts w:ascii="Arial" w:hAnsi="Arial" w:cs="Arial"/>
                <w:color w:val="000000"/>
                <w:sz w:val="16"/>
                <w:szCs w:val="16"/>
              </w:rPr>
              <w:t>44,381</w:t>
            </w:r>
          </w:p>
        </w:tc>
        <w:tc>
          <w:tcPr>
            <w:tcW w:w="497" w:type="pct"/>
            <w:tcBorders>
              <w:top w:val="nil"/>
              <w:left w:val="nil"/>
              <w:bottom w:val="nil"/>
              <w:right w:val="nil"/>
            </w:tcBorders>
            <w:shd w:val="clear" w:color="000000" w:fill="E6F2FF"/>
            <w:noWrap/>
            <w:vAlign w:val="center"/>
            <w:hideMark/>
          </w:tcPr>
          <w:p w14:paraId="3E2D8AF8" w14:textId="77777777" w:rsidR="00295832" w:rsidRPr="00295832" w:rsidRDefault="00295832" w:rsidP="00295832">
            <w:pPr>
              <w:spacing w:before="0" w:after="0" w:line="240" w:lineRule="auto"/>
              <w:jc w:val="right"/>
              <w:rPr>
                <w:rFonts w:ascii="Arial" w:hAnsi="Arial" w:cs="Arial"/>
                <w:color w:val="000000"/>
                <w:sz w:val="16"/>
                <w:szCs w:val="16"/>
              </w:rPr>
            </w:pPr>
            <w:r w:rsidRPr="00295832">
              <w:rPr>
                <w:rFonts w:ascii="Arial" w:hAnsi="Arial" w:cs="Arial"/>
                <w:color w:val="000000"/>
                <w:sz w:val="16"/>
                <w:szCs w:val="16"/>
              </w:rPr>
              <w:t>46,931</w:t>
            </w:r>
          </w:p>
        </w:tc>
        <w:tc>
          <w:tcPr>
            <w:tcW w:w="497" w:type="pct"/>
            <w:tcBorders>
              <w:top w:val="nil"/>
              <w:left w:val="nil"/>
              <w:bottom w:val="nil"/>
              <w:right w:val="nil"/>
            </w:tcBorders>
            <w:shd w:val="clear" w:color="000000" w:fill="FFFFFF"/>
            <w:noWrap/>
            <w:vAlign w:val="center"/>
            <w:hideMark/>
          </w:tcPr>
          <w:p w14:paraId="74392328" w14:textId="77777777" w:rsidR="00295832" w:rsidRPr="00295832" w:rsidRDefault="00295832" w:rsidP="00295832">
            <w:pPr>
              <w:spacing w:before="0" w:after="0" w:line="240" w:lineRule="auto"/>
              <w:jc w:val="right"/>
              <w:rPr>
                <w:rFonts w:ascii="Arial" w:hAnsi="Arial" w:cs="Arial"/>
                <w:color w:val="000000"/>
                <w:sz w:val="16"/>
                <w:szCs w:val="16"/>
              </w:rPr>
            </w:pPr>
            <w:r w:rsidRPr="00295832">
              <w:rPr>
                <w:rFonts w:ascii="Arial" w:hAnsi="Arial" w:cs="Arial"/>
                <w:color w:val="000000"/>
                <w:sz w:val="16"/>
                <w:szCs w:val="16"/>
              </w:rPr>
              <w:t>49,115</w:t>
            </w:r>
          </w:p>
        </w:tc>
        <w:tc>
          <w:tcPr>
            <w:tcW w:w="497" w:type="pct"/>
            <w:tcBorders>
              <w:top w:val="nil"/>
              <w:left w:val="nil"/>
              <w:bottom w:val="nil"/>
              <w:right w:val="nil"/>
            </w:tcBorders>
            <w:shd w:val="clear" w:color="000000" w:fill="FFFFFF"/>
            <w:noWrap/>
            <w:vAlign w:val="center"/>
            <w:hideMark/>
          </w:tcPr>
          <w:p w14:paraId="4F06B848" w14:textId="77777777" w:rsidR="00295832" w:rsidRPr="00295832" w:rsidRDefault="00295832" w:rsidP="00295832">
            <w:pPr>
              <w:spacing w:before="0" w:after="0" w:line="240" w:lineRule="auto"/>
              <w:jc w:val="right"/>
              <w:rPr>
                <w:rFonts w:ascii="Arial" w:hAnsi="Arial" w:cs="Arial"/>
                <w:color w:val="000000"/>
                <w:sz w:val="16"/>
                <w:szCs w:val="16"/>
              </w:rPr>
            </w:pPr>
            <w:r w:rsidRPr="00295832">
              <w:rPr>
                <w:rFonts w:ascii="Arial" w:hAnsi="Arial" w:cs="Arial"/>
                <w:color w:val="000000"/>
                <w:sz w:val="16"/>
                <w:szCs w:val="16"/>
              </w:rPr>
              <w:t>51,190</w:t>
            </w:r>
          </w:p>
        </w:tc>
        <w:tc>
          <w:tcPr>
            <w:tcW w:w="497" w:type="pct"/>
            <w:tcBorders>
              <w:top w:val="nil"/>
              <w:left w:val="nil"/>
              <w:bottom w:val="nil"/>
              <w:right w:val="nil"/>
            </w:tcBorders>
            <w:shd w:val="clear" w:color="000000" w:fill="FFFFFF"/>
            <w:noWrap/>
            <w:vAlign w:val="center"/>
            <w:hideMark/>
          </w:tcPr>
          <w:p w14:paraId="4FD87AA5" w14:textId="77777777" w:rsidR="00295832" w:rsidRPr="00295832" w:rsidRDefault="00295832" w:rsidP="00295832">
            <w:pPr>
              <w:spacing w:before="0" w:after="0" w:line="240" w:lineRule="auto"/>
              <w:jc w:val="right"/>
              <w:rPr>
                <w:rFonts w:ascii="Arial" w:hAnsi="Arial" w:cs="Arial"/>
                <w:color w:val="000000"/>
                <w:sz w:val="16"/>
                <w:szCs w:val="16"/>
              </w:rPr>
            </w:pPr>
            <w:r w:rsidRPr="00295832">
              <w:rPr>
                <w:rFonts w:ascii="Arial" w:hAnsi="Arial" w:cs="Arial"/>
                <w:color w:val="000000"/>
                <w:sz w:val="16"/>
                <w:szCs w:val="16"/>
              </w:rPr>
              <w:t>52,597</w:t>
            </w:r>
          </w:p>
        </w:tc>
      </w:tr>
      <w:tr w:rsidR="00295832" w:rsidRPr="00295832" w14:paraId="0953343A" w14:textId="77777777" w:rsidTr="00931C28">
        <w:trPr>
          <w:divId w:val="779882756"/>
          <w:trHeight w:hRule="exact" w:val="225"/>
        </w:trPr>
        <w:tc>
          <w:tcPr>
            <w:tcW w:w="1950" w:type="pct"/>
            <w:tcBorders>
              <w:top w:val="nil"/>
              <w:left w:val="nil"/>
              <w:bottom w:val="nil"/>
              <w:right w:val="nil"/>
            </w:tcBorders>
            <w:shd w:val="clear" w:color="000000" w:fill="FFFFFF"/>
            <w:noWrap/>
            <w:vAlign w:val="center"/>
            <w:hideMark/>
          </w:tcPr>
          <w:p w14:paraId="17A6B90F" w14:textId="77777777" w:rsidR="00295832" w:rsidRPr="00295832" w:rsidRDefault="00295832" w:rsidP="00931C28">
            <w:pPr>
              <w:spacing w:before="0" w:after="0" w:line="240" w:lineRule="auto"/>
              <w:ind w:left="170"/>
              <w:rPr>
                <w:rFonts w:ascii="Arial" w:hAnsi="Arial" w:cs="Arial"/>
                <w:color w:val="000000"/>
                <w:sz w:val="16"/>
                <w:szCs w:val="16"/>
              </w:rPr>
            </w:pPr>
            <w:r w:rsidRPr="00295832">
              <w:rPr>
                <w:rFonts w:ascii="Arial" w:hAnsi="Arial" w:cs="Arial"/>
                <w:color w:val="000000"/>
                <w:sz w:val="16"/>
                <w:szCs w:val="16"/>
              </w:rPr>
              <w:t>Assistance to the unemployed</w:t>
            </w:r>
          </w:p>
        </w:tc>
        <w:tc>
          <w:tcPr>
            <w:tcW w:w="506" w:type="pct"/>
            <w:tcBorders>
              <w:top w:val="nil"/>
              <w:left w:val="nil"/>
              <w:bottom w:val="nil"/>
              <w:right w:val="nil"/>
            </w:tcBorders>
            <w:shd w:val="clear" w:color="000000" w:fill="FFFFFF"/>
            <w:noWrap/>
            <w:vAlign w:val="center"/>
            <w:hideMark/>
          </w:tcPr>
          <w:p w14:paraId="72163BEE" w14:textId="77777777" w:rsidR="00295832" w:rsidRPr="00295832" w:rsidRDefault="00295832" w:rsidP="00295832">
            <w:pPr>
              <w:spacing w:before="0" w:after="0" w:line="240" w:lineRule="auto"/>
              <w:rPr>
                <w:rFonts w:ascii="Arial" w:hAnsi="Arial" w:cs="Arial"/>
                <w:color w:val="000000"/>
                <w:sz w:val="16"/>
                <w:szCs w:val="16"/>
              </w:rPr>
            </w:pPr>
            <w:r w:rsidRPr="00295832">
              <w:rPr>
                <w:rFonts w:ascii="Arial" w:hAnsi="Arial" w:cs="Arial"/>
                <w:color w:val="000000"/>
                <w:sz w:val="16"/>
                <w:szCs w:val="16"/>
              </w:rPr>
              <w:t> </w:t>
            </w:r>
          </w:p>
        </w:tc>
        <w:tc>
          <w:tcPr>
            <w:tcW w:w="56" w:type="pct"/>
            <w:tcBorders>
              <w:top w:val="nil"/>
              <w:left w:val="nil"/>
              <w:bottom w:val="nil"/>
              <w:right w:val="nil"/>
            </w:tcBorders>
            <w:shd w:val="clear" w:color="000000" w:fill="FFFFFF"/>
            <w:noWrap/>
            <w:vAlign w:val="center"/>
            <w:hideMark/>
          </w:tcPr>
          <w:p w14:paraId="5A05FE3D" w14:textId="77777777" w:rsidR="00295832" w:rsidRPr="00295832" w:rsidRDefault="00295832" w:rsidP="00295832">
            <w:pPr>
              <w:spacing w:before="0" w:after="0" w:line="240" w:lineRule="auto"/>
              <w:rPr>
                <w:rFonts w:ascii="Arial" w:hAnsi="Arial" w:cs="Arial"/>
                <w:color w:val="000000"/>
                <w:sz w:val="16"/>
                <w:szCs w:val="16"/>
              </w:rPr>
            </w:pPr>
            <w:r w:rsidRPr="00295832">
              <w:rPr>
                <w:rFonts w:ascii="Arial" w:hAnsi="Arial" w:cs="Arial"/>
                <w:color w:val="000000"/>
                <w:sz w:val="16"/>
                <w:szCs w:val="16"/>
              </w:rPr>
              <w:t> </w:t>
            </w:r>
          </w:p>
        </w:tc>
        <w:tc>
          <w:tcPr>
            <w:tcW w:w="498" w:type="pct"/>
            <w:tcBorders>
              <w:top w:val="nil"/>
              <w:left w:val="nil"/>
              <w:bottom w:val="nil"/>
              <w:right w:val="nil"/>
            </w:tcBorders>
            <w:shd w:val="clear" w:color="000000" w:fill="FFFFFF"/>
            <w:noWrap/>
            <w:vAlign w:val="center"/>
            <w:hideMark/>
          </w:tcPr>
          <w:p w14:paraId="32F74FD7" w14:textId="77777777" w:rsidR="00295832" w:rsidRPr="00295832" w:rsidRDefault="00295832" w:rsidP="00295832">
            <w:pPr>
              <w:spacing w:before="0" w:after="0" w:line="240" w:lineRule="auto"/>
              <w:rPr>
                <w:rFonts w:ascii="Arial" w:hAnsi="Arial" w:cs="Arial"/>
                <w:color w:val="000000"/>
                <w:sz w:val="16"/>
                <w:szCs w:val="16"/>
              </w:rPr>
            </w:pPr>
            <w:r w:rsidRPr="00295832">
              <w:rPr>
                <w:rFonts w:ascii="Arial" w:hAnsi="Arial" w:cs="Arial"/>
                <w:color w:val="000000"/>
                <w:sz w:val="16"/>
                <w:szCs w:val="16"/>
              </w:rPr>
              <w:t> </w:t>
            </w:r>
          </w:p>
        </w:tc>
        <w:tc>
          <w:tcPr>
            <w:tcW w:w="497" w:type="pct"/>
            <w:tcBorders>
              <w:top w:val="nil"/>
              <w:left w:val="nil"/>
              <w:bottom w:val="nil"/>
              <w:right w:val="nil"/>
            </w:tcBorders>
            <w:shd w:val="clear" w:color="000000" w:fill="E6F2FF"/>
            <w:noWrap/>
            <w:vAlign w:val="center"/>
            <w:hideMark/>
          </w:tcPr>
          <w:p w14:paraId="54BEB13D" w14:textId="77777777" w:rsidR="00295832" w:rsidRPr="00295832" w:rsidRDefault="00295832" w:rsidP="00295832">
            <w:pPr>
              <w:spacing w:before="0" w:after="0" w:line="240" w:lineRule="auto"/>
              <w:rPr>
                <w:rFonts w:ascii="Arial" w:hAnsi="Arial" w:cs="Arial"/>
                <w:color w:val="000000"/>
                <w:sz w:val="16"/>
                <w:szCs w:val="16"/>
              </w:rPr>
            </w:pPr>
            <w:r w:rsidRPr="00295832">
              <w:rPr>
                <w:rFonts w:ascii="Arial" w:hAnsi="Arial" w:cs="Arial"/>
                <w:color w:val="000000"/>
                <w:sz w:val="16"/>
                <w:szCs w:val="16"/>
              </w:rPr>
              <w:t> </w:t>
            </w:r>
          </w:p>
        </w:tc>
        <w:tc>
          <w:tcPr>
            <w:tcW w:w="497" w:type="pct"/>
            <w:tcBorders>
              <w:top w:val="nil"/>
              <w:left w:val="nil"/>
              <w:bottom w:val="nil"/>
              <w:right w:val="nil"/>
            </w:tcBorders>
            <w:shd w:val="clear" w:color="000000" w:fill="FFFFFF"/>
            <w:noWrap/>
            <w:vAlign w:val="center"/>
            <w:hideMark/>
          </w:tcPr>
          <w:p w14:paraId="32A24B9A" w14:textId="77777777" w:rsidR="00295832" w:rsidRPr="00295832" w:rsidRDefault="00295832" w:rsidP="00295832">
            <w:pPr>
              <w:spacing w:before="0" w:after="0" w:line="240" w:lineRule="auto"/>
              <w:rPr>
                <w:rFonts w:ascii="Arial" w:hAnsi="Arial" w:cs="Arial"/>
                <w:color w:val="000000"/>
                <w:sz w:val="16"/>
                <w:szCs w:val="16"/>
              </w:rPr>
            </w:pPr>
            <w:r w:rsidRPr="00295832">
              <w:rPr>
                <w:rFonts w:ascii="Arial" w:hAnsi="Arial" w:cs="Arial"/>
                <w:color w:val="000000"/>
                <w:sz w:val="16"/>
                <w:szCs w:val="16"/>
              </w:rPr>
              <w:t> </w:t>
            </w:r>
          </w:p>
        </w:tc>
        <w:tc>
          <w:tcPr>
            <w:tcW w:w="497" w:type="pct"/>
            <w:tcBorders>
              <w:top w:val="nil"/>
              <w:left w:val="nil"/>
              <w:bottom w:val="nil"/>
              <w:right w:val="nil"/>
            </w:tcBorders>
            <w:shd w:val="clear" w:color="000000" w:fill="FFFFFF"/>
            <w:noWrap/>
            <w:vAlign w:val="center"/>
            <w:hideMark/>
          </w:tcPr>
          <w:p w14:paraId="173B0FA4" w14:textId="77777777" w:rsidR="00295832" w:rsidRPr="00295832" w:rsidRDefault="00295832" w:rsidP="00295832">
            <w:pPr>
              <w:spacing w:before="0" w:after="0" w:line="240" w:lineRule="auto"/>
              <w:rPr>
                <w:rFonts w:ascii="Arial" w:hAnsi="Arial" w:cs="Arial"/>
                <w:color w:val="000000"/>
                <w:sz w:val="16"/>
                <w:szCs w:val="16"/>
              </w:rPr>
            </w:pPr>
            <w:r w:rsidRPr="00295832">
              <w:rPr>
                <w:rFonts w:ascii="Arial" w:hAnsi="Arial" w:cs="Arial"/>
                <w:color w:val="000000"/>
                <w:sz w:val="16"/>
                <w:szCs w:val="16"/>
              </w:rPr>
              <w:t> </w:t>
            </w:r>
          </w:p>
        </w:tc>
        <w:tc>
          <w:tcPr>
            <w:tcW w:w="497" w:type="pct"/>
            <w:tcBorders>
              <w:top w:val="nil"/>
              <w:left w:val="nil"/>
              <w:bottom w:val="nil"/>
              <w:right w:val="nil"/>
            </w:tcBorders>
            <w:shd w:val="clear" w:color="000000" w:fill="FFFFFF"/>
            <w:noWrap/>
            <w:vAlign w:val="center"/>
            <w:hideMark/>
          </w:tcPr>
          <w:p w14:paraId="4FD3BF00" w14:textId="77777777" w:rsidR="00295832" w:rsidRPr="00295832" w:rsidRDefault="00295832" w:rsidP="00295832">
            <w:pPr>
              <w:spacing w:before="0" w:after="0" w:line="240" w:lineRule="auto"/>
              <w:rPr>
                <w:rFonts w:ascii="Arial" w:hAnsi="Arial" w:cs="Arial"/>
                <w:color w:val="000000"/>
                <w:sz w:val="16"/>
                <w:szCs w:val="16"/>
              </w:rPr>
            </w:pPr>
            <w:r w:rsidRPr="00295832">
              <w:rPr>
                <w:rFonts w:ascii="Arial" w:hAnsi="Arial" w:cs="Arial"/>
                <w:color w:val="000000"/>
                <w:sz w:val="16"/>
                <w:szCs w:val="16"/>
              </w:rPr>
              <w:t> </w:t>
            </w:r>
          </w:p>
        </w:tc>
      </w:tr>
      <w:tr w:rsidR="00295832" w:rsidRPr="00295832" w14:paraId="2CEF2743" w14:textId="77777777" w:rsidTr="00931C28">
        <w:trPr>
          <w:divId w:val="779882756"/>
          <w:trHeight w:hRule="exact" w:val="225"/>
        </w:trPr>
        <w:tc>
          <w:tcPr>
            <w:tcW w:w="1950" w:type="pct"/>
            <w:tcBorders>
              <w:top w:val="nil"/>
              <w:left w:val="nil"/>
              <w:bottom w:val="nil"/>
              <w:right w:val="nil"/>
            </w:tcBorders>
            <w:shd w:val="clear" w:color="000000" w:fill="FFFFFF"/>
            <w:noWrap/>
            <w:vAlign w:val="center"/>
            <w:hideMark/>
          </w:tcPr>
          <w:p w14:paraId="580744A6" w14:textId="77777777" w:rsidR="00295832" w:rsidRPr="00295832" w:rsidRDefault="00295832" w:rsidP="00931C28">
            <w:pPr>
              <w:spacing w:before="0" w:after="0" w:line="240" w:lineRule="auto"/>
              <w:ind w:left="340"/>
              <w:rPr>
                <w:rFonts w:ascii="Arial" w:hAnsi="Arial" w:cs="Arial"/>
                <w:color w:val="000000"/>
                <w:sz w:val="16"/>
                <w:szCs w:val="16"/>
              </w:rPr>
            </w:pPr>
            <w:r w:rsidRPr="00295832">
              <w:rPr>
                <w:rFonts w:ascii="Arial" w:hAnsi="Arial" w:cs="Arial"/>
                <w:color w:val="000000"/>
                <w:sz w:val="16"/>
                <w:szCs w:val="16"/>
              </w:rPr>
              <w:t>and the sick</w:t>
            </w:r>
          </w:p>
        </w:tc>
        <w:tc>
          <w:tcPr>
            <w:tcW w:w="506" w:type="pct"/>
            <w:tcBorders>
              <w:top w:val="nil"/>
              <w:left w:val="nil"/>
              <w:bottom w:val="nil"/>
              <w:right w:val="nil"/>
            </w:tcBorders>
            <w:shd w:val="clear" w:color="000000" w:fill="FFFFFF"/>
            <w:noWrap/>
            <w:vAlign w:val="center"/>
            <w:hideMark/>
          </w:tcPr>
          <w:p w14:paraId="29E17B42" w14:textId="77777777" w:rsidR="00295832" w:rsidRPr="00295832" w:rsidRDefault="00295832" w:rsidP="00295832">
            <w:pPr>
              <w:spacing w:before="0" w:after="0" w:line="240" w:lineRule="auto"/>
              <w:jc w:val="right"/>
              <w:rPr>
                <w:rFonts w:ascii="Arial" w:hAnsi="Arial" w:cs="Arial"/>
                <w:sz w:val="16"/>
                <w:szCs w:val="16"/>
              </w:rPr>
            </w:pPr>
            <w:r w:rsidRPr="00295832">
              <w:rPr>
                <w:rFonts w:ascii="Arial" w:hAnsi="Arial" w:cs="Arial"/>
                <w:sz w:val="16"/>
                <w:szCs w:val="16"/>
              </w:rPr>
              <w:t>14,006</w:t>
            </w:r>
          </w:p>
        </w:tc>
        <w:tc>
          <w:tcPr>
            <w:tcW w:w="56" w:type="pct"/>
            <w:tcBorders>
              <w:top w:val="nil"/>
              <w:left w:val="nil"/>
              <w:bottom w:val="nil"/>
              <w:right w:val="nil"/>
            </w:tcBorders>
            <w:shd w:val="clear" w:color="000000" w:fill="FFFFFF"/>
            <w:noWrap/>
            <w:vAlign w:val="center"/>
            <w:hideMark/>
          </w:tcPr>
          <w:p w14:paraId="4A425C7B" w14:textId="77777777" w:rsidR="00295832" w:rsidRPr="00295832" w:rsidRDefault="00295832" w:rsidP="00295832">
            <w:pPr>
              <w:spacing w:before="0" w:after="0" w:line="240" w:lineRule="auto"/>
              <w:rPr>
                <w:rFonts w:ascii="Arial" w:hAnsi="Arial" w:cs="Arial"/>
                <w:sz w:val="16"/>
                <w:szCs w:val="16"/>
              </w:rPr>
            </w:pPr>
            <w:r w:rsidRPr="00295832">
              <w:rPr>
                <w:rFonts w:ascii="Arial" w:hAnsi="Arial" w:cs="Arial"/>
                <w:sz w:val="16"/>
                <w:szCs w:val="16"/>
              </w:rPr>
              <w:t> </w:t>
            </w:r>
          </w:p>
        </w:tc>
        <w:tc>
          <w:tcPr>
            <w:tcW w:w="498" w:type="pct"/>
            <w:tcBorders>
              <w:top w:val="nil"/>
              <w:left w:val="nil"/>
              <w:bottom w:val="nil"/>
              <w:right w:val="nil"/>
            </w:tcBorders>
            <w:shd w:val="clear" w:color="000000" w:fill="FFFFFF"/>
            <w:noWrap/>
            <w:vAlign w:val="center"/>
            <w:hideMark/>
          </w:tcPr>
          <w:p w14:paraId="6EE2BBCA" w14:textId="77777777" w:rsidR="00295832" w:rsidRPr="00295832" w:rsidRDefault="00295832" w:rsidP="00295832">
            <w:pPr>
              <w:spacing w:before="0" w:after="0" w:line="240" w:lineRule="auto"/>
              <w:jc w:val="right"/>
              <w:rPr>
                <w:rFonts w:ascii="Arial" w:hAnsi="Arial" w:cs="Arial"/>
                <w:sz w:val="16"/>
                <w:szCs w:val="16"/>
              </w:rPr>
            </w:pPr>
            <w:r w:rsidRPr="00295832">
              <w:rPr>
                <w:rFonts w:ascii="Arial" w:hAnsi="Arial" w:cs="Arial"/>
                <w:sz w:val="16"/>
                <w:szCs w:val="16"/>
              </w:rPr>
              <w:t>14,737</w:t>
            </w:r>
          </w:p>
        </w:tc>
        <w:tc>
          <w:tcPr>
            <w:tcW w:w="497" w:type="pct"/>
            <w:tcBorders>
              <w:top w:val="nil"/>
              <w:left w:val="nil"/>
              <w:bottom w:val="nil"/>
              <w:right w:val="nil"/>
            </w:tcBorders>
            <w:shd w:val="clear" w:color="000000" w:fill="E6F2FF"/>
            <w:noWrap/>
            <w:vAlign w:val="center"/>
            <w:hideMark/>
          </w:tcPr>
          <w:p w14:paraId="0B4B1DCF" w14:textId="77777777" w:rsidR="00295832" w:rsidRPr="00295832" w:rsidRDefault="00295832" w:rsidP="00295832">
            <w:pPr>
              <w:spacing w:before="0" w:after="0" w:line="240" w:lineRule="auto"/>
              <w:jc w:val="right"/>
              <w:rPr>
                <w:rFonts w:ascii="Arial" w:hAnsi="Arial" w:cs="Arial"/>
                <w:sz w:val="16"/>
                <w:szCs w:val="16"/>
              </w:rPr>
            </w:pPr>
            <w:r w:rsidRPr="00295832">
              <w:rPr>
                <w:rFonts w:ascii="Arial" w:hAnsi="Arial" w:cs="Arial"/>
                <w:sz w:val="16"/>
                <w:szCs w:val="16"/>
              </w:rPr>
              <w:t>16,100</w:t>
            </w:r>
          </w:p>
        </w:tc>
        <w:tc>
          <w:tcPr>
            <w:tcW w:w="497" w:type="pct"/>
            <w:tcBorders>
              <w:top w:val="nil"/>
              <w:left w:val="nil"/>
              <w:bottom w:val="nil"/>
              <w:right w:val="nil"/>
            </w:tcBorders>
            <w:shd w:val="clear" w:color="000000" w:fill="FFFFFF"/>
            <w:noWrap/>
            <w:vAlign w:val="center"/>
            <w:hideMark/>
          </w:tcPr>
          <w:p w14:paraId="5BC3578D" w14:textId="77777777" w:rsidR="00295832" w:rsidRPr="00295832" w:rsidRDefault="00295832" w:rsidP="00295832">
            <w:pPr>
              <w:spacing w:before="0" w:after="0" w:line="240" w:lineRule="auto"/>
              <w:jc w:val="right"/>
              <w:rPr>
                <w:rFonts w:ascii="Arial" w:hAnsi="Arial" w:cs="Arial"/>
                <w:sz w:val="16"/>
                <w:szCs w:val="16"/>
              </w:rPr>
            </w:pPr>
            <w:r w:rsidRPr="00295832">
              <w:rPr>
                <w:rFonts w:ascii="Arial" w:hAnsi="Arial" w:cs="Arial"/>
                <w:sz w:val="16"/>
                <w:szCs w:val="16"/>
              </w:rPr>
              <w:t>16,562</w:t>
            </w:r>
          </w:p>
        </w:tc>
        <w:tc>
          <w:tcPr>
            <w:tcW w:w="497" w:type="pct"/>
            <w:tcBorders>
              <w:top w:val="nil"/>
              <w:left w:val="nil"/>
              <w:bottom w:val="nil"/>
              <w:right w:val="nil"/>
            </w:tcBorders>
            <w:shd w:val="clear" w:color="000000" w:fill="FFFFFF"/>
            <w:noWrap/>
            <w:vAlign w:val="center"/>
            <w:hideMark/>
          </w:tcPr>
          <w:p w14:paraId="7002B5C1" w14:textId="77777777" w:rsidR="00295832" w:rsidRPr="00295832" w:rsidRDefault="00295832" w:rsidP="00295832">
            <w:pPr>
              <w:spacing w:before="0" w:after="0" w:line="240" w:lineRule="auto"/>
              <w:jc w:val="right"/>
              <w:rPr>
                <w:rFonts w:ascii="Arial" w:hAnsi="Arial" w:cs="Arial"/>
                <w:sz w:val="16"/>
                <w:szCs w:val="16"/>
              </w:rPr>
            </w:pPr>
            <w:r w:rsidRPr="00295832">
              <w:rPr>
                <w:rFonts w:ascii="Arial" w:hAnsi="Arial" w:cs="Arial"/>
                <w:sz w:val="16"/>
                <w:szCs w:val="16"/>
              </w:rPr>
              <w:t>16,760</w:t>
            </w:r>
          </w:p>
        </w:tc>
        <w:tc>
          <w:tcPr>
            <w:tcW w:w="497" w:type="pct"/>
            <w:tcBorders>
              <w:top w:val="nil"/>
              <w:left w:val="nil"/>
              <w:bottom w:val="nil"/>
              <w:right w:val="nil"/>
            </w:tcBorders>
            <w:shd w:val="clear" w:color="000000" w:fill="FFFFFF"/>
            <w:noWrap/>
            <w:vAlign w:val="center"/>
            <w:hideMark/>
          </w:tcPr>
          <w:p w14:paraId="33039EC8" w14:textId="77777777" w:rsidR="00295832" w:rsidRPr="00295832" w:rsidRDefault="00295832" w:rsidP="00295832">
            <w:pPr>
              <w:spacing w:before="0" w:after="0" w:line="240" w:lineRule="auto"/>
              <w:jc w:val="right"/>
              <w:rPr>
                <w:rFonts w:ascii="Arial" w:hAnsi="Arial" w:cs="Arial"/>
                <w:sz w:val="16"/>
                <w:szCs w:val="16"/>
              </w:rPr>
            </w:pPr>
            <w:r w:rsidRPr="00295832">
              <w:rPr>
                <w:rFonts w:ascii="Arial" w:hAnsi="Arial" w:cs="Arial"/>
                <w:sz w:val="16"/>
                <w:szCs w:val="16"/>
              </w:rPr>
              <w:t>16,298</w:t>
            </w:r>
          </w:p>
        </w:tc>
      </w:tr>
      <w:tr w:rsidR="00295832" w:rsidRPr="00295832" w14:paraId="7FC85D7E" w14:textId="77777777" w:rsidTr="00931C28">
        <w:trPr>
          <w:divId w:val="779882756"/>
          <w:trHeight w:hRule="exact" w:val="225"/>
        </w:trPr>
        <w:tc>
          <w:tcPr>
            <w:tcW w:w="1950" w:type="pct"/>
            <w:tcBorders>
              <w:top w:val="nil"/>
              <w:left w:val="nil"/>
              <w:bottom w:val="nil"/>
              <w:right w:val="nil"/>
            </w:tcBorders>
            <w:shd w:val="clear" w:color="000000" w:fill="FFFFFF"/>
            <w:noWrap/>
            <w:vAlign w:val="center"/>
            <w:hideMark/>
          </w:tcPr>
          <w:p w14:paraId="6DC20F8D" w14:textId="77777777" w:rsidR="00295832" w:rsidRPr="00295832" w:rsidRDefault="00295832" w:rsidP="00931C28">
            <w:pPr>
              <w:spacing w:before="0" w:after="0" w:line="240" w:lineRule="auto"/>
              <w:ind w:left="170"/>
              <w:rPr>
                <w:rFonts w:ascii="Arial" w:hAnsi="Arial" w:cs="Arial"/>
                <w:color w:val="000000"/>
                <w:sz w:val="16"/>
                <w:szCs w:val="16"/>
              </w:rPr>
            </w:pPr>
            <w:r w:rsidRPr="00295832">
              <w:rPr>
                <w:rFonts w:ascii="Arial" w:hAnsi="Arial" w:cs="Arial"/>
                <w:color w:val="000000"/>
                <w:sz w:val="16"/>
                <w:szCs w:val="16"/>
              </w:rPr>
              <w:t>Other welfare programs</w:t>
            </w:r>
          </w:p>
        </w:tc>
        <w:tc>
          <w:tcPr>
            <w:tcW w:w="506" w:type="pct"/>
            <w:tcBorders>
              <w:top w:val="nil"/>
              <w:left w:val="nil"/>
              <w:bottom w:val="nil"/>
              <w:right w:val="nil"/>
            </w:tcBorders>
            <w:shd w:val="clear" w:color="000000" w:fill="FFFFFF"/>
            <w:noWrap/>
            <w:vAlign w:val="center"/>
            <w:hideMark/>
          </w:tcPr>
          <w:p w14:paraId="48DB88BC" w14:textId="77777777" w:rsidR="00295832" w:rsidRPr="00295832" w:rsidRDefault="00295832" w:rsidP="00295832">
            <w:pPr>
              <w:spacing w:before="0" w:after="0" w:line="240" w:lineRule="auto"/>
              <w:jc w:val="right"/>
              <w:rPr>
                <w:rFonts w:ascii="Arial" w:hAnsi="Arial" w:cs="Arial"/>
                <w:color w:val="000000"/>
                <w:sz w:val="16"/>
                <w:szCs w:val="16"/>
              </w:rPr>
            </w:pPr>
            <w:r w:rsidRPr="00295832">
              <w:rPr>
                <w:rFonts w:ascii="Arial" w:hAnsi="Arial" w:cs="Arial"/>
                <w:color w:val="000000"/>
                <w:sz w:val="16"/>
                <w:szCs w:val="16"/>
              </w:rPr>
              <w:t>2,370</w:t>
            </w:r>
          </w:p>
        </w:tc>
        <w:tc>
          <w:tcPr>
            <w:tcW w:w="56" w:type="pct"/>
            <w:tcBorders>
              <w:top w:val="nil"/>
              <w:left w:val="nil"/>
              <w:bottom w:val="nil"/>
              <w:right w:val="nil"/>
            </w:tcBorders>
            <w:shd w:val="clear" w:color="000000" w:fill="FFFFFF"/>
            <w:noWrap/>
            <w:vAlign w:val="center"/>
            <w:hideMark/>
          </w:tcPr>
          <w:p w14:paraId="29197F85" w14:textId="77777777" w:rsidR="00295832" w:rsidRPr="00295832" w:rsidRDefault="00295832" w:rsidP="00295832">
            <w:pPr>
              <w:spacing w:before="0" w:after="0" w:line="240" w:lineRule="auto"/>
              <w:rPr>
                <w:rFonts w:ascii="Arial" w:hAnsi="Arial" w:cs="Arial"/>
                <w:color w:val="000000"/>
                <w:sz w:val="16"/>
                <w:szCs w:val="16"/>
              </w:rPr>
            </w:pPr>
            <w:r w:rsidRPr="00295832">
              <w:rPr>
                <w:rFonts w:ascii="Arial" w:hAnsi="Arial" w:cs="Arial"/>
                <w:color w:val="000000"/>
                <w:sz w:val="16"/>
                <w:szCs w:val="16"/>
              </w:rPr>
              <w:t> </w:t>
            </w:r>
          </w:p>
        </w:tc>
        <w:tc>
          <w:tcPr>
            <w:tcW w:w="498" w:type="pct"/>
            <w:tcBorders>
              <w:top w:val="nil"/>
              <w:left w:val="nil"/>
              <w:bottom w:val="nil"/>
              <w:right w:val="nil"/>
            </w:tcBorders>
            <w:shd w:val="clear" w:color="000000" w:fill="FFFFFF"/>
            <w:noWrap/>
            <w:vAlign w:val="center"/>
            <w:hideMark/>
          </w:tcPr>
          <w:p w14:paraId="523DE862" w14:textId="77777777" w:rsidR="00295832" w:rsidRPr="00295832" w:rsidRDefault="00295832" w:rsidP="00295832">
            <w:pPr>
              <w:spacing w:before="0" w:after="0" w:line="240" w:lineRule="auto"/>
              <w:jc w:val="right"/>
              <w:rPr>
                <w:rFonts w:ascii="Arial" w:hAnsi="Arial" w:cs="Arial"/>
                <w:color w:val="000000"/>
                <w:sz w:val="16"/>
                <w:szCs w:val="16"/>
              </w:rPr>
            </w:pPr>
            <w:r w:rsidRPr="00295832">
              <w:rPr>
                <w:rFonts w:ascii="Arial" w:hAnsi="Arial" w:cs="Arial"/>
                <w:color w:val="000000"/>
                <w:sz w:val="16"/>
                <w:szCs w:val="16"/>
              </w:rPr>
              <w:t>1,621</w:t>
            </w:r>
          </w:p>
        </w:tc>
        <w:tc>
          <w:tcPr>
            <w:tcW w:w="497" w:type="pct"/>
            <w:tcBorders>
              <w:top w:val="nil"/>
              <w:left w:val="nil"/>
              <w:bottom w:val="nil"/>
              <w:right w:val="nil"/>
            </w:tcBorders>
            <w:shd w:val="clear" w:color="000000" w:fill="E6F2FF"/>
            <w:noWrap/>
            <w:vAlign w:val="center"/>
            <w:hideMark/>
          </w:tcPr>
          <w:p w14:paraId="2C08D3FD" w14:textId="77777777" w:rsidR="00295832" w:rsidRPr="00295832" w:rsidRDefault="00295832" w:rsidP="00295832">
            <w:pPr>
              <w:spacing w:before="0" w:after="0" w:line="240" w:lineRule="auto"/>
              <w:jc w:val="right"/>
              <w:rPr>
                <w:rFonts w:ascii="Arial" w:hAnsi="Arial" w:cs="Arial"/>
                <w:color w:val="000000"/>
                <w:sz w:val="16"/>
                <w:szCs w:val="16"/>
              </w:rPr>
            </w:pPr>
            <w:r w:rsidRPr="00295832">
              <w:rPr>
                <w:rFonts w:ascii="Arial" w:hAnsi="Arial" w:cs="Arial"/>
                <w:color w:val="000000"/>
                <w:sz w:val="16"/>
                <w:szCs w:val="16"/>
              </w:rPr>
              <w:t>1,897</w:t>
            </w:r>
          </w:p>
        </w:tc>
        <w:tc>
          <w:tcPr>
            <w:tcW w:w="497" w:type="pct"/>
            <w:tcBorders>
              <w:top w:val="nil"/>
              <w:left w:val="nil"/>
              <w:bottom w:val="nil"/>
              <w:right w:val="nil"/>
            </w:tcBorders>
            <w:shd w:val="clear" w:color="000000" w:fill="FFFFFF"/>
            <w:noWrap/>
            <w:vAlign w:val="center"/>
            <w:hideMark/>
          </w:tcPr>
          <w:p w14:paraId="69B96953" w14:textId="77777777" w:rsidR="00295832" w:rsidRPr="00295832" w:rsidRDefault="00295832" w:rsidP="00295832">
            <w:pPr>
              <w:spacing w:before="0" w:after="0" w:line="240" w:lineRule="auto"/>
              <w:jc w:val="right"/>
              <w:rPr>
                <w:rFonts w:ascii="Arial" w:hAnsi="Arial" w:cs="Arial"/>
                <w:color w:val="000000"/>
                <w:sz w:val="16"/>
                <w:szCs w:val="16"/>
              </w:rPr>
            </w:pPr>
            <w:r w:rsidRPr="00295832">
              <w:rPr>
                <w:rFonts w:ascii="Arial" w:hAnsi="Arial" w:cs="Arial"/>
                <w:color w:val="000000"/>
                <w:sz w:val="16"/>
                <w:szCs w:val="16"/>
              </w:rPr>
              <w:t>1,844</w:t>
            </w:r>
          </w:p>
        </w:tc>
        <w:tc>
          <w:tcPr>
            <w:tcW w:w="497" w:type="pct"/>
            <w:tcBorders>
              <w:top w:val="nil"/>
              <w:left w:val="nil"/>
              <w:bottom w:val="nil"/>
              <w:right w:val="nil"/>
            </w:tcBorders>
            <w:shd w:val="clear" w:color="000000" w:fill="FFFFFF"/>
            <w:noWrap/>
            <w:vAlign w:val="center"/>
            <w:hideMark/>
          </w:tcPr>
          <w:p w14:paraId="090A7BE2" w14:textId="77777777" w:rsidR="00295832" w:rsidRPr="00295832" w:rsidRDefault="00295832" w:rsidP="00295832">
            <w:pPr>
              <w:spacing w:before="0" w:after="0" w:line="240" w:lineRule="auto"/>
              <w:jc w:val="right"/>
              <w:rPr>
                <w:rFonts w:ascii="Arial" w:hAnsi="Arial" w:cs="Arial"/>
                <w:color w:val="000000"/>
                <w:sz w:val="16"/>
                <w:szCs w:val="16"/>
              </w:rPr>
            </w:pPr>
            <w:r w:rsidRPr="00295832">
              <w:rPr>
                <w:rFonts w:ascii="Arial" w:hAnsi="Arial" w:cs="Arial"/>
                <w:color w:val="000000"/>
                <w:sz w:val="16"/>
                <w:szCs w:val="16"/>
              </w:rPr>
              <w:t>1,699</w:t>
            </w:r>
          </w:p>
        </w:tc>
        <w:tc>
          <w:tcPr>
            <w:tcW w:w="497" w:type="pct"/>
            <w:tcBorders>
              <w:top w:val="nil"/>
              <w:left w:val="nil"/>
              <w:bottom w:val="nil"/>
              <w:right w:val="nil"/>
            </w:tcBorders>
            <w:shd w:val="clear" w:color="000000" w:fill="FFFFFF"/>
            <w:noWrap/>
            <w:vAlign w:val="center"/>
            <w:hideMark/>
          </w:tcPr>
          <w:p w14:paraId="723F41B3" w14:textId="77777777" w:rsidR="00295832" w:rsidRPr="00295832" w:rsidRDefault="00295832" w:rsidP="00295832">
            <w:pPr>
              <w:spacing w:before="0" w:after="0" w:line="240" w:lineRule="auto"/>
              <w:jc w:val="right"/>
              <w:rPr>
                <w:rFonts w:ascii="Arial" w:hAnsi="Arial" w:cs="Arial"/>
                <w:color w:val="000000"/>
                <w:sz w:val="16"/>
                <w:szCs w:val="16"/>
              </w:rPr>
            </w:pPr>
            <w:r w:rsidRPr="00295832">
              <w:rPr>
                <w:rFonts w:ascii="Arial" w:hAnsi="Arial" w:cs="Arial"/>
                <w:color w:val="000000"/>
                <w:sz w:val="16"/>
                <w:szCs w:val="16"/>
              </w:rPr>
              <w:t>1,589</w:t>
            </w:r>
          </w:p>
        </w:tc>
      </w:tr>
      <w:tr w:rsidR="00295832" w:rsidRPr="00295832" w14:paraId="0479571E" w14:textId="77777777" w:rsidTr="00931C28">
        <w:trPr>
          <w:divId w:val="779882756"/>
          <w:trHeight w:hRule="exact" w:val="225"/>
        </w:trPr>
        <w:tc>
          <w:tcPr>
            <w:tcW w:w="1950" w:type="pct"/>
            <w:tcBorders>
              <w:top w:val="nil"/>
              <w:left w:val="nil"/>
              <w:bottom w:val="nil"/>
              <w:right w:val="nil"/>
            </w:tcBorders>
            <w:shd w:val="clear" w:color="000000" w:fill="FFFFFF"/>
            <w:noWrap/>
            <w:vAlign w:val="center"/>
            <w:hideMark/>
          </w:tcPr>
          <w:p w14:paraId="44B7B983" w14:textId="77777777" w:rsidR="00295832" w:rsidRPr="00295832" w:rsidRDefault="00295832" w:rsidP="00931C28">
            <w:pPr>
              <w:spacing w:before="0" w:after="0" w:line="240" w:lineRule="auto"/>
              <w:ind w:left="170"/>
              <w:rPr>
                <w:rFonts w:ascii="Arial" w:hAnsi="Arial" w:cs="Arial"/>
                <w:color w:val="000000"/>
                <w:sz w:val="16"/>
                <w:szCs w:val="16"/>
              </w:rPr>
            </w:pPr>
            <w:r w:rsidRPr="00295832">
              <w:rPr>
                <w:rFonts w:ascii="Arial" w:hAnsi="Arial" w:cs="Arial"/>
                <w:color w:val="000000"/>
                <w:sz w:val="16"/>
                <w:szCs w:val="16"/>
              </w:rPr>
              <w:t>Assistance for Indigenous</w:t>
            </w:r>
          </w:p>
        </w:tc>
        <w:tc>
          <w:tcPr>
            <w:tcW w:w="506" w:type="pct"/>
            <w:tcBorders>
              <w:top w:val="nil"/>
              <w:left w:val="nil"/>
              <w:bottom w:val="nil"/>
              <w:right w:val="nil"/>
            </w:tcBorders>
            <w:shd w:val="clear" w:color="000000" w:fill="FFFFFF"/>
            <w:noWrap/>
            <w:vAlign w:val="center"/>
            <w:hideMark/>
          </w:tcPr>
          <w:p w14:paraId="5754B17A" w14:textId="77777777" w:rsidR="00295832" w:rsidRPr="00295832" w:rsidRDefault="00295832" w:rsidP="00295832">
            <w:pPr>
              <w:spacing w:before="0" w:after="0" w:line="240" w:lineRule="auto"/>
              <w:rPr>
                <w:rFonts w:ascii="Arial" w:hAnsi="Arial" w:cs="Arial"/>
                <w:color w:val="000000"/>
                <w:sz w:val="16"/>
                <w:szCs w:val="16"/>
              </w:rPr>
            </w:pPr>
            <w:r w:rsidRPr="00295832">
              <w:rPr>
                <w:rFonts w:ascii="Arial" w:hAnsi="Arial" w:cs="Arial"/>
                <w:color w:val="000000"/>
                <w:sz w:val="16"/>
                <w:szCs w:val="16"/>
              </w:rPr>
              <w:t> </w:t>
            </w:r>
          </w:p>
        </w:tc>
        <w:tc>
          <w:tcPr>
            <w:tcW w:w="56" w:type="pct"/>
            <w:tcBorders>
              <w:top w:val="nil"/>
              <w:left w:val="nil"/>
              <w:bottom w:val="nil"/>
              <w:right w:val="nil"/>
            </w:tcBorders>
            <w:shd w:val="clear" w:color="000000" w:fill="FFFFFF"/>
            <w:noWrap/>
            <w:vAlign w:val="center"/>
            <w:hideMark/>
          </w:tcPr>
          <w:p w14:paraId="67297BD2" w14:textId="77777777" w:rsidR="00295832" w:rsidRPr="00295832" w:rsidRDefault="00295832" w:rsidP="00295832">
            <w:pPr>
              <w:spacing w:before="0" w:after="0" w:line="240" w:lineRule="auto"/>
              <w:rPr>
                <w:rFonts w:ascii="Arial" w:hAnsi="Arial" w:cs="Arial"/>
                <w:color w:val="000000"/>
                <w:sz w:val="16"/>
                <w:szCs w:val="16"/>
              </w:rPr>
            </w:pPr>
            <w:r w:rsidRPr="00295832">
              <w:rPr>
                <w:rFonts w:ascii="Arial" w:hAnsi="Arial" w:cs="Arial"/>
                <w:color w:val="000000"/>
                <w:sz w:val="16"/>
                <w:szCs w:val="16"/>
              </w:rPr>
              <w:t> </w:t>
            </w:r>
          </w:p>
        </w:tc>
        <w:tc>
          <w:tcPr>
            <w:tcW w:w="498" w:type="pct"/>
            <w:tcBorders>
              <w:top w:val="nil"/>
              <w:left w:val="nil"/>
              <w:bottom w:val="nil"/>
              <w:right w:val="nil"/>
            </w:tcBorders>
            <w:shd w:val="clear" w:color="000000" w:fill="FFFFFF"/>
            <w:noWrap/>
            <w:vAlign w:val="center"/>
            <w:hideMark/>
          </w:tcPr>
          <w:p w14:paraId="3D8013B6" w14:textId="77777777" w:rsidR="00295832" w:rsidRPr="00295832" w:rsidRDefault="00295832" w:rsidP="00295832">
            <w:pPr>
              <w:spacing w:before="0" w:after="0" w:line="240" w:lineRule="auto"/>
              <w:rPr>
                <w:rFonts w:ascii="Arial" w:hAnsi="Arial" w:cs="Arial"/>
                <w:color w:val="000000"/>
                <w:sz w:val="16"/>
                <w:szCs w:val="16"/>
              </w:rPr>
            </w:pPr>
            <w:r w:rsidRPr="00295832">
              <w:rPr>
                <w:rFonts w:ascii="Arial" w:hAnsi="Arial" w:cs="Arial"/>
                <w:color w:val="000000"/>
                <w:sz w:val="16"/>
                <w:szCs w:val="16"/>
              </w:rPr>
              <w:t> </w:t>
            </w:r>
          </w:p>
        </w:tc>
        <w:tc>
          <w:tcPr>
            <w:tcW w:w="497" w:type="pct"/>
            <w:tcBorders>
              <w:top w:val="nil"/>
              <w:left w:val="nil"/>
              <w:bottom w:val="nil"/>
              <w:right w:val="nil"/>
            </w:tcBorders>
            <w:shd w:val="clear" w:color="000000" w:fill="E6F2FF"/>
            <w:noWrap/>
            <w:vAlign w:val="center"/>
            <w:hideMark/>
          </w:tcPr>
          <w:p w14:paraId="75810096" w14:textId="77777777" w:rsidR="00295832" w:rsidRPr="00295832" w:rsidRDefault="00295832" w:rsidP="00295832">
            <w:pPr>
              <w:spacing w:before="0" w:after="0" w:line="240" w:lineRule="auto"/>
              <w:rPr>
                <w:rFonts w:ascii="Arial" w:hAnsi="Arial" w:cs="Arial"/>
                <w:color w:val="000000"/>
                <w:sz w:val="16"/>
                <w:szCs w:val="16"/>
              </w:rPr>
            </w:pPr>
            <w:r w:rsidRPr="00295832">
              <w:rPr>
                <w:rFonts w:ascii="Arial" w:hAnsi="Arial" w:cs="Arial"/>
                <w:color w:val="000000"/>
                <w:sz w:val="16"/>
                <w:szCs w:val="16"/>
              </w:rPr>
              <w:t> </w:t>
            </w:r>
          </w:p>
        </w:tc>
        <w:tc>
          <w:tcPr>
            <w:tcW w:w="497" w:type="pct"/>
            <w:tcBorders>
              <w:top w:val="nil"/>
              <w:left w:val="nil"/>
              <w:bottom w:val="nil"/>
              <w:right w:val="nil"/>
            </w:tcBorders>
            <w:shd w:val="clear" w:color="000000" w:fill="FFFFFF"/>
            <w:noWrap/>
            <w:vAlign w:val="center"/>
            <w:hideMark/>
          </w:tcPr>
          <w:p w14:paraId="710061AA" w14:textId="77777777" w:rsidR="00295832" w:rsidRPr="00295832" w:rsidRDefault="00295832" w:rsidP="00295832">
            <w:pPr>
              <w:spacing w:before="0" w:after="0" w:line="240" w:lineRule="auto"/>
              <w:rPr>
                <w:rFonts w:ascii="Arial" w:hAnsi="Arial" w:cs="Arial"/>
                <w:color w:val="000000"/>
                <w:sz w:val="16"/>
                <w:szCs w:val="16"/>
              </w:rPr>
            </w:pPr>
            <w:r w:rsidRPr="00295832">
              <w:rPr>
                <w:rFonts w:ascii="Arial" w:hAnsi="Arial" w:cs="Arial"/>
                <w:color w:val="000000"/>
                <w:sz w:val="16"/>
                <w:szCs w:val="16"/>
              </w:rPr>
              <w:t> </w:t>
            </w:r>
          </w:p>
        </w:tc>
        <w:tc>
          <w:tcPr>
            <w:tcW w:w="497" w:type="pct"/>
            <w:tcBorders>
              <w:top w:val="nil"/>
              <w:left w:val="nil"/>
              <w:bottom w:val="nil"/>
              <w:right w:val="nil"/>
            </w:tcBorders>
            <w:shd w:val="clear" w:color="000000" w:fill="FFFFFF"/>
            <w:noWrap/>
            <w:vAlign w:val="center"/>
            <w:hideMark/>
          </w:tcPr>
          <w:p w14:paraId="36AFBB9B" w14:textId="77777777" w:rsidR="00295832" w:rsidRPr="00295832" w:rsidRDefault="00295832" w:rsidP="00295832">
            <w:pPr>
              <w:spacing w:before="0" w:after="0" w:line="240" w:lineRule="auto"/>
              <w:rPr>
                <w:rFonts w:ascii="Arial" w:hAnsi="Arial" w:cs="Arial"/>
                <w:color w:val="000000"/>
                <w:sz w:val="16"/>
                <w:szCs w:val="16"/>
              </w:rPr>
            </w:pPr>
            <w:r w:rsidRPr="00295832">
              <w:rPr>
                <w:rFonts w:ascii="Arial" w:hAnsi="Arial" w:cs="Arial"/>
                <w:color w:val="000000"/>
                <w:sz w:val="16"/>
                <w:szCs w:val="16"/>
              </w:rPr>
              <w:t> </w:t>
            </w:r>
          </w:p>
        </w:tc>
        <w:tc>
          <w:tcPr>
            <w:tcW w:w="497" w:type="pct"/>
            <w:tcBorders>
              <w:top w:val="nil"/>
              <w:left w:val="nil"/>
              <w:bottom w:val="nil"/>
              <w:right w:val="nil"/>
            </w:tcBorders>
            <w:shd w:val="clear" w:color="000000" w:fill="FFFFFF"/>
            <w:noWrap/>
            <w:vAlign w:val="center"/>
            <w:hideMark/>
          </w:tcPr>
          <w:p w14:paraId="0EBD0519" w14:textId="77777777" w:rsidR="00295832" w:rsidRPr="00295832" w:rsidRDefault="00295832" w:rsidP="00295832">
            <w:pPr>
              <w:spacing w:before="0" w:after="0" w:line="240" w:lineRule="auto"/>
              <w:rPr>
                <w:rFonts w:ascii="Arial" w:hAnsi="Arial" w:cs="Arial"/>
                <w:color w:val="000000"/>
                <w:sz w:val="16"/>
                <w:szCs w:val="16"/>
              </w:rPr>
            </w:pPr>
            <w:r w:rsidRPr="00295832">
              <w:rPr>
                <w:rFonts w:ascii="Arial" w:hAnsi="Arial" w:cs="Arial"/>
                <w:color w:val="000000"/>
                <w:sz w:val="16"/>
                <w:szCs w:val="16"/>
              </w:rPr>
              <w:t> </w:t>
            </w:r>
          </w:p>
        </w:tc>
      </w:tr>
      <w:tr w:rsidR="00295832" w:rsidRPr="00295832" w14:paraId="51DB88A2" w14:textId="77777777" w:rsidTr="00931C28">
        <w:trPr>
          <w:divId w:val="779882756"/>
          <w:trHeight w:hRule="exact" w:val="225"/>
        </w:trPr>
        <w:tc>
          <w:tcPr>
            <w:tcW w:w="1950" w:type="pct"/>
            <w:tcBorders>
              <w:top w:val="nil"/>
              <w:left w:val="nil"/>
              <w:bottom w:val="nil"/>
              <w:right w:val="nil"/>
            </w:tcBorders>
            <w:shd w:val="clear" w:color="000000" w:fill="FFFFFF"/>
            <w:noWrap/>
            <w:vAlign w:val="center"/>
            <w:hideMark/>
          </w:tcPr>
          <w:p w14:paraId="3E0FD4DE" w14:textId="77777777" w:rsidR="00295832" w:rsidRPr="00295832" w:rsidRDefault="00295832" w:rsidP="00931C28">
            <w:pPr>
              <w:spacing w:before="0" w:after="0" w:line="240" w:lineRule="auto"/>
              <w:ind w:left="340"/>
              <w:rPr>
                <w:rFonts w:ascii="Arial" w:hAnsi="Arial" w:cs="Arial"/>
                <w:color w:val="000000"/>
                <w:sz w:val="16"/>
                <w:szCs w:val="16"/>
              </w:rPr>
            </w:pPr>
            <w:r w:rsidRPr="00295832">
              <w:rPr>
                <w:rFonts w:ascii="Arial" w:hAnsi="Arial" w:cs="Arial"/>
                <w:color w:val="000000"/>
                <w:sz w:val="16"/>
                <w:szCs w:val="16"/>
              </w:rPr>
              <w:t>Australians nec</w:t>
            </w:r>
          </w:p>
        </w:tc>
        <w:tc>
          <w:tcPr>
            <w:tcW w:w="506" w:type="pct"/>
            <w:tcBorders>
              <w:top w:val="nil"/>
              <w:left w:val="nil"/>
              <w:bottom w:val="nil"/>
              <w:right w:val="nil"/>
            </w:tcBorders>
            <w:shd w:val="clear" w:color="000000" w:fill="FFFFFF"/>
            <w:noWrap/>
            <w:vAlign w:val="center"/>
            <w:hideMark/>
          </w:tcPr>
          <w:p w14:paraId="0066209E" w14:textId="77777777" w:rsidR="00295832" w:rsidRPr="00295832" w:rsidRDefault="00295832" w:rsidP="00295832">
            <w:pPr>
              <w:spacing w:before="0" w:after="0" w:line="240" w:lineRule="auto"/>
              <w:jc w:val="right"/>
              <w:rPr>
                <w:rFonts w:ascii="Arial" w:hAnsi="Arial" w:cs="Arial"/>
                <w:color w:val="000000"/>
                <w:sz w:val="16"/>
                <w:szCs w:val="16"/>
              </w:rPr>
            </w:pPr>
            <w:r w:rsidRPr="00295832">
              <w:rPr>
                <w:rFonts w:ascii="Arial" w:hAnsi="Arial" w:cs="Arial"/>
                <w:color w:val="000000"/>
                <w:sz w:val="16"/>
                <w:szCs w:val="16"/>
              </w:rPr>
              <w:t>2,735</w:t>
            </w:r>
          </w:p>
        </w:tc>
        <w:tc>
          <w:tcPr>
            <w:tcW w:w="56" w:type="pct"/>
            <w:tcBorders>
              <w:top w:val="nil"/>
              <w:left w:val="nil"/>
              <w:bottom w:val="nil"/>
              <w:right w:val="nil"/>
            </w:tcBorders>
            <w:shd w:val="clear" w:color="000000" w:fill="FFFFFF"/>
            <w:noWrap/>
            <w:vAlign w:val="center"/>
            <w:hideMark/>
          </w:tcPr>
          <w:p w14:paraId="68FE0A50" w14:textId="77777777" w:rsidR="00295832" w:rsidRPr="00295832" w:rsidRDefault="00295832" w:rsidP="00295832">
            <w:pPr>
              <w:spacing w:before="0" w:after="0" w:line="240" w:lineRule="auto"/>
              <w:rPr>
                <w:rFonts w:ascii="Arial" w:hAnsi="Arial" w:cs="Arial"/>
                <w:color w:val="000000"/>
                <w:sz w:val="16"/>
                <w:szCs w:val="16"/>
              </w:rPr>
            </w:pPr>
            <w:r w:rsidRPr="00295832">
              <w:rPr>
                <w:rFonts w:ascii="Arial" w:hAnsi="Arial" w:cs="Arial"/>
                <w:color w:val="000000"/>
                <w:sz w:val="16"/>
                <w:szCs w:val="16"/>
              </w:rPr>
              <w:t> </w:t>
            </w:r>
          </w:p>
        </w:tc>
        <w:tc>
          <w:tcPr>
            <w:tcW w:w="498" w:type="pct"/>
            <w:tcBorders>
              <w:top w:val="nil"/>
              <w:left w:val="nil"/>
              <w:bottom w:val="nil"/>
              <w:right w:val="nil"/>
            </w:tcBorders>
            <w:shd w:val="clear" w:color="000000" w:fill="FFFFFF"/>
            <w:noWrap/>
            <w:vAlign w:val="center"/>
            <w:hideMark/>
          </w:tcPr>
          <w:p w14:paraId="74DE92C0" w14:textId="77777777" w:rsidR="00295832" w:rsidRPr="00295832" w:rsidRDefault="00295832" w:rsidP="00295832">
            <w:pPr>
              <w:spacing w:before="0" w:after="0" w:line="240" w:lineRule="auto"/>
              <w:jc w:val="right"/>
              <w:rPr>
                <w:rFonts w:ascii="Arial" w:hAnsi="Arial" w:cs="Arial"/>
                <w:color w:val="000000"/>
                <w:sz w:val="16"/>
                <w:szCs w:val="16"/>
              </w:rPr>
            </w:pPr>
            <w:r w:rsidRPr="00295832">
              <w:rPr>
                <w:rFonts w:ascii="Arial" w:hAnsi="Arial" w:cs="Arial"/>
                <w:color w:val="000000"/>
                <w:sz w:val="16"/>
                <w:szCs w:val="16"/>
              </w:rPr>
              <w:t>3,279</w:t>
            </w:r>
          </w:p>
        </w:tc>
        <w:tc>
          <w:tcPr>
            <w:tcW w:w="497" w:type="pct"/>
            <w:tcBorders>
              <w:top w:val="nil"/>
              <w:left w:val="nil"/>
              <w:bottom w:val="nil"/>
              <w:right w:val="nil"/>
            </w:tcBorders>
            <w:shd w:val="clear" w:color="000000" w:fill="E6F2FF"/>
            <w:noWrap/>
            <w:vAlign w:val="center"/>
            <w:hideMark/>
          </w:tcPr>
          <w:p w14:paraId="19B0C95C" w14:textId="77777777" w:rsidR="00295832" w:rsidRPr="00295832" w:rsidRDefault="00295832" w:rsidP="00295832">
            <w:pPr>
              <w:spacing w:before="0" w:after="0" w:line="240" w:lineRule="auto"/>
              <w:jc w:val="right"/>
              <w:rPr>
                <w:rFonts w:ascii="Arial" w:hAnsi="Arial" w:cs="Arial"/>
                <w:color w:val="000000"/>
                <w:sz w:val="16"/>
                <w:szCs w:val="16"/>
              </w:rPr>
            </w:pPr>
            <w:r w:rsidRPr="00295832">
              <w:rPr>
                <w:rFonts w:ascii="Arial" w:hAnsi="Arial" w:cs="Arial"/>
                <w:color w:val="000000"/>
                <w:sz w:val="16"/>
                <w:szCs w:val="16"/>
              </w:rPr>
              <w:t>3,399</w:t>
            </w:r>
          </w:p>
        </w:tc>
        <w:tc>
          <w:tcPr>
            <w:tcW w:w="497" w:type="pct"/>
            <w:tcBorders>
              <w:top w:val="nil"/>
              <w:left w:val="nil"/>
              <w:bottom w:val="nil"/>
              <w:right w:val="nil"/>
            </w:tcBorders>
            <w:shd w:val="clear" w:color="000000" w:fill="FFFFFF"/>
            <w:noWrap/>
            <w:vAlign w:val="center"/>
            <w:hideMark/>
          </w:tcPr>
          <w:p w14:paraId="2E29A0C5" w14:textId="77777777" w:rsidR="00295832" w:rsidRPr="00295832" w:rsidRDefault="00295832" w:rsidP="00295832">
            <w:pPr>
              <w:spacing w:before="0" w:after="0" w:line="240" w:lineRule="auto"/>
              <w:jc w:val="right"/>
              <w:rPr>
                <w:rFonts w:ascii="Arial" w:hAnsi="Arial" w:cs="Arial"/>
                <w:color w:val="000000"/>
                <w:sz w:val="16"/>
                <w:szCs w:val="16"/>
              </w:rPr>
            </w:pPr>
            <w:r w:rsidRPr="00295832">
              <w:rPr>
                <w:rFonts w:ascii="Arial" w:hAnsi="Arial" w:cs="Arial"/>
                <w:color w:val="000000"/>
                <w:sz w:val="16"/>
                <w:szCs w:val="16"/>
              </w:rPr>
              <w:t>3,191</w:t>
            </w:r>
          </w:p>
        </w:tc>
        <w:tc>
          <w:tcPr>
            <w:tcW w:w="497" w:type="pct"/>
            <w:tcBorders>
              <w:top w:val="nil"/>
              <w:left w:val="nil"/>
              <w:bottom w:val="nil"/>
              <w:right w:val="nil"/>
            </w:tcBorders>
            <w:shd w:val="clear" w:color="000000" w:fill="FFFFFF"/>
            <w:noWrap/>
            <w:vAlign w:val="center"/>
            <w:hideMark/>
          </w:tcPr>
          <w:p w14:paraId="0E0970F3" w14:textId="77777777" w:rsidR="00295832" w:rsidRPr="00295832" w:rsidRDefault="00295832" w:rsidP="00295832">
            <w:pPr>
              <w:spacing w:before="0" w:after="0" w:line="240" w:lineRule="auto"/>
              <w:jc w:val="right"/>
              <w:rPr>
                <w:rFonts w:ascii="Arial" w:hAnsi="Arial" w:cs="Arial"/>
                <w:color w:val="000000"/>
                <w:sz w:val="16"/>
                <w:szCs w:val="16"/>
              </w:rPr>
            </w:pPr>
            <w:r w:rsidRPr="00295832">
              <w:rPr>
                <w:rFonts w:ascii="Arial" w:hAnsi="Arial" w:cs="Arial"/>
                <w:color w:val="000000"/>
                <w:sz w:val="16"/>
                <w:szCs w:val="16"/>
              </w:rPr>
              <w:t>3,054</w:t>
            </w:r>
          </w:p>
        </w:tc>
        <w:tc>
          <w:tcPr>
            <w:tcW w:w="497" w:type="pct"/>
            <w:tcBorders>
              <w:top w:val="nil"/>
              <w:left w:val="nil"/>
              <w:bottom w:val="nil"/>
              <w:right w:val="nil"/>
            </w:tcBorders>
            <w:shd w:val="clear" w:color="000000" w:fill="FFFFFF"/>
            <w:noWrap/>
            <w:vAlign w:val="center"/>
            <w:hideMark/>
          </w:tcPr>
          <w:p w14:paraId="1B3EC36A" w14:textId="77777777" w:rsidR="00295832" w:rsidRPr="00295832" w:rsidRDefault="00295832" w:rsidP="00295832">
            <w:pPr>
              <w:spacing w:before="0" w:after="0" w:line="240" w:lineRule="auto"/>
              <w:jc w:val="right"/>
              <w:rPr>
                <w:rFonts w:ascii="Arial" w:hAnsi="Arial" w:cs="Arial"/>
                <w:color w:val="000000"/>
                <w:sz w:val="16"/>
                <w:szCs w:val="16"/>
              </w:rPr>
            </w:pPr>
            <w:r w:rsidRPr="00295832">
              <w:rPr>
                <w:rFonts w:ascii="Arial" w:hAnsi="Arial" w:cs="Arial"/>
                <w:color w:val="000000"/>
                <w:sz w:val="16"/>
                <w:szCs w:val="16"/>
              </w:rPr>
              <w:t>3,178</w:t>
            </w:r>
          </w:p>
        </w:tc>
      </w:tr>
      <w:tr w:rsidR="00295832" w:rsidRPr="00295832" w14:paraId="1CC76776" w14:textId="77777777" w:rsidTr="00931C28">
        <w:trPr>
          <w:divId w:val="779882756"/>
          <w:trHeight w:hRule="exact" w:val="225"/>
        </w:trPr>
        <w:tc>
          <w:tcPr>
            <w:tcW w:w="1950" w:type="pct"/>
            <w:tcBorders>
              <w:top w:val="nil"/>
              <w:left w:val="nil"/>
              <w:bottom w:val="nil"/>
              <w:right w:val="nil"/>
            </w:tcBorders>
            <w:shd w:val="clear" w:color="000000" w:fill="FFFFFF"/>
            <w:noWrap/>
            <w:vAlign w:val="center"/>
            <w:hideMark/>
          </w:tcPr>
          <w:p w14:paraId="6E15817F" w14:textId="77777777" w:rsidR="00295832" w:rsidRPr="00295832" w:rsidRDefault="00295832" w:rsidP="00931C28">
            <w:pPr>
              <w:spacing w:before="0" w:after="0" w:line="240" w:lineRule="auto"/>
              <w:ind w:left="170"/>
              <w:rPr>
                <w:rFonts w:ascii="Arial" w:hAnsi="Arial" w:cs="Arial"/>
                <w:color w:val="000000"/>
                <w:sz w:val="16"/>
                <w:szCs w:val="16"/>
              </w:rPr>
            </w:pPr>
            <w:r w:rsidRPr="00295832">
              <w:rPr>
                <w:rFonts w:ascii="Arial" w:hAnsi="Arial" w:cs="Arial"/>
                <w:color w:val="000000"/>
                <w:sz w:val="16"/>
                <w:szCs w:val="16"/>
              </w:rPr>
              <w:t>General administration</w:t>
            </w:r>
          </w:p>
        </w:tc>
        <w:tc>
          <w:tcPr>
            <w:tcW w:w="506" w:type="pct"/>
            <w:tcBorders>
              <w:top w:val="nil"/>
              <w:left w:val="nil"/>
              <w:bottom w:val="single" w:sz="4" w:space="0" w:color="293F5B"/>
              <w:right w:val="nil"/>
            </w:tcBorders>
            <w:shd w:val="clear" w:color="000000" w:fill="FFFFFF"/>
            <w:noWrap/>
            <w:vAlign w:val="center"/>
            <w:hideMark/>
          </w:tcPr>
          <w:p w14:paraId="4A15CC63" w14:textId="77777777" w:rsidR="00295832" w:rsidRPr="00295832" w:rsidRDefault="00295832" w:rsidP="00295832">
            <w:pPr>
              <w:spacing w:before="0" w:after="0" w:line="240" w:lineRule="auto"/>
              <w:jc w:val="right"/>
              <w:rPr>
                <w:rFonts w:ascii="Arial" w:hAnsi="Arial" w:cs="Arial"/>
                <w:color w:val="000000"/>
                <w:sz w:val="16"/>
                <w:szCs w:val="16"/>
              </w:rPr>
            </w:pPr>
            <w:r w:rsidRPr="00295832">
              <w:rPr>
                <w:rFonts w:ascii="Arial" w:hAnsi="Arial" w:cs="Arial"/>
                <w:color w:val="000000"/>
                <w:sz w:val="16"/>
                <w:szCs w:val="16"/>
              </w:rPr>
              <w:t>5,224</w:t>
            </w:r>
          </w:p>
        </w:tc>
        <w:tc>
          <w:tcPr>
            <w:tcW w:w="56" w:type="pct"/>
            <w:tcBorders>
              <w:top w:val="nil"/>
              <w:left w:val="nil"/>
              <w:bottom w:val="nil"/>
              <w:right w:val="nil"/>
            </w:tcBorders>
            <w:shd w:val="clear" w:color="000000" w:fill="FFFFFF"/>
            <w:noWrap/>
            <w:vAlign w:val="center"/>
            <w:hideMark/>
          </w:tcPr>
          <w:p w14:paraId="414ED77E" w14:textId="77777777" w:rsidR="00295832" w:rsidRPr="00295832" w:rsidRDefault="00295832" w:rsidP="00295832">
            <w:pPr>
              <w:spacing w:before="0" w:after="0" w:line="240" w:lineRule="auto"/>
              <w:rPr>
                <w:rFonts w:ascii="Arial" w:hAnsi="Arial" w:cs="Arial"/>
                <w:color w:val="000000"/>
                <w:sz w:val="16"/>
                <w:szCs w:val="16"/>
              </w:rPr>
            </w:pPr>
            <w:r w:rsidRPr="00295832">
              <w:rPr>
                <w:rFonts w:ascii="Arial" w:hAnsi="Arial" w:cs="Arial"/>
                <w:color w:val="000000"/>
                <w:sz w:val="16"/>
                <w:szCs w:val="16"/>
              </w:rPr>
              <w:t> </w:t>
            </w:r>
          </w:p>
        </w:tc>
        <w:tc>
          <w:tcPr>
            <w:tcW w:w="498" w:type="pct"/>
            <w:tcBorders>
              <w:top w:val="nil"/>
              <w:left w:val="nil"/>
              <w:bottom w:val="single" w:sz="4" w:space="0" w:color="293F5B"/>
              <w:right w:val="nil"/>
            </w:tcBorders>
            <w:shd w:val="clear" w:color="000000" w:fill="FFFFFF"/>
            <w:noWrap/>
            <w:vAlign w:val="center"/>
            <w:hideMark/>
          </w:tcPr>
          <w:p w14:paraId="08ADDB56" w14:textId="77777777" w:rsidR="00295832" w:rsidRPr="00295832" w:rsidRDefault="00295832" w:rsidP="00295832">
            <w:pPr>
              <w:spacing w:before="0" w:after="0" w:line="240" w:lineRule="auto"/>
              <w:jc w:val="right"/>
              <w:rPr>
                <w:rFonts w:ascii="Arial" w:hAnsi="Arial" w:cs="Arial"/>
                <w:color w:val="000000"/>
                <w:sz w:val="16"/>
                <w:szCs w:val="16"/>
              </w:rPr>
            </w:pPr>
            <w:r w:rsidRPr="00295832">
              <w:rPr>
                <w:rFonts w:ascii="Arial" w:hAnsi="Arial" w:cs="Arial"/>
                <w:color w:val="000000"/>
                <w:sz w:val="16"/>
                <w:szCs w:val="16"/>
              </w:rPr>
              <w:t>4,951</w:t>
            </w:r>
          </w:p>
        </w:tc>
        <w:tc>
          <w:tcPr>
            <w:tcW w:w="497" w:type="pct"/>
            <w:tcBorders>
              <w:top w:val="nil"/>
              <w:left w:val="nil"/>
              <w:bottom w:val="single" w:sz="4" w:space="0" w:color="293F5B"/>
              <w:right w:val="nil"/>
            </w:tcBorders>
            <w:shd w:val="clear" w:color="000000" w:fill="E6F2FF"/>
            <w:noWrap/>
            <w:vAlign w:val="center"/>
            <w:hideMark/>
          </w:tcPr>
          <w:p w14:paraId="10C42E90" w14:textId="77777777" w:rsidR="00295832" w:rsidRPr="00295832" w:rsidRDefault="00295832" w:rsidP="00295832">
            <w:pPr>
              <w:spacing w:before="0" w:after="0" w:line="240" w:lineRule="auto"/>
              <w:jc w:val="right"/>
              <w:rPr>
                <w:rFonts w:ascii="Arial" w:hAnsi="Arial" w:cs="Arial"/>
                <w:color w:val="000000"/>
                <w:sz w:val="16"/>
                <w:szCs w:val="16"/>
              </w:rPr>
            </w:pPr>
            <w:r w:rsidRPr="00295832">
              <w:rPr>
                <w:rFonts w:ascii="Arial" w:hAnsi="Arial" w:cs="Arial"/>
                <w:color w:val="000000"/>
                <w:sz w:val="16"/>
                <w:szCs w:val="16"/>
              </w:rPr>
              <w:t>5,388</w:t>
            </w:r>
          </w:p>
        </w:tc>
        <w:tc>
          <w:tcPr>
            <w:tcW w:w="497" w:type="pct"/>
            <w:tcBorders>
              <w:top w:val="nil"/>
              <w:left w:val="nil"/>
              <w:bottom w:val="single" w:sz="4" w:space="0" w:color="293F5B"/>
              <w:right w:val="nil"/>
            </w:tcBorders>
            <w:shd w:val="clear" w:color="000000" w:fill="FFFFFF"/>
            <w:noWrap/>
            <w:vAlign w:val="center"/>
            <w:hideMark/>
          </w:tcPr>
          <w:p w14:paraId="513B0641" w14:textId="77777777" w:rsidR="00295832" w:rsidRPr="00295832" w:rsidRDefault="00295832" w:rsidP="00295832">
            <w:pPr>
              <w:spacing w:before="0" w:after="0" w:line="240" w:lineRule="auto"/>
              <w:jc w:val="right"/>
              <w:rPr>
                <w:rFonts w:ascii="Arial" w:hAnsi="Arial" w:cs="Arial"/>
                <w:color w:val="000000"/>
                <w:sz w:val="16"/>
                <w:szCs w:val="16"/>
              </w:rPr>
            </w:pPr>
            <w:r w:rsidRPr="00295832">
              <w:rPr>
                <w:rFonts w:ascii="Arial" w:hAnsi="Arial" w:cs="Arial"/>
                <w:color w:val="000000"/>
                <w:sz w:val="16"/>
                <w:szCs w:val="16"/>
              </w:rPr>
              <w:t>5,089</w:t>
            </w:r>
          </w:p>
        </w:tc>
        <w:tc>
          <w:tcPr>
            <w:tcW w:w="497" w:type="pct"/>
            <w:tcBorders>
              <w:top w:val="nil"/>
              <w:left w:val="nil"/>
              <w:bottom w:val="single" w:sz="4" w:space="0" w:color="293F5B"/>
              <w:right w:val="nil"/>
            </w:tcBorders>
            <w:shd w:val="clear" w:color="000000" w:fill="FFFFFF"/>
            <w:noWrap/>
            <w:vAlign w:val="center"/>
            <w:hideMark/>
          </w:tcPr>
          <w:p w14:paraId="606BD170" w14:textId="77777777" w:rsidR="00295832" w:rsidRPr="00295832" w:rsidRDefault="00295832" w:rsidP="00295832">
            <w:pPr>
              <w:spacing w:before="0" w:after="0" w:line="240" w:lineRule="auto"/>
              <w:jc w:val="right"/>
              <w:rPr>
                <w:rFonts w:ascii="Arial" w:hAnsi="Arial" w:cs="Arial"/>
                <w:color w:val="000000"/>
                <w:sz w:val="16"/>
                <w:szCs w:val="16"/>
              </w:rPr>
            </w:pPr>
            <w:r w:rsidRPr="00295832">
              <w:rPr>
                <w:rFonts w:ascii="Arial" w:hAnsi="Arial" w:cs="Arial"/>
                <w:color w:val="000000"/>
                <w:sz w:val="16"/>
                <w:szCs w:val="16"/>
              </w:rPr>
              <w:t>4,312</w:t>
            </w:r>
          </w:p>
        </w:tc>
        <w:tc>
          <w:tcPr>
            <w:tcW w:w="497" w:type="pct"/>
            <w:tcBorders>
              <w:top w:val="nil"/>
              <w:left w:val="nil"/>
              <w:bottom w:val="single" w:sz="4" w:space="0" w:color="293F5B"/>
              <w:right w:val="nil"/>
            </w:tcBorders>
            <w:shd w:val="clear" w:color="000000" w:fill="FFFFFF"/>
            <w:noWrap/>
            <w:vAlign w:val="center"/>
            <w:hideMark/>
          </w:tcPr>
          <w:p w14:paraId="234EB01F" w14:textId="77777777" w:rsidR="00295832" w:rsidRPr="00295832" w:rsidRDefault="00295832" w:rsidP="00295832">
            <w:pPr>
              <w:spacing w:before="0" w:after="0" w:line="240" w:lineRule="auto"/>
              <w:jc w:val="right"/>
              <w:rPr>
                <w:rFonts w:ascii="Arial" w:hAnsi="Arial" w:cs="Arial"/>
                <w:color w:val="000000"/>
                <w:sz w:val="16"/>
                <w:szCs w:val="16"/>
              </w:rPr>
            </w:pPr>
            <w:r w:rsidRPr="00295832">
              <w:rPr>
                <w:rFonts w:ascii="Arial" w:hAnsi="Arial" w:cs="Arial"/>
                <w:color w:val="000000"/>
                <w:sz w:val="16"/>
                <w:szCs w:val="16"/>
              </w:rPr>
              <w:t>4,338</w:t>
            </w:r>
          </w:p>
        </w:tc>
      </w:tr>
      <w:tr w:rsidR="00295832" w:rsidRPr="00295832" w14:paraId="3F874B9F" w14:textId="77777777" w:rsidTr="00931C28">
        <w:trPr>
          <w:divId w:val="779882756"/>
          <w:trHeight w:hRule="exact" w:val="225"/>
        </w:trPr>
        <w:tc>
          <w:tcPr>
            <w:tcW w:w="1950" w:type="pct"/>
            <w:tcBorders>
              <w:top w:val="nil"/>
              <w:left w:val="nil"/>
              <w:bottom w:val="nil"/>
              <w:right w:val="nil"/>
            </w:tcBorders>
            <w:shd w:val="clear" w:color="000000" w:fill="FFFFFF"/>
            <w:noWrap/>
            <w:vAlign w:val="center"/>
            <w:hideMark/>
          </w:tcPr>
          <w:p w14:paraId="28D8D74F" w14:textId="77777777" w:rsidR="00295832" w:rsidRPr="00295832" w:rsidRDefault="00295832" w:rsidP="00295832">
            <w:pPr>
              <w:spacing w:before="0" w:after="0" w:line="240" w:lineRule="auto"/>
              <w:rPr>
                <w:rFonts w:ascii="Arial" w:hAnsi="Arial" w:cs="Arial"/>
                <w:b/>
                <w:bCs/>
                <w:color w:val="000000"/>
                <w:sz w:val="16"/>
                <w:szCs w:val="16"/>
              </w:rPr>
            </w:pPr>
            <w:r w:rsidRPr="00295832">
              <w:rPr>
                <w:rFonts w:ascii="Arial" w:hAnsi="Arial" w:cs="Arial"/>
                <w:b/>
                <w:bCs/>
                <w:color w:val="000000"/>
                <w:sz w:val="16"/>
                <w:szCs w:val="16"/>
              </w:rPr>
              <w:t>Total social security and welfare</w:t>
            </w:r>
          </w:p>
        </w:tc>
        <w:tc>
          <w:tcPr>
            <w:tcW w:w="506" w:type="pct"/>
            <w:tcBorders>
              <w:top w:val="single" w:sz="4" w:space="0" w:color="293F5B"/>
              <w:left w:val="nil"/>
              <w:bottom w:val="single" w:sz="4" w:space="0" w:color="293F5B"/>
              <w:right w:val="nil"/>
            </w:tcBorders>
            <w:shd w:val="clear" w:color="000000" w:fill="FFFFFF"/>
            <w:noWrap/>
            <w:vAlign w:val="center"/>
            <w:hideMark/>
          </w:tcPr>
          <w:p w14:paraId="21C8C971" w14:textId="77777777" w:rsidR="00295832" w:rsidRPr="00295832" w:rsidRDefault="00295832" w:rsidP="00295832">
            <w:pPr>
              <w:spacing w:before="0" w:after="0" w:line="240" w:lineRule="auto"/>
              <w:jc w:val="right"/>
              <w:rPr>
                <w:rFonts w:ascii="Arial" w:hAnsi="Arial" w:cs="Arial"/>
                <w:b/>
                <w:bCs/>
                <w:color w:val="000000"/>
                <w:sz w:val="16"/>
                <w:szCs w:val="16"/>
              </w:rPr>
            </w:pPr>
            <w:r w:rsidRPr="00295832">
              <w:rPr>
                <w:rFonts w:ascii="Arial" w:hAnsi="Arial" w:cs="Arial"/>
                <w:b/>
                <w:bCs/>
                <w:color w:val="000000"/>
                <w:sz w:val="16"/>
                <w:szCs w:val="16"/>
              </w:rPr>
              <w:t>222,911</w:t>
            </w:r>
          </w:p>
        </w:tc>
        <w:tc>
          <w:tcPr>
            <w:tcW w:w="56" w:type="pct"/>
            <w:tcBorders>
              <w:top w:val="nil"/>
              <w:left w:val="nil"/>
              <w:bottom w:val="nil"/>
              <w:right w:val="nil"/>
            </w:tcBorders>
            <w:shd w:val="clear" w:color="000000" w:fill="FFFFFF"/>
            <w:noWrap/>
            <w:vAlign w:val="center"/>
            <w:hideMark/>
          </w:tcPr>
          <w:p w14:paraId="2EE4C26D" w14:textId="77777777" w:rsidR="00295832" w:rsidRPr="00295832" w:rsidRDefault="00295832" w:rsidP="00295832">
            <w:pPr>
              <w:spacing w:before="0" w:after="0" w:line="240" w:lineRule="auto"/>
              <w:rPr>
                <w:rFonts w:ascii="Arial" w:hAnsi="Arial" w:cs="Arial"/>
                <w:b/>
                <w:bCs/>
                <w:color w:val="000000"/>
                <w:sz w:val="16"/>
                <w:szCs w:val="16"/>
              </w:rPr>
            </w:pPr>
            <w:r w:rsidRPr="00295832">
              <w:rPr>
                <w:rFonts w:ascii="Arial" w:hAnsi="Arial" w:cs="Arial"/>
                <w:b/>
                <w:bCs/>
                <w:color w:val="000000"/>
                <w:sz w:val="16"/>
                <w:szCs w:val="16"/>
              </w:rPr>
              <w:t> </w:t>
            </w:r>
          </w:p>
        </w:tc>
        <w:tc>
          <w:tcPr>
            <w:tcW w:w="498" w:type="pct"/>
            <w:tcBorders>
              <w:top w:val="single" w:sz="4" w:space="0" w:color="293F5B"/>
              <w:left w:val="nil"/>
              <w:bottom w:val="single" w:sz="4" w:space="0" w:color="293F5B"/>
              <w:right w:val="nil"/>
            </w:tcBorders>
            <w:shd w:val="clear" w:color="000000" w:fill="FFFFFF"/>
            <w:noWrap/>
            <w:vAlign w:val="center"/>
            <w:hideMark/>
          </w:tcPr>
          <w:p w14:paraId="1903A94A" w14:textId="77777777" w:rsidR="00295832" w:rsidRPr="00295832" w:rsidRDefault="00295832" w:rsidP="00295832">
            <w:pPr>
              <w:spacing w:before="0" w:after="0" w:line="240" w:lineRule="auto"/>
              <w:jc w:val="right"/>
              <w:rPr>
                <w:rFonts w:ascii="Arial" w:hAnsi="Arial" w:cs="Arial"/>
                <w:b/>
                <w:bCs/>
                <w:color w:val="000000"/>
                <w:sz w:val="16"/>
                <w:szCs w:val="16"/>
              </w:rPr>
            </w:pPr>
            <w:r w:rsidRPr="00295832">
              <w:rPr>
                <w:rFonts w:ascii="Arial" w:hAnsi="Arial" w:cs="Arial"/>
                <w:b/>
                <w:bCs/>
                <w:color w:val="000000"/>
                <w:sz w:val="16"/>
                <w:szCs w:val="16"/>
              </w:rPr>
              <w:t>252,342</w:t>
            </w:r>
          </w:p>
        </w:tc>
        <w:tc>
          <w:tcPr>
            <w:tcW w:w="497" w:type="pct"/>
            <w:tcBorders>
              <w:top w:val="single" w:sz="4" w:space="0" w:color="293F5B"/>
              <w:left w:val="nil"/>
              <w:bottom w:val="single" w:sz="4" w:space="0" w:color="293F5B"/>
              <w:right w:val="nil"/>
            </w:tcBorders>
            <w:shd w:val="clear" w:color="000000" w:fill="E6F2FF"/>
            <w:noWrap/>
            <w:vAlign w:val="center"/>
            <w:hideMark/>
          </w:tcPr>
          <w:p w14:paraId="3C823F9E" w14:textId="77777777" w:rsidR="00295832" w:rsidRPr="00295832" w:rsidRDefault="00295832" w:rsidP="00295832">
            <w:pPr>
              <w:spacing w:before="0" w:after="0" w:line="240" w:lineRule="auto"/>
              <w:jc w:val="right"/>
              <w:rPr>
                <w:rFonts w:ascii="Arial" w:hAnsi="Arial" w:cs="Arial"/>
                <w:b/>
                <w:bCs/>
                <w:color w:val="000000"/>
                <w:sz w:val="16"/>
                <w:szCs w:val="16"/>
              </w:rPr>
            </w:pPr>
            <w:r w:rsidRPr="00295832">
              <w:rPr>
                <w:rFonts w:ascii="Arial" w:hAnsi="Arial" w:cs="Arial"/>
                <w:b/>
                <w:bCs/>
                <w:color w:val="000000"/>
                <w:sz w:val="16"/>
                <w:szCs w:val="16"/>
              </w:rPr>
              <w:t>266,693</w:t>
            </w:r>
          </w:p>
        </w:tc>
        <w:tc>
          <w:tcPr>
            <w:tcW w:w="497" w:type="pct"/>
            <w:tcBorders>
              <w:top w:val="single" w:sz="4" w:space="0" w:color="293F5B"/>
              <w:left w:val="nil"/>
              <w:bottom w:val="single" w:sz="4" w:space="0" w:color="293F5B"/>
              <w:right w:val="nil"/>
            </w:tcBorders>
            <w:shd w:val="clear" w:color="000000" w:fill="FFFFFF"/>
            <w:noWrap/>
            <w:vAlign w:val="center"/>
            <w:hideMark/>
          </w:tcPr>
          <w:p w14:paraId="6BCF7207" w14:textId="77777777" w:rsidR="00295832" w:rsidRPr="00295832" w:rsidRDefault="00295832" w:rsidP="00295832">
            <w:pPr>
              <w:spacing w:before="0" w:after="0" w:line="240" w:lineRule="auto"/>
              <w:jc w:val="right"/>
              <w:rPr>
                <w:rFonts w:ascii="Arial" w:hAnsi="Arial" w:cs="Arial"/>
                <w:b/>
                <w:bCs/>
                <w:color w:val="000000"/>
                <w:sz w:val="16"/>
                <w:szCs w:val="16"/>
              </w:rPr>
            </w:pPr>
            <w:r w:rsidRPr="00295832">
              <w:rPr>
                <w:rFonts w:ascii="Arial" w:hAnsi="Arial" w:cs="Arial"/>
                <w:b/>
                <w:bCs/>
                <w:color w:val="000000"/>
                <w:sz w:val="16"/>
                <w:szCs w:val="16"/>
              </w:rPr>
              <w:t>282,057</w:t>
            </w:r>
          </w:p>
        </w:tc>
        <w:tc>
          <w:tcPr>
            <w:tcW w:w="497" w:type="pct"/>
            <w:tcBorders>
              <w:top w:val="single" w:sz="4" w:space="0" w:color="293F5B"/>
              <w:left w:val="nil"/>
              <w:bottom w:val="single" w:sz="4" w:space="0" w:color="293F5B"/>
              <w:right w:val="nil"/>
            </w:tcBorders>
            <w:shd w:val="clear" w:color="000000" w:fill="FFFFFF"/>
            <w:noWrap/>
            <w:vAlign w:val="center"/>
            <w:hideMark/>
          </w:tcPr>
          <w:p w14:paraId="10566A63" w14:textId="77777777" w:rsidR="00295832" w:rsidRPr="00295832" w:rsidRDefault="00295832" w:rsidP="00295832">
            <w:pPr>
              <w:spacing w:before="0" w:after="0" w:line="240" w:lineRule="auto"/>
              <w:jc w:val="right"/>
              <w:rPr>
                <w:rFonts w:ascii="Arial" w:hAnsi="Arial" w:cs="Arial"/>
                <w:b/>
                <w:bCs/>
                <w:color w:val="000000"/>
                <w:sz w:val="16"/>
                <w:szCs w:val="16"/>
              </w:rPr>
            </w:pPr>
            <w:r w:rsidRPr="00295832">
              <w:rPr>
                <w:rFonts w:ascii="Arial" w:hAnsi="Arial" w:cs="Arial"/>
                <w:b/>
                <w:bCs/>
                <w:color w:val="000000"/>
                <w:sz w:val="16"/>
                <w:szCs w:val="16"/>
              </w:rPr>
              <w:t>290,665</w:t>
            </w:r>
          </w:p>
        </w:tc>
        <w:tc>
          <w:tcPr>
            <w:tcW w:w="497" w:type="pct"/>
            <w:tcBorders>
              <w:top w:val="single" w:sz="4" w:space="0" w:color="293F5B"/>
              <w:left w:val="nil"/>
              <w:bottom w:val="single" w:sz="4" w:space="0" w:color="293F5B"/>
              <w:right w:val="nil"/>
            </w:tcBorders>
            <w:shd w:val="clear" w:color="000000" w:fill="FFFFFF"/>
            <w:noWrap/>
            <w:vAlign w:val="center"/>
            <w:hideMark/>
          </w:tcPr>
          <w:p w14:paraId="5E3C048C" w14:textId="77777777" w:rsidR="00295832" w:rsidRPr="00295832" w:rsidRDefault="00295832" w:rsidP="00295832">
            <w:pPr>
              <w:spacing w:before="0" w:after="0" w:line="240" w:lineRule="auto"/>
              <w:jc w:val="right"/>
              <w:rPr>
                <w:rFonts w:ascii="Arial" w:hAnsi="Arial" w:cs="Arial"/>
                <w:b/>
                <w:bCs/>
                <w:color w:val="000000"/>
                <w:sz w:val="16"/>
                <w:szCs w:val="16"/>
              </w:rPr>
            </w:pPr>
            <w:r w:rsidRPr="00295832">
              <w:rPr>
                <w:rFonts w:ascii="Arial" w:hAnsi="Arial" w:cs="Arial"/>
                <w:b/>
                <w:bCs/>
                <w:color w:val="000000"/>
                <w:sz w:val="16"/>
                <w:szCs w:val="16"/>
              </w:rPr>
              <w:t>304,093</w:t>
            </w:r>
          </w:p>
        </w:tc>
      </w:tr>
      <w:tr w:rsidR="00295832" w:rsidRPr="00295832" w14:paraId="7DC7227D" w14:textId="77777777" w:rsidTr="00931C28">
        <w:trPr>
          <w:divId w:val="779882756"/>
          <w:trHeight w:hRule="exact" w:val="60"/>
        </w:trPr>
        <w:tc>
          <w:tcPr>
            <w:tcW w:w="1950" w:type="pct"/>
            <w:tcBorders>
              <w:top w:val="nil"/>
              <w:left w:val="nil"/>
              <w:bottom w:val="nil"/>
              <w:right w:val="nil"/>
            </w:tcBorders>
            <w:shd w:val="clear" w:color="000000" w:fill="FFFFFF"/>
            <w:noWrap/>
            <w:vAlign w:val="center"/>
            <w:hideMark/>
          </w:tcPr>
          <w:p w14:paraId="446CE7A8" w14:textId="77777777" w:rsidR="00295832" w:rsidRPr="00295832" w:rsidRDefault="00295832" w:rsidP="00295832">
            <w:pPr>
              <w:spacing w:before="0" w:after="0" w:line="240" w:lineRule="auto"/>
              <w:rPr>
                <w:rFonts w:ascii="Arial" w:hAnsi="Arial" w:cs="Arial"/>
                <w:color w:val="000000"/>
                <w:sz w:val="16"/>
                <w:szCs w:val="16"/>
              </w:rPr>
            </w:pPr>
            <w:r w:rsidRPr="00295832">
              <w:rPr>
                <w:rFonts w:ascii="Arial" w:hAnsi="Arial" w:cs="Arial"/>
                <w:color w:val="000000"/>
                <w:sz w:val="16"/>
                <w:szCs w:val="16"/>
              </w:rPr>
              <w:t> </w:t>
            </w:r>
          </w:p>
        </w:tc>
        <w:tc>
          <w:tcPr>
            <w:tcW w:w="506" w:type="pct"/>
            <w:tcBorders>
              <w:top w:val="single" w:sz="4" w:space="0" w:color="293F5B"/>
              <w:left w:val="nil"/>
              <w:bottom w:val="nil"/>
              <w:right w:val="nil"/>
            </w:tcBorders>
            <w:shd w:val="clear" w:color="000000" w:fill="FFFFFF"/>
            <w:noWrap/>
            <w:vAlign w:val="center"/>
            <w:hideMark/>
          </w:tcPr>
          <w:p w14:paraId="20FFEA28" w14:textId="77777777" w:rsidR="00295832" w:rsidRPr="00295832" w:rsidRDefault="00295832" w:rsidP="00295832">
            <w:pPr>
              <w:spacing w:before="0" w:after="0" w:line="240" w:lineRule="auto"/>
              <w:rPr>
                <w:rFonts w:ascii="Arial" w:hAnsi="Arial" w:cs="Arial"/>
                <w:color w:val="000000"/>
                <w:sz w:val="16"/>
                <w:szCs w:val="16"/>
              </w:rPr>
            </w:pPr>
            <w:r w:rsidRPr="00295832">
              <w:rPr>
                <w:rFonts w:ascii="Arial" w:hAnsi="Arial" w:cs="Arial"/>
                <w:color w:val="000000"/>
                <w:sz w:val="16"/>
                <w:szCs w:val="16"/>
              </w:rPr>
              <w:t> </w:t>
            </w:r>
          </w:p>
        </w:tc>
        <w:tc>
          <w:tcPr>
            <w:tcW w:w="56" w:type="pct"/>
            <w:tcBorders>
              <w:top w:val="nil"/>
              <w:left w:val="nil"/>
              <w:bottom w:val="nil"/>
              <w:right w:val="nil"/>
            </w:tcBorders>
            <w:shd w:val="clear" w:color="000000" w:fill="FFFFFF"/>
            <w:noWrap/>
            <w:vAlign w:val="center"/>
            <w:hideMark/>
          </w:tcPr>
          <w:p w14:paraId="14C6B702" w14:textId="77777777" w:rsidR="00295832" w:rsidRPr="00295832" w:rsidRDefault="00295832" w:rsidP="00295832">
            <w:pPr>
              <w:spacing w:before="0" w:after="0" w:line="240" w:lineRule="auto"/>
              <w:rPr>
                <w:rFonts w:ascii="Arial" w:hAnsi="Arial" w:cs="Arial"/>
                <w:color w:val="000000"/>
                <w:sz w:val="16"/>
                <w:szCs w:val="16"/>
              </w:rPr>
            </w:pPr>
            <w:r w:rsidRPr="00295832">
              <w:rPr>
                <w:rFonts w:ascii="Arial" w:hAnsi="Arial" w:cs="Arial"/>
                <w:color w:val="000000"/>
                <w:sz w:val="16"/>
                <w:szCs w:val="16"/>
              </w:rPr>
              <w:t> </w:t>
            </w:r>
          </w:p>
        </w:tc>
        <w:tc>
          <w:tcPr>
            <w:tcW w:w="498" w:type="pct"/>
            <w:tcBorders>
              <w:top w:val="single" w:sz="4" w:space="0" w:color="293F5B"/>
              <w:left w:val="nil"/>
              <w:bottom w:val="nil"/>
              <w:right w:val="nil"/>
            </w:tcBorders>
            <w:shd w:val="clear" w:color="000000" w:fill="FFFFFF"/>
            <w:noWrap/>
            <w:vAlign w:val="center"/>
            <w:hideMark/>
          </w:tcPr>
          <w:p w14:paraId="26677D3A" w14:textId="77777777" w:rsidR="00295832" w:rsidRPr="00295832" w:rsidRDefault="00295832" w:rsidP="00295832">
            <w:pPr>
              <w:spacing w:before="0" w:after="0" w:line="240" w:lineRule="auto"/>
              <w:rPr>
                <w:rFonts w:ascii="Arial" w:hAnsi="Arial" w:cs="Arial"/>
                <w:color w:val="000000"/>
                <w:sz w:val="16"/>
                <w:szCs w:val="16"/>
              </w:rPr>
            </w:pPr>
            <w:r w:rsidRPr="00295832">
              <w:rPr>
                <w:rFonts w:ascii="Arial" w:hAnsi="Arial" w:cs="Arial"/>
                <w:color w:val="000000"/>
                <w:sz w:val="16"/>
                <w:szCs w:val="16"/>
              </w:rPr>
              <w:t> </w:t>
            </w:r>
          </w:p>
        </w:tc>
        <w:tc>
          <w:tcPr>
            <w:tcW w:w="497" w:type="pct"/>
            <w:tcBorders>
              <w:top w:val="single" w:sz="4" w:space="0" w:color="293F5B"/>
              <w:left w:val="nil"/>
              <w:bottom w:val="nil"/>
              <w:right w:val="nil"/>
            </w:tcBorders>
            <w:shd w:val="clear" w:color="000000" w:fill="E6F2FF"/>
            <w:noWrap/>
            <w:vAlign w:val="center"/>
            <w:hideMark/>
          </w:tcPr>
          <w:p w14:paraId="6B3BE811" w14:textId="77777777" w:rsidR="00295832" w:rsidRPr="00295832" w:rsidRDefault="00295832" w:rsidP="00295832">
            <w:pPr>
              <w:spacing w:before="0" w:after="0" w:line="240" w:lineRule="auto"/>
              <w:rPr>
                <w:rFonts w:ascii="Arial" w:hAnsi="Arial" w:cs="Arial"/>
                <w:color w:val="000000"/>
                <w:sz w:val="16"/>
                <w:szCs w:val="16"/>
              </w:rPr>
            </w:pPr>
            <w:r w:rsidRPr="00295832">
              <w:rPr>
                <w:rFonts w:ascii="Arial" w:hAnsi="Arial" w:cs="Arial"/>
                <w:color w:val="000000"/>
                <w:sz w:val="16"/>
                <w:szCs w:val="16"/>
              </w:rPr>
              <w:t> </w:t>
            </w:r>
          </w:p>
        </w:tc>
        <w:tc>
          <w:tcPr>
            <w:tcW w:w="497" w:type="pct"/>
            <w:tcBorders>
              <w:top w:val="single" w:sz="4" w:space="0" w:color="293F5B"/>
              <w:left w:val="nil"/>
              <w:bottom w:val="nil"/>
              <w:right w:val="nil"/>
            </w:tcBorders>
            <w:shd w:val="clear" w:color="000000" w:fill="FFFFFF"/>
            <w:noWrap/>
            <w:vAlign w:val="center"/>
            <w:hideMark/>
          </w:tcPr>
          <w:p w14:paraId="7442D7BF" w14:textId="77777777" w:rsidR="00295832" w:rsidRPr="00295832" w:rsidRDefault="00295832" w:rsidP="00295832">
            <w:pPr>
              <w:spacing w:before="0" w:after="0" w:line="240" w:lineRule="auto"/>
              <w:rPr>
                <w:rFonts w:ascii="Arial" w:hAnsi="Arial" w:cs="Arial"/>
                <w:color w:val="000000"/>
                <w:sz w:val="16"/>
                <w:szCs w:val="16"/>
              </w:rPr>
            </w:pPr>
            <w:r w:rsidRPr="00295832">
              <w:rPr>
                <w:rFonts w:ascii="Arial" w:hAnsi="Arial" w:cs="Arial"/>
                <w:color w:val="000000"/>
                <w:sz w:val="16"/>
                <w:szCs w:val="16"/>
              </w:rPr>
              <w:t> </w:t>
            </w:r>
          </w:p>
        </w:tc>
        <w:tc>
          <w:tcPr>
            <w:tcW w:w="497" w:type="pct"/>
            <w:tcBorders>
              <w:top w:val="single" w:sz="4" w:space="0" w:color="293F5B"/>
              <w:left w:val="nil"/>
              <w:bottom w:val="nil"/>
              <w:right w:val="nil"/>
            </w:tcBorders>
            <w:shd w:val="clear" w:color="000000" w:fill="FFFFFF"/>
            <w:noWrap/>
            <w:vAlign w:val="center"/>
            <w:hideMark/>
          </w:tcPr>
          <w:p w14:paraId="435BB917" w14:textId="77777777" w:rsidR="00295832" w:rsidRPr="00295832" w:rsidRDefault="00295832" w:rsidP="00295832">
            <w:pPr>
              <w:spacing w:before="0" w:after="0" w:line="240" w:lineRule="auto"/>
              <w:rPr>
                <w:rFonts w:ascii="Arial" w:hAnsi="Arial" w:cs="Arial"/>
                <w:color w:val="000000"/>
                <w:sz w:val="16"/>
                <w:szCs w:val="16"/>
              </w:rPr>
            </w:pPr>
            <w:r w:rsidRPr="00295832">
              <w:rPr>
                <w:rFonts w:ascii="Arial" w:hAnsi="Arial" w:cs="Arial"/>
                <w:color w:val="000000"/>
                <w:sz w:val="16"/>
                <w:szCs w:val="16"/>
              </w:rPr>
              <w:t> </w:t>
            </w:r>
          </w:p>
        </w:tc>
        <w:tc>
          <w:tcPr>
            <w:tcW w:w="497" w:type="pct"/>
            <w:tcBorders>
              <w:top w:val="single" w:sz="4" w:space="0" w:color="293F5B"/>
              <w:left w:val="nil"/>
              <w:bottom w:val="nil"/>
              <w:right w:val="nil"/>
            </w:tcBorders>
            <w:shd w:val="clear" w:color="000000" w:fill="FFFFFF"/>
            <w:noWrap/>
            <w:vAlign w:val="center"/>
            <w:hideMark/>
          </w:tcPr>
          <w:p w14:paraId="30D88731" w14:textId="77777777" w:rsidR="00295832" w:rsidRPr="00295832" w:rsidRDefault="00295832" w:rsidP="00295832">
            <w:pPr>
              <w:spacing w:before="0" w:after="0" w:line="240" w:lineRule="auto"/>
              <w:rPr>
                <w:rFonts w:ascii="Arial" w:hAnsi="Arial" w:cs="Arial"/>
                <w:color w:val="000000"/>
                <w:sz w:val="16"/>
                <w:szCs w:val="16"/>
              </w:rPr>
            </w:pPr>
            <w:r w:rsidRPr="00295832">
              <w:rPr>
                <w:rFonts w:ascii="Arial" w:hAnsi="Arial" w:cs="Arial"/>
                <w:color w:val="000000"/>
                <w:sz w:val="16"/>
                <w:szCs w:val="16"/>
              </w:rPr>
              <w:t> </w:t>
            </w:r>
          </w:p>
        </w:tc>
      </w:tr>
      <w:tr w:rsidR="00295832" w:rsidRPr="00295832" w14:paraId="66DE3BC2" w14:textId="77777777" w:rsidTr="00931C28">
        <w:trPr>
          <w:divId w:val="779882756"/>
          <w:trHeight w:hRule="exact" w:val="225"/>
        </w:trPr>
        <w:tc>
          <w:tcPr>
            <w:tcW w:w="1950" w:type="pct"/>
            <w:tcBorders>
              <w:top w:val="nil"/>
              <w:left w:val="nil"/>
              <w:bottom w:val="nil"/>
              <w:right w:val="nil"/>
            </w:tcBorders>
            <w:shd w:val="clear" w:color="000000" w:fill="FFFFFF"/>
            <w:noWrap/>
            <w:vAlign w:val="center"/>
            <w:hideMark/>
          </w:tcPr>
          <w:p w14:paraId="5B82FE62" w14:textId="77777777" w:rsidR="00295832" w:rsidRPr="00295832" w:rsidRDefault="00295832" w:rsidP="00295832">
            <w:pPr>
              <w:spacing w:before="0" w:after="0" w:line="240" w:lineRule="auto"/>
              <w:rPr>
                <w:rFonts w:ascii="Arial" w:hAnsi="Arial" w:cs="Arial"/>
                <w:b/>
                <w:bCs/>
                <w:color w:val="000000"/>
                <w:sz w:val="16"/>
                <w:szCs w:val="16"/>
              </w:rPr>
            </w:pPr>
            <w:r w:rsidRPr="00295832">
              <w:rPr>
                <w:rFonts w:ascii="Arial" w:hAnsi="Arial" w:cs="Arial"/>
                <w:b/>
                <w:bCs/>
                <w:color w:val="000000"/>
                <w:sz w:val="16"/>
                <w:szCs w:val="16"/>
              </w:rPr>
              <w:t xml:space="preserve">Housing and community </w:t>
            </w:r>
          </w:p>
        </w:tc>
        <w:tc>
          <w:tcPr>
            <w:tcW w:w="506" w:type="pct"/>
            <w:tcBorders>
              <w:top w:val="nil"/>
              <w:left w:val="nil"/>
              <w:bottom w:val="nil"/>
              <w:right w:val="nil"/>
            </w:tcBorders>
            <w:shd w:val="clear" w:color="000000" w:fill="FFFFFF"/>
            <w:noWrap/>
            <w:vAlign w:val="center"/>
            <w:hideMark/>
          </w:tcPr>
          <w:p w14:paraId="4B65E1DF" w14:textId="77777777" w:rsidR="00295832" w:rsidRPr="00295832" w:rsidRDefault="00295832" w:rsidP="00295832">
            <w:pPr>
              <w:spacing w:before="0" w:after="0" w:line="240" w:lineRule="auto"/>
              <w:rPr>
                <w:rFonts w:ascii="Arial" w:hAnsi="Arial" w:cs="Arial"/>
                <w:color w:val="000000"/>
                <w:sz w:val="16"/>
                <w:szCs w:val="16"/>
              </w:rPr>
            </w:pPr>
            <w:r w:rsidRPr="00295832">
              <w:rPr>
                <w:rFonts w:ascii="Arial" w:hAnsi="Arial" w:cs="Arial"/>
                <w:color w:val="000000"/>
                <w:sz w:val="16"/>
                <w:szCs w:val="16"/>
              </w:rPr>
              <w:t> </w:t>
            </w:r>
          </w:p>
        </w:tc>
        <w:tc>
          <w:tcPr>
            <w:tcW w:w="56" w:type="pct"/>
            <w:tcBorders>
              <w:top w:val="nil"/>
              <w:left w:val="nil"/>
              <w:bottom w:val="nil"/>
              <w:right w:val="nil"/>
            </w:tcBorders>
            <w:shd w:val="clear" w:color="000000" w:fill="FFFFFF"/>
            <w:noWrap/>
            <w:vAlign w:val="center"/>
            <w:hideMark/>
          </w:tcPr>
          <w:p w14:paraId="1E9713E9" w14:textId="77777777" w:rsidR="00295832" w:rsidRPr="00295832" w:rsidRDefault="00295832" w:rsidP="00295832">
            <w:pPr>
              <w:spacing w:before="0" w:after="0" w:line="240" w:lineRule="auto"/>
              <w:rPr>
                <w:rFonts w:ascii="Arial" w:hAnsi="Arial" w:cs="Arial"/>
                <w:color w:val="000000"/>
                <w:sz w:val="16"/>
                <w:szCs w:val="16"/>
              </w:rPr>
            </w:pPr>
            <w:r w:rsidRPr="00295832">
              <w:rPr>
                <w:rFonts w:ascii="Arial" w:hAnsi="Arial" w:cs="Arial"/>
                <w:color w:val="000000"/>
                <w:sz w:val="16"/>
                <w:szCs w:val="16"/>
              </w:rPr>
              <w:t> </w:t>
            </w:r>
          </w:p>
        </w:tc>
        <w:tc>
          <w:tcPr>
            <w:tcW w:w="498" w:type="pct"/>
            <w:tcBorders>
              <w:top w:val="nil"/>
              <w:left w:val="nil"/>
              <w:bottom w:val="nil"/>
              <w:right w:val="nil"/>
            </w:tcBorders>
            <w:shd w:val="clear" w:color="000000" w:fill="FFFFFF"/>
            <w:noWrap/>
            <w:vAlign w:val="center"/>
            <w:hideMark/>
          </w:tcPr>
          <w:p w14:paraId="24E39AB4" w14:textId="77777777" w:rsidR="00295832" w:rsidRPr="00295832" w:rsidRDefault="00295832" w:rsidP="00295832">
            <w:pPr>
              <w:spacing w:before="0" w:after="0" w:line="240" w:lineRule="auto"/>
              <w:rPr>
                <w:rFonts w:ascii="Arial" w:hAnsi="Arial" w:cs="Arial"/>
                <w:color w:val="000000"/>
                <w:sz w:val="16"/>
                <w:szCs w:val="16"/>
              </w:rPr>
            </w:pPr>
            <w:r w:rsidRPr="00295832">
              <w:rPr>
                <w:rFonts w:ascii="Arial" w:hAnsi="Arial" w:cs="Arial"/>
                <w:color w:val="000000"/>
                <w:sz w:val="16"/>
                <w:szCs w:val="16"/>
              </w:rPr>
              <w:t> </w:t>
            </w:r>
          </w:p>
        </w:tc>
        <w:tc>
          <w:tcPr>
            <w:tcW w:w="497" w:type="pct"/>
            <w:tcBorders>
              <w:top w:val="nil"/>
              <w:left w:val="nil"/>
              <w:bottom w:val="nil"/>
              <w:right w:val="nil"/>
            </w:tcBorders>
            <w:shd w:val="clear" w:color="000000" w:fill="E6F2FF"/>
            <w:noWrap/>
            <w:vAlign w:val="center"/>
            <w:hideMark/>
          </w:tcPr>
          <w:p w14:paraId="4AB2A2B0" w14:textId="77777777" w:rsidR="00295832" w:rsidRPr="00295832" w:rsidRDefault="00295832" w:rsidP="00295832">
            <w:pPr>
              <w:spacing w:before="0" w:after="0" w:line="240" w:lineRule="auto"/>
              <w:rPr>
                <w:rFonts w:ascii="Arial" w:hAnsi="Arial" w:cs="Arial"/>
                <w:color w:val="000000"/>
                <w:sz w:val="16"/>
                <w:szCs w:val="16"/>
              </w:rPr>
            </w:pPr>
            <w:r w:rsidRPr="00295832">
              <w:rPr>
                <w:rFonts w:ascii="Arial" w:hAnsi="Arial" w:cs="Arial"/>
                <w:color w:val="000000"/>
                <w:sz w:val="16"/>
                <w:szCs w:val="16"/>
              </w:rPr>
              <w:t> </w:t>
            </w:r>
          </w:p>
        </w:tc>
        <w:tc>
          <w:tcPr>
            <w:tcW w:w="497" w:type="pct"/>
            <w:tcBorders>
              <w:top w:val="nil"/>
              <w:left w:val="nil"/>
              <w:bottom w:val="nil"/>
              <w:right w:val="nil"/>
            </w:tcBorders>
            <w:shd w:val="clear" w:color="000000" w:fill="FFFFFF"/>
            <w:noWrap/>
            <w:vAlign w:val="center"/>
            <w:hideMark/>
          </w:tcPr>
          <w:p w14:paraId="421815BA" w14:textId="77777777" w:rsidR="00295832" w:rsidRPr="00295832" w:rsidRDefault="00295832" w:rsidP="00295832">
            <w:pPr>
              <w:spacing w:before="0" w:after="0" w:line="240" w:lineRule="auto"/>
              <w:rPr>
                <w:rFonts w:ascii="Arial" w:hAnsi="Arial" w:cs="Arial"/>
                <w:color w:val="000000"/>
                <w:sz w:val="16"/>
                <w:szCs w:val="16"/>
              </w:rPr>
            </w:pPr>
            <w:r w:rsidRPr="00295832">
              <w:rPr>
                <w:rFonts w:ascii="Arial" w:hAnsi="Arial" w:cs="Arial"/>
                <w:color w:val="000000"/>
                <w:sz w:val="16"/>
                <w:szCs w:val="16"/>
              </w:rPr>
              <w:t> </w:t>
            </w:r>
          </w:p>
        </w:tc>
        <w:tc>
          <w:tcPr>
            <w:tcW w:w="497" w:type="pct"/>
            <w:tcBorders>
              <w:top w:val="nil"/>
              <w:left w:val="nil"/>
              <w:bottom w:val="nil"/>
              <w:right w:val="nil"/>
            </w:tcBorders>
            <w:shd w:val="clear" w:color="000000" w:fill="FFFFFF"/>
            <w:noWrap/>
            <w:vAlign w:val="center"/>
            <w:hideMark/>
          </w:tcPr>
          <w:p w14:paraId="3106479B" w14:textId="77777777" w:rsidR="00295832" w:rsidRPr="00295832" w:rsidRDefault="00295832" w:rsidP="00295832">
            <w:pPr>
              <w:spacing w:before="0" w:after="0" w:line="240" w:lineRule="auto"/>
              <w:rPr>
                <w:rFonts w:ascii="Arial" w:hAnsi="Arial" w:cs="Arial"/>
                <w:color w:val="000000"/>
                <w:sz w:val="16"/>
                <w:szCs w:val="16"/>
              </w:rPr>
            </w:pPr>
            <w:r w:rsidRPr="00295832">
              <w:rPr>
                <w:rFonts w:ascii="Arial" w:hAnsi="Arial" w:cs="Arial"/>
                <w:color w:val="000000"/>
                <w:sz w:val="16"/>
                <w:szCs w:val="16"/>
              </w:rPr>
              <w:t> </w:t>
            </w:r>
          </w:p>
        </w:tc>
        <w:tc>
          <w:tcPr>
            <w:tcW w:w="497" w:type="pct"/>
            <w:tcBorders>
              <w:top w:val="nil"/>
              <w:left w:val="nil"/>
              <w:bottom w:val="nil"/>
              <w:right w:val="nil"/>
            </w:tcBorders>
            <w:shd w:val="clear" w:color="000000" w:fill="FFFFFF"/>
            <w:noWrap/>
            <w:vAlign w:val="center"/>
            <w:hideMark/>
          </w:tcPr>
          <w:p w14:paraId="58F5C047" w14:textId="77777777" w:rsidR="00295832" w:rsidRPr="00295832" w:rsidRDefault="00295832" w:rsidP="00295832">
            <w:pPr>
              <w:spacing w:before="0" w:after="0" w:line="240" w:lineRule="auto"/>
              <w:rPr>
                <w:rFonts w:ascii="Arial" w:hAnsi="Arial" w:cs="Arial"/>
                <w:color w:val="000000"/>
                <w:sz w:val="16"/>
                <w:szCs w:val="16"/>
              </w:rPr>
            </w:pPr>
            <w:r w:rsidRPr="00295832">
              <w:rPr>
                <w:rFonts w:ascii="Arial" w:hAnsi="Arial" w:cs="Arial"/>
                <w:color w:val="000000"/>
                <w:sz w:val="16"/>
                <w:szCs w:val="16"/>
              </w:rPr>
              <w:t> </w:t>
            </w:r>
          </w:p>
        </w:tc>
      </w:tr>
      <w:tr w:rsidR="00295832" w:rsidRPr="00295832" w14:paraId="4E39A4E4" w14:textId="77777777" w:rsidTr="00931C28">
        <w:trPr>
          <w:divId w:val="779882756"/>
          <w:trHeight w:hRule="exact" w:val="225"/>
        </w:trPr>
        <w:tc>
          <w:tcPr>
            <w:tcW w:w="1950" w:type="pct"/>
            <w:tcBorders>
              <w:top w:val="nil"/>
              <w:left w:val="nil"/>
              <w:bottom w:val="nil"/>
              <w:right w:val="nil"/>
            </w:tcBorders>
            <w:shd w:val="clear" w:color="000000" w:fill="FFFFFF"/>
            <w:noWrap/>
            <w:vAlign w:val="center"/>
            <w:hideMark/>
          </w:tcPr>
          <w:p w14:paraId="76A764C1" w14:textId="77777777" w:rsidR="00295832" w:rsidRPr="00295832" w:rsidRDefault="00295832" w:rsidP="00931C28">
            <w:pPr>
              <w:spacing w:before="0" w:after="0" w:line="240" w:lineRule="auto"/>
              <w:ind w:left="170"/>
              <w:rPr>
                <w:rFonts w:ascii="Arial" w:hAnsi="Arial" w:cs="Arial"/>
                <w:b/>
                <w:bCs/>
                <w:color w:val="000000"/>
                <w:sz w:val="16"/>
                <w:szCs w:val="16"/>
              </w:rPr>
            </w:pPr>
            <w:r w:rsidRPr="00295832">
              <w:rPr>
                <w:rFonts w:ascii="Arial" w:hAnsi="Arial" w:cs="Arial"/>
                <w:b/>
                <w:bCs/>
                <w:color w:val="000000"/>
                <w:sz w:val="16"/>
                <w:szCs w:val="16"/>
              </w:rPr>
              <w:t>amenities</w:t>
            </w:r>
          </w:p>
        </w:tc>
        <w:tc>
          <w:tcPr>
            <w:tcW w:w="506" w:type="pct"/>
            <w:tcBorders>
              <w:top w:val="nil"/>
              <w:left w:val="nil"/>
              <w:bottom w:val="nil"/>
              <w:right w:val="nil"/>
            </w:tcBorders>
            <w:shd w:val="clear" w:color="000000" w:fill="FFFFFF"/>
            <w:noWrap/>
            <w:vAlign w:val="center"/>
            <w:hideMark/>
          </w:tcPr>
          <w:p w14:paraId="0ED133CE" w14:textId="77777777" w:rsidR="00295832" w:rsidRPr="00295832" w:rsidRDefault="00295832" w:rsidP="00295832">
            <w:pPr>
              <w:spacing w:before="0" w:after="0" w:line="240" w:lineRule="auto"/>
              <w:rPr>
                <w:rFonts w:ascii="Arial" w:hAnsi="Arial" w:cs="Arial"/>
                <w:color w:val="000000"/>
                <w:sz w:val="16"/>
                <w:szCs w:val="16"/>
              </w:rPr>
            </w:pPr>
            <w:r w:rsidRPr="00295832">
              <w:rPr>
                <w:rFonts w:ascii="Arial" w:hAnsi="Arial" w:cs="Arial"/>
                <w:color w:val="000000"/>
                <w:sz w:val="16"/>
                <w:szCs w:val="16"/>
              </w:rPr>
              <w:t> </w:t>
            </w:r>
          </w:p>
        </w:tc>
        <w:tc>
          <w:tcPr>
            <w:tcW w:w="56" w:type="pct"/>
            <w:tcBorders>
              <w:top w:val="nil"/>
              <w:left w:val="nil"/>
              <w:bottom w:val="nil"/>
              <w:right w:val="nil"/>
            </w:tcBorders>
            <w:shd w:val="clear" w:color="000000" w:fill="FFFFFF"/>
            <w:noWrap/>
            <w:vAlign w:val="center"/>
            <w:hideMark/>
          </w:tcPr>
          <w:p w14:paraId="0ABD2AB3" w14:textId="77777777" w:rsidR="00295832" w:rsidRPr="00295832" w:rsidRDefault="00295832" w:rsidP="00295832">
            <w:pPr>
              <w:spacing w:before="0" w:after="0" w:line="240" w:lineRule="auto"/>
              <w:rPr>
                <w:rFonts w:ascii="Arial" w:hAnsi="Arial" w:cs="Arial"/>
                <w:color w:val="000000"/>
                <w:sz w:val="16"/>
                <w:szCs w:val="16"/>
              </w:rPr>
            </w:pPr>
            <w:r w:rsidRPr="00295832">
              <w:rPr>
                <w:rFonts w:ascii="Arial" w:hAnsi="Arial" w:cs="Arial"/>
                <w:color w:val="000000"/>
                <w:sz w:val="16"/>
                <w:szCs w:val="16"/>
              </w:rPr>
              <w:t> </w:t>
            </w:r>
          </w:p>
        </w:tc>
        <w:tc>
          <w:tcPr>
            <w:tcW w:w="498" w:type="pct"/>
            <w:tcBorders>
              <w:top w:val="nil"/>
              <w:left w:val="nil"/>
              <w:bottom w:val="nil"/>
              <w:right w:val="nil"/>
            </w:tcBorders>
            <w:shd w:val="clear" w:color="000000" w:fill="FFFFFF"/>
            <w:noWrap/>
            <w:vAlign w:val="center"/>
            <w:hideMark/>
          </w:tcPr>
          <w:p w14:paraId="161BC5BC" w14:textId="77777777" w:rsidR="00295832" w:rsidRPr="00295832" w:rsidRDefault="00295832" w:rsidP="00295832">
            <w:pPr>
              <w:spacing w:before="0" w:after="0" w:line="240" w:lineRule="auto"/>
              <w:rPr>
                <w:rFonts w:ascii="Arial" w:hAnsi="Arial" w:cs="Arial"/>
                <w:color w:val="000000"/>
                <w:sz w:val="16"/>
                <w:szCs w:val="16"/>
              </w:rPr>
            </w:pPr>
            <w:r w:rsidRPr="00295832">
              <w:rPr>
                <w:rFonts w:ascii="Arial" w:hAnsi="Arial" w:cs="Arial"/>
                <w:color w:val="000000"/>
                <w:sz w:val="16"/>
                <w:szCs w:val="16"/>
              </w:rPr>
              <w:t> </w:t>
            </w:r>
          </w:p>
        </w:tc>
        <w:tc>
          <w:tcPr>
            <w:tcW w:w="497" w:type="pct"/>
            <w:tcBorders>
              <w:top w:val="nil"/>
              <w:left w:val="nil"/>
              <w:bottom w:val="nil"/>
              <w:right w:val="nil"/>
            </w:tcBorders>
            <w:shd w:val="clear" w:color="000000" w:fill="E6F2FF"/>
            <w:noWrap/>
            <w:vAlign w:val="center"/>
            <w:hideMark/>
          </w:tcPr>
          <w:p w14:paraId="427D7352" w14:textId="77777777" w:rsidR="00295832" w:rsidRPr="00295832" w:rsidRDefault="00295832" w:rsidP="00295832">
            <w:pPr>
              <w:spacing w:before="0" w:after="0" w:line="240" w:lineRule="auto"/>
              <w:rPr>
                <w:rFonts w:ascii="Arial" w:hAnsi="Arial" w:cs="Arial"/>
                <w:color w:val="000000"/>
                <w:sz w:val="16"/>
                <w:szCs w:val="16"/>
              </w:rPr>
            </w:pPr>
            <w:r w:rsidRPr="00295832">
              <w:rPr>
                <w:rFonts w:ascii="Arial" w:hAnsi="Arial" w:cs="Arial"/>
                <w:color w:val="000000"/>
                <w:sz w:val="16"/>
                <w:szCs w:val="16"/>
              </w:rPr>
              <w:t> </w:t>
            </w:r>
          </w:p>
        </w:tc>
        <w:tc>
          <w:tcPr>
            <w:tcW w:w="497" w:type="pct"/>
            <w:tcBorders>
              <w:top w:val="nil"/>
              <w:left w:val="nil"/>
              <w:bottom w:val="nil"/>
              <w:right w:val="nil"/>
            </w:tcBorders>
            <w:shd w:val="clear" w:color="000000" w:fill="FFFFFF"/>
            <w:noWrap/>
            <w:vAlign w:val="center"/>
            <w:hideMark/>
          </w:tcPr>
          <w:p w14:paraId="61BDE934" w14:textId="77777777" w:rsidR="00295832" w:rsidRPr="00295832" w:rsidRDefault="00295832" w:rsidP="00295832">
            <w:pPr>
              <w:spacing w:before="0" w:after="0" w:line="240" w:lineRule="auto"/>
              <w:rPr>
                <w:rFonts w:ascii="Arial" w:hAnsi="Arial" w:cs="Arial"/>
                <w:color w:val="000000"/>
                <w:sz w:val="16"/>
                <w:szCs w:val="16"/>
              </w:rPr>
            </w:pPr>
            <w:r w:rsidRPr="00295832">
              <w:rPr>
                <w:rFonts w:ascii="Arial" w:hAnsi="Arial" w:cs="Arial"/>
                <w:color w:val="000000"/>
                <w:sz w:val="16"/>
                <w:szCs w:val="16"/>
              </w:rPr>
              <w:t> </w:t>
            </w:r>
          </w:p>
        </w:tc>
        <w:tc>
          <w:tcPr>
            <w:tcW w:w="497" w:type="pct"/>
            <w:tcBorders>
              <w:top w:val="nil"/>
              <w:left w:val="nil"/>
              <w:bottom w:val="nil"/>
              <w:right w:val="nil"/>
            </w:tcBorders>
            <w:shd w:val="clear" w:color="000000" w:fill="FFFFFF"/>
            <w:noWrap/>
            <w:vAlign w:val="center"/>
            <w:hideMark/>
          </w:tcPr>
          <w:p w14:paraId="4DA8569E" w14:textId="77777777" w:rsidR="00295832" w:rsidRPr="00295832" w:rsidRDefault="00295832" w:rsidP="00295832">
            <w:pPr>
              <w:spacing w:before="0" w:after="0" w:line="240" w:lineRule="auto"/>
              <w:rPr>
                <w:rFonts w:ascii="Arial" w:hAnsi="Arial" w:cs="Arial"/>
                <w:color w:val="000000"/>
                <w:sz w:val="16"/>
                <w:szCs w:val="16"/>
              </w:rPr>
            </w:pPr>
            <w:r w:rsidRPr="00295832">
              <w:rPr>
                <w:rFonts w:ascii="Arial" w:hAnsi="Arial" w:cs="Arial"/>
                <w:color w:val="000000"/>
                <w:sz w:val="16"/>
                <w:szCs w:val="16"/>
              </w:rPr>
              <w:t> </w:t>
            </w:r>
          </w:p>
        </w:tc>
        <w:tc>
          <w:tcPr>
            <w:tcW w:w="497" w:type="pct"/>
            <w:tcBorders>
              <w:top w:val="nil"/>
              <w:left w:val="nil"/>
              <w:bottom w:val="nil"/>
              <w:right w:val="nil"/>
            </w:tcBorders>
            <w:shd w:val="clear" w:color="000000" w:fill="FFFFFF"/>
            <w:noWrap/>
            <w:vAlign w:val="center"/>
            <w:hideMark/>
          </w:tcPr>
          <w:p w14:paraId="4E0FC65C" w14:textId="77777777" w:rsidR="00295832" w:rsidRPr="00295832" w:rsidRDefault="00295832" w:rsidP="00295832">
            <w:pPr>
              <w:spacing w:before="0" w:after="0" w:line="240" w:lineRule="auto"/>
              <w:rPr>
                <w:rFonts w:ascii="Arial" w:hAnsi="Arial" w:cs="Arial"/>
                <w:color w:val="000000"/>
                <w:sz w:val="16"/>
                <w:szCs w:val="16"/>
              </w:rPr>
            </w:pPr>
            <w:r w:rsidRPr="00295832">
              <w:rPr>
                <w:rFonts w:ascii="Arial" w:hAnsi="Arial" w:cs="Arial"/>
                <w:color w:val="000000"/>
                <w:sz w:val="16"/>
                <w:szCs w:val="16"/>
              </w:rPr>
              <w:t> </w:t>
            </w:r>
          </w:p>
        </w:tc>
      </w:tr>
      <w:tr w:rsidR="00295832" w:rsidRPr="00295832" w14:paraId="44A39838" w14:textId="77777777" w:rsidTr="00931C28">
        <w:trPr>
          <w:divId w:val="779882756"/>
          <w:trHeight w:hRule="exact" w:val="225"/>
        </w:trPr>
        <w:tc>
          <w:tcPr>
            <w:tcW w:w="1950" w:type="pct"/>
            <w:tcBorders>
              <w:top w:val="nil"/>
              <w:left w:val="nil"/>
              <w:bottom w:val="nil"/>
              <w:right w:val="nil"/>
            </w:tcBorders>
            <w:shd w:val="clear" w:color="000000" w:fill="FFFFFF"/>
            <w:noWrap/>
            <w:vAlign w:val="center"/>
            <w:hideMark/>
          </w:tcPr>
          <w:p w14:paraId="1477A722" w14:textId="77777777" w:rsidR="00295832" w:rsidRPr="00295832" w:rsidRDefault="00295832" w:rsidP="00931C28">
            <w:pPr>
              <w:spacing w:before="0" w:after="0" w:line="240" w:lineRule="auto"/>
              <w:ind w:left="170"/>
              <w:rPr>
                <w:rFonts w:ascii="Arial" w:hAnsi="Arial" w:cs="Arial"/>
                <w:color w:val="000000"/>
                <w:sz w:val="16"/>
                <w:szCs w:val="16"/>
              </w:rPr>
            </w:pPr>
            <w:r w:rsidRPr="00295832">
              <w:rPr>
                <w:rFonts w:ascii="Arial" w:hAnsi="Arial" w:cs="Arial"/>
                <w:color w:val="000000"/>
                <w:sz w:val="16"/>
                <w:szCs w:val="16"/>
              </w:rPr>
              <w:t xml:space="preserve">Housing </w:t>
            </w:r>
          </w:p>
        </w:tc>
        <w:tc>
          <w:tcPr>
            <w:tcW w:w="506" w:type="pct"/>
            <w:tcBorders>
              <w:top w:val="nil"/>
              <w:left w:val="nil"/>
              <w:bottom w:val="nil"/>
              <w:right w:val="nil"/>
            </w:tcBorders>
            <w:shd w:val="clear" w:color="000000" w:fill="FFFFFF"/>
            <w:noWrap/>
            <w:vAlign w:val="center"/>
            <w:hideMark/>
          </w:tcPr>
          <w:p w14:paraId="4D5370D5" w14:textId="77777777" w:rsidR="00295832" w:rsidRPr="00295832" w:rsidRDefault="00295832" w:rsidP="00295832">
            <w:pPr>
              <w:spacing w:before="0" w:after="0" w:line="240" w:lineRule="auto"/>
              <w:jc w:val="right"/>
              <w:rPr>
                <w:rFonts w:ascii="Arial" w:hAnsi="Arial" w:cs="Arial"/>
                <w:color w:val="000000"/>
                <w:sz w:val="16"/>
                <w:szCs w:val="16"/>
              </w:rPr>
            </w:pPr>
            <w:r w:rsidRPr="00295832">
              <w:rPr>
                <w:rFonts w:ascii="Arial" w:hAnsi="Arial" w:cs="Arial"/>
                <w:color w:val="000000"/>
                <w:sz w:val="16"/>
                <w:szCs w:val="16"/>
              </w:rPr>
              <w:t>4,994</w:t>
            </w:r>
          </w:p>
        </w:tc>
        <w:tc>
          <w:tcPr>
            <w:tcW w:w="56" w:type="pct"/>
            <w:tcBorders>
              <w:top w:val="nil"/>
              <w:left w:val="nil"/>
              <w:bottom w:val="nil"/>
              <w:right w:val="nil"/>
            </w:tcBorders>
            <w:shd w:val="clear" w:color="000000" w:fill="FFFFFF"/>
            <w:noWrap/>
            <w:vAlign w:val="center"/>
            <w:hideMark/>
          </w:tcPr>
          <w:p w14:paraId="151C7F09" w14:textId="77777777" w:rsidR="00295832" w:rsidRPr="00295832" w:rsidRDefault="00295832" w:rsidP="00295832">
            <w:pPr>
              <w:spacing w:before="0" w:after="0" w:line="240" w:lineRule="auto"/>
              <w:rPr>
                <w:rFonts w:ascii="Arial" w:hAnsi="Arial" w:cs="Arial"/>
                <w:color w:val="000000"/>
                <w:sz w:val="16"/>
                <w:szCs w:val="16"/>
              </w:rPr>
            </w:pPr>
            <w:r w:rsidRPr="00295832">
              <w:rPr>
                <w:rFonts w:ascii="Arial" w:hAnsi="Arial" w:cs="Arial"/>
                <w:color w:val="000000"/>
                <w:sz w:val="16"/>
                <w:szCs w:val="16"/>
              </w:rPr>
              <w:t> </w:t>
            </w:r>
          </w:p>
        </w:tc>
        <w:tc>
          <w:tcPr>
            <w:tcW w:w="498" w:type="pct"/>
            <w:tcBorders>
              <w:top w:val="nil"/>
              <w:left w:val="nil"/>
              <w:bottom w:val="nil"/>
              <w:right w:val="nil"/>
            </w:tcBorders>
            <w:shd w:val="clear" w:color="000000" w:fill="FFFFFF"/>
            <w:noWrap/>
            <w:vAlign w:val="center"/>
            <w:hideMark/>
          </w:tcPr>
          <w:p w14:paraId="01424614" w14:textId="77777777" w:rsidR="00295832" w:rsidRPr="00295832" w:rsidRDefault="00295832" w:rsidP="00295832">
            <w:pPr>
              <w:spacing w:before="0" w:after="0" w:line="240" w:lineRule="auto"/>
              <w:jc w:val="right"/>
              <w:rPr>
                <w:rFonts w:ascii="Arial" w:hAnsi="Arial" w:cs="Arial"/>
                <w:color w:val="000000"/>
                <w:sz w:val="16"/>
                <w:szCs w:val="16"/>
              </w:rPr>
            </w:pPr>
            <w:r w:rsidRPr="00295832">
              <w:rPr>
                <w:rFonts w:ascii="Arial" w:hAnsi="Arial" w:cs="Arial"/>
                <w:color w:val="000000"/>
                <w:sz w:val="16"/>
                <w:szCs w:val="16"/>
              </w:rPr>
              <w:t>4,305</w:t>
            </w:r>
          </w:p>
        </w:tc>
        <w:tc>
          <w:tcPr>
            <w:tcW w:w="497" w:type="pct"/>
            <w:tcBorders>
              <w:top w:val="nil"/>
              <w:left w:val="nil"/>
              <w:bottom w:val="nil"/>
              <w:right w:val="nil"/>
            </w:tcBorders>
            <w:shd w:val="clear" w:color="000000" w:fill="E6F2FF"/>
            <w:noWrap/>
            <w:vAlign w:val="center"/>
            <w:hideMark/>
          </w:tcPr>
          <w:p w14:paraId="66871D84" w14:textId="77777777" w:rsidR="00295832" w:rsidRPr="00295832" w:rsidRDefault="00295832" w:rsidP="00295832">
            <w:pPr>
              <w:spacing w:before="0" w:after="0" w:line="240" w:lineRule="auto"/>
              <w:jc w:val="right"/>
              <w:rPr>
                <w:rFonts w:ascii="Arial" w:hAnsi="Arial" w:cs="Arial"/>
                <w:color w:val="000000"/>
                <w:sz w:val="16"/>
                <w:szCs w:val="16"/>
              </w:rPr>
            </w:pPr>
            <w:r w:rsidRPr="00295832">
              <w:rPr>
                <w:rFonts w:ascii="Arial" w:hAnsi="Arial" w:cs="Arial"/>
                <w:color w:val="000000"/>
                <w:sz w:val="16"/>
                <w:szCs w:val="16"/>
              </w:rPr>
              <w:t>4,372</w:t>
            </w:r>
          </w:p>
        </w:tc>
        <w:tc>
          <w:tcPr>
            <w:tcW w:w="497" w:type="pct"/>
            <w:tcBorders>
              <w:top w:val="nil"/>
              <w:left w:val="nil"/>
              <w:bottom w:val="nil"/>
              <w:right w:val="nil"/>
            </w:tcBorders>
            <w:shd w:val="clear" w:color="000000" w:fill="FFFFFF"/>
            <w:noWrap/>
            <w:vAlign w:val="center"/>
            <w:hideMark/>
          </w:tcPr>
          <w:p w14:paraId="68845041" w14:textId="77777777" w:rsidR="00295832" w:rsidRPr="00295832" w:rsidRDefault="00295832" w:rsidP="00295832">
            <w:pPr>
              <w:spacing w:before="0" w:after="0" w:line="240" w:lineRule="auto"/>
              <w:jc w:val="right"/>
              <w:rPr>
                <w:rFonts w:ascii="Arial" w:hAnsi="Arial" w:cs="Arial"/>
                <w:color w:val="000000"/>
                <w:sz w:val="16"/>
                <w:szCs w:val="16"/>
              </w:rPr>
            </w:pPr>
            <w:r w:rsidRPr="00295832">
              <w:rPr>
                <w:rFonts w:ascii="Arial" w:hAnsi="Arial" w:cs="Arial"/>
                <w:color w:val="000000"/>
                <w:sz w:val="16"/>
                <w:szCs w:val="16"/>
              </w:rPr>
              <w:t>4,206</w:t>
            </w:r>
          </w:p>
        </w:tc>
        <w:tc>
          <w:tcPr>
            <w:tcW w:w="497" w:type="pct"/>
            <w:tcBorders>
              <w:top w:val="nil"/>
              <w:left w:val="nil"/>
              <w:bottom w:val="nil"/>
              <w:right w:val="nil"/>
            </w:tcBorders>
            <w:shd w:val="clear" w:color="000000" w:fill="FFFFFF"/>
            <w:noWrap/>
            <w:vAlign w:val="center"/>
            <w:hideMark/>
          </w:tcPr>
          <w:p w14:paraId="3707CA38" w14:textId="77777777" w:rsidR="00295832" w:rsidRPr="00295832" w:rsidRDefault="00295832" w:rsidP="00295832">
            <w:pPr>
              <w:spacing w:before="0" w:after="0" w:line="240" w:lineRule="auto"/>
              <w:jc w:val="right"/>
              <w:rPr>
                <w:rFonts w:ascii="Arial" w:hAnsi="Arial" w:cs="Arial"/>
                <w:color w:val="000000"/>
                <w:sz w:val="16"/>
                <w:szCs w:val="16"/>
              </w:rPr>
            </w:pPr>
            <w:r w:rsidRPr="00295832">
              <w:rPr>
                <w:rFonts w:ascii="Arial" w:hAnsi="Arial" w:cs="Arial"/>
                <w:color w:val="000000"/>
                <w:sz w:val="16"/>
                <w:szCs w:val="16"/>
              </w:rPr>
              <w:t>4,541</w:t>
            </w:r>
          </w:p>
        </w:tc>
        <w:tc>
          <w:tcPr>
            <w:tcW w:w="497" w:type="pct"/>
            <w:tcBorders>
              <w:top w:val="nil"/>
              <w:left w:val="nil"/>
              <w:bottom w:val="nil"/>
              <w:right w:val="nil"/>
            </w:tcBorders>
            <w:shd w:val="clear" w:color="000000" w:fill="FFFFFF"/>
            <w:noWrap/>
            <w:vAlign w:val="center"/>
            <w:hideMark/>
          </w:tcPr>
          <w:p w14:paraId="40E5A2CE" w14:textId="77777777" w:rsidR="00295832" w:rsidRPr="00295832" w:rsidRDefault="00295832" w:rsidP="00295832">
            <w:pPr>
              <w:spacing w:before="0" w:after="0" w:line="240" w:lineRule="auto"/>
              <w:jc w:val="right"/>
              <w:rPr>
                <w:rFonts w:ascii="Arial" w:hAnsi="Arial" w:cs="Arial"/>
                <w:color w:val="000000"/>
                <w:sz w:val="16"/>
                <w:szCs w:val="16"/>
              </w:rPr>
            </w:pPr>
            <w:r w:rsidRPr="00295832">
              <w:rPr>
                <w:rFonts w:ascii="Arial" w:hAnsi="Arial" w:cs="Arial"/>
                <w:color w:val="000000"/>
                <w:sz w:val="16"/>
                <w:szCs w:val="16"/>
              </w:rPr>
              <w:t>3,696</w:t>
            </w:r>
          </w:p>
        </w:tc>
      </w:tr>
      <w:tr w:rsidR="00295832" w:rsidRPr="00295832" w14:paraId="096F7D92" w14:textId="77777777" w:rsidTr="00931C28">
        <w:trPr>
          <w:divId w:val="779882756"/>
          <w:trHeight w:hRule="exact" w:val="225"/>
        </w:trPr>
        <w:tc>
          <w:tcPr>
            <w:tcW w:w="1950" w:type="pct"/>
            <w:tcBorders>
              <w:top w:val="nil"/>
              <w:left w:val="nil"/>
              <w:bottom w:val="nil"/>
              <w:right w:val="nil"/>
            </w:tcBorders>
            <w:shd w:val="clear" w:color="000000" w:fill="FFFFFF"/>
            <w:noWrap/>
            <w:vAlign w:val="center"/>
            <w:hideMark/>
          </w:tcPr>
          <w:p w14:paraId="53137EF3" w14:textId="77777777" w:rsidR="00295832" w:rsidRPr="00295832" w:rsidRDefault="00295832" w:rsidP="00931C28">
            <w:pPr>
              <w:spacing w:before="0" w:after="0" w:line="240" w:lineRule="auto"/>
              <w:ind w:left="170"/>
              <w:rPr>
                <w:rFonts w:ascii="Arial" w:hAnsi="Arial" w:cs="Arial"/>
                <w:color w:val="000000"/>
                <w:sz w:val="16"/>
                <w:szCs w:val="16"/>
              </w:rPr>
            </w:pPr>
            <w:r w:rsidRPr="00295832">
              <w:rPr>
                <w:rFonts w:ascii="Arial" w:hAnsi="Arial" w:cs="Arial"/>
                <w:color w:val="000000"/>
                <w:sz w:val="16"/>
                <w:szCs w:val="16"/>
              </w:rPr>
              <w:t>Urban and regional development</w:t>
            </w:r>
          </w:p>
        </w:tc>
        <w:tc>
          <w:tcPr>
            <w:tcW w:w="506" w:type="pct"/>
            <w:tcBorders>
              <w:top w:val="nil"/>
              <w:left w:val="nil"/>
              <w:bottom w:val="nil"/>
              <w:right w:val="nil"/>
            </w:tcBorders>
            <w:shd w:val="clear" w:color="000000" w:fill="FFFFFF"/>
            <w:noWrap/>
            <w:vAlign w:val="center"/>
            <w:hideMark/>
          </w:tcPr>
          <w:p w14:paraId="2DFA0B9E" w14:textId="77777777" w:rsidR="00295832" w:rsidRPr="00295832" w:rsidRDefault="00295832" w:rsidP="00295832">
            <w:pPr>
              <w:spacing w:before="0" w:after="0" w:line="240" w:lineRule="auto"/>
              <w:jc w:val="right"/>
              <w:rPr>
                <w:rFonts w:ascii="Arial" w:hAnsi="Arial" w:cs="Arial"/>
                <w:color w:val="000000"/>
                <w:sz w:val="16"/>
                <w:szCs w:val="16"/>
              </w:rPr>
            </w:pPr>
            <w:r w:rsidRPr="00295832">
              <w:rPr>
                <w:rFonts w:ascii="Arial" w:hAnsi="Arial" w:cs="Arial"/>
                <w:color w:val="000000"/>
                <w:sz w:val="16"/>
                <w:szCs w:val="16"/>
              </w:rPr>
              <w:t>1,518</w:t>
            </w:r>
          </w:p>
        </w:tc>
        <w:tc>
          <w:tcPr>
            <w:tcW w:w="56" w:type="pct"/>
            <w:tcBorders>
              <w:top w:val="nil"/>
              <w:left w:val="nil"/>
              <w:bottom w:val="nil"/>
              <w:right w:val="nil"/>
            </w:tcBorders>
            <w:shd w:val="clear" w:color="000000" w:fill="FFFFFF"/>
            <w:noWrap/>
            <w:vAlign w:val="center"/>
            <w:hideMark/>
          </w:tcPr>
          <w:p w14:paraId="6C9C6FFB" w14:textId="77777777" w:rsidR="00295832" w:rsidRPr="00295832" w:rsidRDefault="00295832" w:rsidP="00295832">
            <w:pPr>
              <w:spacing w:before="0" w:after="0" w:line="240" w:lineRule="auto"/>
              <w:rPr>
                <w:rFonts w:ascii="Arial" w:hAnsi="Arial" w:cs="Arial"/>
                <w:color w:val="000000"/>
                <w:sz w:val="16"/>
                <w:szCs w:val="16"/>
              </w:rPr>
            </w:pPr>
            <w:r w:rsidRPr="00295832">
              <w:rPr>
                <w:rFonts w:ascii="Arial" w:hAnsi="Arial" w:cs="Arial"/>
                <w:color w:val="000000"/>
                <w:sz w:val="16"/>
                <w:szCs w:val="16"/>
              </w:rPr>
              <w:t> </w:t>
            </w:r>
          </w:p>
        </w:tc>
        <w:tc>
          <w:tcPr>
            <w:tcW w:w="498" w:type="pct"/>
            <w:tcBorders>
              <w:top w:val="nil"/>
              <w:left w:val="nil"/>
              <w:bottom w:val="nil"/>
              <w:right w:val="nil"/>
            </w:tcBorders>
            <w:shd w:val="clear" w:color="000000" w:fill="FFFFFF"/>
            <w:noWrap/>
            <w:vAlign w:val="center"/>
            <w:hideMark/>
          </w:tcPr>
          <w:p w14:paraId="4880EA3E" w14:textId="77777777" w:rsidR="00295832" w:rsidRPr="00295832" w:rsidRDefault="00295832" w:rsidP="00295832">
            <w:pPr>
              <w:spacing w:before="0" w:after="0" w:line="240" w:lineRule="auto"/>
              <w:jc w:val="right"/>
              <w:rPr>
                <w:rFonts w:ascii="Arial" w:hAnsi="Arial" w:cs="Arial"/>
                <w:color w:val="000000"/>
                <w:sz w:val="16"/>
                <w:szCs w:val="16"/>
              </w:rPr>
            </w:pPr>
            <w:r w:rsidRPr="00295832">
              <w:rPr>
                <w:rFonts w:ascii="Arial" w:hAnsi="Arial" w:cs="Arial"/>
                <w:color w:val="000000"/>
                <w:sz w:val="16"/>
                <w:szCs w:val="16"/>
              </w:rPr>
              <w:t>1,620</w:t>
            </w:r>
          </w:p>
        </w:tc>
        <w:tc>
          <w:tcPr>
            <w:tcW w:w="497" w:type="pct"/>
            <w:tcBorders>
              <w:top w:val="nil"/>
              <w:left w:val="nil"/>
              <w:bottom w:val="nil"/>
              <w:right w:val="nil"/>
            </w:tcBorders>
            <w:shd w:val="clear" w:color="000000" w:fill="E6F2FF"/>
            <w:noWrap/>
            <w:vAlign w:val="center"/>
            <w:hideMark/>
          </w:tcPr>
          <w:p w14:paraId="14A72252" w14:textId="77777777" w:rsidR="00295832" w:rsidRPr="00295832" w:rsidRDefault="00295832" w:rsidP="00295832">
            <w:pPr>
              <w:spacing w:before="0" w:after="0" w:line="240" w:lineRule="auto"/>
              <w:jc w:val="right"/>
              <w:rPr>
                <w:rFonts w:ascii="Arial" w:hAnsi="Arial" w:cs="Arial"/>
                <w:color w:val="000000"/>
                <w:sz w:val="16"/>
                <w:szCs w:val="16"/>
              </w:rPr>
            </w:pPr>
            <w:r w:rsidRPr="00295832">
              <w:rPr>
                <w:rFonts w:ascii="Arial" w:hAnsi="Arial" w:cs="Arial"/>
                <w:color w:val="000000"/>
                <w:sz w:val="16"/>
                <w:szCs w:val="16"/>
              </w:rPr>
              <w:t>2,906</w:t>
            </w:r>
          </w:p>
        </w:tc>
        <w:tc>
          <w:tcPr>
            <w:tcW w:w="497" w:type="pct"/>
            <w:tcBorders>
              <w:top w:val="nil"/>
              <w:left w:val="nil"/>
              <w:bottom w:val="nil"/>
              <w:right w:val="nil"/>
            </w:tcBorders>
            <w:shd w:val="clear" w:color="000000" w:fill="FFFFFF"/>
            <w:noWrap/>
            <w:vAlign w:val="center"/>
            <w:hideMark/>
          </w:tcPr>
          <w:p w14:paraId="6ADC5670" w14:textId="77777777" w:rsidR="00295832" w:rsidRPr="00295832" w:rsidRDefault="00295832" w:rsidP="00295832">
            <w:pPr>
              <w:spacing w:before="0" w:after="0" w:line="240" w:lineRule="auto"/>
              <w:jc w:val="right"/>
              <w:rPr>
                <w:rFonts w:ascii="Arial" w:hAnsi="Arial" w:cs="Arial"/>
                <w:color w:val="000000"/>
                <w:sz w:val="16"/>
                <w:szCs w:val="16"/>
              </w:rPr>
            </w:pPr>
            <w:r w:rsidRPr="00295832">
              <w:rPr>
                <w:rFonts w:ascii="Arial" w:hAnsi="Arial" w:cs="Arial"/>
                <w:color w:val="000000"/>
                <w:sz w:val="16"/>
                <w:szCs w:val="16"/>
              </w:rPr>
              <w:t>2,258</w:t>
            </w:r>
          </w:p>
        </w:tc>
        <w:tc>
          <w:tcPr>
            <w:tcW w:w="497" w:type="pct"/>
            <w:tcBorders>
              <w:top w:val="nil"/>
              <w:left w:val="nil"/>
              <w:bottom w:val="nil"/>
              <w:right w:val="nil"/>
            </w:tcBorders>
            <w:shd w:val="clear" w:color="000000" w:fill="FFFFFF"/>
            <w:noWrap/>
            <w:vAlign w:val="center"/>
            <w:hideMark/>
          </w:tcPr>
          <w:p w14:paraId="21ECFECD" w14:textId="77777777" w:rsidR="00295832" w:rsidRPr="00295832" w:rsidRDefault="00295832" w:rsidP="00295832">
            <w:pPr>
              <w:spacing w:before="0" w:after="0" w:line="240" w:lineRule="auto"/>
              <w:jc w:val="right"/>
              <w:rPr>
                <w:rFonts w:ascii="Arial" w:hAnsi="Arial" w:cs="Arial"/>
                <w:color w:val="000000"/>
                <w:sz w:val="16"/>
                <w:szCs w:val="16"/>
              </w:rPr>
            </w:pPr>
            <w:r w:rsidRPr="00295832">
              <w:rPr>
                <w:rFonts w:ascii="Arial" w:hAnsi="Arial" w:cs="Arial"/>
                <w:color w:val="000000"/>
                <w:sz w:val="16"/>
                <w:szCs w:val="16"/>
              </w:rPr>
              <w:t>854</w:t>
            </w:r>
          </w:p>
        </w:tc>
        <w:tc>
          <w:tcPr>
            <w:tcW w:w="497" w:type="pct"/>
            <w:tcBorders>
              <w:top w:val="nil"/>
              <w:left w:val="nil"/>
              <w:bottom w:val="nil"/>
              <w:right w:val="nil"/>
            </w:tcBorders>
            <w:shd w:val="clear" w:color="000000" w:fill="FFFFFF"/>
            <w:noWrap/>
            <w:vAlign w:val="center"/>
            <w:hideMark/>
          </w:tcPr>
          <w:p w14:paraId="1BF7B88B" w14:textId="77777777" w:rsidR="00295832" w:rsidRPr="00295832" w:rsidRDefault="00295832" w:rsidP="00295832">
            <w:pPr>
              <w:spacing w:before="0" w:after="0" w:line="240" w:lineRule="auto"/>
              <w:jc w:val="right"/>
              <w:rPr>
                <w:rFonts w:ascii="Arial" w:hAnsi="Arial" w:cs="Arial"/>
                <w:color w:val="000000"/>
                <w:sz w:val="16"/>
                <w:szCs w:val="16"/>
              </w:rPr>
            </w:pPr>
            <w:r w:rsidRPr="00295832">
              <w:rPr>
                <w:rFonts w:ascii="Arial" w:hAnsi="Arial" w:cs="Arial"/>
                <w:color w:val="000000"/>
                <w:sz w:val="16"/>
                <w:szCs w:val="16"/>
              </w:rPr>
              <w:t>520</w:t>
            </w:r>
          </w:p>
        </w:tc>
      </w:tr>
      <w:tr w:rsidR="00295832" w:rsidRPr="00295832" w14:paraId="4A13890B" w14:textId="77777777" w:rsidTr="00931C28">
        <w:trPr>
          <w:divId w:val="779882756"/>
          <w:trHeight w:hRule="exact" w:val="225"/>
        </w:trPr>
        <w:tc>
          <w:tcPr>
            <w:tcW w:w="1950" w:type="pct"/>
            <w:tcBorders>
              <w:top w:val="nil"/>
              <w:left w:val="nil"/>
              <w:bottom w:val="nil"/>
              <w:right w:val="nil"/>
            </w:tcBorders>
            <w:shd w:val="clear" w:color="000000" w:fill="FFFFFF"/>
            <w:noWrap/>
            <w:vAlign w:val="center"/>
            <w:hideMark/>
          </w:tcPr>
          <w:p w14:paraId="1531120C" w14:textId="77777777" w:rsidR="00295832" w:rsidRPr="00295832" w:rsidRDefault="00295832" w:rsidP="00931C28">
            <w:pPr>
              <w:spacing w:before="0" w:after="0" w:line="240" w:lineRule="auto"/>
              <w:ind w:left="170"/>
              <w:rPr>
                <w:rFonts w:ascii="Arial" w:hAnsi="Arial" w:cs="Arial"/>
                <w:color w:val="000000"/>
                <w:sz w:val="16"/>
                <w:szCs w:val="16"/>
              </w:rPr>
            </w:pPr>
            <w:r w:rsidRPr="00295832">
              <w:rPr>
                <w:rFonts w:ascii="Arial" w:hAnsi="Arial" w:cs="Arial"/>
                <w:color w:val="000000"/>
                <w:sz w:val="16"/>
                <w:szCs w:val="16"/>
              </w:rPr>
              <w:t>Environment protection</w:t>
            </w:r>
          </w:p>
        </w:tc>
        <w:tc>
          <w:tcPr>
            <w:tcW w:w="506" w:type="pct"/>
            <w:tcBorders>
              <w:top w:val="nil"/>
              <w:left w:val="nil"/>
              <w:bottom w:val="single" w:sz="4" w:space="0" w:color="293F5B"/>
              <w:right w:val="nil"/>
            </w:tcBorders>
            <w:shd w:val="clear" w:color="000000" w:fill="FFFFFF"/>
            <w:noWrap/>
            <w:vAlign w:val="center"/>
            <w:hideMark/>
          </w:tcPr>
          <w:p w14:paraId="168E1F31" w14:textId="77777777" w:rsidR="00295832" w:rsidRPr="00295832" w:rsidRDefault="00295832" w:rsidP="00295832">
            <w:pPr>
              <w:spacing w:before="0" w:after="0" w:line="240" w:lineRule="auto"/>
              <w:jc w:val="right"/>
              <w:rPr>
                <w:rFonts w:ascii="Arial" w:hAnsi="Arial" w:cs="Arial"/>
                <w:color w:val="000000"/>
                <w:sz w:val="16"/>
                <w:szCs w:val="16"/>
              </w:rPr>
            </w:pPr>
            <w:r w:rsidRPr="00295832">
              <w:rPr>
                <w:rFonts w:ascii="Arial" w:hAnsi="Arial" w:cs="Arial"/>
                <w:color w:val="000000"/>
                <w:sz w:val="16"/>
                <w:szCs w:val="16"/>
              </w:rPr>
              <w:t>1,840</w:t>
            </w:r>
          </w:p>
        </w:tc>
        <w:tc>
          <w:tcPr>
            <w:tcW w:w="56" w:type="pct"/>
            <w:tcBorders>
              <w:top w:val="nil"/>
              <w:left w:val="nil"/>
              <w:bottom w:val="nil"/>
              <w:right w:val="nil"/>
            </w:tcBorders>
            <w:shd w:val="clear" w:color="000000" w:fill="FFFFFF"/>
            <w:noWrap/>
            <w:vAlign w:val="center"/>
            <w:hideMark/>
          </w:tcPr>
          <w:p w14:paraId="654F638E" w14:textId="77777777" w:rsidR="00295832" w:rsidRPr="00295832" w:rsidRDefault="00295832" w:rsidP="00295832">
            <w:pPr>
              <w:spacing w:before="0" w:after="0" w:line="240" w:lineRule="auto"/>
              <w:rPr>
                <w:rFonts w:ascii="Arial" w:hAnsi="Arial" w:cs="Arial"/>
                <w:color w:val="000000"/>
                <w:sz w:val="16"/>
                <w:szCs w:val="16"/>
              </w:rPr>
            </w:pPr>
            <w:r w:rsidRPr="00295832">
              <w:rPr>
                <w:rFonts w:ascii="Arial" w:hAnsi="Arial" w:cs="Arial"/>
                <w:color w:val="000000"/>
                <w:sz w:val="16"/>
                <w:szCs w:val="16"/>
              </w:rPr>
              <w:t> </w:t>
            </w:r>
          </w:p>
        </w:tc>
        <w:tc>
          <w:tcPr>
            <w:tcW w:w="498" w:type="pct"/>
            <w:tcBorders>
              <w:top w:val="nil"/>
              <w:left w:val="nil"/>
              <w:bottom w:val="single" w:sz="4" w:space="0" w:color="293F5B"/>
              <w:right w:val="nil"/>
            </w:tcBorders>
            <w:shd w:val="clear" w:color="000000" w:fill="FFFFFF"/>
            <w:noWrap/>
            <w:vAlign w:val="center"/>
            <w:hideMark/>
          </w:tcPr>
          <w:p w14:paraId="31AB26BD" w14:textId="77777777" w:rsidR="00295832" w:rsidRPr="00295832" w:rsidRDefault="00295832" w:rsidP="00295832">
            <w:pPr>
              <w:spacing w:before="0" w:after="0" w:line="240" w:lineRule="auto"/>
              <w:jc w:val="right"/>
              <w:rPr>
                <w:rFonts w:ascii="Arial" w:hAnsi="Arial" w:cs="Arial"/>
                <w:color w:val="000000"/>
                <w:sz w:val="16"/>
                <w:szCs w:val="16"/>
              </w:rPr>
            </w:pPr>
            <w:r w:rsidRPr="00295832">
              <w:rPr>
                <w:rFonts w:ascii="Arial" w:hAnsi="Arial" w:cs="Arial"/>
                <w:color w:val="000000"/>
                <w:sz w:val="16"/>
                <w:szCs w:val="16"/>
              </w:rPr>
              <w:t>2,029</w:t>
            </w:r>
          </w:p>
        </w:tc>
        <w:tc>
          <w:tcPr>
            <w:tcW w:w="497" w:type="pct"/>
            <w:tcBorders>
              <w:top w:val="nil"/>
              <w:left w:val="nil"/>
              <w:bottom w:val="single" w:sz="4" w:space="0" w:color="293F5B"/>
              <w:right w:val="nil"/>
            </w:tcBorders>
            <w:shd w:val="clear" w:color="000000" w:fill="E6F2FF"/>
            <w:noWrap/>
            <w:vAlign w:val="center"/>
            <w:hideMark/>
          </w:tcPr>
          <w:p w14:paraId="0DF9E692" w14:textId="77777777" w:rsidR="00295832" w:rsidRPr="00295832" w:rsidRDefault="00295832" w:rsidP="00295832">
            <w:pPr>
              <w:spacing w:before="0" w:after="0" w:line="240" w:lineRule="auto"/>
              <w:jc w:val="right"/>
              <w:rPr>
                <w:rFonts w:ascii="Arial" w:hAnsi="Arial" w:cs="Arial"/>
                <w:color w:val="000000"/>
                <w:sz w:val="16"/>
                <w:szCs w:val="16"/>
              </w:rPr>
            </w:pPr>
            <w:r w:rsidRPr="00295832">
              <w:rPr>
                <w:rFonts w:ascii="Arial" w:hAnsi="Arial" w:cs="Arial"/>
                <w:color w:val="000000"/>
                <w:sz w:val="16"/>
                <w:szCs w:val="16"/>
              </w:rPr>
              <w:t>2,721</w:t>
            </w:r>
          </w:p>
        </w:tc>
        <w:tc>
          <w:tcPr>
            <w:tcW w:w="497" w:type="pct"/>
            <w:tcBorders>
              <w:top w:val="nil"/>
              <w:left w:val="nil"/>
              <w:bottom w:val="single" w:sz="4" w:space="0" w:color="293F5B"/>
              <w:right w:val="nil"/>
            </w:tcBorders>
            <w:shd w:val="clear" w:color="000000" w:fill="FFFFFF"/>
            <w:noWrap/>
            <w:vAlign w:val="center"/>
            <w:hideMark/>
          </w:tcPr>
          <w:p w14:paraId="470F3493" w14:textId="77777777" w:rsidR="00295832" w:rsidRPr="00295832" w:rsidRDefault="00295832" w:rsidP="00295832">
            <w:pPr>
              <w:spacing w:before="0" w:after="0" w:line="240" w:lineRule="auto"/>
              <w:jc w:val="right"/>
              <w:rPr>
                <w:rFonts w:ascii="Arial" w:hAnsi="Arial" w:cs="Arial"/>
                <w:color w:val="000000"/>
                <w:sz w:val="16"/>
                <w:szCs w:val="16"/>
              </w:rPr>
            </w:pPr>
            <w:r w:rsidRPr="00295832">
              <w:rPr>
                <w:rFonts w:ascii="Arial" w:hAnsi="Arial" w:cs="Arial"/>
                <w:color w:val="000000"/>
                <w:sz w:val="16"/>
                <w:szCs w:val="16"/>
              </w:rPr>
              <w:t>2,367</w:t>
            </w:r>
          </w:p>
        </w:tc>
        <w:tc>
          <w:tcPr>
            <w:tcW w:w="497" w:type="pct"/>
            <w:tcBorders>
              <w:top w:val="nil"/>
              <w:left w:val="nil"/>
              <w:bottom w:val="single" w:sz="4" w:space="0" w:color="293F5B"/>
              <w:right w:val="nil"/>
            </w:tcBorders>
            <w:shd w:val="clear" w:color="000000" w:fill="FFFFFF"/>
            <w:noWrap/>
            <w:vAlign w:val="center"/>
            <w:hideMark/>
          </w:tcPr>
          <w:p w14:paraId="2D60B475" w14:textId="77777777" w:rsidR="00295832" w:rsidRPr="00295832" w:rsidRDefault="00295832" w:rsidP="00295832">
            <w:pPr>
              <w:spacing w:before="0" w:after="0" w:line="240" w:lineRule="auto"/>
              <w:jc w:val="right"/>
              <w:rPr>
                <w:rFonts w:ascii="Arial" w:hAnsi="Arial" w:cs="Arial"/>
                <w:color w:val="000000"/>
                <w:sz w:val="16"/>
                <w:szCs w:val="16"/>
              </w:rPr>
            </w:pPr>
            <w:r w:rsidRPr="00295832">
              <w:rPr>
                <w:rFonts w:ascii="Arial" w:hAnsi="Arial" w:cs="Arial"/>
                <w:color w:val="000000"/>
                <w:sz w:val="16"/>
                <w:szCs w:val="16"/>
              </w:rPr>
              <w:t>1,676</w:t>
            </w:r>
          </w:p>
        </w:tc>
        <w:tc>
          <w:tcPr>
            <w:tcW w:w="497" w:type="pct"/>
            <w:tcBorders>
              <w:top w:val="nil"/>
              <w:left w:val="nil"/>
              <w:bottom w:val="single" w:sz="4" w:space="0" w:color="293F5B"/>
              <w:right w:val="nil"/>
            </w:tcBorders>
            <w:shd w:val="clear" w:color="000000" w:fill="FFFFFF"/>
            <w:noWrap/>
            <w:vAlign w:val="center"/>
            <w:hideMark/>
          </w:tcPr>
          <w:p w14:paraId="71F7CA29" w14:textId="77777777" w:rsidR="00295832" w:rsidRPr="00295832" w:rsidRDefault="00295832" w:rsidP="00295832">
            <w:pPr>
              <w:spacing w:before="0" w:after="0" w:line="240" w:lineRule="auto"/>
              <w:jc w:val="right"/>
              <w:rPr>
                <w:rFonts w:ascii="Arial" w:hAnsi="Arial" w:cs="Arial"/>
                <w:color w:val="000000"/>
                <w:sz w:val="16"/>
                <w:szCs w:val="16"/>
              </w:rPr>
            </w:pPr>
            <w:r w:rsidRPr="00295832">
              <w:rPr>
                <w:rFonts w:ascii="Arial" w:hAnsi="Arial" w:cs="Arial"/>
                <w:color w:val="000000"/>
                <w:sz w:val="16"/>
                <w:szCs w:val="16"/>
              </w:rPr>
              <w:t>1,413</w:t>
            </w:r>
          </w:p>
        </w:tc>
      </w:tr>
      <w:tr w:rsidR="00295832" w:rsidRPr="00295832" w14:paraId="63AD1E3E" w14:textId="77777777" w:rsidTr="00931C28">
        <w:trPr>
          <w:divId w:val="779882756"/>
          <w:trHeight w:hRule="exact" w:val="225"/>
        </w:trPr>
        <w:tc>
          <w:tcPr>
            <w:tcW w:w="1950" w:type="pct"/>
            <w:tcBorders>
              <w:top w:val="nil"/>
              <w:left w:val="nil"/>
              <w:bottom w:val="nil"/>
              <w:right w:val="nil"/>
            </w:tcBorders>
            <w:shd w:val="clear" w:color="000000" w:fill="FFFFFF"/>
            <w:noWrap/>
            <w:vAlign w:val="center"/>
            <w:hideMark/>
          </w:tcPr>
          <w:p w14:paraId="6A7D5877" w14:textId="77777777" w:rsidR="00295832" w:rsidRPr="00295832" w:rsidRDefault="00295832" w:rsidP="00295832">
            <w:pPr>
              <w:spacing w:before="0" w:after="0" w:line="240" w:lineRule="auto"/>
              <w:rPr>
                <w:rFonts w:ascii="Arial" w:hAnsi="Arial" w:cs="Arial"/>
                <w:b/>
                <w:bCs/>
                <w:color w:val="000000"/>
                <w:sz w:val="16"/>
                <w:szCs w:val="16"/>
              </w:rPr>
            </w:pPr>
            <w:r w:rsidRPr="00295832">
              <w:rPr>
                <w:rFonts w:ascii="Arial" w:hAnsi="Arial" w:cs="Arial"/>
                <w:b/>
                <w:bCs/>
                <w:color w:val="000000"/>
                <w:sz w:val="16"/>
                <w:szCs w:val="16"/>
              </w:rPr>
              <w:t>Total housing and community</w:t>
            </w:r>
          </w:p>
        </w:tc>
        <w:tc>
          <w:tcPr>
            <w:tcW w:w="506" w:type="pct"/>
            <w:tcBorders>
              <w:top w:val="single" w:sz="4" w:space="0" w:color="293F5B"/>
              <w:left w:val="nil"/>
              <w:bottom w:val="nil"/>
              <w:right w:val="nil"/>
            </w:tcBorders>
            <w:shd w:val="clear" w:color="000000" w:fill="FFFFFF"/>
            <w:noWrap/>
            <w:vAlign w:val="center"/>
            <w:hideMark/>
          </w:tcPr>
          <w:p w14:paraId="65B7B587" w14:textId="77777777" w:rsidR="00295832" w:rsidRPr="00295832" w:rsidRDefault="00295832" w:rsidP="00295832">
            <w:pPr>
              <w:spacing w:before="0" w:after="0" w:line="240" w:lineRule="auto"/>
              <w:rPr>
                <w:rFonts w:ascii="Arial" w:hAnsi="Arial" w:cs="Arial"/>
                <w:color w:val="000000"/>
                <w:sz w:val="16"/>
                <w:szCs w:val="16"/>
              </w:rPr>
            </w:pPr>
            <w:r w:rsidRPr="00295832">
              <w:rPr>
                <w:rFonts w:ascii="Arial" w:hAnsi="Arial" w:cs="Arial"/>
                <w:color w:val="000000"/>
                <w:sz w:val="16"/>
                <w:szCs w:val="16"/>
              </w:rPr>
              <w:t> </w:t>
            </w:r>
          </w:p>
        </w:tc>
        <w:tc>
          <w:tcPr>
            <w:tcW w:w="56" w:type="pct"/>
            <w:tcBorders>
              <w:top w:val="nil"/>
              <w:left w:val="nil"/>
              <w:bottom w:val="nil"/>
              <w:right w:val="nil"/>
            </w:tcBorders>
            <w:shd w:val="clear" w:color="000000" w:fill="FFFFFF"/>
            <w:noWrap/>
            <w:vAlign w:val="center"/>
            <w:hideMark/>
          </w:tcPr>
          <w:p w14:paraId="53BBF640" w14:textId="77777777" w:rsidR="00295832" w:rsidRPr="00295832" w:rsidRDefault="00295832" w:rsidP="00295832">
            <w:pPr>
              <w:spacing w:before="0" w:after="0" w:line="240" w:lineRule="auto"/>
              <w:rPr>
                <w:rFonts w:ascii="Arial" w:hAnsi="Arial" w:cs="Arial"/>
                <w:color w:val="000000"/>
                <w:sz w:val="16"/>
                <w:szCs w:val="16"/>
              </w:rPr>
            </w:pPr>
            <w:r w:rsidRPr="00295832">
              <w:rPr>
                <w:rFonts w:ascii="Arial" w:hAnsi="Arial" w:cs="Arial"/>
                <w:color w:val="000000"/>
                <w:sz w:val="16"/>
                <w:szCs w:val="16"/>
              </w:rPr>
              <w:t> </w:t>
            </w:r>
          </w:p>
        </w:tc>
        <w:tc>
          <w:tcPr>
            <w:tcW w:w="498" w:type="pct"/>
            <w:tcBorders>
              <w:top w:val="single" w:sz="4" w:space="0" w:color="293F5B"/>
              <w:left w:val="nil"/>
              <w:bottom w:val="nil"/>
              <w:right w:val="nil"/>
            </w:tcBorders>
            <w:shd w:val="clear" w:color="000000" w:fill="FFFFFF"/>
            <w:noWrap/>
            <w:vAlign w:val="center"/>
            <w:hideMark/>
          </w:tcPr>
          <w:p w14:paraId="6CE2D8E7" w14:textId="77777777" w:rsidR="00295832" w:rsidRPr="00295832" w:rsidRDefault="00295832" w:rsidP="00295832">
            <w:pPr>
              <w:spacing w:before="0" w:after="0" w:line="240" w:lineRule="auto"/>
              <w:rPr>
                <w:rFonts w:ascii="Arial" w:hAnsi="Arial" w:cs="Arial"/>
                <w:color w:val="000000"/>
                <w:sz w:val="16"/>
                <w:szCs w:val="16"/>
              </w:rPr>
            </w:pPr>
            <w:r w:rsidRPr="00295832">
              <w:rPr>
                <w:rFonts w:ascii="Arial" w:hAnsi="Arial" w:cs="Arial"/>
                <w:color w:val="000000"/>
                <w:sz w:val="16"/>
                <w:szCs w:val="16"/>
              </w:rPr>
              <w:t> </w:t>
            </w:r>
          </w:p>
        </w:tc>
        <w:tc>
          <w:tcPr>
            <w:tcW w:w="497" w:type="pct"/>
            <w:tcBorders>
              <w:top w:val="single" w:sz="4" w:space="0" w:color="293F5B"/>
              <w:left w:val="nil"/>
              <w:bottom w:val="nil"/>
              <w:right w:val="nil"/>
            </w:tcBorders>
            <w:shd w:val="clear" w:color="000000" w:fill="E6F2FF"/>
            <w:noWrap/>
            <w:vAlign w:val="center"/>
            <w:hideMark/>
          </w:tcPr>
          <w:p w14:paraId="55A80616" w14:textId="77777777" w:rsidR="00295832" w:rsidRPr="00295832" w:rsidRDefault="00295832" w:rsidP="00295832">
            <w:pPr>
              <w:spacing w:before="0" w:after="0" w:line="240" w:lineRule="auto"/>
              <w:rPr>
                <w:rFonts w:ascii="Arial" w:hAnsi="Arial" w:cs="Arial"/>
                <w:color w:val="000000"/>
                <w:sz w:val="16"/>
                <w:szCs w:val="16"/>
              </w:rPr>
            </w:pPr>
            <w:r w:rsidRPr="00295832">
              <w:rPr>
                <w:rFonts w:ascii="Arial" w:hAnsi="Arial" w:cs="Arial"/>
                <w:color w:val="000000"/>
                <w:sz w:val="16"/>
                <w:szCs w:val="16"/>
              </w:rPr>
              <w:t> </w:t>
            </w:r>
          </w:p>
        </w:tc>
        <w:tc>
          <w:tcPr>
            <w:tcW w:w="497" w:type="pct"/>
            <w:tcBorders>
              <w:top w:val="single" w:sz="4" w:space="0" w:color="293F5B"/>
              <w:left w:val="nil"/>
              <w:bottom w:val="nil"/>
              <w:right w:val="nil"/>
            </w:tcBorders>
            <w:shd w:val="clear" w:color="000000" w:fill="FFFFFF"/>
            <w:noWrap/>
            <w:vAlign w:val="center"/>
            <w:hideMark/>
          </w:tcPr>
          <w:p w14:paraId="29FE50B0" w14:textId="77777777" w:rsidR="00295832" w:rsidRPr="00295832" w:rsidRDefault="00295832" w:rsidP="00295832">
            <w:pPr>
              <w:spacing w:before="0" w:after="0" w:line="240" w:lineRule="auto"/>
              <w:rPr>
                <w:rFonts w:ascii="Arial" w:hAnsi="Arial" w:cs="Arial"/>
                <w:color w:val="000000"/>
                <w:sz w:val="16"/>
                <w:szCs w:val="16"/>
              </w:rPr>
            </w:pPr>
            <w:r w:rsidRPr="00295832">
              <w:rPr>
                <w:rFonts w:ascii="Arial" w:hAnsi="Arial" w:cs="Arial"/>
                <w:color w:val="000000"/>
                <w:sz w:val="16"/>
                <w:szCs w:val="16"/>
              </w:rPr>
              <w:t> </w:t>
            </w:r>
          </w:p>
        </w:tc>
        <w:tc>
          <w:tcPr>
            <w:tcW w:w="497" w:type="pct"/>
            <w:tcBorders>
              <w:top w:val="single" w:sz="4" w:space="0" w:color="293F5B"/>
              <w:left w:val="nil"/>
              <w:bottom w:val="nil"/>
              <w:right w:val="nil"/>
            </w:tcBorders>
            <w:shd w:val="clear" w:color="000000" w:fill="FFFFFF"/>
            <w:noWrap/>
            <w:vAlign w:val="center"/>
            <w:hideMark/>
          </w:tcPr>
          <w:p w14:paraId="1C6A297C" w14:textId="77777777" w:rsidR="00295832" w:rsidRPr="00295832" w:rsidRDefault="00295832" w:rsidP="00295832">
            <w:pPr>
              <w:spacing w:before="0" w:after="0" w:line="240" w:lineRule="auto"/>
              <w:rPr>
                <w:rFonts w:ascii="Arial" w:hAnsi="Arial" w:cs="Arial"/>
                <w:color w:val="000000"/>
                <w:sz w:val="16"/>
                <w:szCs w:val="16"/>
              </w:rPr>
            </w:pPr>
            <w:r w:rsidRPr="00295832">
              <w:rPr>
                <w:rFonts w:ascii="Arial" w:hAnsi="Arial" w:cs="Arial"/>
                <w:color w:val="000000"/>
                <w:sz w:val="16"/>
                <w:szCs w:val="16"/>
              </w:rPr>
              <w:t> </w:t>
            </w:r>
          </w:p>
        </w:tc>
        <w:tc>
          <w:tcPr>
            <w:tcW w:w="497" w:type="pct"/>
            <w:tcBorders>
              <w:top w:val="single" w:sz="4" w:space="0" w:color="293F5B"/>
              <w:left w:val="nil"/>
              <w:bottom w:val="nil"/>
              <w:right w:val="nil"/>
            </w:tcBorders>
            <w:shd w:val="clear" w:color="000000" w:fill="FFFFFF"/>
            <w:noWrap/>
            <w:vAlign w:val="center"/>
            <w:hideMark/>
          </w:tcPr>
          <w:p w14:paraId="2FC640B5" w14:textId="77777777" w:rsidR="00295832" w:rsidRPr="00295832" w:rsidRDefault="00295832" w:rsidP="00295832">
            <w:pPr>
              <w:spacing w:before="0" w:after="0" w:line="240" w:lineRule="auto"/>
              <w:rPr>
                <w:rFonts w:ascii="Arial" w:hAnsi="Arial" w:cs="Arial"/>
                <w:color w:val="000000"/>
                <w:sz w:val="16"/>
                <w:szCs w:val="16"/>
              </w:rPr>
            </w:pPr>
            <w:r w:rsidRPr="00295832">
              <w:rPr>
                <w:rFonts w:ascii="Arial" w:hAnsi="Arial" w:cs="Arial"/>
                <w:color w:val="000000"/>
                <w:sz w:val="16"/>
                <w:szCs w:val="16"/>
              </w:rPr>
              <w:t> </w:t>
            </w:r>
          </w:p>
        </w:tc>
      </w:tr>
      <w:tr w:rsidR="00295832" w:rsidRPr="00295832" w14:paraId="0B8F589F" w14:textId="77777777" w:rsidTr="00931C28">
        <w:trPr>
          <w:divId w:val="779882756"/>
          <w:trHeight w:hRule="exact" w:val="225"/>
        </w:trPr>
        <w:tc>
          <w:tcPr>
            <w:tcW w:w="1950" w:type="pct"/>
            <w:tcBorders>
              <w:top w:val="nil"/>
              <w:left w:val="nil"/>
              <w:bottom w:val="nil"/>
              <w:right w:val="nil"/>
            </w:tcBorders>
            <w:shd w:val="clear" w:color="000000" w:fill="FFFFFF"/>
            <w:noWrap/>
            <w:vAlign w:val="center"/>
            <w:hideMark/>
          </w:tcPr>
          <w:p w14:paraId="036E1D19" w14:textId="77777777" w:rsidR="00295832" w:rsidRPr="00295832" w:rsidRDefault="00295832" w:rsidP="00931C28">
            <w:pPr>
              <w:spacing w:before="0" w:after="0" w:line="240" w:lineRule="auto"/>
              <w:ind w:left="170"/>
              <w:rPr>
                <w:rFonts w:ascii="Arial" w:hAnsi="Arial" w:cs="Arial"/>
                <w:b/>
                <w:bCs/>
                <w:color w:val="000000"/>
                <w:sz w:val="16"/>
                <w:szCs w:val="16"/>
              </w:rPr>
            </w:pPr>
            <w:r w:rsidRPr="00295832">
              <w:rPr>
                <w:rFonts w:ascii="Arial" w:hAnsi="Arial" w:cs="Arial"/>
                <w:b/>
                <w:bCs/>
                <w:color w:val="000000"/>
                <w:sz w:val="16"/>
                <w:szCs w:val="16"/>
              </w:rPr>
              <w:t xml:space="preserve"> amenities</w:t>
            </w:r>
          </w:p>
        </w:tc>
        <w:tc>
          <w:tcPr>
            <w:tcW w:w="506" w:type="pct"/>
            <w:tcBorders>
              <w:top w:val="nil"/>
              <w:left w:val="nil"/>
              <w:bottom w:val="single" w:sz="4" w:space="0" w:color="293F5B"/>
              <w:right w:val="nil"/>
            </w:tcBorders>
            <w:shd w:val="clear" w:color="000000" w:fill="FFFFFF"/>
            <w:noWrap/>
            <w:vAlign w:val="center"/>
            <w:hideMark/>
          </w:tcPr>
          <w:p w14:paraId="325F0320" w14:textId="77777777" w:rsidR="00295832" w:rsidRPr="00295832" w:rsidRDefault="00295832" w:rsidP="00295832">
            <w:pPr>
              <w:spacing w:before="0" w:after="0" w:line="240" w:lineRule="auto"/>
              <w:jc w:val="right"/>
              <w:rPr>
                <w:rFonts w:ascii="Arial" w:hAnsi="Arial" w:cs="Arial"/>
                <w:b/>
                <w:bCs/>
                <w:color w:val="000000"/>
                <w:sz w:val="16"/>
                <w:szCs w:val="16"/>
              </w:rPr>
            </w:pPr>
            <w:r w:rsidRPr="00295832">
              <w:rPr>
                <w:rFonts w:ascii="Arial" w:hAnsi="Arial" w:cs="Arial"/>
                <w:b/>
                <w:bCs/>
                <w:color w:val="000000"/>
                <w:sz w:val="16"/>
                <w:szCs w:val="16"/>
              </w:rPr>
              <w:t>8,352</w:t>
            </w:r>
          </w:p>
        </w:tc>
        <w:tc>
          <w:tcPr>
            <w:tcW w:w="56" w:type="pct"/>
            <w:tcBorders>
              <w:top w:val="nil"/>
              <w:left w:val="nil"/>
              <w:bottom w:val="nil"/>
              <w:right w:val="nil"/>
            </w:tcBorders>
            <w:shd w:val="clear" w:color="000000" w:fill="FFFFFF"/>
            <w:noWrap/>
            <w:vAlign w:val="center"/>
            <w:hideMark/>
          </w:tcPr>
          <w:p w14:paraId="0207C190" w14:textId="77777777" w:rsidR="00295832" w:rsidRPr="00295832" w:rsidRDefault="00295832" w:rsidP="00295832">
            <w:pPr>
              <w:spacing w:before="0" w:after="0" w:line="240" w:lineRule="auto"/>
              <w:rPr>
                <w:rFonts w:ascii="Arial" w:hAnsi="Arial" w:cs="Arial"/>
                <w:b/>
                <w:bCs/>
                <w:color w:val="000000"/>
                <w:sz w:val="16"/>
                <w:szCs w:val="16"/>
              </w:rPr>
            </w:pPr>
            <w:r w:rsidRPr="00295832">
              <w:rPr>
                <w:rFonts w:ascii="Arial" w:hAnsi="Arial" w:cs="Arial"/>
                <w:b/>
                <w:bCs/>
                <w:color w:val="000000"/>
                <w:sz w:val="16"/>
                <w:szCs w:val="16"/>
              </w:rPr>
              <w:t> </w:t>
            </w:r>
          </w:p>
        </w:tc>
        <w:tc>
          <w:tcPr>
            <w:tcW w:w="498" w:type="pct"/>
            <w:tcBorders>
              <w:top w:val="nil"/>
              <w:left w:val="nil"/>
              <w:bottom w:val="single" w:sz="4" w:space="0" w:color="293F5B"/>
              <w:right w:val="nil"/>
            </w:tcBorders>
            <w:shd w:val="clear" w:color="000000" w:fill="FFFFFF"/>
            <w:noWrap/>
            <w:vAlign w:val="center"/>
            <w:hideMark/>
          </w:tcPr>
          <w:p w14:paraId="7E996A1B" w14:textId="77777777" w:rsidR="00295832" w:rsidRPr="00295832" w:rsidRDefault="00295832" w:rsidP="00295832">
            <w:pPr>
              <w:spacing w:before="0" w:after="0" w:line="240" w:lineRule="auto"/>
              <w:jc w:val="right"/>
              <w:rPr>
                <w:rFonts w:ascii="Arial" w:hAnsi="Arial" w:cs="Arial"/>
                <w:b/>
                <w:bCs/>
                <w:color w:val="000000"/>
                <w:sz w:val="16"/>
                <w:szCs w:val="16"/>
              </w:rPr>
            </w:pPr>
            <w:r w:rsidRPr="00295832">
              <w:rPr>
                <w:rFonts w:ascii="Arial" w:hAnsi="Arial" w:cs="Arial"/>
                <w:b/>
                <w:bCs/>
                <w:color w:val="000000"/>
                <w:sz w:val="16"/>
                <w:szCs w:val="16"/>
              </w:rPr>
              <w:t>7,955</w:t>
            </w:r>
          </w:p>
        </w:tc>
        <w:tc>
          <w:tcPr>
            <w:tcW w:w="497" w:type="pct"/>
            <w:tcBorders>
              <w:top w:val="nil"/>
              <w:left w:val="nil"/>
              <w:bottom w:val="single" w:sz="4" w:space="0" w:color="293F5B"/>
              <w:right w:val="nil"/>
            </w:tcBorders>
            <w:shd w:val="clear" w:color="000000" w:fill="E6F2FF"/>
            <w:noWrap/>
            <w:vAlign w:val="center"/>
            <w:hideMark/>
          </w:tcPr>
          <w:p w14:paraId="5E8881E0" w14:textId="77777777" w:rsidR="00295832" w:rsidRPr="00295832" w:rsidRDefault="00295832" w:rsidP="00295832">
            <w:pPr>
              <w:spacing w:before="0" w:after="0" w:line="240" w:lineRule="auto"/>
              <w:jc w:val="right"/>
              <w:rPr>
                <w:rFonts w:ascii="Arial" w:hAnsi="Arial" w:cs="Arial"/>
                <w:b/>
                <w:bCs/>
                <w:color w:val="000000"/>
                <w:sz w:val="16"/>
                <w:szCs w:val="16"/>
              </w:rPr>
            </w:pPr>
            <w:r w:rsidRPr="00295832">
              <w:rPr>
                <w:rFonts w:ascii="Arial" w:hAnsi="Arial" w:cs="Arial"/>
                <w:b/>
                <w:bCs/>
                <w:color w:val="000000"/>
                <w:sz w:val="16"/>
                <w:szCs w:val="16"/>
              </w:rPr>
              <w:t>9,999</w:t>
            </w:r>
          </w:p>
        </w:tc>
        <w:tc>
          <w:tcPr>
            <w:tcW w:w="497" w:type="pct"/>
            <w:tcBorders>
              <w:top w:val="nil"/>
              <w:left w:val="nil"/>
              <w:bottom w:val="single" w:sz="4" w:space="0" w:color="293F5B"/>
              <w:right w:val="nil"/>
            </w:tcBorders>
            <w:shd w:val="clear" w:color="000000" w:fill="FFFFFF"/>
            <w:noWrap/>
            <w:vAlign w:val="center"/>
            <w:hideMark/>
          </w:tcPr>
          <w:p w14:paraId="35EB46B7" w14:textId="77777777" w:rsidR="00295832" w:rsidRPr="00295832" w:rsidRDefault="00295832" w:rsidP="00295832">
            <w:pPr>
              <w:spacing w:before="0" w:after="0" w:line="240" w:lineRule="auto"/>
              <w:jc w:val="right"/>
              <w:rPr>
                <w:rFonts w:ascii="Arial" w:hAnsi="Arial" w:cs="Arial"/>
                <w:b/>
                <w:bCs/>
                <w:color w:val="000000"/>
                <w:sz w:val="16"/>
                <w:szCs w:val="16"/>
              </w:rPr>
            </w:pPr>
            <w:r w:rsidRPr="00295832">
              <w:rPr>
                <w:rFonts w:ascii="Arial" w:hAnsi="Arial" w:cs="Arial"/>
                <w:b/>
                <w:bCs/>
                <w:color w:val="000000"/>
                <w:sz w:val="16"/>
                <w:szCs w:val="16"/>
              </w:rPr>
              <w:t>8,831</w:t>
            </w:r>
          </w:p>
        </w:tc>
        <w:tc>
          <w:tcPr>
            <w:tcW w:w="497" w:type="pct"/>
            <w:tcBorders>
              <w:top w:val="nil"/>
              <w:left w:val="nil"/>
              <w:bottom w:val="single" w:sz="4" w:space="0" w:color="293F5B"/>
              <w:right w:val="nil"/>
            </w:tcBorders>
            <w:shd w:val="clear" w:color="000000" w:fill="FFFFFF"/>
            <w:noWrap/>
            <w:vAlign w:val="center"/>
            <w:hideMark/>
          </w:tcPr>
          <w:p w14:paraId="1E04BA3E" w14:textId="77777777" w:rsidR="00295832" w:rsidRPr="00295832" w:rsidRDefault="00295832" w:rsidP="00295832">
            <w:pPr>
              <w:spacing w:before="0" w:after="0" w:line="240" w:lineRule="auto"/>
              <w:jc w:val="right"/>
              <w:rPr>
                <w:rFonts w:ascii="Arial" w:hAnsi="Arial" w:cs="Arial"/>
                <w:b/>
                <w:bCs/>
                <w:color w:val="000000"/>
                <w:sz w:val="16"/>
                <w:szCs w:val="16"/>
              </w:rPr>
            </w:pPr>
            <w:r w:rsidRPr="00295832">
              <w:rPr>
                <w:rFonts w:ascii="Arial" w:hAnsi="Arial" w:cs="Arial"/>
                <w:b/>
                <w:bCs/>
                <w:color w:val="000000"/>
                <w:sz w:val="16"/>
                <w:szCs w:val="16"/>
              </w:rPr>
              <w:t>7,072</w:t>
            </w:r>
          </w:p>
        </w:tc>
        <w:tc>
          <w:tcPr>
            <w:tcW w:w="497" w:type="pct"/>
            <w:tcBorders>
              <w:top w:val="nil"/>
              <w:left w:val="nil"/>
              <w:bottom w:val="single" w:sz="4" w:space="0" w:color="293F5B"/>
              <w:right w:val="nil"/>
            </w:tcBorders>
            <w:shd w:val="clear" w:color="000000" w:fill="FFFFFF"/>
            <w:noWrap/>
            <w:vAlign w:val="center"/>
            <w:hideMark/>
          </w:tcPr>
          <w:p w14:paraId="3669953F" w14:textId="77777777" w:rsidR="00295832" w:rsidRPr="00295832" w:rsidRDefault="00295832" w:rsidP="00295832">
            <w:pPr>
              <w:spacing w:before="0" w:after="0" w:line="240" w:lineRule="auto"/>
              <w:jc w:val="right"/>
              <w:rPr>
                <w:rFonts w:ascii="Arial" w:hAnsi="Arial" w:cs="Arial"/>
                <w:b/>
                <w:bCs/>
                <w:color w:val="000000"/>
                <w:sz w:val="16"/>
                <w:szCs w:val="16"/>
              </w:rPr>
            </w:pPr>
            <w:r w:rsidRPr="00295832">
              <w:rPr>
                <w:rFonts w:ascii="Arial" w:hAnsi="Arial" w:cs="Arial"/>
                <w:b/>
                <w:bCs/>
                <w:color w:val="000000"/>
                <w:sz w:val="16"/>
                <w:szCs w:val="16"/>
              </w:rPr>
              <w:t>5,629</w:t>
            </w:r>
          </w:p>
        </w:tc>
      </w:tr>
      <w:tr w:rsidR="00295832" w:rsidRPr="00295832" w14:paraId="620FF43F" w14:textId="77777777" w:rsidTr="00931C28">
        <w:trPr>
          <w:divId w:val="779882756"/>
          <w:trHeight w:hRule="exact" w:val="60"/>
        </w:trPr>
        <w:tc>
          <w:tcPr>
            <w:tcW w:w="1950" w:type="pct"/>
            <w:tcBorders>
              <w:top w:val="nil"/>
              <w:left w:val="nil"/>
              <w:bottom w:val="nil"/>
              <w:right w:val="nil"/>
            </w:tcBorders>
            <w:shd w:val="clear" w:color="000000" w:fill="FFFFFF"/>
            <w:noWrap/>
            <w:vAlign w:val="center"/>
            <w:hideMark/>
          </w:tcPr>
          <w:p w14:paraId="15479139" w14:textId="77777777" w:rsidR="00295832" w:rsidRPr="00295832" w:rsidRDefault="00295832" w:rsidP="00295832">
            <w:pPr>
              <w:spacing w:before="0" w:after="0" w:line="240" w:lineRule="auto"/>
              <w:rPr>
                <w:rFonts w:ascii="Arial" w:hAnsi="Arial" w:cs="Arial"/>
                <w:color w:val="000000"/>
                <w:sz w:val="16"/>
                <w:szCs w:val="16"/>
              </w:rPr>
            </w:pPr>
            <w:r w:rsidRPr="00295832">
              <w:rPr>
                <w:rFonts w:ascii="Arial" w:hAnsi="Arial" w:cs="Arial"/>
                <w:color w:val="000000"/>
                <w:sz w:val="16"/>
                <w:szCs w:val="16"/>
              </w:rPr>
              <w:t> </w:t>
            </w:r>
          </w:p>
        </w:tc>
        <w:tc>
          <w:tcPr>
            <w:tcW w:w="506" w:type="pct"/>
            <w:tcBorders>
              <w:top w:val="single" w:sz="4" w:space="0" w:color="293F5B"/>
              <w:left w:val="nil"/>
              <w:bottom w:val="nil"/>
              <w:right w:val="nil"/>
            </w:tcBorders>
            <w:shd w:val="clear" w:color="000000" w:fill="FFFFFF"/>
            <w:noWrap/>
            <w:vAlign w:val="center"/>
            <w:hideMark/>
          </w:tcPr>
          <w:p w14:paraId="759AF9CA" w14:textId="77777777" w:rsidR="00295832" w:rsidRPr="00295832" w:rsidRDefault="00295832" w:rsidP="00295832">
            <w:pPr>
              <w:spacing w:before="0" w:after="0" w:line="240" w:lineRule="auto"/>
              <w:rPr>
                <w:rFonts w:ascii="Arial" w:hAnsi="Arial" w:cs="Arial"/>
                <w:color w:val="000000"/>
                <w:sz w:val="16"/>
                <w:szCs w:val="16"/>
              </w:rPr>
            </w:pPr>
            <w:r w:rsidRPr="00295832">
              <w:rPr>
                <w:rFonts w:ascii="Arial" w:hAnsi="Arial" w:cs="Arial"/>
                <w:color w:val="000000"/>
                <w:sz w:val="16"/>
                <w:szCs w:val="16"/>
              </w:rPr>
              <w:t> </w:t>
            </w:r>
          </w:p>
        </w:tc>
        <w:tc>
          <w:tcPr>
            <w:tcW w:w="56" w:type="pct"/>
            <w:tcBorders>
              <w:top w:val="nil"/>
              <w:left w:val="nil"/>
              <w:bottom w:val="nil"/>
              <w:right w:val="nil"/>
            </w:tcBorders>
            <w:shd w:val="clear" w:color="000000" w:fill="FFFFFF"/>
            <w:noWrap/>
            <w:vAlign w:val="center"/>
            <w:hideMark/>
          </w:tcPr>
          <w:p w14:paraId="556DC287" w14:textId="77777777" w:rsidR="00295832" w:rsidRPr="00295832" w:rsidRDefault="00295832" w:rsidP="00295832">
            <w:pPr>
              <w:spacing w:before="0" w:after="0" w:line="240" w:lineRule="auto"/>
              <w:rPr>
                <w:rFonts w:ascii="Arial" w:hAnsi="Arial" w:cs="Arial"/>
                <w:color w:val="000000"/>
                <w:sz w:val="16"/>
                <w:szCs w:val="16"/>
              </w:rPr>
            </w:pPr>
            <w:r w:rsidRPr="00295832">
              <w:rPr>
                <w:rFonts w:ascii="Arial" w:hAnsi="Arial" w:cs="Arial"/>
                <w:color w:val="000000"/>
                <w:sz w:val="16"/>
                <w:szCs w:val="16"/>
              </w:rPr>
              <w:t> </w:t>
            </w:r>
          </w:p>
        </w:tc>
        <w:tc>
          <w:tcPr>
            <w:tcW w:w="498" w:type="pct"/>
            <w:tcBorders>
              <w:top w:val="single" w:sz="4" w:space="0" w:color="293F5B"/>
              <w:left w:val="nil"/>
              <w:bottom w:val="nil"/>
              <w:right w:val="nil"/>
            </w:tcBorders>
            <w:shd w:val="clear" w:color="000000" w:fill="FFFFFF"/>
            <w:noWrap/>
            <w:vAlign w:val="center"/>
            <w:hideMark/>
          </w:tcPr>
          <w:p w14:paraId="6ECC9087" w14:textId="77777777" w:rsidR="00295832" w:rsidRPr="00295832" w:rsidRDefault="00295832" w:rsidP="00295832">
            <w:pPr>
              <w:spacing w:before="0" w:after="0" w:line="240" w:lineRule="auto"/>
              <w:rPr>
                <w:rFonts w:ascii="Arial" w:hAnsi="Arial" w:cs="Arial"/>
                <w:color w:val="000000"/>
                <w:sz w:val="16"/>
                <w:szCs w:val="16"/>
              </w:rPr>
            </w:pPr>
            <w:r w:rsidRPr="00295832">
              <w:rPr>
                <w:rFonts w:ascii="Arial" w:hAnsi="Arial" w:cs="Arial"/>
                <w:color w:val="000000"/>
                <w:sz w:val="16"/>
                <w:szCs w:val="16"/>
              </w:rPr>
              <w:t> </w:t>
            </w:r>
          </w:p>
        </w:tc>
        <w:tc>
          <w:tcPr>
            <w:tcW w:w="497" w:type="pct"/>
            <w:tcBorders>
              <w:top w:val="single" w:sz="4" w:space="0" w:color="293F5B"/>
              <w:left w:val="nil"/>
              <w:bottom w:val="nil"/>
              <w:right w:val="nil"/>
            </w:tcBorders>
            <w:shd w:val="clear" w:color="000000" w:fill="E6F2FF"/>
            <w:noWrap/>
            <w:vAlign w:val="center"/>
            <w:hideMark/>
          </w:tcPr>
          <w:p w14:paraId="38D182EE" w14:textId="77777777" w:rsidR="00295832" w:rsidRPr="00295832" w:rsidRDefault="00295832" w:rsidP="00295832">
            <w:pPr>
              <w:spacing w:before="0" w:after="0" w:line="240" w:lineRule="auto"/>
              <w:rPr>
                <w:rFonts w:ascii="Arial" w:hAnsi="Arial" w:cs="Arial"/>
                <w:color w:val="000000"/>
                <w:sz w:val="16"/>
                <w:szCs w:val="16"/>
              </w:rPr>
            </w:pPr>
            <w:r w:rsidRPr="00295832">
              <w:rPr>
                <w:rFonts w:ascii="Arial" w:hAnsi="Arial" w:cs="Arial"/>
                <w:color w:val="000000"/>
                <w:sz w:val="16"/>
                <w:szCs w:val="16"/>
              </w:rPr>
              <w:t> </w:t>
            </w:r>
          </w:p>
        </w:tc>
        <w:tc>
          <w:tcPr>
            <w:tcW w:w="497" w:type="pct"/>
            <w:tcBorders>
              <w:top w:val="single" w:sz="4" w:space="0" w:color="293F5B"/>
              <w:left w:val="nil"/>
              <w:bottom w:val="nil"/>
              <w:right w:val="nil"/>
            </w:tcBorders>
            <w:shd w:val="clear" w:color="000000" w:fill="FFFFFF"/>
            <w:noWrap/>
            <w:vAlign w:val="center"/>
            <w:hideMark/>
          </w:tcPr>
          <w:p w14:paraId="5898AFEA" w14:textId="77777777" w:rsidR="00295832" w:rsidRPr="00295832" w:rsidRDefault="00295832" w:rsidP="00295832">
            <w:pPr>
              <w:spacing w:before="0" w:after="0" w:line="240" w:lineRule="auto"/>
              <w:rPr>
                <w:rFonts w:ascii="Arial" w:hAnsi="Arial" w:cs="Arial"/>
                <w:color w:val="000000"/>
                <w:sz w:val="16"/>
                <w:szCs w:val="16"/>
              </w:rPr>
            </w:pPr>
            <w:r w:rsidRPr="00295832">
              <w:rPr>
                <w:rFonts w:ascii="Arial" w:hAnsi="Arial" w:cs="Arial"/>
                <w:color w:val="000000"/>
                <w:sz w:val="16"/>
                <w:szCs w:val="16"/>
              </w:rPr>
              <w:t> </w:t>
            </w:r>
          </w:p>
        </w:tc>
        <w:tc>
          <w:tcPr>
            <w:tcW w:w="497" w:type="pct"/>
            <w:tcBorders>
              <w:top w:val="single" w:sz="4" w:space="0" w:color="293F5B"/>
              <w:left w:val="nil"/>
              <w:bottom w:val="nil"/>
              <w:right w:val="nil"/>
            </w:tcBorders>
            <w:shd w:val="clear" w:color="000000" w:fill="FFFFFF"/>
            <w:noWrap/>
            <w:vAlign w:val="center"/>
            <w:hideMark/>
          </w:tcPr>
          <w:p w14:paraId="74A17A79" w14:textId="77777777" w:rsidR="00295832" w:rsidRPr="00295832" w:rsidRDefault="00295832" w:rsidP="00295832">
            <w:pPr>
              <w:spacing w:before="0" w:after="0" w:line="240" w:lineRule="auto"/>
              <w:rPr>
                <w:rFonts w:ascii="Arial" w:hAnsi="Arial" w:cs="Arial"/>
                <w:color w:val="000000"/>
                <w:sz w:val="16"/>
                <w:szCs w:val="16"/>
              </w:rPr>
            </w:pPr>
            <w:r w:rsidRPr="00295832">
              <w:rPr>
                <w:rFonts w:ascii="Arial" w:hAnsi="Arial" w:cs="Arial"/>
                <w:color w:val="000000"/>
                <w:sz w:val="16"/>
                <w:szCs w:val="16"/>
              </w:rPr>
              <w:t> </w:t>
            </w:r>
          </w:p>
        </w:tc>
        <w:tc>
          <w:tcPr>
            <w:tcW w:w="497" w:type="pct"/>
            <w:tcBorders>
              <w:top w:val="single" w:sz="4" w:space="0" w:color="293F5B"/>
              <w:left w:val="nil"/>
              <w:bottom w:val="nil"/>
              <w:right w:val="nil"/>
            </w:tcBorders>
            <w:shd w:val="clear" w:color="000000" w:fill="FFFFFF"/>
            <w:noWrap/>
            <w:vAlign w:val="center"/>
            <w:hideMark/>
          </w:tcPr>
          <w:p w14:paraId="71E46552" w14:textId="77777777" w:rsidR="00295832" w:rsidRPr="00295832" w:rsidRDefault="00295832" w:rsidP="00295832">
            <w:pPr>
              <w:spacing w:before="0" w:after="0" w:line="240" w:lineRule="auto"/>
              <w:rPr>
                <w:rFonts w:ascii="Arial" w:hAnsi="Arial" w:cs="Arial"/>
                <w:color w:val="000000"/>
                <w:sz w:val="16"/>
                <w:szCs w:val="16"/>
              </w:rPr>
            </w:pPr>
            <w:r w:rsidRPr="00295832">
              <w:rPr>
                <w:rFonts w:ascii="Arial" w:hAnsi="Arial" w:cs="Arial"/>
                <w:color w:val="000000"/>
                <w:sz w:val="16"/>
                <w:szCs w:val="16"/>
              </w:rPr>
              <w:t> </w:t>
            </w:r>
          </w:p>
        </w:tc>
      </w:tr>
      <w:tr w:rsidR="00295832" w:rsidRPr="00295832" w14:paraId="22C005EA" w14:textId="77777777" w:rsidTr="00931C28">
        <w:trPr>
          <w:divId w:val="779882756"/>
          <w:trHeight w:hRule="exact" w:val="225"/>
        </w:trPr>
        <w:tc>
          <w:tcPr>
            <w:tcW w:w="1950" w:type="pct"/>
            <w:tcBorders>
              <w:top w:val="nil"/>
              <w:left w:val="nil"/>
              <w:bottom w:val="nil"/>
              <w:right w:val="nil"/>
            </w:tcBorders>
            <w:shd w:val="clear" w:color="000000" w:fill="FFFFFF"/>
            <w:noWrap/>
            <w:vAlign w:val="center"/>
            <w:hideMark/>
          </w:tcPr>
          <w:p w14:paraId="1919FFAA" w14:textId="77777777" w:rsidR="00295832" w:rsidRPr="00295832" w:rsidRDefault="00295832" w:rsidP="00295832">
            <w:pPr>
              <w:spacing w:before="0" w:after="0" w:line="240" w:lineRule="auto"/>
              <w:rPr>
                <w:rFonts w:ascii="Arial" w:hAnsi="Arial" w:cs="Arial"/>
                <w:b/>
                <w:bCs/>
                <w:color w:val="000000"/>
                <w:sz w:val="16"/>
                <w:szCs w:val="16"/>
              </w:rPr>
            </w:pPr>
            <w:r w:rsidRPr="00295832">
              <w:rPr>
                <w:rFonts w:ascii="Arial" w:hAnsi="Arial" w:cs="Arial"/>
                <w:b/>
                <w:bCs/>
                <w:color w:val="000000"/>
                <w:sz w:val="16"/>
                <w:szCs w:val="16"/>
              </w:rPr>
              <w:t>Recreation and culture</w:t>
            </w:r>
          </w:p>
        </w:tc>
        <w:tc>
          <w:tcPr>
            <w:tcW w:w="506" w:type="pct"/>
            <w:tcBorders>
              <w:top w:val="nil"/>
              <w:left w:val="nil"/>
              <w:bottom w:val="nil"/>
              <w:right w:val="nil"/>
            </w:tcBorders>
            <w:shd w:val="clear" w:color="000000" w:fill="FFFFFF"/>
            <w:noWrap/>
            <w:vAlign w:val="center"/>
            <w:hideMark/>
          </w:tcPr>
          <w:p w14:paraId="1571CA04" w14:textId="77777777" w:rsidR="00295832" w:rsidRPr="00295832" w:rsidRDefault="00295832" w:rsidP="00295832">
            <w:pPr>
              <w:spacing w:before="0" w:after="0" w:line="240" w:lineRule="auto"/>
              <w:rPr>
                <w:rFonts w:ascii="Arial" w:hAnsi="Arial" w:cs="Arial"/>
                <w:color w:val="000000"/>
                <w:sz w:val="16"/>
                <w:szCs w:val="16"/>
              </w:rPr>
            </w:pPr>
            <w:r w:rsidRPr="00295832">
              <w:rPr>
                <w:rFonts w:ascii="Arial" w:hAnsi="Arial" w:cs="Arial"/>
                <w:color w:val="000000"/>
                <w:sz w:val="16"/>
                <w:szCs w:val="16"/>
              </w:rPr>
              <w:t> </w:t>
            </w:r>
          </w:p>
        </w:tc>
        <w:tc>
          <w:tcPr>
            <w:tcW w:w="56" w:type="pct"/>
            <w:tcBorders>
              <w:top w:val="nil"/>
              <w:left w:val="nil"/>
              <w:bottom w:val="nil"/>
              <w:right w:val="nil"/>
            </w:tcBorders>
            <w:shd w:val="clear" w:color="000000" w:fill="FFFFFF"/>
            <w:noWrap/>
            <w:vAlign w:val="center"/>
            <w:hideMark/>
          </w:tcPr>
          <w:p w14:paraId="495FCA34" w14:textId="77777777" w:rsidR="00295832" w:rsidRPr="00295832" w:rsidRDefault="00295832" w:rsidP="00295832">
            <w:pPr>
              <w:spacing w:before="0" w:after="0" w:line="240" w:lineRule="auto"/>
              <w:rPr>
                <w:rFonts w:ascii="Arial" w:hAnsi="Arial" w:cs="Arial"/>
                <w:color w:val="000000"/>
                <w:sz w:val="16"/>
                <w:szCs w:val="16"/>
              </w:rPr>
            </w:pPr>
            <w:r w:rsidRPr="00295832">
              <w:rPr>
                <w:rFonts w:ascii="Arial" w:hAnsi="Arial" w:cs="Arial"/>
                <w:color w:val="000000"/>
                <w:sz w:val="16"/>
                <w:szCs w:val="16"/>
              </w:rPr>
              <w:t> </w:t>
            </w:r>
          </w:p>
        </w:tc>
        <w:tc>
          <w:tcPr>
            <w:tcW w:w="498" w:type="pct"/>
            <w:tcBorders>
              <w:top w:val="nil"/>
              <w:left w:val="nil"/>
              <w:bottom w:val="nil"/>
              <w:right w:val="nil"/>
            </w:tcBorders>
            <w:shd w:val="clear" w:color="000000" w:fill="FFFFFF"/>
            <w:noWrap/>
            <w:vAlign w:val="center"/>
            <w:hideMark/>
          </w:tcPr>
          <w:p w14:paraId="7ADD030E" w14:textId="77777777" w:rsidR="00295832" w:rsidRPr="00295832" w:rsidRDefault="00295832" w:rsidP="00295832">
            <w:pPr>
              <w:spacing w:before="0" w:after="0" w:line="240" w:lineRule="auto"/>
              <w:rPr>
                <w:rFonts w:ascii="Arial" w:hAnsi="Arial" w:cs="Arial"/>
                <w:color w:val="000000"/>
                <w:sz w:val="16"/>
                <w:szCs w:val="16"/>
              </w:rPr>
            </w:pPr>
            <w:r w:rsidRPr="00295832">
              <w:rPr>
                <w:rFonts w:ascii="Arial" w:hAnsi="Arial" w:cs="Arial"/>
                <w:color w:val="000000"/>
                <w:sz w:val="16"/>
                <w:szCs w:val="16"/>
              </w:rPr>
              <w:t> </w:t>
            </w:r>
          </w:p>
        </w:tc>
        <w:tc>
          <w:tcPr>
            <w:tcW w:w="497" w:type="pct"/>
            <w:tcBorders>
              <w:top w:val="nil"/>
              <w:left w:val="nil"/>
              <w:bottom w:val="nil"/>
              <w:right w:val="nil"/>
            </w:tcBorders>
            <w:shd w:val="clear" w:color="000000" w:fill="E6F2FF"/>
            <w:noWrap/>
            <w:vAlign w:val="center"/>
            <w:hideMark/>
          </w:tcPr>
          <w:p w14:paraId="0BCB2BF2" w14:textId="77777777" w:rsidR="00295832" w:rsidRPr="00295832" w:rsidRDefault="00295832" w:rsidP="00295832">
            <w:pPr>
              <w:spacing w:before="0" w:after="0" w:line="240" w:lineRule="auto"/>
              <w:rPr>
                <w:rFonts w:ascii="Arial" w:hAnsi="Arial" w:cs="Arial"/>
                <w:color w:val="000000"/>
                <w:sz w:val="16"/>
                <w:szCs w:val="16"/>
              </w:rPr>
            </w:pPr>
            <w:r w:rsidRPr="00295832">
              <w:rPr>
                <w:rFonts w:ascii="Arial" w:hAnsi="Arial" w:cs="Arial"/>
                <w:color w:val="000000"/>
                <w:sz w:val="16"/>
                <w:szCs w:val="16"/>
              </w:rPr>
              <w:t> </w:t>
            </w:r>
          </w:p>
        </w:tc>
        <w:tc>
          <w:tcPr>
            <w:tcW w:w="497" w:type="pct"/>
            <w:tcBorders>
              <w:top w:val="nil"/>
              <w:left w:val="nil"/>
              <w:bottom w:val="nil"/>
              <w:right w:val="nil"/>
            </w:tcBorders>
            <w:shd w:val="clear" w:color="000000" w:fill="FFFFFF"/>
            <w:noWrap/>
            <w:vAlign w:val="center"/>
            <w:hideMark/>
          </w:tcPr>
          <w:p w14:paraId="0C61A022" w14:textId="77777777" w:rsidR="00295832" w:rsidRPr="00295832" w:rsidRDefault="00295832" w:rsidP="00295832">
            <w:pPr>
              <w:spacing w:before="0" w:after="0" w:line="240" w:lineRule="auto"/>
              <w:rPr>
                <w:rFonts w:ascii="Arial" w:hAnsi="Arial" w:cs="Arial"/>
                <w:color w:val="000000"/>
                <w:sz w:val="16"/>
                <w:szCs w:val="16"/>
              </w:rPr>
            </w:pPr>
            <w:r w:rsidRPr="00295832">
              <w:rPr>
                <w:rFonts w:ascii="Arial" w:hAnsi="Arial" w:cs="Arial"/>
                <w:color w:val="000000"/>
                <w:sz w:val="16"/>
                <w:szCs w:val="16"/>
              </w:rPr>
              <w:t> </w:t>
            </w:r>
          </w:p>
        </w:tc>
        <w:tc>
          <w:tcPr>
            <w:tcW w:w="497" w:type="pct"/>
            <w:tcBorders>
              <w:top w:val="nil"/>
              <w:left w:val="nil"/>
              <w:bottom w:val="nil"/>
              <w:right w:val="nil"/>
            </w:tcBorders>
            <w:shd w:val="clear" w:color="000000" w:fill="FFFFFF"/>
            <w:noWrap/>
            <w:vAlign w:val="center"/>
            <w:hideMark/>
          </w:tcPr>
          <w:p w14:paraId="1848FB31" w14:textId="77777777" w:rsidR="00295832" w:rsidRPr="00295832" w:rsidRDefault="00295832" w:rsidP="00295832">
            <w:pPr>
              <w:spacing w:before="0" w:after="0" w:line="240" w:lineRule="auto"/>
              <w:rPr>
                <w:rFonts w:ascii="Arial" w:hAnsi="Arial" w:cs="Arial"/>
                <w:color w:val="000000"/>
                <w:sz w:val="16"/>
                <w:szCs w:val="16"/>
              </w:rPr>
            </w:pPr>
            <w:r w:rsidRPr="00295832">
              <w:rPr>
                <w:rFonts w:ascii="Arial" w:hAnsi="Arial" w:cs="Arial"/>
                <w:color w:val="000000"/>
                <w:sz w:val="16"/>
                <w:szCs w:val="16"/>
              </w:rPr>
              <w:t> </w:t>
            </w:r>
          </w:p>
        </w:tc>
        <w:tc>
          <w:tcPr>
            <w:tcW w:w="497" w:type="pct"/>
            <w:tcBorders>
              <w:top w:val="nil"/>
              <w:left w:val="nil"/>
              <w:bottom w:val="nil"/>
              <w:right w:val="nil"/>
            </w:tcBorders>
            <w:shd w:val="clear" w:color="000000" w:fill="FFFFFF"/>
            <w:noWrap/>
            <w:vAlign w:val="center"/>
            <w:hideMark/>
          </w:tcPr>
          <w:p w14:paraId="42D93B2D" w14:textId="77777777" w:rsidR="00295832" w:rsidRPr="00295832" w:rsidRDefault="00295832" w:rsidP="00295832">
            <w:pPr>
              <w:spacing w:before="0" w:after="0" w:line="240" w:lineRule="auto"/>
              <w:rPr>
                <w:rFonts w:ascii="Arial" w:hAnsi="Arial" w:cs="Arial"/>
                <w:color w:val="000000"/>
                <w:sz w:val="16"/>
                <w:szCs w:val="16"/>
              </w:rPr>
            </w:pPr>
            <w:r w:rsidRPr="00295832">
              <w:rPr>
                <w:rFonts w:ascii="Arial" w:hAnsi="Arial" w:cs="Arial"/>
                <w:color w:val="000000"/>
                <w:sz w:val="16"/>
                <w:szCs w:val="16"/>
              </w:rPr>
              <w:t> </w:t>
            </w:r>
          </w:p>
        </w:tc>
      </w:tr>
      <w:tr w:rsidR="00295832" w:rsidRPr="00295832" w14:paraId="38DF71C5" w14:textId="77777777" w:rsidTr="00931C28">
        <w:trPr>
          <w:divId w:val="779882756"/>
          <w:trHeight w:hRule="exact" w:val="225"/>
        </w:trPr>
        <w:tc>
          <w:tcPr>
            <w:tcW w:w="1950" w:type="pct"/>
            <w:tcBorders>
              <w:top w:val="nil"/>
              <w:left w:val="nil"/>
              <w:bottom w:val="nil"/>
              <w:right w:val="nil"/>
            </w:tcBorders>
            <w:shd w:val="clear" w:color="000000" w:fill="FFFFFF"/>
            <w:noWrap/>
            <w:vAlign w:val="center"/>
            <w:hideMark/>
          </w:tcPr>
          <w:p w14:paraId="3BAFB04F" w14:textId="77777777" w:rsidR="00295832" w:rsidRPr="00295832" w:rsidRDefault="00295832" w:rsidP="00931C28">
            <w:pPr>
              <w:spacing w:before="0" w:after="0" w:line="240" w:lineRule="auto"/>
              <w:ind w:left="170"/>
              <w:rPr>
                <w:rFonts w:ascii="Arial" w:hAnsi="Arial" w:cs="Arial"/>
                <w:color w:val="000000"/>
                <w:sz w:val="16"/>
                <w:szCs w:val="16"/>
              </w:rPr>
            </w:pPr>
            <w:r w:rsidRPr="00295832">
              <w:rPr>
                <w:rFonts w:ascii="Arial" w:hAnsi="Arial" w:cs="Arial"/>
                <w:color w:val="000000"/>
                <w:sz w:val="16"/>
                <w:szCs w:val="16"/>
              </w:rPr>
              <w:t>Broadcasting</w:t>
            </w:r>
          </w:p>
        </w:tc>
        <w:tc>
          <w:tcPr>
            <w:tcW w:w="506" w:type="pct"/>
            <w:tcBorders>
              <w:top w:val="nil"/>
              <w:left w:val="nil"/>
              <w:bottom w:val="nil"/>
              <w:right w:val="nil"/>
            </w:tcBorders>
            <w:shd w:val="clear" w:color="000000" w:fill="FFFFFF"/>
            <w:noWrap/>
            <w:vAlign w:val="center"/>
            <w:hideMark/>
          </w:tcPr>
          <w:p w14:paraId="5E0B996B" w14:textId="77777777" w:rsidR="00295832" w:rsidRPr="00295832" w:rsidRDefault="00295832" w:rsidP="00295832">
            <w:pPr>
              <w:spacing w:before="0" w:after="0" w:line="240" w:lineRule="auto"/>
              <w:jc w:val="right"/>
              <w:rPr>
                <w:rFonts w:ascii="Arial" w:hAnsi="Arial" w:cs="Arial"/>
                <w:color w:val="000000"/>
                <w:sz w:val="16"/>
                <w:szCs w:val="16"/>
              </w:rPr>
            </w:pPr>
            <w:r w:rsidRPr="00295832">
              <w:rPr>
                <w:rFonts w:ascii="Arial" w:hAnsi="Arial" w:cs="Arial"/>
                <w:color w:val="000000"/>
                <w:sz w:val="16"/>
                <w:szCs w:val="16"/>
              </w:rPr>
              <w:t>1,690</w:t>
            </w:r>
          </w:p>
        </w:tc>
        <w:tc>
          <w:tcPr>
            <w:tcW w:w="56" w:type="pct"/>
            <w:tcBorders>
              <w:top w:val="nil"/>
              <w:left w:val="nil"/>
              <w:bottom w:val="nil"/>
              <w:right w:val="nil"/>
            </w:tcBorders>
            <w:shd w:val="clear" w:color="000000" w:fill="FFFFFF"/>
            <w:noWrap/>
            <w:vAlign w:val="center"/>
            <w:hideMark/>
          </w:tcPr>
          <w:p w14:paraId="7E098C16" w14:textId="77777777" w:rsidR="00295832" w:rsidRPr="00295832" w:rsidRDefault="00295832" w:rsidP="00295832">
            <w:pPr>
              <w:spacing w:before="0" w:after="0" w:line="240" w:lineRule="auto"/>
              <w:rPr>
                <w:rFonts w:ascii="Arial" w:hAnsi="Arial" w:cs="Arial"/>
                <w:color w:val="000000"/>
                <w:sz w:val="16"/>
                <w:szCs w:val="16"/>
              </w:rPr>
            </w:pPr>
            <w:r w:rsidRPr="00295832">
              <w:rPr>
                <w:rFonts w:ascii="Arial" w:hAnsi="Arial" w:cs="Arial"/>
                <w:color w:val="000000"/>
                <w:sz w:val="16"/>
                <w:szCs w:val="16"/>
              </w:rPr>
              <w:t> </w:t>
            </w:r>
          </w:p>
        </w:tc>
        <w:tc>
          <w:tcPr>
            <w:tcW w:w="498" w:type="pct"/>
            <w:tcBorders>
              <w:top w:val="nil"/>
              <w:left w:val="nil"/>
              <w:bottom w:val="nil"/>
              <w:right w:val="nil"/>
            </w:tcBorders>
            <w:shd w:val="clear" w:color="000000" w:fill="FFFFFF"/>
            <w:noWrap/>
            <w:vAlign w:val="center"/>
            <w:hideMark/>
          </w:tcPr>
          <w:p w14:paraId="4F502F9D" w14:textId="77777777" w:rsidR="00295832" w:rsidRPr="00295832" w:rsidRDefault="00295832" w:rsidP="00295832">
            <w:pPr>
              <w:spacing w:before="0" w:after="0" w:line="240" w:lineRule="auto"/>
              <w:jc w:val="right"/>
              <w:rPr>
                <w:rFonts w:ascii="Arial" w:hAnsi="Arial" w:cs="Arial"/>
                <w:color w:val="000000"/>
                <w:sz w:val="16"/>
                <w:szCs w:val="16"/>
              </w:rPr>
            </w:pPr>
            <w:r w:rsidRPr="00295832">
              <w:rPr>
                <w:rFonts w:ascii="Arial" w:hAnsi="Arial" w:cs="Arial"/>
                <w:color w:val="000000"/>
                <w:sz w:val="16"/>
                <w:szCs w:val="16"/>
              </w:rPr>
              <w:t>1,688</w:t>
            </w:r>
          </w:p>
        </w:tc>
        <w:tc>
          <w:tcPr>
            <w:tcW w:w="497" w:type="pct"/>
            <w:tcBorders>
              <w:top w:val="nil"/>
              <w:left w:val="nil"/>
              <w:bottom w:val="nil"/>
              <w:right w:val="nil"/>
            </w:tcBorders>
            <w:shd w:val="clear" w:color="000000" w:fill="E6F2FF"/>
            <w:noWrap/>
            <w:vAlign w:val="center"/>
            <w:hideMark/>
          </w:tcPr>
          <w:p w14:paraId="523F6B2F" w14:textId="77777777" w:rsidR="00295832" w:rsidRPr="00295832" w:rsidRDefault="00295832" w:rsidP="00295832">
            <w:pPr>
              <w:spacing w:before="0" w:after="0" w:line="240" w:lineRule="auto"/>
              <w:jc w:val="right"/>
              <w:rPr>
                <w:rFonts w:ascii="Arial" w:hAnsi="Arial" w:cs="Arial"/>
                <w:color w:val="000000"/>
                <w:sz w:val="16"/>
                <w:szCs w:val="16"/>
              </w:rPr>
            </w:pPr>
            <w:r w:rsidRPr="00295832">
              <w:rPr>
                <w:rFonts w:ascii="Arial" w:hAnsi="Arial" w:cs="Arial"/>
                <w:color w:val="000000"/>
                <w:sz w:val="16"/>
                <w:szCs w:val="16"/>
              </w:rPr>
              <w:t>1,749</w:t>
            </w:r>
          </w:p>
        </w:tc>
        <w:tc>
          <w:tcPr>
            <w:tcW w:w="497" w:type="pct"/>
            <w:tcBorders>
              <w:top w:val="nil"/>
              <w:left w:val="nil"/>
              <w:bottom w:val="nil"/>
              <w:right w:val="nil"/>
            </w:tcBorders>
            <w:shd w:val="clear" w:color="000000" w:fill="FFFFFF"/>
            <w:noWrap/>
            <w:vAlign w:val="center"/>
            <w:hideMark/>
          </w:tcPr>
          <w:p w14:paraId="65FFB90C" w14:textId="77777777" w:rsidR="00295832" w:rsidRPr="00295832" w:rsidRDefault="00295832" w:rsidP="00295832">
            <w:pPr>
              <w:spacing w:before="0" w:after="0" w:line="240" w:lineRule="auto"/>
              <w:jc w:val="right"/>
              <w:rPr>
                <w:rFonts w:ascii="Arial" w:hAnsi="Arial" w:cs="Arial"/>
                <w:color w:val="000000"/>
                <w:sz w:val="16"/>
                <w:szCs w:val="16"/>
              </w:rPr>
            </w:pPr>
            <w:r w:rsidRPr="00295832">
              <w:rPr>
                <w:rFonts w:ascii="Arial" w:hAnsi="Arial" w:cs="Arial"/>
                <w:color w:val="000000"/>
                <w:sz w:val="16"/>
                <w:szCs w:val="16"/>
              </w:rPr>
              <w:t>1,801</w:t>
            </w:r>
          </w:p>
        </w:tc>
        <w:tc>
          <w:tcPr>
            <w:tcW w:w="497" w:type="pct"/>
            <w:tcBorders>
              <w:top w:val="nil"/>
              <w:left w:val="nil"/>
              <w:bottom w:val="nil"/>
              <w:right w:val="nil"/>
            </w:tcBorders>
            <w:shd w:val="clear" w:color="000000" w:fill="FFFFFF"/>
            <w:noWrap/>
            <w:vAlign w:val="center"/>
            <w:hideMark/>
          </w:tcPr>
          <w:p w14:paraId="1E6AEC6F" w14:textId="77777777" w:rsidR="00295832" w:rsidRPr="00295832" w:rsidRDefault="00295832" w:rsidP="00295832">
            <w:pPr>
              <w:spacing w:before="0" w:after="0" w:line="240" w:lineRule="auto"/>
              <w:jc w:val="right"/>
              <w:rPr>
                <w:rFonts w:ascii="Arial" w:hAnsi="Arial" w:cs="Arial"/>
                <w:color w:val="000000"/>
                <w:sz w:val="16"/>
                <w:szCs w:val="16"/>
              </w:rPr>
            </w:pPr>
            <w:r w:rsidRPr="00295832">
              <w:rPr>
                <w:rFonts w:ascii="Arial" w:hAnsi="Arial" w:cs="Arial"/>
                <w:color w:val="000000"/>
                <w:sz w:val="16"/>
                <w:szCs w:val="16"/>
              </w:rPr>
              <w:t>1,800</w:t>
            </w:r>
          </w:p>
        </w:tc>
        <w:tc>
          <w:tcPr>
            <w:tcW w:w="497" w:type="pct"/>
            <w:tcBorders>
              <w:top w:val="nil"/>
              <w:left w:val="nil"/>
              <w:bottom w:val="nil"/>
              <w:right w:val="nil"/>
            </w:tcBorders>
            <w:shd w:val="clear" w:color="000000" w:fill="FFFFFF"/>
            <w:noWrap/>
            <w:vAlign w:val="center"/>
            <w:hideMark/>
          </w:tcPr>
          <w:p w14:paraId="06FD2775" w14:textId="77777777" w:rsidR="00295832" w:rsidRPr="00295832" w:rsidRDefault="00295832" w:rsidP="00295832">
            <w:pPr>
              <w:spacing w:before="0" w:after="0" w:line="240" w:lineRule="auto"/>
              <w:jc w:val="right"/>
              <w:rPr>
                <w:rFonts w:ascii="Arial" w:hAnsi="Arial" w:cs="Arial"/>
                <w:color w:val="000000"/>
                <w:sz w:val="16"/>
                <w:szCs w:val="16"/>
              </w:rPr>
            </w:pPr>
            <w:r w:rsidRPr="00295832">
              <w:rPr>
                <w:rFonts w:ascii="Arial" w:hAnsi="Arial" w:cs="Arial"/>
                <w:color w:val="000000"/>
                <w:sz w:val="16"/>
                <w:szCs w:val="16"/>
              </w:rPr>
              <w:t>1,813</w:t>
            </w:r>
          </w:p>
        </w:tc>
      </w:tr>
      <w:tr w:rsidR="00295832" w:rsidRPr="00295832" w14:paraId="27A64918" w14:textId="77777777" w:rsidTr="00931C28">
        <w:trPr>
          <w:divId w:val="779882756"/>
          <w:trHeight w:hRule="exact" w:val="225"/>
        </w:trPr>
        <w:tc>
          <w:tcPr>
            <w:tcW w:w="1950" w:type="pct"/>
            <w:tcBorders>
              <w:top w:val="nil"/>
              <w:left w:val="nil"/>
              <w:bottom w:val="nil"/>
              <w:right w:val="nil"/>
            </w:tcBorders>
            <w:shd w:val="clear" w:color="000000" w:fill="FFFFFF"/>
            <w:noWrap/>
            <w:vAlign w:val="center"/>
            <w:hideMark/>
          </w:tcPr>
          <w:p w14:paraId="6F1C6A3B" w14:textId="77777777" w:rsidR="00295832" w:rsidRPr="00295832" w:rsidRDefault="00295832" w:rsidP="00931C28">
            <w:pPr>
              <w:spacing w:before="0" w:after="0" w:line="240" w:lineRule="auto"/>
              <w:ind w:left="170"/>
              <w:rPr>
                <w:rFonts w:ascii="Arial" w:hAnsi="Arial" w:cs="Arial"/>
                <w:color w:val="000000"/>
                <w:sz w:val="16"/>
                <w:szCs w:val="16"/>
              </w:rPr>
            </w:pPr>
            <w:r w:rsidRPr="00295832">
              <w:rPr>
                <w:rFonts w:ascii="Arial" w:hAnsi="Arial" w:cs="Arial"/>
                <w:color w:val="000000"/>
                <w:sz w:val="16"/>
                <w:szCs w:val="16"/>
              </w:rPr>
              <w:t>Arts and cultural heritage</w:t>
            </w:r>
          </w:p>
        </w:tc>
        <w:tc>
          <w:tcPr>
            <w:tcW w:w="506" w:type="pct"/>
            <w:tcBorders>
              <w:top w:val="nil"/>
              <w:left w:val="nil"/>
              <w:bottom w:val="nil"/>
              <w:right w:val="nil"/>
            </w:tcBorders>
            <w:shd w:val="clear" w:color="000000" w:fill="FFFFFF"/>
            <w:noWrap/>
            <w:vAlign w:val="center"/>
            <w:hideMark/>
          </w:tcPr>
          <w:p w14:paraId="30244734" w14:textId="77777777" w:rsidR="00295832" w:rsidRPr="00295832" w:rsidRDefault="00295832" w:rsidP="00295832">
            <w:pPr>
              <w:spacing w:before="0" w:after="0" w:line="240" w:lineRule="auto"/>
              <w:jc w:val="right"/>
              <w:rPr>
                <w:rFonts w:ascii="Arial" w:hAnsi="Arial" w:cs="Arial"/>
                <w:color w:val="000000"/>
                <w:sz w:val="16"/>
                <w:szCs w:val="16"/>
              </w:rPr>
            </w:pPr>
            <w:r w:rsidRPr="00295832">
              <w:rPr>
                <w:rFonts w:ascii="Arial" w:hAnsi="Arial" w:cs="Arial"/>
                <w:color w:val="000000"/>
                <w:sz w:val="16"/>
                <w:szCs w:val="16"/>
              </w:rPr>
              <w:t>1,813</w:t>
            </w:r>
          </w:p>
        </w:tc>
        <w:tc>
          <w:tcPr>
            <w:tcW w:w="56" w:type="pct"/>
            <w:tcBorders>
              <w:top w:val="nil"/>
              <w:left w:val="nil"/>
              <w:bottom w:val="nil"/>
              <w:right w:val="nil"/>
            </w:tcBorders>
            <w:shd w:val="clear" w:color="000000" w:fill="FFFFFF"/>
            <w:noWrap/>
            <w:vAlign w:val="center"/>
            <w:hideMark/>
          </w:tcPr>
          <w:p w14:paraId="7ACC73C6" w14:textId="77777777" w:rsidR="00295832" w:rsidRPr="00295832" w:rsidRDefault="00295832" w:rsidP="00295832">
            <w:pPr>
              <w:spacing w:before="0" w:after="0" w:line="240" w:lineRule="auto"/>
              <w:rPr>
                <w:rFonts w:ascii="Arial" w:hAnsi="Arial" w:cs="Arial"/>
                <w:color w:val="000000"/>
                <w:sz w:val="16"/>
                <w:szCs w:val="16"/>
              </w:rPr>
            </w:pPr>
            <w:r w:rsidRPr="00295832">
              <w:rPr>
                <w:rFonts w:ascii="Arial" w:hAnsi="Arial" w:cs="Arial"/>
                <w:color w:val="000000"/>
                <w:sz w:val="16"/>
                <w:szCs w:val="16"/>
              </w:rPr>
              <w:t> </w:t>
            </w:r>
          </w:p>
        </w:tc>
        <w:tc>
          <w:tcPr>
            <w:tcW w:w="498" w:type="pct"/>
            <w:tcBorders>
              <w:top w:val="nil"/>
              <w:left w:val="nil"/>
              <w:bottom w:val="nil"/>
              <w:right w:val="nil"/>
            </w:tcBorders>
            <w:shd w:val="clear" w:color="000000" w:fill="FFFFFF"/>
            <w:noWrap/>
            <w:vAlign w:val="center"/>
            <w:hideMark/>
          </w:tcPr>
          <w:p w14:paraId="108263A0" w14:textId="77777777" w:rsidR="00295832" w:rsidRPr="00295832" w:rsidRDefault="00295832" w:rsidP="00295832">
            <w:pPr>
              <w:spacing w:before="0" w:after="0" w:line="240" w:lineRule="auto"/>
              <w:jc w:val="right"/>
              <w:rPr>
                <w:rFonts w:ascii="Arial" w:hAnsi="Arial" w:cs="Arial"/>
                <w:color w:val="000000"/>
                <w:sz w:val="16"/>
                <w:szCs w:val="16"/>
              </w:rPr>
            </w:pPr>
            <w:r w:rsidRPr="00295832">
              <w:rPr>
                <w:rFonts w:ascii="Arial" w:hAnsi="Arial" w:cs="Arial"/>
                <w:color w:val="000000"/>
                <w:sz w:val="16"/>
                <w:szCs w:val="16"/>
              </w:rPr>
              <w:t>1,992</w:t>
            </w:r>
          </w:p>
        </w:tc>
        <w:tc>
          <w:tcPr>
            <w:tcW w:w="497" w:type="pct"/>
            <w:tcBorders>
              <w:top w:val="nil"/>
              <w:left w:val="nil"/>
              <w:bottom w:val="nil"/>
              <w:right w:val="nil"/>
            </w:tcBorders>
            <w:shd w:val="clear" w:color="000000" w:fill="E6F2FF"/>
            <w:noWrap/>
            <w:vAlign w:val="center"/>
            <w:hideMark/>
          </w:tcPr>
          <w:p w14:paraId="7534ABCA" w14:textId="77777777" w:rsidR="00295832" w:rsidRPr="00295832" w:rsidRDefault="00295832" w:rsidP="00295832">
            <w:pPr>
              <w:spacing w:before="0" w:after="0" w:line="240" w:lineRule="auto"/>
              <w:jc w:val="right"/>
              <w:rPr>
                <w:rFonts w:ascii="Arial" w:hAnsi="Arial" w:cs="Arial"/>
                <w:color w:val="000000"/>
                <w:sz w:val="16"/>
                <w:szCs w:val="16"/>
              </w:rPr>
            </w:pPr>
            <w:r w:rsidRPr="00295832">
              <w:rPr>
                <w:rFonts w:ascii="Arial" w:hAnsi="Arial" w:cs="Arial"/>
                <w:color w:val="000000"/>
                <w:sz w:val="16"/>
                <w:szCs w:val="16"/>
              </w:rPr>
              <w:t>2,140</w:t>
            </w:r>
          </w:p>
        </w:tc>
        <w:tc>
          <w:tcPr>
            <w:tcW w:w="497" w:type="pct"/>
            <w:tcBorders>
              <w:top w:val="nil"/>
              <w:left w:val="nil"/>
              <w:bottom w:val="nil"/>
              <w:right w:val="nil"/>
            </w:tcBorders>
            <w:shd w:val="clear" w:color="000000" w:fill="FFFFFF"/>
            <w:noWrap/>
            <w:vAlign w:val="center"/>
            <w:hideMark/>
          </w:tcPr>
          <w:p w14:paraId="00AF6D35" w14:textId="77777777" w:rsidR="00295832" w:rsidRPr="00295832" w:rsidRDefault="00295832" w:rsidP="00295832">
            <w:pPr>
              <w:spacing w:before="0" w:after="0" w:line="240" w:lineRule="auto"/>
              <w:jc w:val="right"/>
              <w:rPr>
                <w:rFonts w:ascii="Arial" w:hAnsi="Arial" w:cs="Arial"/>
                <w:color w:val="000000"/>
                <w:sz w:val="16"/>
                <w:szCs w:val="16"/>
              </w:rPr>
            </w:pPr>
            <w:r w:rsidRPr="00295832">
              <w:rPr>
                <w:rFonts w:ascii="Arial" w:hAnsi="Arial" w:cs="Arial"/>
                <w:color w:val="000000"/>
                <w:sz w:val="16"/>
                <w:szCs w:val="16"/>
              </w:rPr>
              <w:t>1,919</w:t>
            </w:r>
          </w:p>
        </w:tc>
        <w:tc>
          <w:tcPr>
            <w:tcW w:w="497" w:type="pct"/>
            <w:tcBorders>
              <w:top w:val="nil"/>
              <w:left w:val="nil"/>
              <w:bottom w:val="nil"/>
              <w:right w:val="nil"/>
            </w:tcBorders>
            <w:shd w:val="clear" w:color="000000" w:fill="FFFFFF"/>
            <w:noWrap/>
            <w:vAlign w:val="center"/>
            <w:hideMark/>
          </w:tcPr>
          <w:p w14:paraId="64FD3171" w14:textId="77777777" w:rsidR="00295832" w:rsidRPr="00295832" w:rsidRDefault="00295832" w:rsidP="00295832">
            <w:pPr>
              <w:spacing w:before="0" w:after="0" w:line="240" w:lineRule="auto"/>
              <w:jc w:val="right"/>
              <w:rPr>
                <w:rFonts w:ascii="Arial" w:hAnsi="Arial" w:cs="Arial"/>
                <w:color w:val="000000"/>
                <w:sz w:val="16"/>
                <w:szCs w:val="16"/>
              </w:rPr>
            </w:pPr>
            <w:r w:rsidRPr="00295832">
              <w:rPr>
                <w:rFonts w:ascii="Arial" w:hAnsi="Arial" w:cs="Arial"/>
                <w:color w:val="000000"/>
                <w:sz w:val="16"/>
                <w:szCs w:val="16"/>
              </w:rPr>
              <w:t>1,890</w:t>
            </w:r>
          </w:p>
        </w:tc>
        <w:tc>
          <w:tcPr>
            <w:tcW w:w="497" w:type="pct"/>
            <w:tcBorders>
              <w:top w:val="nil"/>
              <w:left w:val="nil"/>
              <w:bottom w:val="nil"/>
              <w:right w:val="nil"/>
            </w:tcBorders>
            <w:shd w:val="clear" w:color="000000" w:fill="FFFFFF"/>
            <w:noWrap/>
            <w:vAlign w:val="center"/>
            <w:hideMark/>
          </w:tcPr>
          <w:p w14:paraId="605E95D0" w14:textId="77777777" w:rsidR="00295832" w:rsidRPr="00295832" w:rsidRDefault="00295832" w:rsidP="00295832">
            <w:pPr>
              <w:spacing w:before="0" w:after="0" w:line="240" w:lineRule="auto"/>
              <w:jc w:val="right"/>
              <w:rPr>
                <w:rFonts w:ascii="Arial" w:hAnsi="Arial" w:cs="Arial"/>
                <w:color w:val="000000"/>
                <w:sz w:val="16"/>
                <w:szCs w:val="16"/>
              </w:rPr>
            </w:pPr>
            <w:r w:rsidRPr="00295832">
              <w:rPr>
                <w:rFonts w:ascii="Arial" w:hAnsi="Arial" w:cs="Arial"/>
                <w:color w:val="000000"/>
                <w:sz w:val="16"/>
                <w:szCs w:val="16"/>
              </w:rPr>
              <w:t>1,851</w:t>
            </w:r>
          </w:p>
        </w:tc>
      </w:tr>
      <w:tr w:rsidR="00295832" w:rsidRPr="00295832" w14:paraId="718C5D49" w14:textId="77777777" w:rsidTr="00931C28">
        <w:trPr>
          <w:divId w:val="779882756"/>
          <w:trHeight w:hRule="exact" w:val="225"/>
        </w:trPr>
        <w:tc>
          <w:tcPr>
            <w:tcW w:w="1950" w:type="pct"/>
            <w:tcBorders>
              <w:top w:val="nil"/>
              <w:left w:val="nil"/>
              <w:bottom w:val="nil"/>
              <w:right w:val="nil"/>
            </w:tcBorders>
            <w:shd w:val="clear" w:color="000000" w:fill="FFFFFF"/>
            <w:noWrap/>
            <w:vAlign w:val="center"/>
            <w:hideMark/>
          </w:tcPr>
          <w:p w14:paraId="314EF337" w14:textId="77777777" w:rsidR="00295832" w:rsidRPr="00295832" w:rsidRDefault="00295832" w:rsidP="00931C28">
            <w:pPr>
              <w:spacing w:before="0" w:after="0" w:line="240" w:lineRule="auto"/>
              <w:ind w:left="170"/>
              <w:rPr>
                <w:rFonts w:ascii="Arial" w:hAnsi="Arial" w:cs="Arial"/>
                <w:color w:val="000000"/>
                <w:sz w:val="16"/>
                <w:szCs w:val="16"/>
              </w:rPr>
            </w:pPr>
            <w:r w:rsidRPr="00295832">
              <w:rPr>
                <w:rFonts w:ascii="Arial" w:hAnsi="Arial" w:cs="Arial"/>
                <w:color w:val="000000"/>
                <w:sz w:val="16"/>
                <w:szCs w:val="16"/>
              </w:rPr>
              <w:t>Sport and recreation</w:t>
            </w:r>
          </w:p>
        </w:tc>
        <w:tc>
          <w:tcPr>
            <w:tcW w:w="506" w:type="pct"/>
            <w:tcBorders>
              <w:top w:val="nil"/>
              <w:left w:val="nil"/>
              <w:bottom w:val="nil"/>
              <w:right w:val="nil"/>
            </w:tcBorders>
            <w:shd w:val="clear" w:color="000000" w:fill="FFFFFF"/>
            <w:noWrap/>
            <w:vAlign w:val="center"/>
            <w:hideMark/>
          </w:tcPr>
          <w:p w14:paraId="3CD5421F" w14:textId="77777777" w:rsidR="00295832" w:rsidRPr="00295832" w:rsidRDefault="00295832" w:rsidP="00295832">
            <w:pPr>
              <w:spacing w:before="0" w:after="0" w:line="240" w:lineRule="auto"/>
              <w:jc w:val="right"/>
              <w:rPr>
                <w:rFonts w:ascii="Arial" w:hAnsi="Arial" w:cs="Arial"/>
                <w:color w:val="000000"/>
                <w:sz w:val="16"/>
                <w:szCs w:val="16"/>
              </w:rPr>
            </w:pPr>
            <w:r w:rsidRPr="00295832">
              <w:rPr>
                <w:rFonts w:ascii="Arial" w:hAnsi="Arial" w:cs="Arial"/>
                <w:color w:val="000000"/>
                <w:sz w:val="16"/>
                <w:szCs w:val="16"/>
              </w:rPr>
              <w:t>573</w:t>
            </w:r>
          </w:p>
        </w:tc>
        <w:tc>
          <w:tcPr>
            <w:tcW w:w="56" w:type="pct"/>
            <w:tcBorders>
              <w:top w:val="nil"/>
              <w:left w:val="nil"/>
              <w:bottom w:val="nil"/>
              <w:right w:val="nil"/>
            </w:tcBorders>
            <w:shd w:val="clear" w:color="000000" w:fill="FFFFFF"/>
            <w:noWrap/>
            <w:vAlign w:val="center"/>
            <w:hideMark/>
          </w:tcPr>
          <w:p w14:paraId="5C56817E" w14:textId="77777777" w:rsidR="00295832" w:rsidRPr="00295832" w:rsidRDefault="00295832" w:rsidP="00295832">
            <w:pPr>
              <w:spacing w:before="0" w:after="0" w:line="240" w:lineRule="auto"/>
              <w:rPr>
                <w:rFonts w:ascii="Arial" w:hAnsi="Arial" w:cs="Arial"/>
                <w:color w:val="000000"/>
                <w:sz w:val="16"/>
                <w:szCs w:val="16"/>
              </w:rPr>
            </w:pPr>
            <w:r w:rsidRPr="00295832">
              <w:rPr>
                <w:rFonts w:ascii="Arial" w:hAnsi="Arial" w:cs="Arial"/>
                <w:color w:val="000000"/>
                <w:sz w:val="16"/>
                <w:szCs w:val="16"/>
              </w:rPr>
              <w:t> </w:t>
            </w:r>
          </w:p>
        </w:tc>
        <w:tc>
          <w:tcPr>
            <w:tcW w:w="498" w:type="pct"/>
            <w:tcBorders>
              <w:top w:val="nil"/>
              <w:left w:val="nil"/>
              <w:bottom w:val="nil"/>
              <w:right w:val="nil"/>
            </w:tcBorders>
            <w:shd w:val="clear" w:color="000000" w:fill="FFFFFF"/>
            <w:noWrap/>
            <w:vAlign w:val="center"/>
            <w:hideMark/>
          </w:tcPr>
          <w:p w14:paraId="7DB29DA1" w14:textId="77777777" w:rsidR="00295832" w:rsidRPr="00295832" w:rsidRDefault="00295832" w:rsidP="00295832">
            <w:pPr>
              <w:spacing w:before="0" w:after="0" w:line="240" w:lineRule="auto"/>
              <w:jc w:val="right"/>
              <w:rPr>
                <w:rFonts w:ascii="Arial" w:hAnsi="Arial" w:cs="Arial"/>
                <w:color w:val="000000"/>
                <w:sz w:val="16"/>
                <w:szCs w:val="16"/>
              </w:rPr>
            </w:pPr>
            <w:r w:rsidRPr="00295832">
              <w:rPr>
                <w:rFonts w:ascii="Arial" w:hAnsi="Arial" w:cs="Arial"/>
                <w:color w:val="000000"/>
                <w:sz w:val="16"/>
                <w:szCs w:val="16"/>
              </w:rPr>
              <w:t>594</w:t>
            </w:r>
          </w:p>
        </w:tc>
        <w:tc>
          <w:tcPr>
            <w:tcW w:w="497" w:type="pct"/>
            <w:tcBorders>
              <w:top w:val="nil"/>
              <w:left w:val="nil"/>
              <w:bottom w:val="nil"/>
              <w:right w:val="nil"/>
            </w:tcBorders>
            <w:shd w:val="clear" w:color="000000" w:fill="E6F2FF"/>
            <w:noWrap/>
            <w:vAlign w:val="center"/>
            <w:hideMark/>
          </w:tcPr>
          <w:p w14:paraId="4856280B" w14:textId="77777777" w:rsidR="00295832" w:rsidRPr="00295832" w:rsidRDefault="00295832" w:rsidP="00295832">
            <w:pPr>
              <w:spacing w:before="0" w:after="0" w:line="240" w:lineRule="auto"/>
              <w:jc w:val="right"/>
              <w:rPr>
                <w:rFonts w:ascii="Arial" w:hAnsi="Arial" w:cs="Arial"/>
                <w:color w:val="000000"/>
                <w:sz w:val="16"/>
                <w:szCs w:val="16"/>
              </w:rPr>
            </w:pPr>
            <w:r w:rsidRPr="00295832">
              <w:rPr>
                <w:rFonts w:ascii="Arial" w:hAnsi="Arial" w:cs="Arial"/>
                <w:color w:val="000000"/>
                <w:sz w:val="16"/>
                <w:szCs w:val="16"/>
              </w:rPr>
              <w:t>708</w:t>
            </w:r>
          </w:p>
        </w:tc>
        <w:tc>
          <w:tcPr>
            <w:tcW w:w="497" w:type="pct"/>
            <w:tcBorders>
              <w:top w:val="nil"/>
              <w:left w:val="nil"/>
              <w:bottom w:val="nil"/>
              <w:right w:val="nil"/>
            </w:tcBorders>
            <w:shd w:val="clear" w:color="000000" w:fill="FFFFFF"/>
            <w:noWrap/>
            <w:vAlign w:val="center"/>
            <w:hideMark/>
          </w:tcPr>
          <w:p w14:paraId="2C4AFFE5" w14:textId="77777777" w:rsidR="00295832" w:rsidRPr="00295832" w:rsidRDefault="00295832" w:rsidP="00295832">
            <w:pPr>
              <w:spacing w:before="0" w:after="0" w:line="240" w:lineRule="auto"/>
              <w:jc w:val="right"/>
              <w:rPr>
                <w:rFonts w:ascii="Arial" w:hAnsi="Arial" w:cs="Arial"/>
                <w:color w:val="000000"/>
                <w:sz w:val="16"/>
                <w:szCs w:val="16"/>
              </w:rPr>
            </w:pPr>
            <w:r w:rsidRPr="00295832">
              <w:rPr>
                <w:rFonts w:ascii="Arial" w:hAnsi="Arial" w:cs="Arial"/>
                <w:color w:val="000000"/>
                <w:sz w:val="16"/>
                <w:szCs w:val="16"/>
              </w:rPr>
              <w:t>993</w:t>
            </w:r>
          </w:p>
        </w:tc>
        <w:tc>
          <w:tcPr>
            <w:tcW w:w="497" w:type="pct"/>
            <w:tcBorders>
              <w:top w:val="nil"/>
              <w:left w:val="nil"/>
              <w:bottom w:val="nil"/>
              <w:right w:val="nil"/>
            </w:tcBorders>
            <w:shd w:val="clear" w:color="000000" w:fill="FFFFFF"/>
            <w:noWrap/>
            <w:vAlign w:val="center"/>
            <w:hideMark/>
          </w:tcPr>
          <w:p w14:paraId="5447BC1F" w14:textId="77777777" w:rsidR="00295832" w:rsidRPr="00295832" w:rsidRDefault="00295832" w:rsidP="00295832">
            <w:pPr>
              <w:spacing w:before="0" w:after="0" w:line="240" w:lineRule="auto"/>
              <w:jc w:val="right"/>
              <w:rPr>
                <w:rFonts w:ascii="Arial" w:hAnsi="Arial" w:cs="Arial"/>
                <w:color w:val="000000"/>
                <w:sz w:val="16"/>
                <w:szCs w:val="16"/>
              </w:rPr>
            </w:pPr>
            <w:r w:rsidRPr="00295832">
              <w:rPr>
                <w:rFonts w:ascii="Arial" w:hAnsi="Arial" w:cs="Arial"/>
                <w:color w:val="000000"/>
                <w:sz w:val="16"/>
                <w:szCs w:val="16"/>
              </w:rPr>
              <w:t>1,016</w:t>
            </w:r>
          </w:p>
        </w:tc>
        <w:tc>
          <w:tcPr>
            <w:tcW w:w="497" w:type="pct"/>
            <w:tcBorders>
              <w:top w:val="nil"/>
              <w:left w:val="nil"/>
              <w:bottom w:val="nil"/>
              <w:right w:val="nil"/>
            </w:tcBorders>
            <w:shd w:val="clear" w:color="000000" w:fill="FFFFFF"/>
            <w:noWrap/>
            <w:vAlign w:val="center"/>
            <w:hideMark/>
          </w:tcPr>
          <w:p w14:paraId="5F08D97C" w14:textId="77777777" w:rsidR="00295832" w:rsidRPr="00295832" w:rsidRDefault="00295832" w:rsidP="00295832">
            <w:pPr>
              <w:spacing w:before="0" w:after="0" w:line="240" w:lineRule="auto"/>
              <w:jc w:val="right"/>
              <w:rPr>
                <w:rFonts w:ascii="Arial" w:hAnsi="Arial" w:cs="Arial"/>
                <w:color w:val="000000"/>
                <w:sz w:val="16"/>
                <w:szCs w:val="16"/>
              </w:rPr>
            </w:pPr>
            <w:r w:rsidRPr="00295832">
              <w:rPr>
                <w:rFonts w:ascii="Arial" w:hAnsi="Arial" w:cs="Arial"/>
                <w:color w:val="000000"/>
                <w:sz w:val="16"/>
                <w:szCs w:val="16"/>
              </w:rPr>
              <w:t>1,223</w:t>
            </w:r>
          </w:p>
        </w:tc>
      </w:tr>
      <w:tr w:rsidR="00295832" w:rsidRPr="00295832" w14:paraId="0F0AB4AE" w14:textId="77777777" w:rsidTr="00931C28">
        <w:trPr>
          <w:divId w:val="779882756"/>
          <w:trHeight w:hRule="exact" w:val="225"/>
        </w:trPr>
        <w:tc>
          <w:tcPr>
            <w:tcW w:w="1950" w:type="pct"/>
            <w:tcBorders>
              <w:top w:val="nil"/>
              <w:left w:val="nil"/>
              <w:bottom w:val="nil"/>
              <w:right w:val="nil"/>
            </w:tcBorders>
            <w:shd w:val="clear" w:color="000000" w:fill="FFFFFF"/>
            <w:noWrap/>
            <w:vAlign w:val="center"/>
            <w:hideMark/>
          </w:tcPr>
          <w:p w14:paraId="30E3A14C" w14:textId="77777777" w:rsidR="00295832" w:rsidRPr="00295832" w:rsidRDefault="00295832" w:rsidP="00931C28">
            <w:pPr>
              <w:spacing w:before="0" w:after="0" w:line="240" w:lineRule="auto"/>
              <w:ind w:left="170"/>
              <w:rPr>
                <w:rFonts w:ascii="Arial" w:hAnsi="Arial" w:cs="Arial"/>
                <w:color w:val="000000"/>
                <w:sz w:val="16"/>
                <w:szCs w:val="16"/>
              </w:rPr>
            </w:pPr>
            <w:r w:rsidRPr="00295832">
              <w:rPr>
                <w:rFonts w:ascii="Arial" w:hAnsi="Arial" w:cs="Arial"/>
                <w:color w:val="000000"/>
                <w:sz w:val="16"/>
                <w:szCs w:val="16"/>
              </w:rPr>
              <w:t>National estate and parks</w:t>
            </w:r>
          </w:p>
        </w:tc>
        <w:tc>
          <w:tcPr>
            <w:tcW w:w="506" w:type="pct"/>
            <w:tcBorders>
              <w:top w:val="nil"/>
              <w:left w:val="nil"/>
              <w:bottom w:val="single" w:sz="4" w:space="0" w:color="293F5B"/>
              <w:right w:val="nil"/>
            </w:tcBorders>
            <w:shd w:val="clear" w:color="000000" w:fill="FFFFFF"/>
            <w:noWrap/>
            <w:vAlign w:val="center"/>
            <w:hideMark/>
          </w:tcPr>
          <w:p w14:paraId="27AFAA1E" w14:textId="77777777" w:rsidR="00295832" w:rsidRPr="00295832" w:rsidRDefault="00295832" w:rsidP="00295832">
            <w:pPr>
              <w:spacing w:before="0" w:after="0" w:line="240" w:lineRule="auto"/>
              <w:jc w:val="right"/>
              <w:rPr>
                <w:rFonts w:ascii="Arial" w:hAnsi="Arial" w:cs="Arial"/>
                <w:color w:val="000000"/>
                <w:sz w:val="16"/>
                <w:szCs w:val="16"/>
              </w:rPr>
            </w:pPr>
            <w:r w:rsidRPr="00295832">
              <w:rPr>
                <w:rFonts w:ascii="Arial" w:hAnsi="Arial" w:cs="Arial"/>
                <w:color w:val="000000"/>
                <w:sz w:val="16"/>
                <w:szCs w:val="16"/>
              </w:rPr>
              <w:t>565</w:t>
            </w:r>
          </w:p>
        </w:tc>
        <w:tc>
          <w:tcPr>
            <w:tcW w:w="56" w:type="pct"/>
            <w:tcBorders>
              <w:top w:val="nil"/>
              <w:left w:val="nil"/>
              <w:bottom w:val="nil"/>
              <w:right w:val="nil"/>
            </w:tcBorders>
            <w:shd w:val="clear" w:color="000000" w:fill="FFFFFF"/>
            <w:noWrap/>
            <w:vAlign w:val="center"/>
            <w:hideMark/>
          </w:tcPr>
          <w:p w14:paraId="191DFBA5" w14:textId="77777777" w:rsidR="00295832" w:rsidRPr="00295832" w:rsidRDefault="00295832" w:rsidP="00295832">
            <w:pPr>
              <w:spacing w:before="0" w:after="0" w:line="240" w:lineRule="auto"/>
              <w:rPr>
                <w:rFonts w:ascii="Arial" w:hAnsi="Arial" w:cs="Arial"/>
                <w:color w:val="000000"/>
                <w:sz w:val="16"/>
                <w:szCs w:val="16"/>
              </w:rPr>
            </w:pPr>
            <w:r w:rsidRPr="00295832">
              <w:rPr>
                <w:rFonts w:ascii="Arial" w:hAnsi="Arial" w:cs="Arial"/>
                <w:color w:val="000000"/>
                <w:sz w:val="16"/>
                <w:szCs w:val="16"/>
              </w:rPr>
              <w:t> </w:t>
            </w:r>
          </w:p>
        </w:tc>
        <w:tc>
          <w:tcPr>
            <w:tcW w:w="498" w:type="pct"/>
            <w:tcBorders>
              <w:top w:val="nil"/>
              <w:left w:val="nil"/>
              <w:bottom w:val="single" w:sz="4" w:space="0" w:color="293F5B"/>
              <w:right w:val="nil"/>
            </w:tcBorders>
            <w:shd w:val="clear" w:color="000000" w:fill="FFFFFF"/>
            <w:noWrap/>
            <w:vAlign w:val="center"/>
            <w:hideMark/>
          </w:tcPr>
          <w:p w14:paraId="2E4BAC01" w14:textId="77777777" w:rsidR="00295832" w:rsidRPr="00295832" w:rsidRDefault="00295832" w:rsidP="00295832">
            <w:pPr>
              <w:spacing w:before="0" w:after="0" w:line="240" w:lineRule="auto"/>
              <w:jc w:val="right"/>
              <w:rPr>
                <w:rFonts w:ascii="Arial" w:hAnsi="Arial" w:cs="Arial"/>
                <w:color w:val="000000"/>
                <w:sz w:val="16"/>
                <w:szCs w:val="16"/>
              </w:rPr>
            </w:pPr>
            <w:r w:rsidRPr="00295832">
              <w:rPr>
                <w:rFonts w:ascii="Arial" w:hAnsi="Arial" w:cs="Arial"/>
                <w:color w:val="000000"/>
                <w:sz w:val="16"/>
                <w:szCs w:val="16"/>
              </w:rPr>
              <w:t>776</w:t>
            </w:r>
          </w:p>
        </w:tc>
        <w:tc>
          <w:tcPr>
            <w:tcW w:w="497" w:type="pct"/>
            <w:tcBorders>
              <w:top w:val="nil"/>
              <w:left w:val="nil"/>
              <w:bottom w:val="single" w:sz="4" w:space="0" w:color="293F5B"/>
              <w:right w:val="nil"/>
            </w:tcBorders>
            <w:shd w:val="clear" w:color="000000" w:fill="E6F2FF"/>
            <w:noWrap/>
            <w:vAlign w:val="center"/>
            <w:hideMark/>
          </w:tcPr>
          <w:p w14:paraId="28126BA5" w14:textId="77777777" w:rsidR="00295832" w:rsidRPr="00295832" w:rsidRDefault="00295832" w:rsidP="00295832">
            <w:pPr>
              <w:spacing w:before="0" w:after="0" w:line="240" w:lineRule="auto"/>
              <w:jc w:val="right"/>
              <w:rPr>
                <w:rFonts w:ascii="Arial" w:hAnsi="Arial" w:cs="Arial"/>
                <w:color w:val="000000"/>
                <w:sz w:val="16"/>
                <w:szCs w:val="16"/>
              </w:rPr>
            </w:pPr>
            <w:r w:rsidRPr="00295832">
              <w:rPr>
                <w:rFonts w:ascii="Arial" w:hAnsi="Arial" w:cs="Arial"/>
                <w:color w:val="000000"/>
                <w:sz w:val="16"/>
                <w:szCs w:val="16"/>
              </w:rPr>
              <w:t>774</w:t>
            </w:r>
          </w:p>
        </w:tc>
        <w:tc>
          <w:tcPr>
            <w:tcW w:w="497" w:type="pct"/>
            <w:tcBorders>
              <w:top w:val="nil"/>
              <w:left w:val="nil"/>
              <w:bottom w:val="single" w:sz="4" w:space="0" w:color="293F5B"/>
              <w:right w:val="nil"/>
            </w:tcBorders>
            <w:shd w:val="clear" w:color="000000" w:fill="FFFFFF"/>
            <w:noWrap/>
            <w:vAlign w:val="center"/>
            <w:hideMark/>
          </w:tcPr>
          <w:p w14:paraId="65B86524" w14:textId="77777777" w:rsidR="00295832" w:rsidRPr="00295832" w:rsidRDefault="00295832" w:rsidP="00295832">
            <w:pPr>
              <w:spacing w:before="0" w:after="0" w:line="240" w:lineRule="auto"/>
              <w:jc w:val="right"/>
              <w:rPr>
                <w:rFonts w:ascii="Arial" w:hAnsi="Arial" w:cs="Arial"/>
                <w:color w:val="000000"/>
                <w:sz w:val="16"/>
                <w:szCs w:val="16"/>
              </w:rPr>
            </w:pPr>
            <w:r w:rsidRPr="00295832">
              <w:rPr>
                <w:rFonts w:ascii="Arial" w:hAnsi="Arial" w:cs="Arial"/>
                <w:color w:val="000000"/>
                <w:sz w:val="16"/>
                <w:szCs w:val="16"/>
              </w:rPr>
              <w:t>759</w:t>
            </w:r>
          </w:p>
        </w:tc>
        <w:tc>
          <w:tcPr>
            <w:tcW w:w="497" w:type="pct"/>
            <w:tcBorders>
              <w:top w:val="nil"/>
              <w:left w:val="nil"/>
              <w:bottom w:val="single" w:sz="4" w:space="0" w:color="293F5B"/>
              <w:right w:val="nil"/>
            </w:tcBorders>
            <w:shd w:val="clear" w:color="000000" w:fill="FFFFFF"/>
            <w:noWrap/>
            <w:vAlign w:val="center"/>
            <w:hideMark/>
          </w:tcPr>
          <w:p w14:paraId="6E0D0BDD" w14:textId="77777777" w:rsidR="00295832" w:rsidRPr="00295832" w:rsidRDefault="00295832" w:rsidP="00295832">
            <w:pPr>
              <w:spacing w:before="0" w:after="0" w:line="240" w:lineRule="auto"/>
              <w:jc w:val="right"/>
              <w:rPr>
                <w:rFonts w:ascii="Arial" w:hAnsi="Arial" w:cs="Arial"/>
                <w:color w:val="000000"/>
                <w:sz w:val="16"/>
                <w:szCs w:val="16"/>
              </w:rPr>
            </w:pPr>
            <w:r w:rsidRPr="00295832">
              <w:rPr>
                <w:rFonts w:ascii="Arial" w:hAnsi="Arial" w:cs="Arial"/>
                <w:color w:val="000000"/>
                <w:sz w:val="16"/>
                <w:szCs w:val="16"/>
              </w:rPr>
              <w:t>717</w:t>
            </w:r>
          </w:p>
        </w:tc>
        <w:tc>
          <w:tcPr>
            <w:tcW w:w="497" w:type="pct"/>
            <w:tcBorders>
              <w:top w:val="nil"/>
              <w:left w:val="nil"/>
              <w:bottom w:val="single" w:sz="4" w:space="0" w:color="293F5B"/>
              <w:right w:val="nil"/>
            </w:tcBorders>
            <w:shd w:val="clear" w:color="000000" w:fill="FFFFFF"/>
            <w:noWrap/>
            <w:vAlign w:val="center"/>
            <w:hideMark/>
          </w:tcPr>
          <w:p w14:paraId="058D0BCF" w14:textId="77777777" w:rsidR="00295832" w:rsidRPr="00295832" w:rsidRDefault="00295832" w:rsidP="00295832">
            <w:pPr>
              <w:spacing w:before="0" w:after="0" w:line="240" w:lineRule="auto"/>
              <w:jc w:val="right"/>
              <w:rPr>
                <w:rFonts w:ascii="Arial" w:hAnsi="Arial" w:cs="Arial"/>
                <w:color w:val="000000"/>
                <w:sz w:val="16"/>
                <w:szCs w:val="16"/>
              </w:rPr>
            </w:pPr>
            <w:r w:rsidRPr="00295832">
              <w:rPr>
                <w:rFonts w:ascii="Arial" w:hAnsi="Arial" w:cs="Arial"/>
                <w:color w:val="000000"/>
                <w:sz w:val="16"/>
                <w:szCs w:val="16"/>
              </w:rPr>
              <w:t>717</w:t>
            </w:r>
          </w:p>
        </w:tc>
      </w:tr>
      <w:tr w:rsidR="00295832" w:rsidRPr="00295832" w14:paraId="7AE0A07F" w14:textId="77777777" w:rsidTr="00931C28">
        <w:trPr>
          <w:divId w:val="779882756"/>
          <w:trHeight w:hRule="exact" w:val="225"/>
        </w:trPr>
        <w:tc>
          <w:tcPr>
            <w:tcW w:w="1950" w:type="pct"/>
            <w:tcBorders>
              <w:top w:val="nil"/>
              <w:left w:val="nil"/>
              <w:bottom w:val="nil"/>
              <w:right w:val="nil"/>
            </w:tcBorders>
            <w:shd w:val="clear" w:color="000000" w:fill="FFFFFF"/>
            <w:noWrap/>
            <w:vAlign w:val="center"/>
            <w:hideMark/>
          </w:tcPr>
          <w:p w14:paraId="28C23EB2" w14:textId="77777777" w:rsidR="00295832" w:rsidRPr="00295832" w:rsidRDefault="00295832" w:rsidP="00295832">
            <w:pPr>
              <w:spacing w:before="0" w:after="0" w:line="240" w:lineRule="auto"/>
              <w:rPr>
                <w:rFonts w:ascii="Arial" w:hAnsi="Arial" w:cs="Arial"/>
                <w:b/>
                <w:bCs/>
                <w:color w:val="000000"/>
                <w:sz w:val="16"/>
                <w:szCs w:val="16"/>
              </w:rPr>
            </w:pPr>
            <w:r w:rsidRPr="00295832">
              <w:rPr>
                <w:rFonts w:ascii="Arial" w:hAnsi="Arial" w:cs="Arial"/>
                <w:b/>
                <w:bCs/>
                <w:color w:val="000000"/>
                <w:sz w:val="16"/>
                <w:szCs w:val="16"/>
              </w:rPr>
              <w:t>Total recreation and culture</w:t>
            </w:r>
          </w:p>
        </w:tc>
        <w:tc>
          <w:tcPr>
            <w:tcW w:w="506" w:type="pct"/>
            <w:tcBorders>
              <w:top w:val="single" w:sz="4" w:space="0" w:color="293F5B"/>
              <w:left w:val="nil"/>
              <w:bottom w:val="single" w:sz="4" w:space="0" w:color="293F5B"/>
              <w:right w:val="nil"/>
            </w:tcBorders>
            <w:shd w:val="clear" w:color="000000" w:fill="FFFFFF"/>
            <w:noWrap/>
            <w:vAlign w:val="center"/>
            <w:hideMark/>
          </w:tcPr>
          <w:p w14:paraId="3EEBF114" w14:textId="77777777" w:rsidR="00295832" w:rsidRPr="00295832" w:rsidRDefault="00295832" w:rsidP="00295832">
            <w:pPr>
              <w:spacing w:before="0" w:after="0" w:line="240" w:lineRule="auto"/>
              <w:jc w:val="right"/>
              <w:rPr>
                <w:rFonts w:ascii="Arial" w:hAnsi="Arial" w:cs="Arial"/>
                <w:b/>
                <w:bCs/>
                <w:color w:val="000000"/>
                <w:sz w:val="16"/>
                <w:szCs w:val="16"/>
              </w:rPr>
            </w:pPr>
            <w:r w:rsidRPr="00295832">
              <w:rPr>
                <w:rFonts w:ascii="Arial" w:hAnsi="Arial" w:cs="Arial"/>
                <w:b/>
                <w:bCs/>
                <w:color w:val="000000"/>
                <w:sz w:val="16"/>
                <w:szCs w:val="16"/>
              </w:rPr>
              <w:t>4,641</w:t>
            </w:r>
          </w:p>
        </w:tc>
        <w:tc>
          <w:tcPr>
            <w:tcW w:w="56" w:type="pct"/>
            <w:tcBorders>
              <w:top w:val="nil"/>
              <w:left w:val="nil"/>
              <w:bottom w:val="nil"/>
              <w:right w:val="nil"/>
            </w:tcBorders>
            <w:shd w:val="clear" w:color="000000" w:fill="FFFFFF"/>
            <w:noWrap/>
            <w:vAlign w:val="center"/>
            <w:hideMark/>
          </w:tcPr>
          <w:p w14:paraId="7C8C71DD" w14:textId="77777777" w:rsidR="00295832" w:rsidRPr="00295832" w:rsidRDefault="00295832" w:rsidP="00295832">
            <w:pPr>
              <w:spacing w:before="0" w:after="0" w:line="240" w:lineRule="auto"/>
              <w:rPr>
                <w:rFonts w:ascii="Arial" w:hAnsi="Arial" w:cs="Arial"/>
                <w:b/>
                <w:bCs/>
                <w:color w:val="000000"/>
                <w:sz w:val="16"/>
                <w:szCs w:val="16"/>
              </w:rPr>
            </w:pPr>
            <w:r w:rsidRPr="00295832">
              <w:rPr>
                <w:rFonts w:ascii="Arial" w:hAnsi="Arial" w:cs="Arial"/>
                <w:b/>
                <w:bCs/>
                <w:color w:val="000000"/>
                <w:sz w:val="16"/>
                <w:szCs w:val="16"/>
              </w:rPr>
              <w:t> </w:t>
            </w:r>
          </w:p>
        </w:tc>
        <w:tc>
          <w:tcPr>
            <w:tcW w:w="498" w:type="pct"/>
            <w:tcBorders>
              <w:top w:val="single" w:sz="4" w:space="0" w:color="293F5B"/>
              <w:left w:val="nil"/>
              <w:bottom w:val="single" w:sz="4" w:space="0" w:color="293F5B"/>
              <w:right w:val="nil"/>
            </w:tcBorders>
            <w:shd w:val="clear" w:color="000000" w:fill="FFFFFF"/>
            <w:noWrap/>
            <w:vAlign w:val="center"/>
            <w:hideMark/>
          </w:tcPr>
          <w:p w14:paraId="32F9372D" w14:textId="77777777" w:rsidR="00295832" w:rsidRPr="00295832" w:rsidRDefault="00295832" w:rsidP="00295832">
            <w:pPr>
              <w:spacing w:before="0" w:after="0" w:line="240" w:lineRule="auto"/>
              <w:jc w:val="right"/>
              <w:rPr>
                <w:rFonts w:ascii="Arial" w:hAnsi="Arial" w:cs="Arial"/>
                <w:b/>
                <w:bCs/>
                <w:color w:val="000000"/>
                <w:sz w:val="16"/>
                <w:szCs w:val="16"/>
              </w:rPr>
            </w:pPr>
            <w:r w:rsidRPr="00295832">
              <w:rPr>
                <w:rFonts w:ascii="Arial" w:hAnsi="Arial" w:cs="Arial"/>
                <w:b/>
                <w:bCs/>
                <w:color w:val="000000"/>
                <w:sz w:val="16"/>
                <w:szCs w:val="16"/>
              </w:rPr>
              <w:t>5,050</w:t>
            </w:r>
          </w:p>
        </w:tc>
        <w:tc>
          <w:tcPr>
            <w:tcW w:w="497" w:type="pct"/>
            <w:tcBorders>
              <w:top w:val="single" w:sz="4" w:space="0" w:color="293F5B"/>
              <w:left w:val="nil"/>
              <w:bottom w:val="single" w:sz="4" w:space="0" w:color="293F5B"/>
              <w:right w:val="nil"/>
            </w:tcBorders>
            <w:shd w:val="clear" w:color="000000" w:fill="E6F2FF"/>
            <w:noWrap/>
            <w:vAlign w:val="center"/>
            <w:hideMark/>
          </w:tcPr>
          <w:p w14:paraId="1DC697FC" w14:textId="77777777" w:rsidR="00295832" w:rsidRPr="00295832" w:rsidRDefault="00295832" w:rsidP="00295832">
            <w:pPr>
              <w:spacing w:before="0" w:after="0" w:line="240" w:lineRule="auto"/>
              <w:jc w:val="right"/>
              <w:rPr>
                <w:rFonts w:ascii="Arial" w:hAnsi="Arial" w:cs="Arial"/>
                <w:b/>
                <w:bCs/>
                <w:color w:val="000000"/>
                <w:sz w:val="16"/>
                <w:szCs w:val="16"/>
              </w:rPr>
            </w:pPr>
            <w:r w:rsidRPr="00295832">
              <w:rPr>
                <w:rFonts w:ascii="Arial" w:hAnsi="Arial" w:cs="Arial"/>
                <w:b/>
                <w:bCs/>
                <w:color w:val="000000"/>
                <w:sz w:val="16"/>
                <w:szCs w:val="16"/>
              </w:rPr>
              <w:t>5,372</w:t>
            </w:r>
          </w:p>
        </w:tc>
        <w:tc>
          <w:tcPr>
            <w:tcW w:w="497" w:type="pct"/>
            <w:tcBorders>
              <w:top w:val="single" w:sz="4" w:space="0" w:color="293F5B"/>
              <w:left w:val="nil"/>
              <w:bottom w:val="single" w:sz="4" w:space="0" w:color="293F5B"/>
              <w:right w:val="nil"/>
            </w:tcBorders>
            <w:shd w:val="clear" w:color="000000" w:fill="FFFFFF"/>
            <w:noWrap/>
            <w:vAlign w:val="center"/>
            <w:hideMark/>
          </w:tcPr>
          <w:p w14:paraId="66C161D5" w14:textId="77777777" w:rsidR="00295832" w:rsidRPr="00295832" w:rsidRDefault="00295832" w:rsidP="00295832">
            <w:pPr>
              <w:spacing w:before="0" w:after="0" w:line="240" w:lineRule="auto"/>
              <w:jc w:val="right"/>
              <w:rPr>
                <w:rFonts w:ascii="Arial" w:hAnsi="Arial" w:cs="Arial"/>
                <w:b/>
                <w:bCs/>
                <w:color w:val="000000"/>
                <w:sz w:val="16"/>
                <w:szCs w:val="16"/>
              </w:rPr>
            </w:pPr>
            <w:r w:rsidRPr="00295832">
              <w:rPr>
                <w:rFonts w:ascii="Arial" w:hAnsi="Arial" w:cs="Arial"/>
                <w:b/>
                <w:bCs/>
                <w:color w:val="000000"/>
                <w:sz w:val="16"/>
                <w:szCs w:val="16"/>
              </w:rPr>
              <w:t>5,472</w:t>
            </w:r>
          </w:p>
        </w:tc>
        <w:tc>
          <w:tcPr>
            <w:tcW w:w="497" w:type="pct"/>
            <w:tcBorders>
              <w:top w:val="single" w:sz="4" w:space="0" w:color="293F5B"/>
              <w:left w:val="nil"/>
              <w:bottom w:val="single" w:sz="4" w:space="0" w:color="293F5B"/>
              <w:right w:val="nil"/>
            </w:tcBorders>
            <w:shd w:val="clear" w:color="000000" w:fill="FFFFFF"/>
            <w:noWrap/>
            <w:vAlign w:val="center"/>
            <w:hideMark/>
          </w:tcPr>
          <w:p w14:paraId="23D30691" w14:textId="77777777" w:rsidR="00295832" w:rsidRPr="00295832" w:rsidRDefault="00295832" w:rsidP="00295832">
            <w:pPr>
              <w:spacing w:before="0" w:after="0" w:line="240" w:lineRule="auto"/>
              <w:jc w:val="right"/>
              <w:rPr>
                <w:rFonts w:ascii="Arial" w:hAnsi="Arial" w:cs="Arial"/>
                <w:b/>
                <w:bCs/>
                <w:color w:val="000000"/>
                <w:sz w:val="16"/>
                <w:szCs w:val="16"/>
              </w:rPr>
            </w:pPr>
            <w:r w:rsidRPr="00295832">
              <w:rPr>
                <w:rFonts w:ascii="Arial" w:hAnsi="Arial" w:cs="Arial"/>
                <w:b/>
                <w:bCs/>
                <w:color w:val="000000"/>
                <w:sz w:val="16"/>
                <w:szCs w:val="16"/>
              </w:rPr>
              <w:t>5,423</w:t>
            </w:r>
          </w:p>
        </w:tc>
        <w:tc>
          <w:tcPr>
            <w:tcW w:w="497" w:type="pct"/>
            <w:tcBorders>
              <w:top w:val="single" w:sz="4" w:space="0" w:color="293F5B"/>
              <w:left w:val="nil"/>
              <w:bottom w:val="single" w:sz="4" w:space="0" w:color="293F5B"/>
              <w:right w:val="nil"/>
            </w:tcBorders>
            <w:shd w:val="clear" w:color="000000" w:fill="FFFFFF"/>
            <w:noWrap/>
            <w:vAlign w:val="center"/>
            <w:hideMark/>
          </w:tcPr>
          <w:p w14:paraId="71AFA883" w14:textId="77777777" w:rsidR="00295832" w:rsidRPr="00295832" w:rsidRDefault="00295832" w:rsidP="00295832">
            <w:pPr>
              <w:spacing w:before="0" w:after="0" w:line="240" w:lineRule="auto"/>
              <w:jc w:val="right"/>
              <w:rPr>
                <w:rFonts w:ascii="Arial" w:hAnsi="Arial" w:cs="Arial"/>
                <w:b/>
                <w:bCs/>
                <w:color w:val="000000"/>
                <w:sz w:val="16"/>
                <w:szCs w:val="16"/>
              </w:rPr>
            </w:pPr>
            <w:r w:rsidRPr="00295832">
              <w:rPr>
                <w:rFonts w:ascii="Arial" w:hAnsi="Arial" w:cs="Arial"/>
                <w:b/>
                <w:bCs/>
                <w:color w:val="000000"/>
                <w:sz w:val="16"/>
                <w:szCs w:val="16"/>
              </w:rPr>
              <w:t>5,604</w:t>
            </w:r>
          </w:p>
        </w:tc>
      </w:tr>
      <w:tr w:rsidR="00295832" w:rsidRPr="00295832" w14:paraId="6E904C90" w14:textId="77777777" w:rsidTr="00931C28">
        <w:trPr>
          <w:divId w:val="779882756"/>
          <w:trHeight w:hRule="exact" w:val="60"/>
        </w:trPr>
        <w:tc>
          <w:tcPr>
            <w:tcW w:w="1950" w:type="pct"/>
            <w:tcBorders>
              <w:top w:val="nil"/>
              <w:left w:val="nil"/>
              <w:bottom w:val="nil"/>
              <w:right w:val="nil"/>
            </w:tcBorders>
            <w:shd w:val="clear" w:color="000000" w:fill="FFFFFF"/>
            <w:noWrap/>
            <w:vAlign w:val="center"/>
            <w:hideMark/>
          </w:tcPr>
          <w:p w14:paraId="167A3288" w14:textId="77777777" w:rsidR="00295832" w:rsidRPr="00295832" w:rsidRDefault="00295832" w:rsidP="00295832">
            <w:pPr>
              <w:spacing w:before="0" w:after="0" w:line="240" w:lineRule="auto"/>
              <w:rPr>
                <w:rFonts w:ascii="Arial" w:hAnsi="Arial" w:cs="Arial"/>
                <w:color w:val="000000"/>
                <w:sz w:val="16"/>
                <w:szCs w:val="16"/>
              </w:rPr>
            </w:pPr>
            <w:r w:rsidRPr="00295832">
              <w:rPr>
                <w:rFonts w:ascii="Arial" w:hAnsi="Arial" w:cs="Arial"/>
                <w:color w:val="000000"/>
                <w:sz w:val="16"/>
                <w:szCs w:val="16"/>
              </w:rPr>
              <w:t> </w:t>
            </w:r>
          </w:p>
        </w:tc>
        <w:tc>
          <w:tcPr>
            <w:tcW w:w="506" w:type="pct"/>
            <w:tcBorders>
              <w:top w:val="single" w:sz="4" w:space="0" w:color="293F5B"/>
              <w:left w:val="nil"/>
              <w:bottom w:val="nil"/>
              <w:right w:val="nil"/>
            </w:tcBorders>
            <w:shd w:val="clear" w:color="000000" w:fill="FFFFFF"/>
            <w:noWrap/>
            <w:vAlign w:val="center"/>
            <w:hideMark/>
          </w:tcPr>
          <w:p w14:paraId="68F151C3" w14:textId="77777777" w:rsidR="00295832" w:rsidRPr="00295832" w:rsidRDefault="00295832" w:rsidP="00295832">
            <w:pPr>
              <w:spacing w:before="0" w:after="0" w:line="240" w:lineRule="auto"/>
              <w:rPr>
                <w:rFonts w:ascii="Arial" w:hAnsi="Arial" w:cs="Arial"/>
                <w:color w:val="000000"/>
                <w:sz w:val="16"/>
                <w:szCs w:val="16"/>
              </w:rPr>
            </w:pPr>
            <w:r w:rsidRPr="00295832">
              <w:rPr>
                <w:rFonts w:ascii="Arial" w:hAnsi="Arial" w:cs="Arial"/>
                <w:color w:val="000000"/>
                <w:sz w:val="16"/>
                <w:szCs w:val="16"/>
              </w:rPr>
              <w:t> </w:t>
            </w:r>
          </w:p>
        </w:tc>
        <w:tc>
          <w:tcPr>
            <w:tcW w:w="56" w:type="pct"/>
            <w:tcBorders>
              <w:top w:val="nil"/>
              <w:left w:val="nil"/>
              <w:bottom w:val="nil"/>
              <w:right w:val="nil"/>
            </w:tcBorders>
            <w:shd w:val="clear" w:color="000000" w:fill="FFFFFF"/>
            <w:noWrap/>
            <w:vAlign w:val="center"/>
            <w:hideMark/>
          </w:tcPr>
          <w:p w14:paraId="0CDA9530" w14:textId="77777777" w:rsidR="00295832" w:rsidRPr="00295832" w:rsidRDefault="00295832" w:rsidP="00295832">
            <w:pPr>
              <w:spacing w:before="0" w:after="0" w:line="240" w:lineRule="auto"/>
              <w:rPr>
                <w:rFonts w:ascii="Arial" w:hAnsi="Arial" w:cs="Arial"/>
                <w:color w:val="000000"/>
                <w:sz w:val="16"/>
                <w:szCs w:val="16"/>
              </w:rPr>
            </w:pPr>
            <w:r w:rsidRPr="00295832">
              <w:rPr>
                <w:rFonts w:ascii="Arial" w:hAnsi="Arial" w:cs="Arial"/>
                <w:color w:val="000000"/>
                <w:sz w:val="16"/>
                <w:szCs w:val="16"/>
              </w:rPr>
              <w:t> </w:t>
            </w:r>
          </w:p>
        </w:tc>
        <w:tc>
          <w:tcPr>
            <w:tcW w:w="498" w:type="pct"/>
            <w:tcBorders>
              <w:top w:val="single" w:sz="4" w:space="0" w:color="293F5B"/>
              <w:left w:val="nil"/>
              <w:bottom w:val="nil"/>
              <w:right w:val="nil"/>
            </w:tcBorders>
            <w:shd w:val="clear" w:color="000000" w:fill="FFFFFF"/>
            <w:noWrap/>
            <w:vAlign w:val="center"/>
            <w:hideMark/>
          </w:tcPr>
          <w:p w14:paraId="389A02C4" w14:textId="77777777" w:rsidR="00295832" w:rsidRPr="00295832" w:rsidRDefault="00295832" w:rsidP="00295832">
            <w:pPr>
              <w:spacing w:before="0" w:after="0" w:line="240" w:lineRule="auto"/>
              <w:rPr>
                <w:rFonts w:ascii="Arial" w:hAnsi="Arial" w:cs="Arial"/>
                <w:color w:val="000000"/>
                <w:sz w:val="16"/>
                <w:szCs w:val="16"/>
              </w:rPr>
            </w:pPr>
            <w:r w:rsidRPr="00295832">
              <w:rPr>
                <w:rFonts w:ascii="Arial" w:hAnsi="Arial" w:cs="Arial"/>
                <w:color w:val="000000"/>
                <w:sz w:val="16"/>
                <w:szCs w:val="16"/>
              </w:rPr>
              <w:t> </w:t>
            </w:r>
          </w:p>
        </w:tc>
        <w:tc>
          <w:tcPr>
            <w:tcW w:w="497" w:type="pct"/>
            <w:tcBorders>
              <w:top w:val="single" w:sz="4" w:space="0" w:color="293F5B"/>
              <w:left w:val="nil"/>
              <w:bottom w:val="nil"/>
              <w:right w:val="nil"/>
            </w:tcBorders>
            <w:shd w:val="clear" w:color="000000" w:fill="E6F2FF"/>
            <w:noWrap/>
            <w:vAlign w:val="center"/>
            <w:hideMark/>
          </w:tcPr>
          <w:p w14:paraId="0768F91D" w14:textId="77777777" w:rsidR="00295832" w:rsidRPr="00295832" w:rsidRDefault="00295832" w:rsidP="00295832">
            <w:pPr>
              <w:spacing w:before="0" w:after="0" w:line="240" w:lineRule="auto"/>
              <w:rPr>
                <w:rFonts w:ascii="Arial" w:hAnsi="Arial" w:cs="Arial"/>
                <w:color w:val="000000"/>
                <w:sz w:val="16"/>
                <w:szCs w:val="16"/>
              </w:rPr>
            </w:pPr>
            <w:r w:rsidRPr="00295832">
              <w:rPr>
                <w:rFonts w:ascii="Arial" w:hAnsi="Arial" w:cs="Arial"/>
                <w:color w:val="000000"/>
                <w:sz w:val="16"/>
                <w:szCs w:val="16"/>
              </w:rPr>
              <w:t> </w:t>
            </w:r>
          </w:p>
        </w:tc>
        <w:tc>
          <w:tcPr>
            <w:tcW w:w="497" w:type="pct"/>
            <w:tcBorders>
              <w:top w:val="single" w:sz="4" w:space="0" w:color="293F5B"/>
              <w:left w:val="nil"/>
              <w:bottom w:val="nil"/>
              <w:right w:val="nil"/>
            </w:tcBorders>
            <w:shd w:val="clear" w:color="000000" w:fill="FFFFFF"/>
            <w:noWrap/>
            <w:vAlign w:val="center"/>
            <w:hideMark/>
          </w:tcPr>
          <w:p w14:paraId="61299431" w14:textId="77777777" w:rsidR="00295832" w:rsidRPr="00295832" w:rsidRDefault="00295832" w:rsidP="00295832">
            <w:pPr>
              <w:spacing w:before="0" w:after="0" w:line="240" w:lineRule="auto"/>
              <w:rPr>
                <w:rFonts w:ascii="Arial" w:hAnsi="Arial" w:cs="Arial"/>
                <w:color w:val="000000"/>
                <w:sz w:val="16"/>
                <w:szCs w:val="16"/>
              </w:rPr>
            </w:pPr>
            <w:r w:rsidRPr="00295832">
              <w:rPr>
                <w:rFonts w:ascii="Arial" w:hAnsi="Arial" w:cs="Arial"/>
                <w:color w:val="000000"/>
                <w:sz w:val="16"/>
                <w:szCs w:val="16"/>
              </w:rPr>
              <w:t> </w:t>
            </w:r>
          </w:p>
        </w:tc>
        <w:tc>
          <w:tcPr>
            <w:tcW w:w="497" w:type="pct"/>
            <w:tcBorders>
              <w:top w:val="single" w:sz="4" w:space="0" w:color="293F5B"/>
              <w:left w:val="nil"/>
              <w:bottom w:val="nil"/>
              <w:right w:val="nil"/>
            </w:tcBorders>
            <w:shd w:val="clear" w:color="000000" w:fill="FFFFFF"/>
            <w:noWrap/>
            <w:vAlign w:val="center"/>
            <w:hideMark/>
          </w:tcPr>
          <w:p w14:paraId="132700A8" w14:textId="77777777" w:rsidR="00295832" w:rsidRPr="00295832" w:rsidRDefault="00295832" w:rsidP="00295832">
            <w:pPr>
              <w:spacing w:before="0" w:after="0" w:line="240" w:lineRule="auto"/>
              <w:rPr>
                <w:rFonts w:ascii="Arial" w:hAnsi="Arial" w:cs="Arial"/>
                <w:color w:val="000000"/>
                <w:sz w:val="16"/>
                <w:szCs w:val="16"/>
              </w:rPr>
            </w:pPr>
            <w:r w:rsidRPr="00295832">
              <w:rPr>
                <w:rFonts w:ascii="Arial" w:hAnsi="Arial" w:cs="Arial"/>
                <w:color w:val="000000"/>
                <w:sz w:val="16"/>
                <w:szCs w:val="16"/>
              </w:rPr>
              <w:t> </w:t>
            </w:r>
          </w:p>
        </w:tc>
        <w:tc>
          <w:tcPr>
            <w:tcW w:w="497" w:type="pct"/>
            <w:tcBorders>
              <w:top w:val="single" w:sz="4" w:space="0" w:color="293F5B"/>
              <w:left w:val="nil"/>
              <w:bottom w:val="nil"/>
              <w:right w:val="nil"/>
            </w:tcBorders>
            <w:shd w:val="clear" w:color="000000" w:fill="FFFFFF"/>
            <w:noWrap/>
            <w:vAlign w:val="center"/>
            <w:hideMark/>
          </w:tcPr>
          <w:p w14:paraId="5A50F33D" w14:textId="77777777" w:rsidR="00295832" w:rsidRPr="00295832" w:rsidRDefault="00295832" w:rsidP="00295832">
            <w:pPr>
              <w:spacing w:before="0" w:after="0" w:line="240" w:lineRule="auto"/>
              <w:rPr>
                <w:rFonts w:ascii="Arial" w:hAnsi="Arial" w:cs="Arial"/>
                <w:color w:val="000000"/>
                <w:sz w:val="16"/>
                <w:szCs w:val="16"/>
              </w:rPr>
            </w:pPr>
            <w:r w:rsidRPr="00295832">
              <w:rPr>
                <w:rFonts w:ascii="Arial" w:hAnsi="Arial" w:cs="Arial"/>
                <w:color w:val="000000"/>
                <w:sz w:val="16"/>
                <w:szCs w:val="16"/>
              </w:rPr>
              <w:t> </w:t>
            </w:r>
          </w:p>
        </w:tc>
      </w:tr>
      <w:tr w:rsidR="00295832" w:rsidRPr="00295832" w14:paraId="7B4F5E9D" w14:textId="77777777" w:rsidTr="00931C28">
        <w:trPr>
          <w:divId w:val="779882756"/>
          <w:trHeight w:hRule="exact" w:val="225"/>
        </w:trPr>
        <w:tc>
          <w:tcPr>
            <w:tcW w:w="1950" w:type="pct"/>
            <w:tcBorders>
              <w:top w:val="nil"/>
              <w:left w:val="nil"/>
              <w:bottom w:val="nil"/>
              <w:right w:val="nil"/>
            </w:tcBorders>
            <w:shd w:val="clear" w:color="000000" w:fill="FFFFFF"/>
            <w:noWrap/>
            <w:vAlign w:val="center"/>
            <w:hideMark/>
          </w:tcPr>
          <w:p w14:paraId="30D6359C" w14:textId="77777777" w:rsidR="00295832" w:rsidRPr="00295832" w:rsidRDefault="00295832" w:rsidP="00295832">
            <w:pPr>
              <w:spacing w:before="0" w:after="0" w:line="240" w:lineRule="auto"/>
              <w:rPr>
                <w:rFonts w:ascii="Arial" w:hAnsi="Arial" w:cs="Arial"/>
                <w:b/>
                <w:bCs/>
                <w:color w:val="000000"/>
                <w:sz w:val="16"/>
                <w:szCs w:val="16"/>
              </w:rPr>
            </w:pPr>
            <w:r w:rsidRPr="00295832">
              <w:rPr>
                <w:rFonts w:ascii="Arial" w:hAnsi="Arial" w:cs="Arial"/>
                <w:b/>
                <w:bCs/>
                <w:color w:val="000000"/>
                <w:sz w:val="16"/>
                <w:szCs w:val="16"/>
              </w:rPr>
              <w:t>Fuel and energy</w:t>
            </w:r>
          </w:p>
        </w:tc>
        <w:tc>
          <w:tcPr>
            <w:tcW w:w="506" w:type="pct"/>
            <w:tcBorders>
              <w:top w:val="nil"/>
              <w:left w:val="nil"/>
              <w:bottom w:val="single" w:sz="4" w:space="0" w:color="293F5B"/>
              <w:right w:val="nil"/>
            </w:tcBorders>
            <w:shd w:val="clear" w:color="000000" w:fill="FFFFFF"/>
            <w:noWrap/>
            <w:vAlign w:val="center"/>
            <w:hideMark/>
          </w:tcPr>
          <w:p w14:paraId="24D380E8" w14:textId="77777777" w:rsidR="00295832" w:rsidRPr="00295832" w:rsidRDefault="00295832" w:rsidP="00295832">
            <w:pPr>
              <w:spacing w:before="0" w:after="0" w:line="240" w:lineRule="auto"/>
              <w:jc w:val="right"/>
              <w:rPr>
                <w:rFonts w:ascii="Arial" w:hAnsi="Arial" w:cs="Arial"/>
                <w:b/>
                <w:bCs/>
                <w:color w:val="000000"/>
                <w:sz w:val="16"/>
                <w:szCs w:val="16"/>
              </w:rPr>
            </w:pPr>
            <w:r w:rsidRPr="00295832">
              <w:rPr>
                <w:rFonts w:ascii="Arial" w:hAnsi="Arial" w:cs="Arial"/>
                <w:b/>
                <w:bCs/>
                <w:color w:val="000000"/>
                <w:sz w:val="16"/>
                <w:szCs w:val="16"/>
              </w:rPr>
              <w:t>9,093</w:t>
            </w:r>
          </w:p>
        </w:tc>
        <w:tc>
          <w:tcPr>
            <w:tcW w:w="56" w:type="pct"/>
            <w:tcBorders>
              <w:top w:val="nil"/>
              <w:left w:val="nil"/>
              <w:bottom w:val="nil"/>
              <w:right w:val="nil"/>
            </w:tcBorders>
            <w:shd w:val="clear" w:color="000000" w:fill="FFFFFF"/>
            <w:noWrap/>
            <w:vAlign w:val="center"/>
            <w:hideMark/>
          </w:tcPr>
          <w:p w14:paraId="610518F3" w14:textId="77777777" w:rsidR="00295832" w:rsidRPr="00295832" w:rsidRDefault="00295832" w:rsidP="00295832">
            <w:pPr>
              <w:spacing w:before="0" w:after="0" w:line="240" w:lineRule="auto"/>
              <w:rPr>
                <w:rFonts w:ascii="Arial" w:hAnsi="Arial" w:cs="Arial"/>
                <w:b/>
                <w:bCs/>
                <w:color w:val="000000"/>
                <w:sz w:val="16"/>
                <w:szCs w:val="16"/>
              </w:rPr>
            </w:pPr>
            <w:r w:rsidRPr="00295832">
              <w:rPr>
                <w:rFonts w:ascii="Arial" w:hAnsi="Arial" w:cs="Arial"/>
                <w:b/>
                <w:bCs/>
                <w:color w:val="000000"/>
                <w:sz w:val="16"/>
                <w:szCs w:val="16"/>
              </w:rPr>
              <w:t> </w:t>
            </w:r>
          </w:p>
        </w:tc>
        <w:tc>
          <w:tcPr>
            <w:tcW w:w="498" w:type="pct"/>
            <w:tcBorders>
              <w:top w:val="nil"/>
              <w:left w:val="nil"/>
              <w:bottom w:val="single" w:sz="4" w:space="0" w:color="293F5B"/>
              <w:right w:val="nil"/>
            </w:tcBorders>
            <w:shd w:val="clear" w:color="000000" w:fill="FFFFFF"/>
            <w:noWrap/>
            <w:vAlign w:val="center"/>
            <w:hideMark/>
          </w:tcPr>
          <w:p w14:paraId="1B9B05DC" w14:textId="77777777" w:rsidR="00295832" w:rsidRPr="00295832" w:rsidRDefault="00295832" w:rsidP="00295832">
            <w:pPr>
              <w:spacing w:before="0" w:after="0" w:line="240" w:lineRule="auto"/>
              <w:jc w:val="right"/>
              <w:rPr>
                <w:rFonts w:ascii="Arial" w:hAnsi="Arial" w:cs="Arial"/>
                <w:b/>
                <w:bCs/>
                <w:color w:val="000000"/>
                <w:sz w:val="16"/>
                <w:szCs w:val="16"/>
              </w:rPr>
            </w:pPr>
            <w:r w:rsidRPr="00295832">
              <w:rPr>
                <w:rFonts w:ascii="Arial" w:hAnsi="Arial" w:cs="Arial"/>
                <w:b/>
                <w:bCs/>
                <w:color w:val="000000"/>
                <w:sz w:val="16"/>
                <w:szCs w:val="16"/>
              </w:rPr>
              <w:t>13,273</w:t>
            </w:r>
          </w:p>
        </w:tc>
        <w:tc>
          <w:tcPr>
            <w:tcW w:w="497" w:type="pct"/>
            <w:tcBorders>
              <w:top w:val="nil"/>
              <w:left w:val="nil"/>
              <w:bottom w:val="single" w:sz="4" w:space="0" w:color="293F5B"/>
              <w:right w:val="nil"/>
            </w:tcBorders>
            <w:shd w:val="clear" w:color="000000" w:fill="E6F2FF"/>
            <w:noWrap/>
            <w:vAlign w:val="center"/>
            <w:hideMark/>
          </w:tcPr>
          <w:p w14:paraId="253C8BC3" w14:textId="77777777" w:rsidR="00295832" w:rsidRPr="00295832" w:rsidRDefault="00295832" w:rsidP="00295832">
            <w:pPr>
              <w:spacing w:before="0" w:after="0" w:line="240" w:lineRule="auto"/>
              <w:jc w:val="right"/>
              <w:rPr>
                <w:rFonts w:ascii="Arial" w:hAnsi="Arial" w:cs="Arial"/>
                <w:b/>
                <w:bCs/>
                <w:color w:val="000000"/>
                <w:sz w:val="16"/>
                <w:szCs w:val="16"/>
              </w:rPr>
            </w:pPr>
            <w:r w:rsidRPr="00295832">
              <w:rPr>
                <w:rFonts w:ascii="Arial" w:hAnsi="Arial" w:cs="Arial"/>
                <w:b/>
                <w:bCs/>
                <w:color w:val="000000"/>
                <w:sz w:val="16"/>
                <w:szCs w:val="16"/>
              </w:rPr>
              <w:t>20,121</w:t>
            </w:r>
          </w:p>
        </w:tc>
        <w:tc>
          <w:tcPr>
            <w:tcW w:w="497" w:type="pct"/>
            <w:tcBorders>
              <w:top w:val="nil"/>
              <w:left w:val="nil"/>
              <w:bottom w:val="single" w:sz="4" w:space="0" w:color="293F5B"/>
              <w:right w:val="nil"/>
            </w:tcBorders>
            <w:shd w:val="clear" w:color="000000" w:fill="FFFFFF"/>
            <w:noWrap/>
            <w:vAlign w:val="center"/>
            <w:hideMark/>
          </w:tcPr>
          <w:p w14:paraId="1ECA6C38" w14:textId="77777777" w:rsidR="00295832" w:rsidRPr="00295832" w:rsidRDefault="00295832" w:rsidP="00295832">
            <w:pPr>
              <w:spacing w:before="0" w:after="0" w:line="240" w:lineRule="auto"/>
              <w:jc w:val="right"/>
              <w:rPr>
                <w:rFonts w:ascii="Arial" w:hAnsi="Arial" w:cs="Arial"/>
                <w:b/>
                <w:bCs/>
                <w:color w:val="000000"/>
                <w:sz w:val="16"/>
                <w:szCs w:val="16"/>
              </w:rPr>
            </w:pPr>
            <w:r w:rsidRPr="00295832">
              <w:rPr>
                <w:rFonts w:ascii="Arial" w:hAnsi="Arial" w:cs="Arial"/>
                <w:b/>
                <w:bCs/>
                <w:color w:val="000000"/>
                <w:sz w:val="16"/>
                <w:szCs w:val="16"/>
              </w:rPr>
              <w:t>13,908</w:t>
            </w:r>
          </w:p>
        </w:tc>
        <w:tc>
          <w:tcPr>
            <w:tcW w:w="497" w:type="pct"/>
            <w:tcBorders>
              <w:top w:val="nil"/>
              <w:left w:val="nil"/>
              <w:bottom w:val="single" w:sz="4" w:space="0" w:color="293F5B"/>
              <w:right w:val="nil"/>
            </w:tcBorders>
            <w:shd w:val="clear" w:color="000000" w:fill="FFFFFF"/>
            <w:noWrap/>
            <w:vAlign w:val="center"/>
            <w:hideMark/>
          </w:tcPr>
          <w:p w14:paraId="56A6528B" w14:textId="77777777" w:rsidR="00295832" w:rsidRPr="00295832" w:rsidRDefault="00295832" w:rsidP="00295832">
            <w:pPr>
              <w:spacing w:before="0" w:after="0" w:line="240" w:lineRule="auto"/>
              <w:jc w:val="right"/>
              <w:rPr>
                <w:rFonts w:ascii="Arial" w:hAnsi="Arial" w:cs="Arial"/>
                <w:b/>
                <w:bCs/>
                <w:color w:val="000000"/>
                <w:sz w:val="16"/>
                <w:szCs w:val="16"/>
              </w:rPr>
            </w:pPr>
            <w:r w:rsidRPr="00295832">
              <w:rPr>
                <w:rFonts w:ascii="Arial" w:hAnsi="Arial" w:cs="Arial"/>
                <w:b/>
                <w:bCs/>
                <w:color w:val="000000"/>
                <w:sz w:val="16"/>
                <w:szCs w:val="16"/>
              </w:rPr>
              <w:t>13,794</w:t>
            </w:r>
          </w:p>
        </w:tc>
        <w:tc>
          <w:tcPr>
            <w:tcW w:w="497" w:type="pct"/>
            <w:tcBorders>
              <w:top w:val="nil"/>
              <w:left w:val="nil"/>
              <w:bottom w:val="single" w:sz="4" w:space="0" w:color="293F5B"/>
              <w:right w:val="nil"/>
            </w:tcBorders>
            <w:shd w:val="clear" w:color="000000" w:fill="FFFFFF"/>
            <w:noWrap/>
            <w:vAlign w:val="center"/>
            <w:hideMark/>
          </w:tcPr>
          <w:p w14:paraId="45B99329" w14:textId="77777777" w:rsidR="00295832" w:rsidRPr="00295832" w:rsidRDefault="00295832" w:rsidP="00295832">
            <w:pPr>
              <w:spacing w:before="0" w:after="0" w:line="240" w:lineRule="auto"/>
              <w:jc w:val="right"/>
              <w:rPr>
                <w:rFonts w:ascii="Arial" w:hAnsi="Arial" w:cs="Arial"/>
                <w:b/>
                <w:bCs/>
                <w:color w:val="000000"/>
                <w:sz w:val="16"/>
                <w:szCs w:val="16"/>
              </w:rPr>
            </w:pPr>
            <w:r w:rsidRPr="00295832">
              <w:rPr>
                <w:rFonts w:ascii="Arial" w:hAnsi="Arial" w:cs="Arial"/>
                <w:b/>
                <w:bCs/>
                <w:color w:val="000000"/>
                <w:sz w:val="16"/>
                <w:szCs w:val="16"/>
              </w:rPr>
              <w:t>13,825</w:t>
            </w:r>
          </w:p>
        </w:tc>
      </w:tr>
      <w:tr w:rsidR="00295832" w:rsidRPr="00295832" w14:paraId="24429374" w14:textId="77777777" w:rsidTr="00931C28">
        <w:trPr>
          <w:divId w:val="779882756"/>
          <w:trHeight w:hRule="exact" w:val="60"/>
        </w:trPr>
        <w:tc>
          <w:tcPr>
            <w:tcW w:w="1950" w:type="pct"/>
            <w:tcBorders>
              <w:top w:val="nil"/>
              <w:left w:val="nil"/>
              <w:bottom w:val="nil"/>
              <w:right w:val="nil"/>
            </w:tcBorders>
            <w:shd w:val="clear" w:color="000000" w:fill="FFFFFF"/>
            <w:noWrap/>
            <w:vAlign w:val="center"/>
            <w:hideMark/>
          </w:tcPr>
          <w:p w14:paraId="2EED9B42" w14:textId="77777777" w:rsidR="00295832" w:rsidRPr="00295832" w:rsidRDefault="00295832" w:rsidP="00295832">
            <w:pPr>
              <w:spacing w:before="0" w:after="0" w:line="240" w:lineRule="auto"/>
              <w:rPr>
                <w:rFonts w:ascii="Arial" w:hAnsi="Arial" w:cs="Arial"/>
                <w:color w:val="000000"/>
                <w:sz w:val="16"/>
                <w:szCs w:val="16"/>
              </w:rPr>
            </w:pPr>
            <w:r w:rsidRPr="00295832">
              <w:rPr>
                <w:rFonts w:ascii="Arial" w:hAnsi="Arial" w:cs="Arial"/>
                <w:color w:val="000000"/>
                <w:sz w:val="16"/>
                <w:szCs w:val="16"/>
              </w:rPr>
              <w:t> </w:t>
            </w:r>
          </w:p>
        </w:tc>
        <w:tc>
          <w:tcPr>
            <w:tcW w:w="506" w:type="pct"/>
            <w:tcBorders>
              <w:top w:val="single" w:sz="4" w:space="0" w:color="293F5B"/>
              <w:left w:val="nil"/>
              <w:bottom w:val="nil"/>
              <w:right w:val="nil"/>
            </w:tcBorders>
            <w:shd w:val="clear" w:color="000000" w:fill="FFFFFF"/>
            <w:noWrap/>
            <w:vAlign w:val="center"/>
            <w:hideMark/>
          </w:tcPr>
          <w:p w14:paraId="6C69EDF1" w14:textId="77777777" w:rsidR="00295832" w:rsidRPr="00295832" w:rsidRDefault="00295832" w:rsidP="00295832">
            <w:pPr>
              <w:spacing w:before="0" w:after="0" w:line="240" w:lineRule="auto"/>
              <w:rPr>
                <w:rFonts w:ascii="Arial" w:hAnsi="Arial" w:cs="Arial"/>
                <w:color w:val="000000"/>
                <w:sz w:val="16"/>
                <w:szCs w:val="16"/>
              </w:rPr>
            </w:pPr>
            <w:r w:rsidRPr="00295832">
              <w:rPr>
                <w:rFonts w:ascii="Arial" w:hAnsi="Arial" w:cs="Arial"/>
                <w:color w:val="000000"/>
                <w:sz w:val="16"/>
                <w:szCs w:val="16"/>
              </w:rPr>
              <w:t> </w:t>
            </w:r>
          </w:p>
        </w:tc>
        <w:tc>
          <w:tcPr>
            <w:tcW w:w="56" w:type="pct"/>
            <w:tcBorders>
              <w:top w:val="nil"/>
              <w:left w:val="nil"/>
              <w:bottom w:val="nil"/>
              <w:right w:val="nil"/>
            </w:tcBorders>
            <w:shd w:val="clear" w:color="000000" w:fill="FFFFFF"/>
            <w:noWrap/>
            <w:vAlign w:val="center"/>
            <w:hideMark/>
          </w:tcPr>
          <w:p w14:paraId="36DA34E1" w14:textId="77777777" w:rsidR="00295832" w:rsidRPr="00295832" w:rsidRDefault="00295832" w:rsidP="00295832">
            <w:pPr>
              <w:spacing w:before="0" w:after="0" w:line="240" w:lineRule="auto"/>
              <w:rPr>
                <w:rFonts w:ascii="Arial" w:hAnsi="Arial" w:cs="Arial"/>
                <w:color w:val="000000"/>
                <w:sz w:val="16"/>
                <w:szCs w:val="16"/>
              </w:rPr>
            </w:pPr>
            <w:r w:rsidRPr="00295832">
              <w:rPr>
                <w:rFonts w:ascii="Arial" w:hAnsi="Arial" w:cs="Arial"/>
                <w:color w:val="000000"/>
                <w:sz w:val="16"/>
                <w:szCs w:val="16"/>
              </w:rPr>
              <w:t> </w:t>
            </w:r>
          </w:p>
        </w:tc>
        <w:tc>
          <w:tcPr>
            <w:tcW w:w="498" w:type="pct"/>
            <w:tcBorders>
              <w:top w:val="single" w:sz="4" w:space="0" w:color="293F5B"/>
              <w:left w:val="nil"/>
              <w:bottom w:val="nil"/>
              <w:right w:val="nil"/>
            </w:tcBorders>
            <w:shd w:val="clear" w:color="000000" w:fill="FFFFFF"/>
            <w:noWrap/>
            <w:vAlign w:val="center"/>
            <w:hideMark/>
          </w:tcPr>
          <w:p w14:paraId="6C2B7F2A" w14:textId="77777777" w:rsidR="00295832" w:rsidRPr="00295832" w:rsidRDefault="00295832" w:rsidP="00295832">
            <w:pPr>
              <w:spacing w:before="0" w:after="0" w:line="240" w:lineRule="auto"/>
              <w:rPr>
                <w:rFonts w:ascii="Arial" w:hAnsi="Arial" w:cs="Arial"/>
                <w:color w:val="000000"/>
                <w:sz w:val="16"/>
                <w:szCs w:val="16"/>
              </w:rPr>
            </w:pPr>
            <w:r w:rsidRPr="00295832">
              <w:rPr>
                <w:rFonts w:ascii="Arial" w:hAnsi="Arial" w:cs="Arial"/>
                <w:color w:val="000000"/>
                <w:sz w:val="16"/>
                <w:szCs w:val="16"/>
              </w:rPr>
              <w:t> </w:t>
            </w:r>
          </w:p>
        </w:tc>
        <w:tc>
          <w:tcPr>
            <w:tcW w:w="497" w:type="pct"/>
            <w:tcBorders>
              <w:top w:val="single" w:sz="4" w:space="0" w:color="293F5B"/>
              <w:left w:val="nil"/>
              <w:bottom w:val="nil"/>
              <w:right w:val="nil"/>
            </w:tcBorders>
            <w:shd w:val="clear" w:color="000000" w:fill="E6F2FF"/>
            <w:noWrap/>
            <w:vAlign w:val="center"/>
            <w:hideMark/>
          </w:tcPr>
          <w:p w14:paraId="5BBA6FE2" w14:textId="77777777" w:rsidR="00295832" w:rsidRPr="00295832" w:rsidRDefault="00295832" w:rsidP="00295832">
            <w:pPr>
              <w:spacing w:before="0" w:after="0" w:line="240" w:lineRule="auto"/>
              <w:rPr>
                <w:rFonts w:ascii="Arial" w:hAnsi="Arial" w:cs="Arial"/>
                <w:color w:val="000000"/>
                <w:sz w:val="16"/>
                <w:szCs w:val="16"/>
              </w:rPr>
            </w:pPr>
            <w:r w:rsidRPr="00295832">
              <w:rPr>
                <w:rFonts w:ascii="Arial" w:hAnsi="Arial" w:cs="Arial"/>
                <w:color w:val="000000"/>
                <w:sz w:val="16"/>
                <w:szCs w:val="16"/>
              </w:rPr>
              <w:t> </w:t>
            </w:r>
          </w:p>
        </w:tc>
        <w:tc>
          <w:tcPr>
            <w:tcW w:w="497" w:type="pct"/>
            <w:tcBorders>
              <w:top w:val="single" w:sz="4" w:space="0" w:color="293F5B"/>
              <w:left w:val="nil"/>
              <w:bottom w:val="nil"/>
              <w:right w:val="nil"/>
            </w:tcBorders>
            <w:shd w:val="clear" w:color="000000" w:fill="FFFFFF"/>
            <w:noWrap/>
            <w:vAlign w:val="center"/>
            <w:hideMark/>
          </w:tcPr>
          <w:p w14:paraId="1A63143C" w14:textId="77777777" w:rsidR="00295832" w:rsidRPr="00295832" w:rsidRDefault="00295832" w:rsidP="00295832">
            <w:pPr>
              <w:spacing w:before="0" w:after="0" w:line="240" w:lineRule="auto"/>
              <w:rPr>
                <w:rFonts w:ascii="Arial" w:hAnsi="Arial" w:cs="Arial"/>
                <w:color w:val="000000"/>
                <w:sz w:val="16"/>
                <w:szCs w:val="16"/>
              </w:rPr>
            </w:pPr>
            <w:r w:rsidRPr="00295832">
              <w:rPr>
                <w:rFonts w:ascii="Arial" w:hAnsi="Arial" w:cs="Arial"/>
                <w:color w:val="000000"/>
                <w:sz w:val="16"/>
                <w:szCs w:val="16"/>
              </w:rPr>
              <w:t> </w:t>
            </w:r>
          </w:p>
        </w:tc>
        <w:tc>
          <w:tcPr>
            <w:tcW w:w="497" w:type="pct"/>
            <w:tcBorders>
              <w:top w:val="single" w:sz="4" w:space="0" w:color="293F5B"/>
              <w:left w:val="nil"/>
              <w:bottom w:val="nil"/>
              <w:right w:val="nil"/>
            </w:tcBorders>
            <w:shd w:val="clear" w:color="000000" w:fill="FFFFFF"/>
            <w:noWrap/>
            <w:vAlign w:val="center"/>
            <w:hideMark/>
          </w:tcPr>
          <w:p w14:paraId="660C012F" w14:textId="77777777" w:rsidR="00295832" w:rsidRPr="00295832" w:rsidRDefault="00295832" w:rsidP="00295832">
            <w:pPr>
              <w:spacing w:before="0" w:after="0" w:line="240" w:lineRule="auto"/>
              <w:rPr>
                <w:rFonts w:ascii="Arial" w:hAnsi="Arial" w:cs="Arial"/>
                <w:color w:val="000000"/>
                <w:sz w:val="16"/>
                <w:szCs w:val="16"/>
              </w:rPr>
            </w:pPr>
            <w:r w:rsidRPr="00295832">
              <w:rPr>
                <w:rFonts w:ascii="Arial" w:hAnsi="Arial" w:cs="Arial"/>
                <w:color w:val="000000"/>
                <w:sz w:val="16"/>
                <w:szCs w:val="16"/>
              </w:rPr>
              <w:t> </w:t>
            </w:r>
          </w:p>
        </w:tc>
        <w:tc>
          <w:tcPr>
            <w:tcW w:w="497" w:type="pct"/>
            <w:tcBorders>
              <w:top w:val="single" w:sz="4" w:space="0" w:color="293F5B"/>
              <w:left w:val="nil"/>
              <w:bottom w:val="nil"/>
              <w:right w:val="nil"/>
            </w:tcBorders>
            <w:shd w:val="clear" w:color="000000" w:fill="FFFFFF"/>
            <w:noWrap/>
            <w:vAlign w:val="center"/>
            <w:hideMark/>
          </w:tcPr>
          <w:p w14:paraId="75965B89" w14:textId="77777777" w:rsidR="00295832" w:rsidRPr="00295832" w:rsidRDefault="00295832" w:rsidP="00295832">
            <w:pPr>
              <w:spacing w:before="0" w:after="0" w:line="240" w:lineRule="auto"/>
              <w:rPr>
                <w:rFonts w:ascii="Arial" w:hAnsi="Arial" w:cs="Arial"/>
                <w:color w:val="000000"/>
                <w:sz w:val="16"/>
                <w:szCs w:val="16"/>
              </w:rPr>
            </w:pPr>
            <w:r w:rsidRPr="00295832">
              <w:rPr>
                <w:rFonts w:ascii="Arial" w:hAnsi="Arial" w:cs="Arial"/>
                <w:color w:val="000000"/>
                <w:sz w:val="16"/>
                <w:szCs w:val="16"/>
              </w:rPr>
              <w:t> </w:t>
            </w:r>
          </w:p>
        </w:tc>
      </w:tr>
      <w:tr w:rsidR="00295832" w:rsidRPr="00295832" w14:paraId="6773A342" w14:textId="77777777" w:rsidTr="00931C28">
        <w:trPr>
          <w:divId w:val="779882756"/>
          <w:trHeight w:hRule="exact" w:val="225"/>
        </w:trPr>
        <w:tc>
          <w:tcPr>
            <w:tcW w:w="1950" w:type="pct"/>
            <w:tcBorders>
              <w:top w:val="nil"/>
              <w:left w:val="nil"/>
              <w:bottom w:val="nil"/>
              <w:right w:val="nil"/>
            </w:tcBorders>
            <w:shd w:val="clear" w:color="000000" w:fill="FFFFFF"/>
            <w:noWrap/>
            <w:vAlign w:val="center"/>
            <w:hideMark/>
          </w:tcPr>
          <w:p w14:paraId="291F8635" w14:textId="77777777" w:rsidR="00295832" w:rsidRPr="00295832" w:rsidRDefault="00295832" w:rsidP="00295832">
            <w:pPr>
              <w:spacing w:before="0" w:after="0" w:line="240" w:lineRule="auto"/>
              <w:rPr>
                <w:rFonts w:ascii="Arial" w:hAnsi="Arial" w:cs="Arial"/>
                <w:b/>
                <w:bCs/>
                <w:color w:val="000000"/>
                <w:sz w:val="16"/>
                <w:szCs w:val="16"/>
              </w:rPr>
            </w:pPr>
            <w:r w:rsidRPr="00295832">
              <w:rPr>
                <w:rFonts w:ascii="Arial" w:hAnsi="Arial" w:cs="Arial"/>
                <w:b/>
                <w:bCs/>
                <w:color w:val="000000"/>
                <w:sz w:val="16"/>
                <w:szCs w:val="16"/>
              </w:rPr>
              <w:t>Agriculture, forestry and fishing</w:t>
            </w:r>
          </w:p>
        </w:tc>
        <w:tc>
          <w:tcPr>
            <w:tcW w:w="506" w:type="pct"/>
            <w:tcBorders>
              <w:top w:val="nil"/>
              <w:left w:val="nil"/>
              <w:bottom w:val="nil"/>
              <w:right w:val="nil"/>
            </w:tcBorders>
            <w:shd w:val="clear" w:color="000000" w:fill="FFFFFF"/>
            <w:noWrap/>
            <w:vAlign w:val="center"/>
            <w:hideMark/>
          </w:tcPr>
          <w:p w14:paraId="396C7A84" w14:textId="77777777" w:rsidR="00295832" w:rsidRPr="00295832" w:rsidRDefault="00295832" w:rsidP="00295832">
            <w:pPr>
              <w:spacing w:before="0" w:after="0" w:line="240" w:lineRule="auto"/>
              <w:rPr>
                <w:rFonts w:ascii="Arial" w:hAnsi="Arial" w:cs="Arial"/>
                <w:color w:val="000000"/>
                <w:sz w:val="16"/>
                <w:szCs w:val="16"/>
              </w:rPr>
            </w:pPr>
            <w:r w:rsidRPr="00295832">
              <w:rPr>
                <w:rFonts w:ascii="Arial" w:hAnsi="Arial" w:cs="Arial"/>
                <w:color w:val="000000"/>
                <w:sz w:val="16"/>
                <w:szCs w:val="16"/>
              </w:rPr>
              <w:t> </w:t>
            </w:r>
          </w:p>
        </w:tc>
        <w:tc>
          <w:tcPr>
            <w:tcW w:w="56" w:type="pct"/>
            <w:tcBorders>
              <w:top w:val="nil"/>
              <w:left w:val="nil"/>
              <w:bottom w:val="nil"/>
              <w:right w:val="nil"/>
            </w:tcBorders>
            <w:shd w:val="clear" w:color="000000" w:fill="FFFFFF"/>
            <w:noWrap/>
            <w:vAlign w:val="center"/>
            <w:hideMark/>
          </w:tcPr>
          <w:p w14:paraId="11A4FCF0" w14:textId="77777777" w:rsidR="00295832" w:rsidRPr="00295832" w:rsidRDefault="00295832" w:rsidP="00295832">
            <w:pPr>
              <w:spacing w:before="0" w:after="0" w:line="240" w:lineRule="auto"/>
              <w:rPr>
                <w:rFonts w:ascii="Arial" w:hAnsi="Arial" w:cs="Arial"/>
                <w:color w:val="000000"/>
                <w:sz w:val="16"/>
                <w:szCs w:val="16"/>
              </w:rPr>
            </w:pPr>
            <w:r w:rsidRPr="00295832">
              <w:rPr>
                <w:rFonts w:ascii="Arial" w:hAnsi="Arial" w:cs="Arial"/>
                <w:color w:val="000000"/>
                <w:sz w:val="16"/>
                <w:szCs w:val="16"/>
              </w:rPr>
              <w:t> </w:t>
            </w:r>
          </w:p>
        </w:tc>
        <w:tc>
          <w:tcPr>
            <w:tcW w:w="498" w:type="pct"/>
            <w:tcBorders>
              <w:top w:val="nil"/>
              <w:left w:val="nil"/>
              <w:bottom w:val="nil"/>
              <w:right w:val="nil"/>
            </w:tcBorders>
            <w:shd w:val="clear" w:color="000000" w:fill="FFFFFF"/>
            <w:noWrap/>
            <w:vAlign w:val="center"/>
            <w:hideMark/>
          </w:tcPr>
          <w:p w14:paraId="018834A5" w14:textId="77777777" w:rsidR="00295832" w:rsidRPr="00295832" w:rsidRDefault="00295832" w:rsidP="00295832">
            <w:pPr>
              <w:spacing w:before="0" w:after="0" w:line="240" w:lineRule="auto"/>
              <w:rPr>
                <w:rFonts w:ascii="Arial" w:hAnsi="Arial" w:cs="Arial"/>
                <w:color w:val="000000"/>
                <w:sz w:val="16"/>
                <w:szCs w:val="16"/>
              </w:rPr>
            </w:pPr>
            <w:r w:rsidRPr="00295832">
              <w:rPr>
                <w:rFonts w:ascii="Arial" w:hAnsi="Arial" w:cs="Arial"/>
                <w:color w:val="000000"/>
                <w:sz w:val="16"/>
                <w:szCs w:val="16"/>
              </w:rPr>
              <w:t> </w:t>
            </w:r>
          </w:p>
        </w:tc>
        <w:tc>
          <w:tcPr>
            <w:tcW w:w="497" w:type="pct"/>
            <w:tcBorders>
              <w:top w:val="nil"/>
              <w:left w:val="nil"/>
              <w:bottom w:val="nil"/>
              <w:right w:val="nil"/>
            </w:tcBorders>
            <w:shd w:val="clear" w:color="000000" w:fill="E6F2FF"/>
            <w:noWrap/>
            <w:vAlign w:val="center"/>
            <w:hideMark/>
          </w:tcPr>
          <w:p w14:paraId="61584CEB" w14:textId="77777777" w:rsidR="00295832" w:rsidRPr="00295832" w:rsidRDefault="00295832" w:rsidP="00295832">
            <w:pPr>
              <w:spacing w:before="0" w:after="0" w:line="240" w:lineRule="auto"/>
              <w:rPr>
                <w:rFonts w:ascii="Arial" w:hAnsi="Arial" w:cs="Arial"/>
                <w:color w:val="000000"/>
                <w:sz w:val="16"/>
                <w:szCs w:val="16"/>
              </w:rPr>
            </w:pPr>
            <w:r w:rsidRPr="00295832">
              <w:rPr>
                <w:rFonts w:ascii="Arial" w:hAnsi="Arial" w:cs="Arial"/>
                <w:color w:val="000000"/>
                <w:sz w:val="16"/>
                <w:szCs w:val="16"/>
              </w:rPr>
              <w:t> </w:t>
            </w:r>
          </w:p>
        </w:tc>
        <w:tc>
          <w:tcPr>
            <w:tcW w:w="497" w:type="pct"/>
            <w:tcBorders>
              <w:top w:val="nil"/>
              <w:left w:val="nil"/>
              <w:bottom w:val="nil"/>
              <w:right w:val="nil"/>
            </w:tcBorders>
            <w:shd w:val="clear" w:color="000000" w:fill="FFFFFF"/>
            <w:noWrap/>
            <w:vAlign w:val="center"/>
            <w:hideMark/>
          </w:tcPr>
          <w:p w14:paraId="138BCF4F" w14:textId="77777777" w:rsidR="00295832" w:rsidRPr="00295832" w:rsidRDefault="00295832" w:rsidP="00295832">
            <w:pPr>
              <w:spacing w:before="0" w:after="0" w:line="240" w:lineRule="auto"/>
              <w:rPr>
                <w:rFonts w:ascii="Arial" w:hAnsi="Arial" w:cs="Arial"/>
                <w:color w:val="000000"/>
                <w:sz w:val="16"/>
                <w:szCs w:val="16"/>
              </w:rPr>
            </w:pPr>
            <w:r w:rsidRPr="00295832">
              <w:rPr>
                <w:rFonts w:ascii="Arial" w:hAnsi="Arial" w:cs="Arial"/>
                <w:color w:val="000000"/>
                <w:sz w:val="16"/>
                <w:szCs w:val="16"/>
              </w:rPr>
              <w:t> </w:t>
            </w:r>
          </w:p>
        </w:tc>
        <w:tc>
          <w:tcPr>
            <w:tcW w:w="497" w:type="pct"/>
            <w:tcBorders>
              <w:top w:val="nil"/>
              <w:left w:val="nil"/>
              <w:bottom w:val="nil"/>
              <w:right w:val="nil"/>
            </w:tcBorders>
            <w:shd w:val="clear" w:color="000000" w:fill="FFFFFF"/>
            <w:noWrap/>
            <w:vAlign w:val="center"/>
            <w:hideMark/>
          </w:tcPr>
          <w:p w14:paraId="759CB2E8" w14:textId="77777777" w:rsidR="00295832" w:rsidRPr="00295832" w:rsidRDefault="00295832" w:rsidP="00295832">
            <w:pPr>
              <w:spacing w:before="0" w:after="0" w:line="240" w:lineRule="auto"/>
              <w:rPr>
                <w:rFonts w:ascii="Arial" w:hAnsi="Arial" w:cs="Arial"/>
                <w:color w:val="000000"/>
                <w:sz w:val="16"/>
                <w:szCs w:val="16"/>
              </w:rPr>
            </w:pPr>
            <w:r w:rsidRPr="00295832">
              <w:rPr>
                <w:rFonts w:ascii="Arial" w:hAnsi="Arial" w:cs="Arial"/>
                <w:color w:val="000000"/>
                <w:sz w:val="16"/>
                <w:szCs w:val="16"/>
              </w:rPr>
              <w:t> </w:t>
            </w:r>
          </w:p>
        </w:tc>
        <w:tc>
          <w:tcPr>
            <w:tcW w:w="497" w:type="pct"/>
            <w:tcBorders>
              <w:top w:val="nil"/>
              <w:left w:val="nil"/>
              <w:bottom w:val="nil"/>
              <w:right w:val="nil"/>
            </w:tcBorders>
            <w:shd w:val="clear" w:color="000000" w:fill="FFFFFF"/>
            <w:noWrap/>
            <w:vAlign w:val="center"/>
            <w:hideMark/>
          </w:tcPr>
          <w:p w14:paraId="17886ABD" w14:textId="77777777" w:rsidR="00295832" w:rsidRPr="00295832" w:rsidRDefault="00295832" w:rsidP="00295832">
            <w:pPr>
              <w:spacing w:before="0" w:after="0" w:line="240" w:lineRule="auto"/>
              <w:rPr>
                <w:rFonts w:ascii="Arial" w:hAnsi="Arial" w:cs="Arial"/>
                <w:color w:val="000000"/>
                <w:sz w:val="16"/>
                <w:szCs w:val="16"/>
              </w:rPr>
            </w:pPr>
            <w:r w:rsidRPr="00295832">
              <w:rPr>
                <w:rFonts w:ascii="Arial" w:hAnsi="Arial" w:cs="Arial"/>
                <w:color w:val="000000"/>
                <w:sz w:val="16"/>
                <w:szCs w:val="16"/>
              </w:rPr>
              <w:t> </w:t>
            </w:r>
          </w:p>
        </w:tc>
      </w:tr>
      <w:tr w:rsidR="00295832" w:rsidRPr="00295832" w14:paraId="3DECB9DD" w14:textId="77777777" w:rsidTr="00931C28">
        <w:trPr>
          <w:divId w:val="779882756"/>
          <w:trHeight w:hRule="exact" w:val="225"/>
        </w:trPr>
        <w:tc>
          <w:tcPr>
            <w:tcW w:w="1950" w:type="pct"/>
            <w:tcBorders>
              <w:top w:val="nil"/>
              <w:left w:val="nil"/>
              <w:bottom w:val="nil"/>
              <w:right w:val="nil"/>
            </w:tcBorders>
            <w:shd w:val="clear" w:color="000000" w:fill="FFFFFF"/>
            <w:noWrap/>
            <w:vAlign w:val="center"/>
            <w:hideMark/>
          </w:tcPr>
          <w:p w14:paraId="5A4B0992" w14:textId="77777777" w:rsidR="00295832" w:rsidRPr="00295832" w:rsidRDefault="00295832" w:rsidP="00931C28">
            <w:pPr>
              <w:spacing w:before="0" w:after="0" w:line="240" w:lineRule="auto"/>
              <w:ind w:left="170"/>
              <w:rPr>
                <w:rFonts w:ascii="Arial" w:hAnsi="Arial" w:cs="Arial"/>
                <w:color w:val="000000"/>
                <w:sz w:val="16"/>
                <w:szCs w:val="16"/>
              </w:rPr>
            </w:pPr>
            <w:r w:rsidRPr="00295832">
              <w:rPr>
                <w:rFonts w:ascii="Arial" w:hAnsi="Arial" w:cs="Arial"/>
                <w:color w:val="000000"/>
                <w:sz w:val="16"/>
                <w:szCs w:val="16"/>
              </w:rPr>
              <w:t>Wool industry</w:t>
            </w:r>
          </w:p>
        </w:tc>
        <w:tc>
          <w:tcPr>
            <w:tcW w:w="506" w:type="pct"/>
            <w:tcBorders>
              <w:top w:val="nil"/>
              <w:left w:val="nil"/>
              <w:bottom w:val="nil"/>
              <w:right w:val="nil"/>
            </w:tcBorders>
            <w:shd w:val="clear" w:color="000000" w:fill="FFFFFF"/>
            <w:noWrap/>
            <w:vAlign w:val="center"/>
            <w:hideMark/>
          </w:tcPr>
          <w:p w14:paraId="0BBB03C7" w14:textId="77777777" w:rsidR="00295832" w:rsidRPr="00295832" w:rsidRDefault="00295832" w:rsidP="00295832">
            <w:pPr>
              <w:spacing w:before="0" w:after="0" w:line="240" w:lineRule="auto"/>
              <w:jc w:val="right"/>
              <w:rPr>
                <w:rFonts w:ascii="Arial" w:hAnsi="Arial" w:cs="Arial"/>
                <w:color w:val="000000"/>
                <w:sz w:val="16"/>
                <w:szCs w:val="16"/>
              </w:rPr>
            </w:pPr>
            <w:r w:rsidRPr="00295832">
              <w:rPr>
                <w:rFonts w:ascii="Arial" w:hAnsi="Arial" w:cs="Arial"/>
                <w:color w:val="000000"/>
                <w:sz w:val="16"/>
                <w:szCs w:val="16"/>
              </w:rPr>
              <w:t>55</w:t>
            </w:r>
          </w:p>
        </w:tc>
        <w:tc>
          <w:tcPr>
            <w:tcW w:w="56" w:type="pct"/>
            <w:tcBorders>
              <w:top w:val="nil"/>
              <w:left w:val="nil"/>
              <w:bottom w:val="nil"/>
              <w:right w:val="nil"/>
            </w:tcBorders>
            <w:shd w:val="clear" w:color="000000" w:fill="FFFFFF"/>
            <w:noWrap/>
            <w:vAlign w:val="center"/>
            <w:hideMark/>
          </w:tcPr>
          <w:p w14:paraId="208CA5B0" w14:textId="77777777" w:rsidR="00295832" w:rsidRPr="00295832" w:rsidRDefault="00295832" w:rsidP="00295832">
            <w:pPr>
              <w:spacing w:before="0" w:after="0" w:line="240" w:lineRule="auto"/>
              <w:rPr>
                <w:rFonts w:ascii="Arial" w:hAnsi="Arial" w:cs="Arial"/>
                <w:color w:val="000000"/>
                <w:sz w:val="16"/>
                <w:szCs w:val="16"/>
              </w:rPr>
            </w:pPr>
            <w:r w:rsidRPr="00295832">
              <w:rPr>
                <w:rFonts w:ascii="Arial" w:hAnsi="Arial" w:cs="Arial"/>
                <w:color w:val="000000"/>
                <w:sz w:val="16"/>
                <w:szCs w:val="16"/>
              </w:rPr>
              <w:t> </w:t>
            </w:r>
          </w:p>
        </w:tc>
        <w:tc>
          <w:tcPr>
            <w:tcW w:w="498" w:type="pct"/>
            <w:tcBorders>
              <w:top w:val="nil"/>
              <w:left w:val="nil"/>
              <w:bottom w:val="nil"/>
              <w:right w:val="nil"/>
            </w:tcBorders>
            <w:shd w:val="clear" w:color="000000" w:fill="FFFFFF"/>
            <w:noWrap/>
            <w:vAlign w:val="center"/>
            <w:hideMark/>
          </w:tcPr>
          <w:p w14:paraId="4EBD13D9" w14:textId="77777777" w:rsidR="00295832" w:rsidRPr="00295832" w:rsidRDefault="00295832" w:rsidP="00295832">
            <w:pPr>
              <w:spacing w:before="0" w:after="0" w:line="240" w:lineRule="auto"/>
              <w:jc w:val="right"/>
              <w:rPr>
                <w:rFonts w:ascii="Arial" w:hAnsi="Arial" w:cs="Arial"/>
                <w:color w:val="000000"/>
                <w:sz w:val="16"/>
                <w:szCs w:val="16"/>
              </w:rPr>
            </w:pPr>
            <w:r w:rsidRPr="00295832">
              <w:rPr>
                <w:rFonts w:ascii="Arial" w:hAnsi="Arial" w:cs="Arial"/>
                <w:color w:val="000000"/>
                <w:sz w:val="16"/>
                <w:szCs w:val="16"/>
              </w:rPr>
              <w:t>68</w:t>
            </w:r>
          </w:p>
        </w:tc>
        <w:tc>
          <w:tcPr>
            <w:tcW w:w="497" w:type="pct"/>
            <w:tcBorders>
              <w:top w:val="nil"/>
              <w:left w:val="nil"/>
              <w:bottom w:val="nil"/>
              <w:right w:val="nil"/>
            </w:tcBorders>
            <w:shd w:val="clear" w:color="000000" w:fill="E6F2FF"/>
            <w:noWrap/>
            <w:vAlign w:val="center"/>
            <w:hideMark/>
          </w:tcPr>
          <w:p w14:paraId="46AF4D8A" w14:textId="77777777" w:rsidR="00295832" w:rsidRPr="00295832" w:rsidRDefault="00295832" w:rsidP="00295832">
            <w:pPr>
              <w:spacing w:before="0" w:after="0" w:line="240" w:lineRule="auto"/>
              <w:jc w:val="right"/>
              <w:rPr>
                <w:rFonts w:ascii="Arial" w:hAnsi="Arial" w:cs="Arial"/>
                <w:color w:val="000000"/>
                <w:sz w:val="16"/>
                <w:szCs w:val="16"/>
              </w:rPr>
            </w:pPr>
            <w:r w:rsidRPr="00295832">
              <w:rPr>
                <w:rFonts w:ascii="Arial" w:hAnsi="Arial" w:cs="Arial"/>
                <w:color w:val="000000"/>
                <w:sz w:val="16"/>
                <w:szCs w:val="16"/>
              </w:rPr>
              <w:t>84</w:t>
            </w:r>
          </w:p>
        </w:tc>
        <w:tc>
          <w:tcPr>
            <w:tcW w:w="497" w:type="pct"/>
            <w:tcBorders>
              <w:top w:val="nil"/>
              <w:left w:val="nil"/>
              <w:bottom w:val="nil"/>
              <w:right w:val="nil"/>
            </w:tcBorders>
            <w:shd w:val="clear" w:color="000000" w:fill="FFFFFF"/>
            <w:noWrap/>
            <w:vAlign w:val="center"/>
            <w:hideMark/>
          </w:tcPr>
          <w:p w14:paraId="4E3E7B94" w14:textId="77777777" w:rsidR="00295832" w:rsidRPr="00295832" w:rsidRDefault="00295832" w:rsidP="00295832">
            <w:pPr>
              <w:spacing w:before="0" w:after="0" w:line="240" w:lineRule="auto"/>
              <w:jc w:val="right"/>
              <w:rPr>
                <w:rFonts w:ascii="Arial" w:hAnsi="Arial" w:cs="Arial"/>
                <w:color w:val="000000"/>
                <w:sz w:val="16"/>
                <w:szCs w:val="16"/>
              </w:rPr>
            </w:pPr>
            <w:r w:rsidRPr="00295832">
              <w:rPr>
                <w:rFonts w:ascii="Arial" w:hAnsi="Arial" w:cs="Arial"/>
                <w:color w:val="000000"/>
                <w:sz w:val="16"/>
                <w:szCs w:val="16"/>
              </w:rPr>
              <w:t>95</w:t>
            </w:r>
          </w:p>
        </w:tc>
        <w:tc>
          <w:tcPr>
            <w:tcW w:w="497" w:type="pct"/>
            <w:tcBorders>
              <w:top w:val="nil"/>
              <w:left w:val="nil"/>
              <w:bottom w:val="nil"/>
              <w:right w:val="nil"/>
            </w:tcBorders>
            <w:shd w:val="clear" w:color="000000" w:fill="FFFFFF"/>
            <w:noWrap/>
            <w:vAlign w:val="center"/>
            <w:hideMark/>
          </w:tcPr>
          <w:p w14:paraId="4E17AB71" w14:textId="77777777" w:rsidR="00295832" w:rsidRPr="00295832" w:rsidRDefault="00295832" w:rsidP="00295832">
            <w:pPr>
              <w:spacing w:before="0" w:after="0" w:line="240" w:lineRule="auto"/>
              <w:jc w:val="right"/>
              <w:rPr>
                <w:rFonts w:ascii="Arial" w:hAnsi="Arial" w:cs="Arial"/>
                <w:color w:val="000000"/>
                <w:sz w:val="16"/>
                <w:szCs w:val="16"/>
              </w:rPr>
            </w:pPr>
            <w:r w:rsidRPr="00295832">
              <w:rPr>
                <w:rFonts w:ascii="Arial" w:hAnsi="Arial" w:cs="Arial"/>
                <w:color w:val="000000"/>
                <w:sz w:val="16"/>
                <w:szCs w:val="16"/>
              </w:rPr>
              <w:t>95</w:t>
            </w:r>
          </w:p>
        </w:tc>
        <w:tc>
          <w:tcPr>
            <w:tcW w:w="497" w:type="pct"/>
            <w:tcBorders>
              <w:top w:val="nil"/>
              <w:left w:val="nil"/>
              <w:bottom w:val="nil"/>
              <w:right w:val="nil"/>
            </w:tcBorders>
            <w:shd w:val="clear" w:color="000000" w:fill="FFFFFF"/>
            <w:noWrap/>
            <w:vAlign w:val="center"/>
            <w:hideMark/>
          </w:tcPr>
          <w:p w14:paraId="7D18DD3F" w14:textId="77777777" w:rsidR="00295832" w:rsidRPr="00295832" w:rsidRDefault="00295832" w:rsidP="00295832">
            <w:pPr>
              <w:spacing w:before="0" w:after="0" w:line="240" w:lineRule="auto"/>
              <w:jc w:val="right"/>
              <w:rPr>
                <w:rFonts w:ascii="Arial" w:hAnsi="Arial" w:cs="Arial"/>
                <w:color w:val="000000"/>
                <w:sz w:val="16"/>
                <w:szCs w:val="16"/>
              </w:rPr>
            </w:pPr>
            <w:r w:rsidRPr="00295832">
              <w:rPr>
                <w:rFonts w:ascii="Arial" w:hAnsi="Arial" w:cs="Arial"/>
                <w:color w:val="000000"/>
                <w:sz w:val="16"/>
                <w:szCs w:val="16"/>
              </w:rPr>
              <w:t>95</w:t>
            </w:r>
          </w:p>
        </w:tc>
      </w:tr>
      <w:tr w:rsidR="00295832" w:rsidRPr="00295832" w14:paraId="3CDC747B" w14:textId="77777777" w:rsidTr="00931C28">
        <w:trPr>
          <w:divId w:val="779882756"/>
          <w:trHeight w:hRule="exact" w:val="225"/>
        </w:trPr>
        <w:tc>
          <w:tcPr>
            <w:tcW w:w="1950" w:type="pct"/>
            <w:tcBorders>
              <w:top w:val="nil"/>
              <w:left w:val="nil"/>
              <w:bottom w:val="nil"/>
              <w:right w:val="nil"/>
            </w:tcBorders>
            <w:shd w:val="clear" w:color="000000" w:fill="FFFFFF"/>
            <w:noWrap/>
            <w:vAlign w:val="center"/>
            <w:hideMark/>
          </w:tcPr>
          <w:p w14:paraId="3DA3366A" w14:textId="77777777" w:rsidR="00295832" w:rsidRPr="00295832" w:rsidRDefault="00295832" w:rsidP="00931C28">
            <w:pPr>
              <w:spacing w:before="0" w:after="0" w:line="240" w:lineRule="auto"/>
              <w:ind w:left="170"/>
              <w:rPr>
                <w:rFonts w:ascii="Arial" w:hAnsi="Arial" w:cs="Arial"/>
                <w:color w:val="000000"/>
                <w:sz w:val="16"/>
                <w:szCs w:val="16"/>
              </w:rPr>
            </w:pPr>
            <w:r w:rsidRPr="00295832">
              <w:rPr>
                <w:rFonts w:ascii="Arial" w:hAnsi="Arial" w:cs="Arial"/>
                <w:color w:val="000000"/>
                <w:sz w:val="16"/>
                <w:szCs w:val="16"/>
              </w:rPr>
              <w:t>Grains industry</w:t>
            </w:r>
          </w:p>
        </w:tc>
        <w:tc>
          <w:tcPr>
            <w:tcW w:w="506" w:type="pct"/>
            <w:tcBorders>
              <w:top w:val="nil"/>
              <w:left w:val="nil"/>
              <w:bottom w:val="nil"/>
              <w:right w:val="nil"/>
            </w:tcBorders>
            <w:shd w:val="clear" w:color="000000" w:fill="FFFFFF"/>
            <w:noWrap/>
            <w:vAlign w:val="center"/>
            <w:hideMark/>
          </w:tcPr>
          <w:p w14:paraId="396B6643" w14:textId="77777777" w:rsidR="00295832" w:rsidRPr="00295832" w:rsidRDefault="00295832" w:rsidP="00295832">
            <w:pPr>
              <w:spacing w:before="0" w:after="0" w:line="240" w:lineRule="auto"/>
              <w:jc w:val="right"/>
              <w:rPr>
                <w:rFonts w:ascii="Arial" w:hAnsi="Arial" w:cs="Arial"/>
                <w:color w:val="000000"/>
                <w:sz w:val="16"/>
                <w:szCs w:val="16"/>
              </w:rPr>
            </w:pPr>
            <w:r w:rsidRPr="00295832">
              <w:rPr>
                <w:rFonts w:ascii="Arial" w:hAnsi="Arial" w:cs="Arial"/>
                <w:color w:val="000000"/>
                <w:sz w:val="16"/>
                <w:szCs w:val="16"/>
              </w:rPr>
              <w:t>200</w:t>
            </w:r>
          </w:p>
        </w:tc>
        <w:tc>
          <w:tcPr>
            <w:tcW w:w="56" w:type="pct"/>
            <w:tcBorders>
              <w:top w:val="nil"/>
              <w:left w:val="nil"/>
              <w:bottom w:val="nil"/>
              <w:right w:val="nil"/>
            </w:tcBorders>
            <w:shd w:val="clear" w:color="000000" w:fill="FFFFFF"/>
            <w:noWrap/>
            <w:vAlign w:val="center"/>
            <w:hideMark/>
          </w:tcPr>
          <w:p w14:paraId="683EE570" w14:textId="77777777" w:rsidR="00295832" w:rsidRPr="00295832" w:rsidRDefault="00295832" w:rsidP="00295832">
            <w:pPr>
              <w:spacing w:before="0" w:after="0" w:line="240" w:lineRule="auto"/>
              <w:rPr>
                <w:rFonts w:ascii="Arial" w:hAnsi="Arial" w:cs="Arial"/>
                <w:color w:val="000000"/>
                <w:sz w:val="16"/>
                <w:szCs w:val="16"/>
              </w:rPr>
            </w:pPr>
            <w:r w:rsidRPr="00295832">
              <w:rPr>
                <w:rFonts w:ascii="Arial" w:hAnsi="Arial" w:cs="Arial"/>
                <w:color w:val="000000"/>
                <w:sz w:val="16"/>
                <w:szCs w:val="16"/>
              </w:rPr>
              <w:t> </w:t>
            </w:r>
          </w:p>
        </w:tc>
        <w:tc>
          <w:tcPr>
            <w:tcW w:w="498" w:type="pct"/>
            <w:tcBorders>
              <w:top w:val="nil"/>
              <w:left w:val="nil"/>
              <w:bottom w:val="nil"/>
              <w:right w:val="nil"/>
            </w:tcBorders>
            <w:shd w:val="clear" w:color="000000" w:fill="FFFFFF"/>
            <w:noWrap/>
            <w:vAlign w:val="center"/>
            <w:hideMark/>
          </w:tcPr>
          <w:p w14:paraId="4FF4F65E" w14:textId="77777777" w:rsidR="00295832" w:rsidRPr="00295832" w:rsidRDefault="00295832" w:rsidP="00295832">
            <w:pPr>
              <w:spacing w:before="0" w:after="0" w:line="240" w:lineRule="auto"/>
              <w:jc w:val="right"/>
              <w:rPr>
                <w:rFonts w:ascii="Arial" w:hAnsi="Arial" w:cs="Arial"/>
                <w:color w:val="000000"/>
                <w:sz w:val="16"/>
                <w:szCs w:val="16"/>
              </w:rPr>
            </w:pPr>
            <w:r w:rsidRPr="00295832">
              <w:rPr>
                <w:rFonts w:ascii="Arial" w:hAnsi="Arial" w:cs="Arial"/>
                <w:color w:val="000000"/>
                <w:sz w:val="16"/>
                <w:szCs w:val="16"/>
              </w:rPr>
              <w:t>272</w:t>
            </w:r>
          </w:p>
        </w:tc>
        <w:tc>
          <w:tcPr>
            <w:tcW w:w="497" w:type="pct"/>
            <w:tcBorders>
              <w:top w:val="nil"/>
              <w:left w:val="nil"/>
              <w:bottom w:val="nil"/>
              <w:right w:val="nil"/>
            </w:tcBorders>
            <w:shd w:val="clear" w:color="000000" w:fill="E6F2FF"/>
            <w:noWrap/>
            <w:vAlign w:val="center"/>
            <w:hideMark/>
          </w:tcPr>
          <w:p w14:paraId="039C5795" w14:textId="77777777" w:rsidR="00295832" w:rsidRPr="00295832" w:rsidRDefault="00295832" w:rsidP="00295832">
            <w:pPr>
              <w:spacing w:before="0" w:after="0" w:line="240" w:lineRule="auto"/>
              <w:jc w:val="right"/>
              <w:rPr>
                <w:rFonts w:ascii="Arial" w:hAnsi="Arial" w:cs="Arial"/>
                <w:color w:val="000000"/>
                <w:sz w:val="16"/>
                <w:szCs w:val="16"/>
              </w:rPr>
            </w:pPr>
            <w:r w:rsidRPr="00295832">
              <w:rPr>
                <w:rFonts w:ascii="Arial" w:hAnsi="Arial" w:cs="Arial"/>
                <w:color w:val="000000"/>
                <w:sz w:val="16"/>
                <w:szCs w:val="16"/>
              </w:rPr>
              <w:t>290</w:t>
            </w:r>
          </w:p>
        </w:tc>
        <w:tc>
          <w:tcPr>
            <w:tcW w:w="497" w:type="pct"/>
            <w:tcBorders>
              <w:top w:val="nil"/>
              <w:left w:val="nil"/>
              <w:bottom w:val="nil"/>
              <w:right w:val="nil"/>
            </w:tcBorders>
            <w:shd w:val="clear" w:color="000000" w:fill="FFFFFF"/>
            <w:noWrap/>
            <w:vAlign w:val="center"/>
            <w:hideMark/>
          </w:tcPr>
          <w:p w14:paraId="1FD8A408" w14:textId="77777777" w:rsidR="00295832" w:rsidRPr="00295832" w:rsidRDefault="00295832" w:rsidP="00295832">
            <w:pPr>
              <w:spacing w:before="0" w:after="0" w:line="240" w:lineRule="auto"/>
              <w:jc w:val="right"/>
              <w:rPr>
                <w:rFonts w:ascii="Arial" w:hAnsi="Arial" w:cs="Arial"/>
                <w:color w:val="000000"/>
                <w:sz w:val="16"/>
                <w:szCs w:val="16"/>
              </w:rPr>
            </w:pPr>
            <w:r w:rsidRPr="00295832">
              <w:rPr>
                <w:rFonts w:ascii="Arial" w:hAnsi="Arial" w:cs="Arial"/>
                <w:color w:val="000000"/>
                <w:sz w:val="16"/>
                <w:szCs w:val="16"/>
              </w:rPr>
              <w:t>292</w:t>
            </w:r>
          </w:p>
        </w:tc>
        <w:tc>
          <w:tcPr>
            <w:tcW w:w="497" w:type="pct"/>
            <w:tcBorders>
              <w:top w:val="nil"/>
              <w:left w:val="nil"/>
              <w:bottom w:val="nil"/>
              <w:right w:val="nil"/>
            </w:tcBorders>
            <w:shd w:val="clear" w:color="000000" w:fill="FFFFFF"/>
            <w:noWrap/>
            <w:vAlign w:val="center"/>
            <w:hideMark/>
          </w:tcPr>
          <w:p w14:paraId="55198386" w14:textId="77777777" w:rsidR="00295832" w:rsidRPr="00295832" w:rsidRDefault="00295832" w:rsidP="00295832">
            <w:pPr>
              <w:spacing w:before="0" w:after="0" w:line="240" w:lineRule="auto"/>
              <w:jc w:val="right"/>
              <w:rPr>
                <w:rFonts w:ascii="Arial" w:hAnsi="Arial" w:cs="Arial"/>
                <w:color w:val="000000"/>
                <w:sz w:val="16"/>
                <w:szCs w:val="16"/>
              </w:rPr>
            </w:pPr>
            <w:r w:rsidRPr="00295832">
              <w:rPr>
                <w:rFonts w:ascii="Arial" w:hAnsi="Arial" w:cs="Arial"/>
                <w:color w:val="000000"/>
                <w:sz w:val="16"/>
                <w:szCs w:val="16"/>
              </w:rPr>
              <w:t>295</w:t>
            </w:r>
          </w:p>
        </w:tc>
        <w:tc>
          <w:tcPr>
            <w:tcW w:w="497" w:type="pct"/>
            <w:tcBorders>
              <w:top w:val="nil"/>
              <w:left w:val="nil"/>
              <w:bottom w:val="nil"/>
              <w:right w:val="nil"/>
            </w:tcBorders>
            <w:shd w:val="clear" w:color="000000" w:fill="FFFFFF"/>
            <w:noWrap/>
            <w:vAlign w:val="center"/>
            <w:hideMark/>
          </w:tcPr>
          <w:p w14:paraId="4ED7837F" w14:textId="77777777" w:rsidR="00295832" w:rsidRPr="00295832" w:rsidRDefault="00295832" w:rsidP="00295832">
            <w:pPr>
              <w:spacing w:before="0" w:after="0" w:line="240" w:lineRule="auto"/>
              <w:jc w:val="right"/>
              <w:rPr>
                <w:rFonts w:ascii="Arial" w:hAnsi="Arial" w:cs="Arial"/>
                <w:color w:val="000000"/>
                <w:sz w:val="16"/>
                <w:szCs w:val="16"/>
              </w:rPr>
            </w:pPr>
            <w:r w:rsidRPr="00295832">
              <w:rPr>
                <w:rFonts w:ascii="Arial" w:hAnsi="Arial" w:cs="Arial"/>
                <w:color w:val="000000"/>
                <w:sz w:val="16"/>
                <w:szCs w:val="16"/>
              </w:rPr>
              <w:t>297</w:t>
            </w:r>
          </w:p>
        </w:tc>
      </w:tr>
      <w:tr w:rsidR="00295832" w:rsidRPr="00295832" w14:paraId="796B8A3E" w14:textId="77777777" w:rsidTr="00931C28">
        <w:trPr>
          <w:divId w:val="779882756"/>
          <w:trHeight w:hRule="exact" w:val="225"/>
        </w:trPr>
        <w:tc>
          <w:tcPr>
            <w:tcW w:w="1950" w:type="pct"/>
            <w:tcBorders>
              <w:top w:val="nil"/>
              <w:left w:val="nil"/>
              <w:bottom w:val="nil"/>
              <w:right w:val="nil"/>
            </w:tcBorders>
            <w:shd w:val="clear" w:color="000000" w:fill="FFFFFF"/>
            <w:noWrap/>
            <w:vAlign w:val="center"/>
            <w:hideMark/>
          </w:tcPr>
          <w:p w14:paraId="706D6840" w14:textId="77777777" w:rsidR="00295832" w:rsidRPr="00295832" w:rsidRDefault="00295832" w:rsidP="00931C28">
            <w:pPr>
              <w:spacing w:before="0" w:after="0" w:line="240" w:lineRule="auto"/>
              <w:ind w:left="170"/>
              <w:rPr>
                <w:rFonts w:ascii="Arial" w:hAnsi="Arial" w:cs="Arial"/>
                <w:color w:val="000000"/>
                <w:sz w:val="16"/>
                <w:szCs w:val="16"/>
              </w:rPr>
            </w:pPr>
            <w:r w:rsidRPr="00295832">
              <w:rPr>
                <w:rFonts w:ascii="Arial" w:hAnsi="Arial" w:cs="Arial"/>
                <w:color w:val="000000"/>
                <w:sz w:val="16"/>
                <w:szCs w:val="16"/>
              </w:rPr>
              <w:t>Dairy industry</w:t>
            </w:r>
          </w:p>
        </w:tc>
        <w:tc>
          <w:tcPr>
            <w:tcW w:w="506" w:type="pct"/>
            <w:tcBorders>
              <w:top w:val="nil"/>
              <w:left w:val="nil"/>
              <w:bottom w:val="nil"/>
              <w:right w:val="nil"/>
            </w:tcBorders>
            <w:shd w:val="clear" w:color="000000" w:fill="FFFFFF"/>
            <w:noWrap/>
            <w:vAlign w:val="center"/>
            <w:hideMark/>
          </w:tcPr>
          <w:p w14:paraId="304549B9" w14:textId="77777777" w:rsidR="00295832" w:rsidRPr="00295832" w:rsidRDefault="00295832" w:rsidP="00295832">
            <w:pPr>
              <w:spacing w:before="0" w:after="0" w:line="240" w:lineRule="auto"/>
              <w:jc w:val="right"/>
              <w:rPr>
                <w:rFonts w:ascii="Arial" w:hAnsi="Arial" w:cs="Arial"/>
                <w:color w:val="000000"/>
                <w:sz w:val="16"/>
                <w:szCs w:val="16"/>
              </w:rPr>
            </w:pPr>
            <w:r w:rsidRPr="00295832">
              <w:rPr>
                <w:rFonts w:ascii="Arial" w:hAnsi="Arial" w:cs="Arial"/>
                <w:color w:val="000000"/>
                <w:sz w:val="16"/>
                <w:szCs w:val="16"/>
              </w:rPr>
              <w:t>59</w:t>
            </w:r>
          </w:p>
        </w:tc>
        <w:tc>
          <w:tcPr>
            <w:tcW w:w="56" w:type="pct"/>
            <w:tcBorders>
              <w:top w:val="nil"/>
              <w:left w:val="nil"/>
              <w:bottom w:val="nil"/>
              <w:right w:val="nil"/>
            </w:tcBorders>
            <w:shd w:val="clear" w:color="000000" w:fill="FFFFFF"/>
            <w:noWrap/>
            <w:vAlign w:val="center"/>
            <w:hideMark/>
          </w:tcPr>
          <w:p w14:paraId="6D2A1C64" w14:textId="77777777" w:rsidR="00295832" w:rsidRPr="00295832" w:rsidRDefault="00295832" w:rsidP="00295832">
            <w:pPr>
              <w:spacing w:before="0" w:after="0" w:line="240" w:lineRule="auto"/>
              <w:rPr>
                <w:rFonts w:ascii="Arial" w:hAnsi="Arial" w:cs="Arial"/>
                <w:color w:val="000000"/>
                <w:sz w:val="16"/>
                <w:szCs w:val="16"/>
              </w:rPr>
            </w:pPr>
            <w:r w:rsidRPr="00295832">
              <w:rPr>
                <w:rFonts w:ascii="Arial" w:hAnsi="Arial" w:cs="Arial"/>
                <w:color w:val="000000"/>
                <w:sz w:val="16"/>
                <w:szCs w:val="16"/>
              </w:rPr>
              <w:t> </w:t>
            </w:r>
          </w:p>
        </w:tc>
        <w:tc>
          <w:tcPr>
            <w:tcW w:w="498" w:type="pct"/>
            <w:tcBorders>
              <w:top w:val="nil"/>
              <w:left w:val="nil"/>
              <w:bottom w:val="nil"/>
              <w:right w:val="nil"/>
            </w:tcBorders>
            <w:shd w:val="clear" w:color="000000" w:fill="FFFFFF"/>
            <w:noWrap/>
            <w:vAlign w:val="center"/>
            <w:hideMark/>
          </w:tcPr>
          <w:p w14:paraId="03900E89" w14:textId="77777777" w:rsidR="00295832" w:rsidRPr="00295832" w:rsidRDefault="00295832" w:rsidP="00295832">
            <w:pPr>
              <w:spacing w:before="0" w:after="0" w:line="240" w:lineRule="auto"/>
              <w:jc w:val="right"/>
              <w:rPr>
                <w:rFonts w:ascii="Arial" w:hAnsi="Arial" w:cs="Arial"/>
                <w:color w:val="000000"/>
                <w:sz w:val="16"/>
                <w:szCs w:val="16"/>
              </w:rPr>
            </w:pPr>
            <w:r w:rsidRPr="00295832">
              <w:rPr>
                <w:rFonts w:ascii="Arial" w:hAnsi="Arial" w:cs="Arial"/>
                <w:color w:val="000000"/>
                <w:sz w:val="16"/>
                <w:szCs w:val="16"/>
              </w:rPr>
              <w:t>58</w:t>
            </w:r>
          </w:p>
        </w:tc>
        <w:tc>
          <w:tcPr>
            <w:tcW w:w="497" w:type="pct"/>
            <w:tcBorders>
              <w:top w:val="nil"/>
              <w:left w:val="nil"/>
              <w:bottom w:val="nil"/>
              <w:right w:val="nil"/>
            </w:tcBorders>
            <w:shd w:val="clear" w:color="000000" w:fill="E6F2FF"/>
            <w:noWrap/>
            <w:vAlign w:val="center"/>
            <w:hideMark/>
          </w:tcPr>
          <w:p w14:paraId="488A47F4" w14:textId="77777777" w:rsidR="00295832" w:rsidRPr="00295832" w:rsidRDefault="00295832" w:rsidP="00295832">
            <w:pPr>
              <w:spacing w:before="0" w:after="0" w:line="240" w:lineRule="auto"/>
              <w:jc w:val="right"/>
              <w:rPr>
                <w:rFonts w:ascii="Arial" w:hAnsi="Arial" w:cs="Arial"/>
                <w:color w:val="000000"/>
                <w:sz w:val="16"/>
                <w:szCs w:val="16"/>
              </w:rPr>
            </w:pPr>
            <w:r w:rsidRPr="00295832">
              <w:rPr>
                <w:rFonts w:ascii="Arial" w:hAnsi="Arial" w:cs="Arial"/>
                <w:color w:val="000000"/>
                <w:sz w:val="16"/>
                <w:szCs w:val="16"/>
              </w:rPr>
              <w:t>57</w:t>
            </w:r>
          </w:p>
        </w:tc>
        <w:tc>
          <w:tcPr>
            <w:tcW w:w="497" w:type="pct"/>
            <w:tcBorders>
              <w:top w:val="nil"/>
              <w:left w:val="nil"/>
              <w:bottom w:val="nil"/>
              <w:right w:val="nil"/>
            </w:tcBorders>
            <w:shd w:val="clear" w:color="000000" w:fill="FFFFFF"/>
            <w:noWrap/>
            <w:vAlign w:val="center"/>
            <w:hideMark/>
          </w:tcPr>
          <w:p w14:paraId="7BF73F97" w14:textId="77777777" w:rsidR="00295832" w:rsidRPr="00295832" w:rsidRDefault="00295832" w:rsidP="00295832">
            <w:pPr>
              <w:spacing w:before="0" w:after="0" w:line="240" w:lineRule="auto"/>
              <w:jc w:val="right"/>
              <w:rPr>
                <w:rFonts w:ascii="Arial" w:hAnsi="Arial" w:cs="Arial"/>
                <w:color w:val="000000"/>
                <w:sz w:val="16"/>
                <w:szCs w:val="16"/>
              </w:rPr>
            </w:pPr>
            <w:r w:rsidRPr="00295832">
              <w:rPr>
                <w:rFonts w:ascii="Arial" w:hAnsi="Arial" w:cs="Arial"/>
                <w:color w:val="000000"/>
                <w:sz w:val="16"/>
                <w:szCs w:val="16"/>
              </w:rPr>
              <w:t>55</w:t>
            </w:r>
          </w:p>
        </w:tc>
        <w:tc>
          <w:tcPr>
            <w:tcW w:w="497" w:type="pct"/>
            <w:tcBorders>
              <w:top w:val="nil"/>
              <w:left w:val="nil"/>
              <w:bottom w:val="nil"/>
              <w:right w:val="nil"/>
            </w:tcBorders>
            <w:shd w:val="clear" w:color="000000" w:fill="FFFFFF"/>
            <w:noWrap/>
            <w:vAlign w:val="center"/>
            <w:hideMark/>
          </w:tcPr>
          <w:p w14:paraId="574F8FE5" w14:textId="77777777" w:rsidR="00295832" w:rsidRPr="00295832" w:rsidRDefault="00295832" w:rsidP="00295832">
            <w:pPr>
              <w:spacing w:before="0" w:after="0" w:line="240" w:lineRule="auto"/>
              <w:jc w:val="right"/>
              <w:rPr>
                <w:rFonts w:ascii="Arial" w:hAnsi="Arial" w:cs="Arial"/>
                <w:color w:val="000000"/>
                <w:sz w:val="16"/>
                <w:szCs w:val="16"/>
              </w:rPr>
            </w:pPr>
            <w:r w:rsidRPr="00295832">
              <w:rPr>
                <w:rFonts w:ascii="Arial" w:hAnsi="Arial" w:cs="Arial"/>
                <w:color w:val="000000"/>
                <w:sz w:val="16"/>
                <w:szCs w:val="16"/>
              </w:rPr>
              <w:t>55</w:t>
            </w:r>
          </w:p>
        </w:tc>
        <w:tc>
          <w:tcPr>
            <w:tcW w:w="497" w:type="pct"/>
            <w:tcBorders>
              <w:top w:val="nil"/>
              <w:left w:val="nil"/>
              <w:bottom w:val="nil"/>
              <w:right w:val="nil"/>
            </w:tcBorders>
            <w:shd w:val="clear" w:color="000000" w:fill="FFFFFF"/>
            <w:noWrap/>
            <w:vAlign w:val="center"/>
            <w:hideMark/>
          </w:tcPr>
          <w:p w14:paraId="225030C4" w14:textId="77777777" w:rsidR="00295832" w:rsidRPr="00295832" w:rsidRDefault="00295832" w:rsidP="00295832">
            <w:pPr>
              <w:spacing w:before="0" w:after="0" w:line="240" w:lineRule="auto"/>
              <w:jc w:val="right"/>
              <w:rPr>
                <w:rFonts w:ascii="Arial" w:hAnsi="Arial" w:cs="Arial"/>
                <w:color w:val="000000"/>
                <w:sz w:val="16"/>
                <w:szCs w:val="16"/>
              </w:rPr>
            </w:pPr>
            <w:r w:rsidRPr="00295832">
              <w:rPr>
                <w:rFonts w:ascii="Arial" w:hAnsi="Arial" w:cs="Arial"/>
                <w:color w:val="000000"/>
                <w:sz w:val="16"/>
                <w:szCs w:val="16"/>
              </w:rPr>
              <w:t>55</w:t>
            </w:r>
          </w:p>
        </w:tc>
      </w:tr>
      <w:tr w:rsidR="00295832" w:rsidRPr="00295832" w14:paraId="2CC25264" w14:textId="77777777" w:rsidTr="00931C28">
        <w:trPr>
          <w:divId w:val="779882756"/>
          <w:trHeight w:hRule="exact" w:val="225"/>
        </w:trPr>
        <w:tc>
          <w:tcPr>
            <w:tcW w:w="1950" w:type="pct"/>
            <w:tcBorders>
              <w:top w:val="nil"/>
              <w:left w:val="nil"/>
              <w:bottom w:val="nil"/>
              <w:right w:val="nil"/>
            </w:tcBorders>
            <w:shd w:val="clear" w:color="000000" w:fill="FFFFFF"/>
            <w:noWrap/>
            <w:vAlign w:val="center"/>
            <w:hideMark/>
          </w:tcPr>
          <w:p w14:paraId="2DA371D3" w14:textId="77777777" w:rsidR="00295832" w:rsidRPr="00295832" w:rsidRDefault="00295832" w:rsidP="00931C28">
            <w:pPr>
              <w:spacing w:before="0" w:after="0" w:line="240" w:lineRule="auto"/>
              <w:ind w:left="170"/>
              <w:rPr>
                <w:rFonts w:ascii="Arial" w:hAnsi="Arial" w:cs="Arial"/>
                <w:color w:val="000000"/>
                <w:sz w:val="16"/>
                <w:szCs w:val="16"/>
              </w:rPr>
            </w:pPr>
            <w:r w:rsidRPr="00295832">
              <w:rPr>
                <w:rFonts w:ascii="Arial" w:hAnsi="Arial" w:cs="Arial"/>
                <w:color w:val="000000"/>
                <w:sz w:val="16"/>
                <w:szCs w:val="16"/>
              </w:rPr>
              <w:t>Cattle, sheep and pig industry</w:t>
            </w:r>
          </w:p>
        </w:tc>
        <w:tc>
          <w:tcPr>
            <w:tcW w:w="506" w:type="pct"/>
            <w:tcBorders>
              <w:top w:val="nil"/>
              <w:left w:val="nil"/>
              <w:bottom w:val="nil"/>
              <w:right w:val="nil"/>
            </w:tcBorders>
            <w:shd w:val="clear" w:color="000000" w:fill="FFFFFF"/>
            <w:noWrap/>
            <w:vAlign w:val="center"/>
            <w:hideMark/>
          </w:tcPr>
          <w:p w14:paraId="72526485" w14:textId="77777777" w:rsidR="00295832" w:rsidRPr="00295832" w:rsidRDefault="00295832" w:rsidP="00295832">
            <w:pPr>
              <w:spacing w:before="0" w:after="0" w:line="240" w:lineRule="auto"/>
              <w:jc w:val="right"/>
              <w:rPr>
                <w:rFonts w:ascii="Arial" w:hAnsi="Arial" w:cs="Arial"/>
                <w:color w:val="000000"/>
                <w:sz w:val="16"/>
                <w:szCs w:val="16"/>
              </w:rPr>
            </w:pPr>
            <w:r w:rsidRPr="00295832">
              <w:rPr>
                <w:rFonts w:ascii="Arial" w:hAnsi="Arial" w:cs="Arial"/>
                <w:color w:val="000000"/>
                <w:sz w:val="16"/>
                <w:szCs w:val="16"/>
              </w:rPr>
              <w:t>239</w:t>
            </w:r>
          </w:p>
        </w:tc>
        <w:tc>
          <w:tcPr>
            <w:tcW w:w="56" w:type="pct"/>
            <w:tcBorders>
              <w:top w:val="nil"/>
              <w:left w:val="nil"/>
              <w:bottom w:val="nil"/>
              <w:right w:val="nil"/>
            </w:tcBorders>
            <w:shd w:val="clear" w:color="000000" w:fill="FFFFFF"/>
            <w:noWrap/>
            <w:vAlign w:val="center"/>
            <w:hideMark/>
          </w:tcPr>
          <w:p w14:paraId="5DE73D59" w14:textId="77777777" w:rsidR="00295832" w:rsidRPr="00295832" w:rsidRDefault="00295832" w:rsidP="00295832">
            <w:pPr>
              <w:spacing w:before="0" w:after="0" w:line="240" w:lineRule="auto"/>
              <w:rPr>
                <w:rFonts w:ascii="Arial" w:hAnsi="Arial" w:cs="Arial"/>
                <w:color w:val="000000"/>
                <w:sz w:val="16"/>
                <w:szCs w:val="16"/>
              </w:rPr>
            </w:pPr>
            <w:r w:rsidRPr="00295832">
              <w:rPr>
                <w:rFonts w:ascii="Arial" w:hAnsi="Arial" w:cs="Arial"/>
                <w:color w:val="000000"/>
                <w:sz w:val="16"/>
                <w:szCs w:val="16"/>
              </w:rPr>
              <w:t> </w:t>
            </w:r>
          </w:p>
        </w:tc>
        <w:tc>
          <w:tcPr>
            <w:tcW w:w="498" w:type="pct"/>
            <w:tcBorders>
              <w:top w:val="nil"/>
              <w:left w:val="nil"/>
              <w:bottom w:val="nil"/>
              <w:right w:val="nil"/>
            </w:tcBorders>
            <w:shd w:val="clear" w:color="000000" w:fill="FFFFFF"/>
            <w:noWrap/>
            <w:vAlign w:val="center"/>
            <w:hideMark/>
          </w:tcPr>
          <w:p w14:paraId="0B296311" w14:textId="77777777" w:rsidR="00295832" w:rsidRPr="00295832" w:rsidRDefault="00295832" w:rsidP="00295832">
            <w:pPr>
              <w:spacing w:before="0" w:after="0" w:line="240" w:lineRule="auto"/>
              <w:jc w:val="right"/>
              <w:rPr>
                <w:rFonts w:ascii="Arial" w:hAnsi="Arial" w:cs="Arial"/>
                <w:color w:val="000000"/>
                <w:sz w:val="16"/>
                <w:szCs w:val="16"/>
              </w:rPr>
            </w:pPr>
            <w:r w:rsidRPr="00295832">
              <w:rPr>
                <w:rFonts w:ascii="Arial" w:hAnsi="Arial" w:cs="Arial"/>
                <w:color w:val="000000"/>
                <w:sz w:val="16"/>
                <w:szCs w:val="16"/>
              </w:rPr>
              <w:t>258</w:t>
            </w:r>
          </w:p>
        </w:tc>
        <w:tc>
          <w:tcPr>
            <w:tcW w:w="497" w:type="pct"/>
            <w:tcBorders>
              <w:top w:val="nil"/>
              <w:left w:val="nil"/>
              <w:bottom w:val="nil"/>
              <w:right w:val="nil"/>
            </w:tcBorders>
            <w:shd w:val="clear" w:color="000000" w:fill="E6F2FF"/>
            <w:noWrap/>
            <w:vAlign w:val="center"/>
            <w:hideMark/>
          </w:tcPr>
          <w:p w14:paraId="4DCA2D96" w14:textId="77777777" w:rsidR="00295832" w:rsidRPr="00295832" w:rsidRDefault="00295832" w:rsidP="00295832">
            <w:pPr>
              <w:spacing w:before="0" w:after="0" w:line="240" w:lineRule="auto"/>
              <w:jc w:val="right"/>
              <w:rPr>
                <w:rFonts w:ascii="Arial" w:hAnsi="Arial" w:cs="Arial"/>
                <w:color w:val="000000"/>
                <w:sz w:val="16"/>
                <w:szCs w:val="16"/>
              </w:rPr>
            </w:pPr>
            <w:r w:rsidRPr="00295832">
              <w:rPr>
                <w:rFonts w:ascii="Arial" w:hAnsi="Arial" w:cs="Arial"/>
                <w:color w:val="000000"/>
                <w:sz w:val="16"/>
                <w:szCs w:val="16"/>
              </w:rPr>
              <w:t>262</w:t>
            </w:r>
          </w:p>
        </w:tc>
        <w:tc>
          <w:tcPr>
            <w:tcW w:w="497" w:type="pct"/>
            <w:tcBorders>
              <w:top w:val="nil"/>
              <w:left w:val="nil"/>
              <w:bottom w:val="nil"/>
              <w:right w:val="nil"/>
            </w:tcBorders>
            <w:shd w:val="clear" w:color="000000" w:fill="FFFFFF"/>
            <w:noWrap/>
            <w:vAlign w:val="center"/>
            <w:hideMark/>
          </w:tcPr>
          <w:p w14:paraId="6043A5FD" w14:textId="77777777" w:rsidR="00295832" w:rsidRPr="00295832" w:rsidRDefault="00295832" w:rsidP="00295832">
            <w:pPr>
              <w:spacing w:before="0" w:after="0" w:line="240" w:lineRule="auto"/>
              <w:jc w:val="right"/>
              <w:rPr>
                <w:rFonts w:ascii="Arial" w:hAnsi="Arial" w:cs="Arial"/>
                <w:color w:val="000000"/>
                <w:sz w:val="16"/>
                <w:szCs w:val="16"/>
              </w:rPr>
            </w:pPr>
            <w:r w:rsidRPr="00295832">
              <w:rPr>
                <w:rFonts w:ascii="Arial" w:hAnsi="Arial" w:cs="Arial"/>
                <w:color w:val="000000"/>
                <w:sz w:val="16"/>
                <w:szCs w:val="16"/>
              </w:rPr>
              <w:t>268</w:t>
            </w:r>
          </w:p>
        </w:tc>
        <w:tc>
          <w:tcPr>
            <w:tcW w:w="497" w:type="pct"/>
            <w:tcBorders>
              <w:top w:val="nil"/>
              <w:left w:val="nil"/>
              <w:bottom w:val="nil"/>
              <w:right w:val="nil"/>
            </w:tcBorders>
            <w:shd w:val="clear" w:color="000000" w:fill="FFFFFF"/>
            <w:noWrap/>
            <w:vAlign w:val="center"/>
            <w:hideMark/>
          </w:tcPr>
          <w:p w14:paraId="1E43B43A" w14:textId="77777777" w:rsidR="00295832" w:rsidRPr="00295832" w:rsidRDefault="00295832" w:rsidP="00295832">
            <w:pPr>
              <w:spacing w:before="0" w:after="0" w:line="240" w:lineRule="auto"/>
              <w:jc w:val="right"/>
              <w:rPr>
                <w:rFonts w:ascii="Arial" w:hAnsi="Arial" w:cs="Arial"/>
                <w:color w:val="000000"/>
                <w:sz w:val="16"/>
                <w:szCs w:val="16"/>
              </w:rPr>
            </w:pPr>
            <w:r w:rsidRPr="00295832">
              <w:rPr>
                <w:rFonts w:ascii="Arial" w:hAnsi="Arial" w:cs="Arial"/>
                <w:color w:val="000000"/>
                <w:sz w:val="16"/>
                <w:szCs w:val="16"/>
              </w:rPr>
              <w:t>277</w:t>
            </w:r>
          </w:p>
        </w:tc>
        <w:tc>
          <w:tcPr>
            <w:tcW w:w="497" w:type="pct"/>
            <w:tcBorders>
              <w:top w:val="nil"/>
              <w:left w:val="nil"/>
              <w:bottom w:val="nil"/>
              <w:right w:val="nil"/>
            </w:tcBorders>
            <w:shd w:val="clear" w:color="000000" w:fill="FFFFFF"/>
            <w:noWrap/>
            <w:vAlign w:val="center"/>
            <w:hideMark/>
          </w:tcPr>
          <w:p w14:paraId="2665DC54" w14:textId="77777777" w:rsidR="00295832" w:rsidRPr="00295832" w:rsidRDefault="00295832" w:rsidP="00295832">
            <w:pPr>
              <w:spacing w:before="0" w:after="0" w:line="240" w:lineRule="auto"/>
              <w:jc w:val="right"/>
              <w:rPr>
                <w:rFonts w:ascii="Arial" w:hAnsi="Arial" w:cs="Arial"/>
                <w:color w:val="000000"/>
                <w:sz w:val="16"/>
                <w:szCs w:val="16"/>
              </w:rPr>
            </w:pPr>
            <w:r w:rsidRPr="00295832">
              <w:rPr>
                <w:rFonts w:ascii="Arial" w:hAnsi="Arial" w:cs="Arial"/>
                <w:color w:val="000000"/>
                <w:sz w:val="16"/>
                <w:szCs w:val="16"/>
              </w:rPr>
              <w:t>279</w:t>
            </w:r>
          </w:p>
        </w:tc>
      </w:tr>
      <w:tr w:rsidR="00295832" w:rsidRPr="00295832" w14:paraId="4DD339E1" w14:textId="77777777" w:rsidTr="00931C28">
        <w:trPr>
          <w:divId w:val="779882756"/>
          <w:trHeight w:hRule="exact" w:val="225"/>
        </w:trPr>
        <w:tc>
          <w:tcPr>
            <w:tcW w:w="1950" w:type="pct"/>
            <w:tcBorders>
              <w:top w:val="nil"/>
              <w:left w:val="nil"/>
              <w:bottom w:val="nil"/>
              <w:right w:val="nil"/>
            </w:tcBorders>
            <w:shd w:val="clear" w:color="000000" w:fill="FFFFFF"/>
            <w:noWrap/>
            <w:vAlign w:val="center"/>
            <w:hideMark/>
          </w:tcPr>
          <w:p w14:paraId="35DF91EF" w14:textId="77777777" w:rsidR="00295832" w:rsidRPr="00295832" w:rsidRDefault="00295832" w:rsidP="00931C28">
            <w:pPr>
              <w:spacing w:before="0" w:after="0" w:line="240" w:lineRule="auto"/>
              <w:ind w:left="170"/>
              <w:rPr>
                <w:rFonts w:ascii="Arial" w:hAnsi="Arial" w:cs="Arial"/>
                <w:color w:val="000000"/>
                <w:sz w:val="16"/>
                <w:szCs w:val="16"/>
              </w:rPr>
            </w:pPr>
            <w:r w:rsidRPr="00295832">
              <w:rPr>
                <w:rFonts w:ascii="Arial" w:hAnsi="Arial" w:cs="Arial"/>
                <w:color w:val="000000"/>
                <w:sz w:val="16"/>
                <w:szCs w:val="16"/>
              </w:rPr>
              <w:t>Fishing, horticulture and other</w:t>
            </w:r>
          </w:p>
        </w:tc>
        <w:tc>
          <w:tcPr>
            <w:tcW w:w="506" w:type="pct"/>
            <w:tcBorders>
              <w:top w:val="nil"/>
              <w:left w:val="nil"/>
              <w:bottom w:val="nil"/>
              <w:right w:val="nil"/>
            </w:tcBorders>
            <w:shd w:val="clear" w:color="000000" w:fill="FFFFFF"/>
            <w:noWrap/>
            <w:vAlign w:val="center"/>
            <w:hideMark/>
          </w:tcPr>
          <w:p w14:paraId="5CEE3BDD" w14:textId="77777777" w:rsidR="00295832" w:rsidRPr="00295832" w:rsidRDefault="00295832" w:rsidP="00295832">
            <w:pPr>
              <w:spacing w:before="0" w:after="0" w:line="240" w:lineRule="auto"/>
              <w:rPr>
                <w:rFonts w:ascii="Arial" w:hAnsi="Arial" w:cs="Arial"/>
                <w:color w:val="000000"/>
                <w:sz w:val="16"/>
                <w:szCs w:val="16"/>
              </w:rPr>
            </w:pPr>
            <w:r w:rsidRPr="00295832">
              <w:rPr>
                <w:rFonts w:ascii="Arial" w:hAnsi="Arial" w:cs="Arial"/>
                <w:color w:val="000000"/>
                <w:sz w:val="16"/>
                <w:szCs w:val="16"/>
              </w:rPr>
              <w:t> </w:t>
            </w:r>
          </w:p>
        </w:tc>
        <w:tc>
          <w:tcPr>
            <w:tcW w:w="56" w:type="pct"/>
            <w:tcBorders>
              <w:top w:val="nil"/>
              <w:left w:val="nil"/>
              <w:bottom w:val="nil"/>
              <w:right w:val="nil"/>
            </w:tcBorders>
            <w:shd w:val="clear" w:color="000000" w:fill="FFFFFF"/>
            <w:noWrap/>
            <w:vAlign w:val="center"/>
            <w:hideMark/>
          </w:tcPr>
          <w:p w14:paraId="3A7B7669" w14:textId="77777777" w:rsidR="00295832" w:rsidRPr="00295832" w:rsidRDefault="00295832" w:rsidP="00295832">
            <w:pPr>
              <w:spacing w:before="0" w:after="0" w:line="240" w:lineRule="auto"/>
              <w:rPr>
                <w:rFonts w:ascii="Arial" w:hAnsi="Arial" w:cs="Arial"/>
                <w:color w:val="000000"/>
                <w:sz w:val="16"/>
                <w:szCs w:val="16"/>
              </w:rPr>
            </w:pPr>
            <w:r w:rsidRPr="00295832">
              <w:rPr>
                <w:rFonts w:ascii="Arial" w:hAnsi="Arial" w:cs="Arial"/>
                <w:color w:val="000000"/>
                <w:sz w:val="16"/>
                <w:szCs w:val="16"/>
              </w:rPr>
              <w:t> </w:t>
            </w:r>
          </w:p>
        </w:tc>
        <w:tc>
          <w:tcPr>
            <w:tcW w:w="498" w:type="pct"/>
            <w:tcBorders>
              <w:top w:val="nil"/>
              <w:left w:val="nil"/>
              <w:bottom w:val="nil"/>
              <w:right w:val="nil"/>
            </w:tcBorders>
            <w:shd w:val="clear" w:color="000000" w:fill="FFFFFF"/>
            <w:noWrap/>
            <w:vAlign w:val="center"/>
            <w:hideMark/>
          </w:tcPr>
          <w:p w14:paraId="2D7A6DEA" w14:textId="77777777" w:rsidR="00295832" w:rsidRPr="00295832" w:rsidRDefault="00295832" w:rsidP="00295832">
            <w:pPr>
              <w:spacing w:before="0" w:after="0" w:line="240" w:lineRule="auto"/>
              <w:rPr>
                <w:rFonts w:ascii="Arial" w:hAnsi="Arial" w:cs="Arial"/>
                <w:color w:val="000000"/>
                <w:sz w:val="16"/>
                <w:szCs w:val="16"/>
              </w:rPr>
            </w:pPr>
            <w:r w:rsidRPr="00295832">
              <w:rPr>
                <w:rFonts w:ascii="Arial" w:hAnsi="Arial" w:cs="Arial"/>
                <w:color w:val="000000"/>
                <w:sz w:val="16"/>
                <w:szCs w:val="16"/>
              </w:rPr>
              <w:t> </w:t>
            </w:r>
          </w:p>
        </w:tc>
        <w:tc>
          <w:tcPr>
            <w:tcW w:w="497" w:type="pct"/>
            <w:tcBorders>
              <w:top w:val="nil"/>
              <w:left w:val="nil"/>
              <w:bottom w:val="nil"/>
              <w:right w:val="nil"/>
            </w:tcBorders>
            <w:shd w:val="clear" w:color="000000" w:fill="E6F2FF"/>
            <w:noWrap/>
            <w:vAlign w:val="center"/>
            <w:hideMark/>
          </w:tcPr>
          <w:p w14:paraId="4CD786B2" w14:textId="77777777" w:rsidR="00295832" w:rsidRPr="00295832" w:rsidRDefault="00295832" w:rsidP="00295832">
            <w:pPr>
              <w:spacing w:before="0" w:after="0" w:line="240" w:lineRule="auto"/>
              <w:rPr>
                <w:rFonts w:ascii="Arial" w:hAnsi="Arial" w:cs="Arial"/>
                <w:color w:val="000000"/>
                <w:sz w:val="16"/>
                <w:szCs w:val="16"/>
              </w:rPr>
            </w:pPr>
            <w:r w:rsidRPr="00295832">
              <w:rPr>
                <w:rFonts w:ascii="Arial" w:hAnsi="Arial" w:cs="Arial"/>
                <w:color w:val="000000"/>
                <w:sz w:val="16"/>
                <w:szCs w:val="16"/>
              </w:rPr>
              <w:t> </w:t>
            </w:r>
          </w:p>
        </w:tc>
        <w:tc>
          <w:tcPr>
            <w:tcW w:w="497" w:type="pct"/>
            <w:tcBorders>
              <w:top w:val="nil"/>
              <w:left w:val="nil"/>
              <w:bottom w:val="nil"/>
              <w:right w:val="nil"/>
            </w:tcBorders>
            <w:shd w:val="clear" w:color="000000" w:fill="FFFFFF"/>
            <w:noWrap/>
            <w:vAlign w:val="center"/>
            <w:hideMark/>
          </w:tcPr>
          <w:p w14:paraId="03572898" w14:textId="77777777" w:rsidR="00295832" w:rsidRPr="00295832" w:rsidRDefault="00295832" w:rsidP="00295832">
            <w:pPr>
              <w:spacing w:before="0" w:after="0" w:line="240" w:lineRule="auto"/>
              <w:rPr>
                <w:rFonts w:ascii="Arial" w:hAnsi="Arial" w:cs="Arial"/>
                <w:color w:val="000000"/>
                <w:sz w:val="16"/>
                <w:szCs w:val="16"/>
              </w:rPr>
            </w:pPr>
            <w:r w:rsidRPr="00295832">
              <w:rPr>
                <w:rFonts w:ascii="Arial" w:hAnsi="Arial" w:cs="Arial"/>
                <w:color w:val="000000"/>
                <w:sz w:val="16"/>
                <w:szCs w:val="16"/>
              </w:rPr>
              <w:t> </w:t>
            </w:r>
          </w:p>
        </w:tc>
        <w:tc>
          <w:tcPr>
            <w:tcW w:w="497" w:type="pct"/>
            <w:tcBorders>
              <w:top w:val="nil"/>
              <w:left w:val="nil"/>
              <w:bottom w:val="nil"/>
              <w:right w:val="nil"/>
            </w:tcBorders>
            <w:shd w:val="clear" w:color="000000" w:fill="FFFFFF"/>
            <w:noWrap/>
            <w:vAlign w:val="center"/>
            <w:hideMark/>
          </w:tcPr>
          <w:p w14:paraId="41BCFF19" w14:textId="77777777" w:rsidR="00295832" w:rsidRPr="00295832" w:rsidRDefault="00295832" w:rsidP="00295832">
            <w:pPr>
              <w:spacing w:before="0" w:after="0" w:line="240" w:lineRule="auto"/>
              <w:rPr>
                <w:rFonts w:ascii="Arial" w:hAnsi="Arial" w:cs="Arial"/>
                <w:color w:val="000000"/>
                <w:sz w:val="16"/>
                <w:szCs w:val="16"/>
              </w:rPr>
            </w:pPr>
            <w:r w:rsidRPr="00295832">
              <w:rPr>
                <w:rFonts w:ascii="Arial" w:hAnsi="Arial" w:cs="Arial"/>
                <w:color w:val="000000"/>
                <w:sz w:val="16"/>
                <w:szCs w:val="16"/>
              </w:rPr>
              <w:t> </w:t>
            </w:r>
          </w:p>
        </w:tc>
        <w:tc>
          <w:tcPr>
            <w:tcW w:w="497" w:type="pct"/>
            <w:tcBorders>
              <w:top w:val="nil"/>
              <w:left w:val="nil"/>
              <w:bottom w:val="nil"/>
              <w:right w:val="nil"/>
            </w:tcBorders>
            <w:shd w:val="clear" w:color="000000" w:fill="FFFFFF"/>
            <w:noWrap/>
            <w:vAlign w:val="center"/>
            <w:hideMark/>
          </w:tcPr>
          <w:p w14:paraId="0A933E8C" w14:textId="77777777" w:rsidR="00295832" w:rsidRPr="00295832" w:rsidRDefault="00295832" w:rsidP="00295832">
            <w:pPr>
              <w:spacing w:before="0" w:after="0" w:line="240" w:lineRule="auto"/>
              <w:rPr>
                <w:rFonts w:ascii="Arial" w:hAnsi="Arial" w:cs="Arial"/>
                <w:color w:val="000000"/>
                <w:sz w:val="16"/>
                <w:szCs w:val="16"/>
              </w:rPr>
            </w:pPr>
            <w:r w:rsidRPr="00295832">
              <w:rPr>
                <w:rFonts w:ascii="Arial" w:hAnsi="Arial" w:cs="Arial"/>
                <w:color w:val="000000"/>
                <w:sz w:val="16"/>
                <w:szCs w:val="16"/>
              </w:rPr>
              <w:t> </w:t>
            </w:r>
          </w:p>
        </w:tc>
      </w:tr>
      <w:tr w:rsidR="00295832" w:rsidRPr="00295832" w14:paraId="307A6B09" w14:textId="77777777" w:rsidTr="00931C28">
        <w:trPr>
          <w:divId w:val="779882756"/>
          <w:trHeight w:hRule="exact" w:val="225"/>
        </w:trPr>
        <w:tc>
          <w:tcPr>
            <w:tcW w:w="1950" w:type="pct"/>
            <w:tcBorders>
              <w:top w:val="nil"/>
              <w:left w:val="nil"/>
              <w:bottom w:val="nil"/>
              <w:right w:val="nil"/>
            </w:tcBorders>
            <w:shd w:val="clear" w:color="000000" w:fill="FFFFFF"/>
            <w:noWrap/>
            <w:vAlign w:val="center"/>
            <w:hideMark/>
          </w:tcPr>
          <w:p w14:paraId="3B604F58" w14:textId="77777777" w:rsidR="00295832" w:rsidRPr="00295832" w:rsidRDefault="00295832" w:rsidP="00931C28">
            <w:pPr>
              <w:spacing w:before="0" w:after="0" w:line="240" w:lineRule="auto"/>
              <w:ind w:left="340"/>
              <w:rPr>
                <w:rFonts w:ascii="Arial" w:hAnsi="Arial" w:cs="Arial"/>
                <w:color w:val="000000"/>
                <w:sz w:val="16"/>
                <w:szCs w:val="16"/>
              </w:rPr>
            </w:pPr>
            <w:r w:rsidRPr="00295832">
              <w:rPr>
                <w:rFonts w:ascii="Arial" w:hAnsi="Arial" w:cs="Arial"/>
                <w:color w:val="000000"/>
                <w:sz w:val="16"/>
                <w:szCs w:val="16"/>
              </w:rPr>
              <w:t>agriculture</w:t>
            </w:r>
          </w:p>
        </w:tc>
        <w:tc>
          <w:tcPr>
            <w:tcW w:w="506" w:type="pct"/>
            <w:tcBorders>
              <w:top w:val="nil"/>
              <w:left w:val="nil"/>
              <w:bottom w:val="nil"/>
              <w:right w:val="nil"/>
            </w:tcBorders>
            <w:shd w:val="clear" w:color="000000" w:fill="FFFFFF"/>
            <w:noWrap/>
            <w:vAlign w:val="center"/>
            <w:hideMark/>
          </w:tcPr>
          <w:p w14:paraId="78D0BE4E" w14:textId="77777777" w:rsidR="00295832" w:rsidRPr="00295832" w:rsidRDefault="00295832" w:rsidP="00295832">
            <w:pPr>
              <w:spacing w:before="0" w:after="0" w:line="240" w:lineRule="auto"/>
              <w:jc w:val="right"/>
              <w:rPr>
                <w:rFonts w:ascii="Arial" w:hAnsi="Arial" w:cs="Arial"/>
                <w:color w:val="000000"/>
                <w:sz w:val="16"/>
                <w:szCs w:val="16"/>
              </w:rPr>
            </w:pPr>
            <w:r w:rsidRPr="00295832">
              <w:rPr>
                <w:rFonts w:ascii="Arial" w:hAnsi="Arial" w:cs="Arial"/>
                <w:color w:val="000000"/>
                <w:sz w:val="16"/>
                <w:szCs w:val="16"/>
              </w:rPr>
              <w:t>463</w:t>
            </w:r>
          </w:p>
        </w:tc>
        <w:tc>
          <w:tcPr>
            <w:tcW w:w="56" w:type="pct"/>
            <w:tcBorders>
              <w:top w:val="nil"/>
              <w:left w:val="nil"/>
              <w:bottom w:val="nil"/>
              <w:right w:val="nil"/>
            </w:tcBorders>
            <w:shd w:val="clear" w:color="000000" w:fill="FFFFFF"/>
            <w:noWrap/>
            <w:vAlign w:val="center"/>
            <w:hideMark/>
          </w:tcPr>
          <w:p w14:paraId="7B21A048" w14:textId="77777777" w:rsidR="00295832" w:rsidRPr="00295832" w:rsidRDefault="00295832" w:rsidP="00295832">
            <w:pPr>
              <w:spacing w:before="0" w:after="0" w:line="240" w:lineRule="auto"/>
              <w:rPr>
                <w:rFonts w:ascii="Arial" w:hAnsi="Arial" w:cs="Arial"/>
                <w:color w:val="000000"/>
                <w:sz w:val="16"/>
                <w:szCs w:val="16"/>
              </w:rPr>
            </w:pPr>
            <w:r w:rsidRPr="00295832">
              <w:rPr>
                <w:rFonts w:ascii="Arial" w:hAnsi="Arial" w:cs="Arial"/>
                <w:color w:val="000000"/>
                <w:sz w:val="16"/>
                <w:szCs w:val="16"/>
              </w:rPr>
              <w:t> </w:t>
            </w:r>
          </w:p>
        </w:tc>
        <w:tc>
          <w:tcPr>
            <w:tcW w:w="498" w:type="pct"/>
            <w:tcBorders>
              <w:top w:val="nil"/>
              <w:left w:val="nil"/>
              <w:bottom w:val="nil"/>
              <w:right w:val="nil"/>
            </w:tcBorders>
            <w:shd w:val="clear" w:color="000000" w:fill="FFFFFF"/>
            <w:noWrap/>
            <w:vAlign w:val="center"/>
            <w:hideMark/>
          </w:tcPr>
          <w:p w14:paraId="540EE45D" w14:textId="77777777" w:rsidR="00295832" w:rsidRPr="00295832" w:rsidRDefault="00295832" w:rsidP="00295832">
            <w:pPr>
              <w:spacing w:before="0" w:after="0" w:line="240" w:lineRule="auto"/>
              <w:jc w:val="right"/>
              <w:rPr>
                <w:rFonts w:ascii="Arial" w:hAnsi="Arial" w:cs="Arial"/>
                <w:color w:val="000000"/>
                <w:sz w:val="16"/>
                <w:szCs w:val="16"/>
              </w:rPr>
            </w:pPr>
            <w:r w:rsidRPr="00295832">
              <w:rPr>
                <w:rFonts w:ascii="Arial" w:hAnsi="Arial" w:cs="Arial"/>
                <w:color w:val="000000"/>
                <w:sz w:val="16"/>
                <w:szCs w:val="16"/>
              </w:rPr>
              <w:t>508</w:t>
            </w:r>
          </w:p>
        </w:tc>
        <w:tc>
          <w:tcPr>
            <w:tcW w:w="497" w:type="pct"/>
            <w:tcBorders>
              <w:top w:val="nil"/>
              <w:left w:val="nil"/>
              <w:bottom w:val="nil"/>
              <w:right w:val="nil"/>
            </w:tcBorders>
            <w:shd w:val="clear" w:color="000000" w:fill="E6F2FF"/>
            <w:noWrap/>
            <w:vAlign w:val="center"/>
            <w:hideMark/>
          </w:tcPr>
          <w:p w14:paraId="5A5BA783" w14:textId="77777777" w:rsidR="00295832" w:rsidRPr="00295832" w:rsidRDefault="00295832" w:rsidP="00295832">
            <w:pPr>
              <w:spacing w:before="0" w:after="0" w:line="240" w:lineRule="auto"/>
              <w:jc w:val="right"/>
              <w:rPr>
                <w:rFonts w:ascii="Arial" w:hAnsi="Arial" w:cs="Arial"/>
                <w:color w:val="000000"/>
                <w:sz w:val="16"/>
                <w:szCs w:val="16"/>
              </w:rPr>
            </w:pPr>
            <w:r w:rsidRPr="00295832">
              <w:rPr>
                <w:rFonts w:ascii="Arial" w:hAnsi="Arial" w:cs="Arial"/>
                <w:color w:val="000000"/>
                <w:sz w:val="16"/>
                <w:szCs w:val="16"/>
              </w:rPr>
              <w:t>503</w:t>
            </w:r>
          </w:p>
        </w:tc>
        <w:tc>
          <w:tcPr>
            <w:tcW w:w="497" w:type="pct"/>
            <w:tcBorders>
              <w:top w:val="nil"/>
              <w:left w:val="nil"/>
              <w:bottom w:val="nil"/>
              <w:right w:val="nil"/>
            </w:tcBorders>
            <w:shd w:val="clear" w:color="000000" w:fill="FFFFFF"/>
            <w:noWrap/>
            <w:vAlign w:val="center"/>
            <w:hideMark/>
          </w:tcPr>
          <w:p w14:paraId="093643BB" w14:textId="77777777" w:rsidR="00295832" w:rsidRPr="00295832" w:rsidRDefault="00295832" w:rsidP="00295832">
            <w:pPr>
              <w:spacing w:before="0" w:after="0" w:line="240" w:lineRule="auto"/>
              <w:jc w:val="right"/>
              <w:rPr>
                <w:rFonts w:ascii="Arial" w:hAnsi="Arial" w:cs="Arial"/>
                <w:color w:val="000000"/>
                <w:sz w:val="16"/>
                <w:szCs w:val="16"/>
              </w:rPr>
            </w:pPr>
            <w:r w:rsidRPr="00295832">
              <w:rPr>
                <w:rFonts w:ascii="Arial" w:hAnsi="Arial" w:cs="Arial"/>
                <w:color w:val="000000"/>
                <w:sz w:val="16"/>
                <w:szCs w:val="16"/>
              </w:rPr>
              <w:t>443</w:t>
            </w:r>
          </w:p>
        </w:tc>
        <w:tc>
          <w:tcPr>
            <w:tcW w:w="497" w:type="pct"/>
            <w:tcBorders>
              <w:top w:val="nil"/>
              <w:left w:val="nil"/>
              <w:bottom w:val="nil"/>
              <w:right w:val="nil"/>
            </w:tcBorders>
            <w:shd w:val="clear" w:color="000000" w:fill="FFFFFF"/>
            <w:noWrap/>
            <w:vAlign w:val="center"/>
            <w:hideMark/>
          </w:tcPr>
          <w:p w14:paraId="01D10912" w14:textId="77777777" w:rsidR="00295832" w:rsidRPr="00295832" w:rsidRDefault="00295832" w:rsidP="00295832">
            <w:pPr>
              <w:spacing w:before="0" w:after="0" w:line="240" w:lineRule="auto"/>
              <w:jc w:val="right"/>
              <w:rPr>
                <w:rFonts w:ascii="Arial" w:hAnsi="Arial" w:cs="Arial"/>
                <w:color w:val="000000"/>
                <w:sz w:val="16"/>
                <w:szCs w:val="16"/>
              </w:rPr>
            </w:pPr>
            <w:r w:rsidRPr="00295832">
              <w:rPr>
                <w:rFonts w:ascii="Arial" w:hAnsi="Arial" w:cs="Arial"/>
                <w:color w:val="000000"/>
                <w:sz w:val="16"/>
                <w:szCs w:val="16"/>
              </w:rPr>
              <w:t>429</w:t>
            </w:r>
          </w:p>
        </w:tc>
        <w:tc>
          <w:tcPr>
            <w:tcW w:w="497" w:type="pct"/>
            <w:tcBorders>
              <w:top w:val="nil"/>
              <w:left w:val="nil"/>
              <w:bottom w:val="nil"/>
              <w:right w:val="nil"/>
            </w:tcBorders>
            <w:shd w:val="clear" w:color="000000" w:fill="FFFFFF"/>
            <w:noWrap/>
            <w:vAlign w:val="center"/>
            <w:hideMark/>
          </w:tcPr>
          <w:p w14:paraId="4B55AA7D" w14:textId="77777777" w:rsidR="00295832" w:rsidRPr="00295832" w:rsidRDefault="00295832" w:rsidP="00295832">
            <w:pPr>
              <w:spacing w:before="0" w:after="0" w:line="240" w:lineRule="auto"/>
              <w:jc w:val="right"/>
              <w:rPr>
                <w:rFonts w:ascii="Arial" w:hAnsi="Arial" w:cs="Arial"/>
                <w:color w:val="000000"/>
                <w:sz w:val="16"/>
                <w:szCs w:val="16"/>
              </w:rPr>
            </w:pPr>
            <w:r w:rsidRPr="00295832">
              <w:rPr>
                <w:rFonts w:ascii="Arial" w:hAnsi="Arial" w:cs="Arial"/>
                <w:color w:val="000000"/>
                <w:sz w:val="16"/>
                <w:szCs w:val="16"/>
              </w:rPr>
              <w:t>388</w:t>
            </w:r>
          </w:p>
        </w:tc>
      </w:tr>
      <w:tr w:rsidR="00295832" w:rsidRPr="00295832" w14:paraId="2CBD0F1B" w14:textId="77777777" w:rsidTr="00931C28">
        <w:trPr>
          <w:divId w:val="779882756"/>
          <w:trHeight w:hRule="exact" w:val="225"/>
        </w:trPr>
        <w:tc>
          <w:tcPr>
            <w:tcW w:w="1950" w:type="pct"/>
            <w:tcBorders>
              <w:top w:val="nil"/>
              <w:left w:val="nil"/>
              <w:bottom w:val="nil"/>
              <w:right w:val="nil"/>
            </w:tcBorders>
            <w:shd w:val="clear" w:color="000000" w:fill="FFFFFF"/>
            <w:noWrap/>
            <w:vAlign w:val="center"/>
            <w:hideMark/>
          </w:tcPr>
          <w:p w14:paraId="6368F8C8" w14:textId="77777777" w:rsidR="00295832" w:rsidRPr="00295832" w:rsidRDefault="00295832" w:rsidP="00931C28">
            <w:pPr>
              <w:spacing w:before="0" w:after="0" w:line="240" w:lineRule="auto"/>
              <w:ind w:left="170"/>
              <w:rPr>
                <w:rFonts w:ascii="Arial" w:hAnsi="Arial" w:cs="Arial"/>
                <w:color w:val="000000"/>
                <w:sz w:val="16"/>
                <w:szCs w:val="16"/>
              </w:rPr>
            </w:pPr>
            <w:r w:rsidRPr="00295832">
              <w:rPr>
                <w:rFonts w:ascii="Arial" w:hAnsi="Arial" w:cs="Arial"/>
                <w:color w:val="000000"/>
                <w:sz w:val="16"/>
                <w:szCs w:val="16"/>
              </w:rPr>
              <w:t xml:space="preserve">General assistance not allocated </w:t>
            </w:r>
          </w:p>
        </w:tc>
        <w:tc>
          <w:tcPr>
            <w:tcW w:w="506" w:type="pct"/>
            <w:tcBorders>
              <w:top w:val="nil"/>
              <w:left w:val="nil"/>
              <w:bottom w:val="nil"/>
              <w:right w:val="nil"/>
            </w:tcBorders>
            <w:shd w:val="clear" w:color="000000" w:fill="FFFFFF"/>
            <w:noWrap/>
            <w:vAlign w:val="center"/>
            <w:hideMark/>
          </w:tcPr>
          <w:p w14:paraId="4D1CF98E" w14:textId="77777777" w:rsidR="00295832" w:rsidRPr="00295832" w:rsidRDefault="00295832" w:rsidP="00295832">
            <w:pPr>
              <w:spacing w:before="0" w:after="0" w:line="240" w:lineRule="auto"/>
              <w:rPr>
                <w:rFonts w:ascii="Arial" w:hAnsi="Arial" w:cs="Arial"/>
                <w:color w:val="000000"/>
                <w:sz w:val="16"/>
                <w:szCs w:val="16"/>
              </w:rPr>
            </w:pPr>
            <w:r w:rsidRPr="00295832">
              <w:rPr>
                <w:rFonts w:ascii="Arial" w:hAnsi="Arial" w:cs="Arial"/>
                <w:color w:val="000000"/>
                <w:sz w:val="16"/>
                <w:szCs w:val="16"/>
              </w:rPr>
              <w:t> </w:t>
            </w:r>
          </w:p>
        </w:tc>
        <w:tc>
          <w:tcPr>
            <w:tcW w:w="56" w:type="pct"/>
            <w:tcBorders>
              <w:top w:val="nil"/>
              <w:left w:val="nil"/>
              <w:bottom w:val="nil"/>
              <w:right w:val="nil"/>
            </w:tcBorders>
            <w:shd w:val="clear" w:color="000000" w:fill="FFFFFF"/>
            <w:noWrap/>
            <w:vAlign w:val="center"/>
            <w:hideMark/>
          </w:tcPr>
          <w:p w14:paraId="6B9EA1D0" w14:textId="77777777" w:rsidR="00295832" w:rsidRPr="00295832" w:rsidRDefault="00295832" w:rsidP="00295832">
            <w:pPr>
              <w:spacing w:before="0" w:after="0" w:line="240" w:lineRule="auto"/>
              <w:rPr>
                <w:rFonts w:ascii="Arial" w:hAnsi="Arial" w:cs="Arial"/>
                <w:color w:val="000000"/>
                <w:sz w:val="16"/>
                <w:szCs w:val="16"/>
              </w:rPr>
            </w:pPr>
            <w:r w:rsidRPr="00295832">
              <w:rPr>
                <w:rFonts w:ascii="Arial" w:hAnsi="Arial" w:cs="Arial"/>
                <w:color w:val="000000"/>
                <w:sz w:val="16"/>
                <w:szCs w:val="16"/>
              </w:rPr>
              <w:t> </w:t>
            </w:r>
          </w:p>
        </w:tc>
        <w:tc>
          <w:tcPr>
            <w:tcW w:w="498" w:type="pct"/>
            <w:tcBorders>
              <w:top w:val="nil"/>
              <w:left w:val="nil"/>
              <w:bottom w:val="nil"/>
              <w:right w:val="nil"/>
            </w:tcBorders>
            <w:shd w:val="clear" w:color="000000" w:fill="FFFFFF"/>
            <w:noWrap/>
            <w:vAlign w:val="center"/>
            <w:hideMark/>
          </w:tcPr>
          <w:p w14:paraId="3FB2919D" w14:textId="77777777" w:rsidR="00295832" w:rsidRPr="00295832" w:rsidRDefault="00295832" w:rsidP="00295832">
            <w:pPr>
              <w:spacing w:before="0" w:after="0" w:line="240" w:lineRule="auto"/>
              <w:rPr>
                <w:rFonts w:ascii="Arial" w:hAnsi="Arial" w:cs="Arial"/>
                <w:color w:val="000000"/>
                <w:sz w:val="16"/>
                <w:szCs w:val="16"/>
              </w:rPr>
            </w:pPr>
            <w:r w:rsidRPr="00295832">
              <w:rPr>
                <w:rFonts w:ascii="Arial" w:hAnsi="Arial" w:cs="Arial"/>
                <w:color w:val="000000"/>
                <w:sz w:val="16"/>
                <w:szCs w:val="16"/>
              </w:rPr>
              <w:t> </w:t>
            </w:r>
          </w:p>
        </w:tc>
        <w:tc>
          <w:tcPr>
            <w:tcW w:w="497" w:type="pct"/>
            <w:tcBorders>
              <w:top w:val="nil"/>
              <w:left w:val="nil"/>
              <w:bottom w:val="nil"/>
              <w:right w:val="nil"/>
            </w:tcBorders>
            <w:shd w:val="clear" w:color="000000" w:fill="E6F2FF"/>
            <w:noWrap/>
            <w:vAlign w:val="center"/>
            <w:hideMark/>
          </w:tcPr>
          <w:p w14:paraId="408900FD" w14:textId="77777777" w:rsidR="00295832" w:rsidRPr="00295832" w:rsidRDefault="00295832" w:rsidP="00295832">
            <w:pPr>
              <w:spacing w:before="0" w:after="0" w:line="240" w:lineRule="auto"/>
              <w:rPr>
                <w:rFonts w:ascii="Arial" w:hAnsi="Arial" w:cs="Arial"/>
                <w:color w:val="000000"/>
                <w:sz w:val="16"/>
                <w:szCs w:val="16"/>
              </w:rPr>
            </w:pPr>
            <w:r w:rsidRPr="00295832">
              <w:rPr>
                <w:rFonts w:ascii="Arial" w:hAnsi="Arial" w:cs="Arial"/>
                <w:color w:val="000000"/>
                <w:sz w:val="16"/>
                <w:szCs w:val="16"/>
              </w:rPr>
              <w:t> </w:t>
            </w:r>
          </w:p>
        </w:tc>
        <w:tc>
          <w:tcPr>
            <w:tcW w:w="497" w:type="pct"/>
            <w:tcBorders>
              <w:top w:val="nil"/>
              <w:left w:val="nil"/>
              <w:bottom w:val="nil"/>
              <w:right w:val="nil"/>
            </w:tcBorders>
            <w:shd w:val="clear" w:color="000000" w:fill="FFFFFF"/>
            <w:noWrap/>
            <w:vAlign w:val="center"/>
            <w:hideMark/>
          </w:tcPr>
          <w:p w14:paraId="62F7B24A" w14:textId="77777777" w:rsidR="00295832" w:rsidRPr="00295832" w:rsidRDefault="00295832" w:rsidP="00295832">
            <w:pPr>
              <w:spacing w:before="0" w:after="0" w:line="240" w:lineRule="auto"/>
              <w:rPr>
                <w:rFonts w:ascii="Arial" w:hAnsi="Arial" w:cs="Arial"/>
                <w:color w:val="000000"/>
                <w:sz w:val="16"/>
                <w:szCs w:val="16"/>
              </w:rPr>
            </w:pPr>
            <w:r w:rsidRPr="00295832">
              <w:rPr>
                <w:rFonts w:ascii="Arial" w:hAnsi="Arial" w:cs="Arial"/>
                <w:color w:val="000000"/>
                <w:sz w:val="16"/>
                <w:szCs w:val="16"/>
              </w:rPr>
              <w:t> </w:t>
            </w:r>
          </w:p>
        </w:tc>
        <w:tc>
          <w:tcPr>
            <w:tcW w:w="497" w:type="pct"/>
            <w:tcBorders>
              <w:top w:val="nil"/>
              <w:left w:val="nil"/>
              <w:bottom w:val="nil"/>
              <w:right w:val="nil"/>
            </w:tcBorders>
            <w:shd w:val="clear" w:color="000000" w:fill="FFFFFF"/>
            <w:noWrap/>
            <w:vAlign w:val="center"/>
            <w:hideMark/>
          </w:tcPr>
          <w:p w14:paraId="537FAC8E" w14:textId="77777777" w:rsidR="00295832" w:rsidRPr="00295832" w:rsidRDefault="00295832" w:rsidP="00295832">
            <w:pPr>
              <w:spacing w:before="0" w:after="0" w:line="240" w:lineRule="auto"/>
              <w:rPr>
                <w:rFonts w:ascii="Arial" w:hAnsi="Arial" w:cs="Arial"/>
                <w:color w:val="000000"/>
                <w:sz w:val="16"/>
                <w:szCs w:val="16"/>
              </w:rPr>
            </w:pPr>
            <w:r w:rsidRPr="00295832">
              <w:rPr>
                <w:rFonts w:ascii="Arial" w:hAnsi="Arial" w:cs="Arial"/>
                <w:color w:val="000000"/>
                <w:sz w:val="16"/>
                <w:szCs w:val="16"/>
              </w:rPr>
              <w:t> </w:t>
            </w:r>
          </w:p>
        </w:tc>
        <w:tc>
          <w:tcPr>
            <w:tcW w:w="497" w:type="pct"/>
            <w:tcBorders>
              <w:top w:val="nil"/>
              <w:left w:val="nil"/>
              <w:bottom w:val="nil"/>
              <w:right w:val="nil"/>
            </w:tcBorders>
            <w:shd w:val="clear" w:color="000000" w:fill="FFFFFF"/>
            <w:noWrap/>
            <w:vAlign w:val="center"/>
            <w:hideMark/>
          </w:tcPr>
          <w:p w14:paraId="640B9E19" w14:textId="77777777" w:rsidR="00295832" w:rsidRPr="00295832" w:rsidRDefault="00295832" w:rsidP="00295832">
            <w:pPr>
              <w:spacing w:before="0" w:after="0" w:line="240" w:lineRule="auto"/>
              <w:rPr>
                <w:rFonts w:ascii="Arial" w:hAnsi="Arial" w:cs="Arial"/>
                <w:color w:val="000000"/>
                <w:sz w:val="16"/>
                <w:szCs w:val="16"/>
              </w:rPr>
            </w:pPr>
            <w:r w:rsidRPr="00295832">
              <w:rPr>
                <w:rFonts w:ascii="Arial" w:hAnsi="Arial" w:cs="Arial"/>
                <w:color w:val="000000"/>
                <w:sz w:val="16"/>
                <w:szCs w:val="16"/>
              </w:rPr>
              <w:t> </w:t>
            </w:r>
          </w:p>
        </w:tc>
      </w:tr>
      <w:tr w:rsidR="00295832" w:rsidRPr="00295832" w14:paraId="2B7314B3" w14:textId="77777777" w:rsidTr="00931C28">
        <w:trPr>
          <w:divId w:val="779882756"/>
          <w:trHeight w:hRule="exact" w:val="225"/>
        </w:trPr>
        <w:tc>
          <w:tcPr>
            <w:tcW w:w="1950" w:type="pct"/>
            <w:tcBorders>
              <w:top w:val="nil"/>
              <w:left w:val="nil"/>
              <w:bottom w:val="nil"/>
              <w:right w:val="nil"/>
            </w:tcBorders>
            <w:shd w:val="clear" w:color="000000" w:fill="FFFFFF"/>
            <w:noWrap/>
            <w:vAlign w:val="center"/>
            <w:hideMark/>
          </w:tcPr>
          <w:p w14:paraId="6BF95978" w14:textId="77777777" w:rsidR="00295832" w:rsidRPr="00295832" w:rsidRDefault="00295832" w:rsidP="00931C28">
            <w:pPr>
              <w:spacing w:before="0" w:after="0" w:line="240" w:lineRule="auto"/>
              <w:ind w:left="340"/>
              <w:rPr>
                <w:rFonts w:ascii="Arial" w:hAnsi="Arial" w:cs="Arial"/>
                <w:color w:val="000000"/>
                <w:sz w:val="16"/>
                <w:szCs w:val="16"/>
              </w:rPr>
            </w:pPr>
            <w:r w:rsidRPr="00295832">
              <w:rPr>
                <w:rFonts w:ascii="Arial" w:hAnsi="Arial" w:cs="Arial"/>
                <w:color w:val="000000"/>
                <w:sz w:val="16"/>
                <w:szCs w:val="16"/>
              </w:rPr>
              <w:t>to specific industries</w:t>
            </w:r>
          </w:p>
        </w:tc>
        <w:tc>
          <w:tcPr>
            <w:tcW w:w="506" w:type="pct"/>
            <w:tcBorders>
              <w:top w:val="nil"/>
              <w:left w:val="nil"/>
              <w:bottom w:val="nil"/>
              <w:right w:val="nil"/>
            </w:tcBorders>
            <w:shd w:val="clear" w:color="000000" w:fill="FFFFFF"/>
            <w:noWrap/>
            <w:vAlign w:val="center"/>
            <w:hideMark/>
          </w:tcPr>
          <w:p w14:paraId="57EA488E" w14:textId="77777777" w:rsidR="00295832" w:rsidRPr="00295832" w:rsidRDefault="00295832" w:rsidP="00295832">
            <w:pPr>
              <w:spacing w:before="0" w:after="0" w:line="240" w:lineRule="auto"/>
              <w:jc w:val="right"/>
              <w:rPr>
                <w:rFonts w:ascii="Arial" w:hAnsi="Arial" w:cs="Arial"/>
                <w:color w:val="000000"/>
                <w:sz w:val="16"/>
                <w:szCs w:val="16"/>
              </w:rPr>
            </w:pPr>
            <w:r w:rsidRPr="00295832">
              <w:rPr>
                <w:rFonts w:ascii="Arial" w:hAnsi="Arial" w:cs="Arial"/>
                <w:color w:val="000000"/>
                <w:sz w:val="16"/>
                <w:szCs w:val="16"/>
              </w:rPr>
              <w:t>41</w:t>
            </w:r>
          </w:p>
        </w:tc>
        <w:tc>
          <w:tcPr>
            <w:tcW w:w="56" w:type="pct"/>
            <w:tcBorders>
              <w:top w:val="nil"/>
              <w:left w:val="nil"/>
              <w:bottom w:val="nil"/>
              <w:right w:val="nil"/>
            </w:tcBorders>
            <w:shd w:val="clear" w:color="000000" w:fill="FFFFFF"/>
            <w:noWrap/>
            <w:vAlign w:val="center"/>
            <w:hideMark/>
          </w:tcPr>
          <w:p w14:paraId="51EE4215" w14:textId="77777777" w:rsidR="00295832" w:rsidRPr="00295832" w:rsidRDefault="00295832" w:rsidP="00295832">
            <w:pPr>
              <w:spacing w:before="0" w:after="0" w:line="240" w:lineRule="auto"/>
              <w:rPr>
                <w:rFonts w:ascii="Arial" w:hAnsi="Arial" w:cs="Arial"/>
                <w:color w:val="000000"/>
                <w:sz w:val="16"/>
                <w:szCs w:val="16"/>
              </w:rPr>
            </w:pPr>
            <w:r w:rsidRPr="00295832">
              <w:rPr>
                <w:rFonts w:ascii="Arial" w:hAnsi="Arial" w:cs="Arial"/>
                <w:color w:val="000000"/>
                <w:sz w:val="16"/>
                <w:szCs w:val="16"/>
              </w:rPr>
              <w:t> </w:t>
            </w:r>
          </w:p>
        </w:tc>
        <w:tc>
          <w:tcPr>
            <w:tcW w:w="498" w:type="pct"/>
            <w:tcBorders>
              <w:top w:val="nil"/>
              <w:left w:val="nil"/>
              <w:bottom w:val="nil"/>
              <w:right w:val="nil"/>
            </w:tcBorders>
            <w:shd w:val="clear" w:color="000000" w:fill="FFFFFF"/>
            <w:noWrap/>
            <w:vAlign w:val="center"/>
            <w:hideMark/>
          </w:tcPr>
          <w:p w14:paraId="3C69F8F2" w14:textId="77777777" w:rsidR="00295832" w:rsidRPr="00295832" w:rsidRDefault="00295832" w:rsidP="00295832">
            <w:pPr>
              <w:spacing w:before="0" w:after="0" w:line="240" w:lineRule="auto"/>
              <w:jc w:val="right"/>
              <w:rPr>
                <w:rFonts w:ascii="Arial" w:hAnsi="Arial" w:cs="Arial"/>
                <w:color w:val="000000"/>
                <w:sz w:val="16"/>
                <w:szCs w:val="16"/>
              </w:rPr>
            </w:pPr>
            <w:r w:rsidRPr="00295832">
              <w:rPr>
                <w:rFonts w:ascii="Arial" w:hAnsi="Arial" w:cs="Arial"/>
                <w:color w:val="000000"/>
                <w:sz w:val="16"/>
                <w:szCs w:val="16"/>
              </w:rPr>
              <w:t>45</w:t>
            </w:r>
          </w:p>
        </w:tc>
        <w:tc>
          <w:tcPr>
            <w:tcW w:w="497" w:type="pct"/>
            <w:tcBorders>
              <w:top w:val="nil"/>
              <w:left w:val="nil"/>
              <w:bottom w:val="nil"/>
              <w:right w:val="nil"/>
            </w:tcBorders>
            <w:shd w:val="clear" w:color="000000" w:fill="E6F2FF"/>
            <w:noWrap/>
            <w:vAlign w:val="center"/>
            <w:hideMark/>
          </w:tcPr>
          <w:p w14:paraId="4880232C" w14:textId="77777777" w:rsidR="00295832" w:rsidRPr="00295832" w:rsidRDefault="00295832" w:rsidP="00295832">
            <w:pPr>
              <w:spacing w:before="0" w:after="0" w:line="240" w:lineRule="auto"/>
              <w:jc w:val="right"/>
              <w:rPr>
                <w:rFonts w:ascii="Arial" w:hAnsi="Arial" w:cs="Arial"/>
                <w:color w:val="000000"/>
                <w:sz w:val="16"/>
                <w:szCs w:val="16"/>
              </w:rPr>
            </w:pPr>
            <w:r w:rsidRPr="00295832">
              <w:rPr>
                <w:rFonts w:ascii="Arial" w:hAnsi="Arial" w:cs="Arial"/>
                <w:color w:val="000000"/>
                <w:sz w:val="16"/>
                <w:szCs w:val="16"/>
              </w:rPr>
              <w:t>47</w:t>
            </w:r>
          </w:p>
        </w:tc>
        <w:tc>
          <w:tcPr>
            <w:tcW w:w="497" w:type="pct"/>
            <w:tcBorders>
              <w:top w:val="nil"/>
              <w:left w:val="nil"/>
              <w:bottom w:val="nil"/>
              <w:right w:val="nil"/>
            </w:tcBorders>
            <w:shd w:val="clear" w:color="000000" w:fill="FFFFFF"/>
            <w:noWrap/>
            <w:vAlign w:val="center"/>
            <w:hideMark/>
          </w:tcPr>
          <w:p w14:paraId="76D21EDB" w14:textId="77777777" w:rsidR="00295832" w:rsidRPr="00295832" w:rsidRDefault="00295832" w:rsidP="00295832">
            <w:pPr>
              <w:spacing w:before="0" w:after="0" w:line="240" w:lineRule="auto"/>
              <w:jc w:val="right"/>
              <w:rPr>
                <w:rFonts w:ascii="Arial" w:hAnsi="Arial" w:cs="Arial"/>
                <w:color w:val="000000"/>
                <w:sz w:val="16"/>
                <w:szCs w:val="16"/>
              </w:rPr>
            </w:pPr>
            <w:r w:rsidRPr="00295832">
              <w:rPr>
                <w:rFonts w:ascii="Arial" w:hAnsi="Arial" w:cs="Arial"/>
                <w:color w:val="000000"/>
                <w:sz w:val="16"/>
                <w:szCs w:val="16"/>
              </w:rPr>
              <w:t>45</w:t>
            </w:r>
          </w:p>
        </w:tc>
        <w:tc>
          <w:tcPr>
            <w:tcW w:w="497" w:type="pct"/>
            <w:tcBorders>
              <w:top w:val="nil"/>
              <w:left w:val="nil"/>
              <w:bottom w:val="nil"/>
              <w:right w:val="nil"/>
            </w:tcBorders>
            <w:shd w:val="clear" w:color="000000" w:fill="FFFFFF"/>
            <w:noWrap/>
            <w:vAlign w:val="center"/>
            <w:hideMark/>
          </w:tcPr>
          <w:p w14:paraId="75F6A986" w14:textId="77777777" w:rsidR="00295832" w:rsidRPr="00295832" w:rsidRDefault="00295832" w:rsidP="00295832">
            <w:pPr>
              <w:spacing w:before="0" w:after="0" w:line="240" w:lineRule="auto"/>
              <w:jc w:val="right"/>
              <w:rPr>
                <w:rFonts w:ascii="Arial" w:hAnsi="Arial" w:cs="Arial"/>
                <w:color w:val="000000"/>
                <w:sz w:val="16"/>
                <w:szCs w:val="16"/>
              </w:rPr>
            </w:pPr>
            <w:r w:rsidRPr="00295832">
              <w:rPr>
                <w:rFonts w:ascii="Arial" w:hAnsi="Arial" w:cs="Arial"/>
                <w:color w:val="000000"/>
                <w:sz w:val="16"/>
                <w:szCs w:val="16"/>
              </w:rPr>
              <w:t>45</w:t>
            </w:r>
          </w:p>
        </w:tc>
        <w:tc>
          <w:tcPr>
            <w:tcW w:w="497" w:type="pct"/>
            <w:tcBorders>
              <w:top w:val="nil"/>
              <w:left w:val="nil"/>
              <w:bottom w:val="nil"/>
              <w:right w:val="nil"/>
            </w:tcBorders>
            <w:shd w:val="clear" w:color="000000" w:fill="FFFFFF"/>
            <w:noWrap/>
            <w:vAlign w:val="center"/>
            <w:hideMark/>
          </w:tcPr>
          <w:p w14:paraId="12D25E29" w14:textId="77777777" w:rsidR="00295832" w:rsidRPr="00295832" w:rsidRDefault="00295832" w:rsidP="00295832">
            <w:pPr>
              <w:spacing w:before="0" w:after="0" w:line="240" w:lineRule="auto"/>
              <w:jc w:val="right"/>
              <w:rPr>
                <w:rFonts w:ascii="Arial" w:hAnsi="Arial" w:cs="Arial"/>
                <w:color w:val="000000"/>
                <w:sz w:val="16"/>
                <w:szCs w:val="16"/>
              </w:rPr>
            </w:pPr>
            <w:r w:rsidRPr="00295832">
              <w:rPr>
                <w:rFonts w:ascii="Arial" w:hAnsi="Arial" w:cs="Arial"/>
                <w:color w:val="000000"/>
                <w:sz w:val="16"/>
                <w:szCs w:val="16"/>
              </w:rPr>
              <w:t>45</w:t>
            </w:r>
          </w:p>
        </w:tc>
      </w:tr>
      <w:tr w:rsidR="00295832" w:rsidRPr="00295832" w14:paraId="52267592" w14:textId="77777777" w:rsidTr="00931C28">
        <w:trPr>
          <w:divId w:val="779882756"/>
          <w:trHeight w:hRule="exact" w:val="225"/>
        </w:trPr>
        <w:tc>
          <w:tcPr>
            <w:tcW w:w="1950" w:type="pct"/>
            <w:tcBorders>
              <w:top w:val="nil"/>
              <w:left w:val="nil"/>
              <w:bottom w:val="nil"/>
              <w:right w:val="nil"/>
            </w:tcBorders>
            <w:shd w:val="clear" w:color="000000" w:fill="FFFFFF"/>
            <w:noWrap/>
            <w:vAlign w:val="center"/>
            <w:hideMark/>
          </w:tcPr>
          <w:p w14:paraId="78EDEDA4" w14:textId="77777777" w:rsidR="00295832" w:rsidRPr="00295832" w:rsidRDefault="00295832" w:rsidP="00931C28">
            <w:pPr>
              <w:spacing w:before="0" w:after="0" w:line="240" w:lineRule="auto"/>
              <w:ind w:left="170"/>
              <w:rPr>
                <w:rFonts w:ascii="Arial" w:hAnsi="Arial" w:cs="Arial"/>
                <w:color w:val="000000"/>
                <w:sz w:val="16"/>
                <w:szCs w:val="16"/>
              </w:rPr>
            </w:pPr>
            <w:r w:rsidRPr="00295832">
              <w:rPr>
                <w:rFonts w:ascii="Arial" w:hAnsi="Arial" w:cs="Arial"/>
                <w:color w:val="000000"/>
                <w:sz w:val="16"/>
                <w:szCs w:val="16"/>
              </w:rPr>
              <w:t>Rural assistance</w:t>
            </w:r>
          </w:p>
        </w:tc>
        <w:tc>
          <w:tcPr>
            <w:tcW w:w="506" w:type="pct"/>
            <w:tcBorders>
              <w:top w:val="nil"/>
              <w:left w:val="nil"/>
              <w:bottom w:val="nil"/>
              <w:right w:val="nil"/>
            </w:tcBorders>
            <w:shd w:val="clear" w:color="000000" w:fill="FFFFFF"/>
            <w:noWrap/>
            <w:vAlign w:val="center"/>
            <w:hideMark/>
          </w:tcPr>
          <w:p w14:paraId="5AC2ABE1" w14:textId="77777777" w:rsidR="00295832" w:rsidRPr="00295832" w:rsidRDefault="00295832" w:rsidP="00295832">
            <w:pPr>
              <w:spacing w:before="0" w:after="0" w:line="240" w:lineRule="auto"/>
              <w:jc w:val="right"/>
              <w:rPr>
                <w:rFonts w:ascii="Arial" w:hAnsi="Arial" w:cs="Arial"/>
                <w:color w:val="000000"/>
                <w:sz w:val="16"/>
                <w:szCs w:val="16"/>
              </w:rPr>
            </w:pPr>
            <w:r w:rsidRPr="00295832">
              <w:rPr>
                <w:rFonts w:ascii="Arial" w:hAnsi="Arial" w:cs="Arial"/>
                <w:color w:val="000000"/>
                <w:sz w:val="16"/>
                <w:szCs w:val="16"/>
              </w:rPr>
              <w:t>306</w:t>
            </w:r>
          </w:p>
        </w:tc>
        <w:tc>
          <w:tcPr>
            <w:tcW w:w="56" w:type="pct"/>
            <w:tcBorders>
              <w:top w:val="nil"/>
              <w:left w:val="nil"/>
              <w:bottom w:val="nil"/>
              <w:right w:val="nil"/>
            </w:tcBorders>
            <w:shd w:val="clear" w:color="000000" w:fill="FFFFFF"/>
            <w:noWrap/>
            <w:vAlign w:val="center"/>
            <w:hideMark/>
          </w:tcPr>
          <w:p w14:paraId="7948C7F4" w14:textId="77777777" w:rsidR="00295832" w:rsidRPr="00295832" w:rsidRDefault="00295832" w:rsidP="00295832">
            <w:pPr>
              <w:spacing w:before="0" w:after="0" w:line="240" w:lineRule="auto"/>
              <w:rPr>
                <w:rFonts w:ascii="Arial" w:hAnsi="Arial" w:cs="Arial"/>
                <w:color w:val="000000"/>
                <w:sz w:val="16"/>
                <w:szCs w:val="16"/>
              </w:rPr>
            </w:pPr>
            <w:r w:rsidRPr="00295832">
              <w:rPr>
                <w:rFonts w:ascii="Arial" w:hAnsi="Arial" w:cs="Arial"/>
                <w:color w:val="000000"/>
                <w:sz w:val="16"/>
                <w:szCs w:val="16"/>
              </w:rPr>
              <w:t> </w:t>
            </w:r>
          </w:p>
        </w:tc>
        <w:tc>
          <w:tcPr>
            <w:tcW w:w="498" w:type="pct"/>
            <w:tcBorders>
              <w:top w:val="nil"/>
              <w:left w:val="nil"/>
              <w:bottom w:val="nil"/>
              <w:right w:val="nil"/>
            </w:tcBorders>
            <w:shd w:val="clear" w:color="000000" w:fill="FFFFFF"/>
            <w:noWrap/>
            <w:vAlign w:val="center"/>
            <w:hideMark/>
          </w:tcPr>
          <w:p w14:paraId="782BC716" w14:textId="77777777" w:rsidR="00295832" w:rsidRPr="00295832" w:rsidRDefault="00295832" w:rsidP="00295832">
            <w:pPr>
              <w:spacing w:before="0" w:after="0" w:line="240" w:lineRule="auto"/>
              <w:jc w:val="right"/>
              <w:rPr>
                <w:rFonts w:ascii="Arial" w:hAnsi="Arial" w:cs="Arial"/>
                <w:color w:val="000000"/>
                <w:sz w:val="16"/>
                <w:szCs w:val="16"/>
              </w:rPr>
            </w:pPr>
            <w:r w:rsidRPr="00295832">
              <w:rPr>
                <w:rFonts w:ascii="Arial" w:hAnsi="Arial" w:cs="Arial"/>
                <w:color w:val="000000"/>
                <w:sz w:val="16"/>
                <w:szCs w:val="16"/>
              </w:rPr>
              <w:t>406</w:t>
            </w:r>
          </w:p>
        </w:tc>
        <w:tc>
          <w:tcPr>
            <w:tcW w:w="497" w:type="pct"/>
            <w:tcBorders>
              <w:top w:val="nil"/>
              <w:left w:val="nil"/>
              <w:bottom w:val="nil"/>
              <w:right w:val="nil"/>
            </w:tcBorders>
            <w:shd w:val="clear" w:color="000000" w:fill="E6F2FF"/>
            <w:noWrap/>
            <w:vAlign w:val="center"/>
            <w:hideMark/>
          </w:tcPr>
          <w:p w14:paraId="4281831D" w14:textId="77777777" w:rsidR="00295832" w:rsidRPr="00295832" w:rsidRDefault="00295832" w:rsidP="00295832">
            <w:pPr>
              <w:spacing w:before="0" w:after="0" w:line="240" w:lineRule="auto"/>
              <w:jc w:val="right"/>
              <w:rPr>
                <w:rFonts w:ascii="Arial" w:hAnsi="Arial" w:cs="Arial"/>
                <w:color w:val="000000"/>
                <w:sz w:val="16"/>
                <w:szCs w:val="16"/>
              </w:rPr>
            </w:pPr>
            <w:r w:rsidRPr="00295832">
              <w:rPr>
                <w:rFonts w:ascii="Arial" w:hAnsi="Arial" w:cs="Arial"/>
                <w:color w:val="000000"/>
                <w:sz w:val="16"/>
                <w:szCs w:val="16"/>
              </w:rPr>
              <w:t>316</w:t>
            </w:r>
          </w:p>
        </w:tc>
        <w:tc>
          <w:tcPr>
            <w:tcW w:w="497" w:type="pct"/>
            <w:tcBorders>
              <w:top w:val="nil"/>
              <w:left w:val="nil"/>
              <w:bottom w:val="nil"/>
              <w:right w:val="nil"/>
            </w:tcBorders>
            <w:shd w:val="clear" w:color="000000" w:fill="FFFFFF"/>
            <w:noWrap/>
            <w:vAlign w:val="center"/>
            <w:hideMark/>
          </w:tcPr>
          <w:p w14:paraId="7D8FCD91" w14:textId="77777777" w:rsidR="00295832" w:rsidRPr="00295832" w:rsidRDefault="00295832" w:rsidP="00295832">
            <w:pPr>
              <w:spacing w:before="0" w:after="0" w:line="240" w:lineRule="auto"/>
              <w:jc w:val="right"/>
              <w:rPr>
                <w:rFonts w:ascii="Arial" w:hAnsi="Arial" w:cs="Arial"/>
                <w:color w:val="000000"/>
                <w:sz w:val="16"/>
                <w:szCs w:val="16"/>
              </w:rPr>
            </w:pPr>
            <w:r w:rsidRPr="00295832">
              <w:rPr>
                <w:rFonts w:ascii="Arial" w:hAnsi="Arial" w:cs="Arial"/>
                <w:color w:val="000000"/>
                <w:sz w:val="16"/>
                <w:szCs w:val="16"/>
              </w:rPr>
              <w:t>398</w:t>
            </w:r>
          </w:p>
        </w:tc>
        <w:tc>
          <w:tcPr>
            <w:tcW w:w="497" w:type="pct"/>
            <w:tcBorders>
              <w:top w:val="nil"/>
              <w:left w:val="nil"/>
              <w:bottom w:val="nil"/>
              <w:right w:val="nil"/>
            </w:tcBorders>
            <w:shd w:val="clear" w:color="000000" w:fill="FFFFFF"/>
            <w:noWrap/>
            <w:vAlign w:val="center"/>
            <w:hideMark/>
          </w:tcPr>
          <w:p w14:paraId="10CE324F" w14:textId="77777777" w:rsidR="00295832" w:rsidRPr="00295832" w:rsidRDefault="00295832" w:rsidP="00295832">
            <w:pPr>
              <w:spacing w:before="0" w:after="0" w:line="240" w:lineRule="auto"/>
              <w:jc w:val="right"/>
              <w:rPr>
                <w:rFonts w:ascii="Arial" w:hAnsi="Arial" w:cs="Arial"/>
                <w:color w:val="000000"/>
                <w:sz w:val="16"/>
                <w:szCs w:val="16"/>
              </w:rPr>
            </w:pPr>
            <w:r w:rsidRPr="00295832">
              <w:rPr>
                <w:rFonts w:ascii="Arial" w:hAnsi="Arial" w:cs="Arial"/>
                <w:color w:val="000000"/>
                <w:sz w:val="16"/>
                <w:szCs w:val="16"/>
              </w:rPr>
              <w:t>379</w:t>
            </w:r>
          </w:p>
        </w:tc>
        <w:tc>
          <w:tcPr>
            <w:tcW w:w="497" w:type="pct"/>
            <w:tcBorders>
              <w:top w:val="nil"/>
              <w:left w:val="nil"/>
              <w:bottom w:val="nil"/>
              <w:right w:val="nil"/>
            </w:tcBorders>
            <w:shd w:val="clear" w:color="000000" w:fill="FFFFFF"/>
            <w:noWrap/>
            <w:vAlign w:val="center"/>
            <w:hideMark/>
          </w:tcPr>
          <w:p w14:paraId="516CB346" w14:textId="77777777" w:rsidR="00295832" w:rsidRPr="00295832" w:rsidRDefault="00295832" w:rsidP="00295832">
            <w:pPr>
              <w:spacing w:before="0" w:after="0" w:line="240" w:lineRule="auto"/>
              <w:jc w:val="right"/>
              <w:rPr>
                <w:rFonts w:ascii="Arial" w:hAnsi="Arial" w:cs="Arial"/>
                <w:color w:val="000000"/>
                <w:sz w:val="16"/>
                <w:szCs w:val="16"/>
              </w:rPr>
            </w:pPr>
            <w:r w:rsidRPr="00295832">
              <w:rPr>
                <w:rFonts w:ascii="Arial" w:hAnsi="Arial" w:cs="Arial"/>
                <w:color w:val="000000"/>
                <w:sz w:val="16"/>
                <w:szCs w:val="16"/>
              </w:rPr>
              <w:t>380</w:t>
            </w:r>
          </w:p>
        </w:tc>
      </w:tr>
      <w:tr w:rsidR="00295832" w:rsidRPr="00295832" w14:paraId="408FBC38" w14:textId="77777777" w:rsidTr="00931C28">
        <w:trPr>
          <w:divId w:val="779882756"/>
          <w:trHeight w:hRule="exact" w:val="225"/>
        </w:trPr>
        <w:tc>
          <w:tcPr>
            <w:tcW w:w="1950" w:type="pct"/>
            <w:tcBorders>
              <w:top w:val="nil"/>
              <w:left w:val="nil"/>
              <w:bottom w:val="nil"/>
              <w:right w:val="nil"/>
            </w:tcBorders>
            <w:shd w:val="clear" w:color="000000" w:fill="FFFFFF"/>
            <w:noWrap/>
            <w:vAlign w:val="center"/>
            <w:hideMark/>
          </w:tcPr>
          <w:p w14:paraId="28794685" w14:textId="77777777" w:rsidR="00295832" w:rsidRPr="00295832" w:rsidRDefault="00295832" w:rsidP="00931C28">
            <w:pPr>
              <w:spacing w:before="0" w:after="0" w:line="240" w:lineRule="auto"/>
              <w:ind w:left="170"/>
              <w:rPr>
                <w:rFonts w:ascii="Arial" w:hAnsi="Arial" w:cs="Arial"/>
                <w:color w:val="000000"/>
                <w:sz w:val="16"/>
                <w:szCs w:val="16"/>
              </w:rPr>
            </w:pPr>
            <w:r w:rsidRPr="00295832">
              <w:rPr>
                <w:rFonts w:ascii="Arial" w:hAnsi="Arial" w:cs="Arial"/>
                <w:color w:val="000000"/>
                <w:sz w:val="16"/>
                <w:szCs w:val="16"/>
              </w:rPr>
              <w:t>Natural resources development</w:t>
            </w:r>
          </w:p>
        </w:tc>
        <w:tc>
          <w:tcPr>
            <w:tcW w:w="506" w:type="pct"/>
            <w:tcBorders>
              <w:top w:val="nil"/>
              <w:left w:val="nil"/>
              <w:bottom w:val="nil"/>
              <w:right w:val="nil"/>
            </w:tcBorders>
            <w:shd w:val="clear" w:color="000000" w:fill="FFFFFF"/>
            <w:noWrap/>
            <w:vAlign w:val="center"/>
            <w:hideMark/>
          </w:tcPr>
          <w:p w14:paraId="4F93260C" w14:textId="77777777" w:rsidR="00295832" w:rsidRPr="00295832" w:rsidRDefault="00295832" w:rsidP="00295832">
            <w:pPr>
              <w:spacing w:before="0" w:after="0" w:line="240" w:lineRule="auto"/>
              <w:jc w:val="right"/>
              <w:rPr>
                <w:rFonts w:ascii="Arial" w:hAnsi="Arial" w:cs="Arial"/>
                <w:color w:val="000000"/>
                <w:sz w:val="16"/>
                <w:szCs w:val="16"/>
              </w:rPr>
            </w:pPr>
            <w:r w:rsidRPr="00295832">
              <w:rPr>
                <w:rFonts w:ascii="Arial" w:hAnsi="Arial" w:cs="Arial"/>
                <w:color w:val="000000"/>
                <w:sz w:val="16"/>
                <w:szCs w:val="16"/>
              </w:rPr>
              <w:t>773</w:t>
            </w:r>
          </w:p>
        </w:tc>
        <w:tc>
          <w:tcPr>
            <w:tcW w:w="56" w:type="pct"/>
            <w:tcBorders>
              <w:top w:val="nil"/>
              <w:left w:val="nil"/>
              <w:bottom w:val="nil"/>
              <w:right w:val="nil"/>
            </w:tcBorders>
            <w:shd w:val="clear" w:color="000000" w:fill="FFFFFF"/>
            <w:noWrap/>
            <w:vAlign w:val="center"/>
            <w:hideMark/>
          </w:tcPr>
          <w:p w14:paraId="5B276A02" w14:textId="77777777" w:rsidR="00295832" w:rsidRPr="00295832" w:rsidRDefault="00295832" w:rsidP="00295832">
            <w:pPr>
              <w:spacing w:before="0" w:after="0" w:line="240" w:lineRule="auto"/>
              <w:rPr>
                <w:rFonts w:ascii="Arial" w:hAnsi="Arial" w:cs="Arial"/>
                <w:color w:val="000000"/>
                <w:sz w:val="16"/>
                <w:szCs w:val="16"/>
              </w:rPr>
            </w:pPr>
            <w:r w:rsidRPr="00295832">
              <w:rPr>
                <w:rFonts w:ascii="Arial" w:hAnsi="Arial" w:cs="Arial"/>
                <w:color w:val="000000"/>
                <w:sz w:val="16"/>
                <w:szCs w:val="16"/>
              </w:rPr>
              <w:t> </w:t>
            </w:r>
          </w:p>
        </w:tc>
        <w:tc>
          <w:tcPr>
            <w:tcW w:w="498" w:type="pct"/>
            <w:tcBorders>
              <w:top w:val="nil"/>
              <w:left w:val="nil"/>
              <w:bottom w:val="nil"/>
              <w:right w:val="nil"/>
            </w:tcBorders>
            <w:shd w:val="clear" w:color="000000" w:fill="FFFFFF"/>
            <w:noWrap/>
            <w:vAlign w:val="center"/>
            <w:hideMark/>
          </w:tcPr>
          <w:p w14:paraId="121AABCA" w14:textId="77777777" w:rsidR="00295832" w:rsidRPr="00295832" w:rsidRDefault="00295832" w:rsidP="00295832">
            <w:pPr>
              <w:spacing w:before="0" w:after="0" w:line="240" w:lineRule="auto"/>
              <w:jc w:val="right"/>
              <w:rPr>
                <w:rFonts w:ascii="Arial" w:hAnsi="Arial" w:cs="Arial"/>
                <w:color w:val="000000"/>
                <w:sz w:val="16"/>
                <w:szCs w:val="16"/>
              </w:rPr>
            </w:pPr>
            <w:r w:rsidRPr="00295832">
              <w:rPr>
                <w:rFonts w:ascii="Arial" w:hAnsi="Arial" w:cs="Arial"/>
                <w:color w:val="000000"/>
                <w:sz w:val="16"/>
                <w:szCs w:val="16"/>
              </w:rPr>
              <w:t>1,089</w:t>
            </w:r>
          </w:p>
        </w:tc>
        <w:tc>
          <w:tcPr>
            <w:tcW w:w="497" w:type="pct"/>
            <w:tcBorders>
              <w:top w:val="nil"/>
              <w:left w:val="nil"/>
              <w:bottom w:val="nil"/>
              <w:right w:val="nil"/>
            </w:tcBorders>
            <w:shd w:val="clear" w:color="000000" w:fill="E6F2FF"/>
            <w:noWrap/>
            <w:vAlign w:val="center"/>
            <w:hideMark/>
          </w:tcPr>
          <w:p w14:paraId="243D2ECA" w14:textId="77777777" w:rsidR="00295832" w:rsidRPr="00295832" w:rsidRDefault="00295832" w:rsidP="00295832">
            <w:pPr>
              <w:spacing w:before="0" w:after="0" w:line="240" w:lineRule="auto"/>
              <w:jc w:val="right"/>
              <w:rPr>
                <w:rFonts w:ascii="Arial" w:hAnsi="Arial" w:cs="Arial"/>
                <w:color w:val="000000"/>
                <w:sz w:val="16"/>
                <w:szCs w:val="16"/>
              </w:rPr>
            </w:pPr>
            <w:r w:rsidRPr="00295832">
              <w:rPr>
                <w:rFonts w:ascii="Arial" w:hAnsi="Arial" w:cs="Arial"/>
                <w:color w:val="000000"/>
                <w:sz w:val="16"/>
                <w:szCs w:val="16"/>
              </w:rPr>
              <w:t>1,346</w:t>
            </w:r>
          </w:p>
        </w:tc>
        <w:tc>
          <w:tcPr>
            <w:tcW w:w="497" w:type="pct"/>
            <w:tcBorders>
              <w:top w:val="nil"/>
              <w:left w:val="nil"/>
              <w:bottom w:val="nil"/>
              <w:right w:val="nil"/>
            </w:tcBorders>
            <w:shd w:val="clear" w:color="000000" w:fill="FFFFFF"/>
            <w:noWrap/>
            <w:vAlign w:val="center"/>
            <w:hideMark/>
          </w:tcPr>
          <w:p w14:paraId="5A38BD05" w14:textId="77777777" w:rsidR="00295832" w:rsidRPr="00295832" w:rsidRDefault="00295832" w:rsidP="00295832">
            <w:pPr>
              <w:spacing w:before="0" w:after="0" w:line="240" w:lineRule="auto"/>
              <w:jc w:val="right"/>
              <w:rPr>
                <w:rFonts w:ascii="Arial" w:hAnsi="Arial" w:cs="Arial"/>
                <w:color w:val="000000"/>
                <w:sz w:val="16"/>
                <w:szCs w:val="16"/>
              </w:rPr>
            </w:pPr>
            <w:r w:rsidRPr="00295832">
              <w:rPr>
                <w:rFonts w:ascii="Arial" w:hAnsi="Arial" w:cs="Arial"/>
                <w:color w:val="000000"/>
                <w:sz w:val="16"/>
                <w:szCs w:val="16"/>
              </w:rPr>
              <w:t>1,177</w:t>
            </w:r>
          </w:p>
        </w:tc>
        <w:tc>
          <w:tcPr>
            <w:tcW w:w="497" w:type="pct"/>
            <w:tcBorders>
              <w:top w:val="nil"/>
              <w:left w:val="nil"/>
              <w:bottom w:val="nil"/>
              <w:right w:val="nil"/>
            </w:tcBorders>
            <w:shd w:val="clear" w:color="000000" w:fill="FFFFFF"/>
            <w:noWrap/>
            <w:vAlign w:val="center"/>
            <w:hideMark/>
          </w:tcPr>
          <w:p w14:paraId="4DB84727" w14:textId="77777777" w:rsidR="00295832" w:rsidRPr="00295832" w:rsidRDefault="00295832" w:rsidP="00295832">
            <w:pPr>
              <w:spacing w:before="0" w:after="0" w:line="240" w:lineRule="auto"/>
              <w:jc w:val="right"/>
              <w:rPr>
                <w:rFonts w:ascii="Arial" w:hAnsi="Arial" w:cs="Arial"/>
                <w:color w:val="000000"/>
                <w:sz w:val="16"/>
                <w:szCs w:val="16"/>
              </w:rPr>
            </w:pPr>
            <w:r w:rsidRPr="00295832">
              <w:rPr>
                <w:rFonts w:ascii="Arial" w:hAnsi="Arial" w:cs="Arial"/>
                <w:color w:val="000000"/>
                <w:sz w:val="16"/>
                <w:szCs w:val="16"/>
              </w:rPr>
              <w:t>1,106</w:t>
            </w:r>
          </w:p>
        </w:tc>
        <w:tc>
          <w:tcPr>
            <w:tcW w:w="497" w:type="pct"/>
            <w:tcBorders>
              <w:top w:val="nil"/>
              <w:left w:val="nil"/>
              <w:bottom w:val="nil"/>
              <w:right w:val="nil"/>
            </w:tcBorders>
            <w:shd w:val="clear" w:color="000000" w:fill="FFFFFF"/>
            <w:noWrap/>
            <w:vAlign w:val="center"/>
            <w:hideMark/>
          </w:tcPr>
          <w:p w14:paraId="318E70F2" w14:textId="77777777" w:rsidR="00295832" w:rsidRPr="00295832" w:rsidRDefault="00295832" w:rsidP="00295832">
            <w:pPr>
              <w:spacing w:before="0" w:after="0" w:line="240" w:lineRule="auto"/>
              <w:jc w:val="right"/>
              <w:rPr>
                <w:rFonts w:ascii="Arial" w:hAnsi="Arial" w:cs="Arial"/>
                <w:color w:val="000000"/>
                <w:sz w:val="16"/>
                <w:szCs w:val="16"/>
              </w:rPr>
            </w:pPr>
            <w:r w:rsidRPr="00295832">
              <w:rPr>
                <w:rFonts w:ascii="Arial" w:hAnsi="Arial" w:cs="Arial"/>
                <w:color w:val="000000"/>
                <w:sz w:val="16"/>
                <w:szCs w:val="16"/>
              </w:rPr>
              <w:t>485</w:t>
            </w:r>
          </w:p>
        </w:tc>
      </w:tr>
      <w:tr w:rsidR="00295832" w:rsidRPr="00295832" w14:paraId="70A2882B" w14:textId="77777777" w:rsidTr="00931C28">
        <w:trPr>
          <w:divId w:val="779882756"/>
          <w:trHeight w:hRule="exact" w:val="225"/>
        </w:trPr>
        <w:tc>
          <w:tcPr>
            <w:tcW w:w="1950" w:type="pct"/>
            <w:tcBorders>
              <w:top w:val="nil"/>
              <w:left w:val="nil"/>
              <w:bottom w:val="nil"/>
              <w:right w:val="nil"/>
            </w:tcBorders>
            <w:shd w:val="clear" w:color="000000" w:fill="FFFFFF"/>
            <w:noWrap/>
            <w:vAlign w:val="center"/>
            <w:hideMark/>
          </w:tcPr>
          <w:p w14:paraId="6534950C" w14:textId="77777777" w:rsidR="00295832" w:rsidRPr="00295832" w:rsidRDefault="00295832" w:rsidP="00931C28">
            <w:pPr>
              <w:spacing w:before="0" w:after="0" w:line="240" w:lineRule="auto"/>
              <w:ind w:left="170"/>
              <w:rPr>
                <w:rFonts w:ascii="Arial" w:hAnsi="Arial" w:cs="Arial"/>
                <w:color w:val="000000"/>
                <w:sz w:val="16"/>
                <w:szCs w:val="16"/>
              </w:rPr>
            </w:pPr>
            <w:r w:rsidRPr="00295832">
              <w:rPr>
                <w:rFonts w:ascii="Arial" w:hAnsi="Arial" w:cs="Arial"/>
                <w:color w:val="000000"/>
                <w:sz w:val="16"/>
                <w:szCs w:val="16"/>
              </w:rPr>
              <w:t>General administration</w:t>
            </w:r>
          </w:p>
        </w:tc>
        <w:tc>
          <w:tcPr>
            <w:tcW w:w="506" w:type="pct"/>
            <w:tcBorders>
              <w:top w:val="nil"/>
              <w:left w:val="nil"/>
              <w:bottom w:val="single" w:sz="4" w:space="0" w:color="293F5B"/>
              <w:right w:val="nil"/>
            </w:tcBorders>
            <w:shd w:val="clear" w:color="000000" w:fill="FFFFFF"/>
            <w:noWrap/>
            <w:vAlign w:val="center"/>
            <w:hideMark/>
          </w:tcPr>
          <w:p w14:paraId="2D46CBFF" w14:textId="77777777" w:rsidR="00295832" w:rsidRPr="00295832" w:rsidRDefault="00295832" w:rsidP="00295832">
            <w:pPr>
              <w:spacing w:before="0" w:after="0" w:line="240" w:lineRule="auto"/>
              <w:jc w:val="right"/>
              <w:rPr>
                <w:rFonts w:ascii="Arial" w:hAnsi="Arial" w:cs="Arial"/>
                <w:color w:val="000000"/>
                <w:sz w:val="16"/>
                <w:szCs w:val="16"/>
              </w:rPr>
            </w:pPr>
            <w:r w:rsidRPr="00295832">
              <w:rPr>
                <w:rFonts w:ascii="Arial" w:hAnsi="Arial" w:cs="Arial"/>
                <w:color w:val="000000"/>
                <w:sz w:val="16"/>
                <w:szCs w:val="16"/>
              </w:rPr>
              <w:t>1,234</w:t>
            </w:r>
          </w:p>
        </w:tc>
        <w:tc>
          <w:tcPr>
            <w:tcW w:w="56" w:type="pct"/>
            <w:tcBorders>
              <w:top w:val="nil"/>
              <w:left w:val="nil"/>
              <w:bottom w:val="nil"/>
              <w:right w:val="nil"/>
            </w:tcBorders>
            <w:shd w:val="clear" w:color="000000" w:fill="FFFFFF"/>
            <w:noWrap/>
            <w:vAlign w:val="center"/>
            <w:hideMark/>
          </w:tcPr>
          <w:p w14:paraId="100CB8ED" w14:textId="77777777" w:rsidR="00295832" w:rsidRPr="00295832" w:rsidRDefault="00295832" w:rsidP="00295832">
            <w:pPr>
              <w:spacing w:before="0" w:after="0" w:line="240" w:lineRule="auto"/>
              <w:rPr>
                <w:rFonts w:ascii="Arial" w:hAnsi="Arial" w:cs="Arial"/>
                <w:color w:val="000000"/>
                <w:sz w:val="16"/>
                <w:szCs w:val="16"/>
              </w:rPr>
            </w:pPr>
            <w:r w:rsidRPr="00295832">
              <w:rPr>
                <w:rFonts w:ascii="Arial" w:hAnsi="Arial" w:cs="Arial"/>
                <w:color w:val="000000"/>
                <w:sz w:val="16"/>
                <w:szCs w:val="16"/>
              </w:rPr>
              <w:t> </w:t>
            </w:r>
          </w:p>
        </w:tc>
        <w:tc>
          <w:tcPr>
            <w:tcW w:w="498" w:type="pct"/>
            <w:tcBorders>
              <w:top w:val="nil"/>
              <w:left w:val="nil"/>
              <w:bottom w:val="single" w:sz="4" w:space="0" w:color="293F5B"/>
              <w:right w:val="nil"/>
            </w:tcBorders>
            <w:shd w:val="clear" w:color="000000" w:fill="FFFFFF"/>
            <w:noWrap/>
            <w:vAlign w:val="center"/>
            <w:hideMark/>
          </w:tcPr>
          <w:p w14:paraId="531F13EB" w14:textId="77777777" w:rsidR="00295832" w:rsidRPr="00295832" w:rsidRDefault="00295832" w:rsidP="00295832">
            <w:pPr>
              <w:spacing w:before="0" w:after="0" w:line="240" w:lineRule="auto"/>
              <w:jc w:val="right"/>
              <w:rPr>
                <w:rFonts w:ascii="Arial" w:hAnsi="Arial" w:cs="Arial"/>
                <w:color w:val="000000"/>
                <w:sz w:val="16"/>
                <w:szCs w:val="16"/>
              </w:rPr>
            </w:pPr>
            <w:r w:rsidRPr="00295832">
              <w:rPr>
                <w:rFonts w:ascii="Arial" w:hAnsi="Arial" w:cs="Arial"/>
                <w:color w:val="000000"/>
                <w:sz w:val="16"/>
                <w:szCs w:val="16"/>
              </w:rPr>
              <w:t>1,364</w:t>
            </w:r>
          </w:p>
        </w:tc>
        <w:tc>
          <w:tcPr>
            <w:tcW w:w="497" w:type="pct"/>
            <w:tcBorders>
              <w:top w:val="nil"/>
              <w:left w:val="nil"/>
              <w:bottom w:val="single" w:sz="4" w:space="0" w:color="293F5B"/>
              <w:right w:val="nil"/>
            </w:tcBorders>
            <w:shd w:val="clear" w:color="000000" w:fill="E6F2FF"/>
            <w:noWrap/>
            <w:vAlign w:val="center"/>
            <w:hideMark/>
          </w:tcPr>
          <w:p w14:paraId="6A4C0492" w14:textId="77777777" w:rsidR="00295832" w:rsidRPr="00295832" w:rsidRDefault="00295832" w:rsidP="00295832">
            <w:pPr>
              <w:spacing w:before="0" w:after="0" w:line="240" w:lineRule="auto"/>
              <w:jc w:val="right"/>
              <w:rPr>
                <w:rFonts w:ascii="Arial" w:hAnsi="Arial" w:cs="Arial"/>
                <w:color w:val="000000"/>
                <w:sz w:val="16"/>
                <w:szCs w:val="16"/>
              </w:rPr>
            </w:pPr>
            <w:r w:rsidRPr="00295832">
              <w:rPr>
                <w:rFonts w:ascii="Arial" w:hAnsi="Arial" w:cs="Arial"/>
                <w:color w:val="000000"/>
                <w:sz w:val="16"/>
                <w:szCs w:val="16"/>
              </w:rPr>
              <w:t>1,411</w:t>
            </w:r>
          </w:p>
        </w:tc>
        <w:tc>
          <w:tcPr>
            <w:tcW w:w="497" w:type="pct"/>
            <w:tcBorders>
              <w:top w:val="nil"/>
              <w:left w:val="nil"/>
              <w:bottom w:val="single" w:sz="4" w:space="0" w:color="293F5B"/>
              <w:right w:val="nil"/>
            </w:tcBorders>
            <w:shd w:val="clear" w:color="000000" w:fill="FFFFFF"/>
            <w:noWrap/>
            <w:vAlign w:val="center"/>
            <w:hideMark/>
          </w:tcPr>
          <w:p w14:paraId="01584BF4" w14:textId="77777777" w:rsidR="00295832" w:rsidRPr="00295832" w:rsidRDefault="00295832" w:rsidP="00295832">
            <w:pPr>
              <w:spacing w:before="0" w:after="0" w:line="240" w:lineRule="auto"/>
              <w:jc w:val="right"/>
              <w:rPr>
                <w:rFonts w:ascii="Arial" w:hAnsi="Arial" w:cs="Arial"/>
                <w:color w:val="000000"/>
                <w:sz w:val="16"/>
                <w:szCs w:val="16"/>
              </w:rPr>
            </w:pPr>
            <w:r w:rsidRPr="00295832">
              <w:rPr>
                <w:rFonts w:ascii="Arial" w:hAnsi="Arial" w:cs="Arial"/>
                <w:color w:val="000000"/>
                <w:sz w:val="16"/>
                <w:szCs w:val="16"/>
              </w:rPr>
              <w:t>1,306</w:t>
            </w:r>
          </w:p>
        </w:tc>
        <w:tc>
          <w:tcPr>
            <w:tcW w:w="497" w:type="pct"/>
            <w:tcBorders>
              <w:top w:val="nil"/>
              <w:left w:val="nil"/>
              <w:bottom w:val="single" w:sz="4" w:space="0" w:color="293F5B"/>
              <w:right w:val="nil"/>
            </w:tcBorders>
            <w:shd w:val="clear" w:color="000000" w:fill="FFFFFF"/>
            <w:noWrap/>
            <w:vAlign w:val="center"/>
            <w:hideMark/>
          </w:tcPr>
          <w:p w14:paraId="33668D3C" w14:textId="77777777" w:rsidR="00295832" w:rsidRPr="00295832" w:rsidRDefault="00295832" w:rsidP="00295832">
            <w:pPr>
              <w:spacing w:before="0" w:after="0" w:line="240" w:lineRule="auto"/>
              <w:jc w:val="right"/>
              <w:rPr>
                <w:rFonts w:ascii="Arial" w:hAnsi="Arial" w:cs="Arial"/>
                <w:color w:val="000000"/>
                <w:sz w:val="16"/>
                <w:szCs w:val="16"/>
              </w:rPr>
            </w:pPr>
            <w:r w:rsidRPr="00295832">
              <w:rPr>
                <w:rFonts w:ascii="Arial" w:hAnsi="Arial" w:cs="Arial"/>
                <w:color w:val="000000"/>
                <w:sz w:val="16"/>
                <w:szCs w:val="16"/>
              </w:rPr>
              <w:t>1,269</w:t>
            </w:r>
          </w:p>
        </w:tc>
        <w:tc>
          <w:tcPr>
            <w:tcW w:w="497" w:type="pct"/>
            <w:tcBorders>
              <w:top w:val="nil"/>
              <w:left w:val="nil"/>
              <w:bottom w:val="single" w:sz="4" w:space="0" w:color="293F5B"/>
              <w:right w:val="nil"/>
            </w:tcBorders>
            <w:shd w:val="clear" w:color="000000" w:fill="FFFFFF"/>
            <w:noWrap/>
            <w:vAlign w:val="center"/>
            <w:hideMark/>
          </w:tcPr>
          <w:p w14:paraId="0044F61E" w14:textId="77777777" w:rsidR="00295832" w:rsidRPr="00295832" w:rsidRDefault="00295832" w:rsidP="00295832">
            <w:pPr>
              <w:spacing w:before="0" w:after="0" w:line="240" w:lineRule="auto"/>
              <w:jc w:val="right"/>
              <w:rPr>
                <w:rFonts w:ascii="Arial" w:hAnsi="Arial" w:cs="Arial"/>
                <w:color w:val="000000"/>
                <w:sz w:val="16"/>
                <w:szCs w:val="16"/>
              </w:rPr>
            </w:pPr>
            <w:r w:rsidRPr="00295832">
              <w:rPr>
                <w:rFonts w:ascii="Arial" w:hAnsi="Arial" w:cs="Arial"/>
                <w:color w:val="000000"/>
                <w:sz w:val="16"/>
                <w:szCs w:val="16"/>
              </w:rPr>
              <w:t>1,271</w:t>
            </w:r>
          </w:p>
        </w:tc>
      </w:tr>
      <w:tr w:rsidR="00295832" w:rsidRPr="00295832" w14:paraId="752D121C" w14:textId="77777777" w:rsidTr="00931C28">
        <w:trPr>
          <w:divId w:val="779882756"/>
          <w:trHeight w:hRule="exact" w:val="225"/>
        </w:trPr>
        <w:tc>
          <w:tcPr>
            <w:tcW w:w="1950" w:type="pct"/>
            <w:tcBorders>
              <w:top w:val="nil"/>
              <w:left w:val="nil"/>
              <w:bottom w:val="nil"/>
              <w:right w:val="nil"/>
            </w:tcBorders>
            <w:shd w:val="clear" w:color="000000" w:fill="FFFFFF"/>
            <w:noWrap/>
            <w:vAlign w:val="center"/>
            <w:hideMark/>
          </w:tcPr>
          <w:p w14:paraId="264EC2B6" w14:textId="77777777" w:rsidR="00295832" w:rsidRPr="00295832" w:rsidRDefault="00295832" w:rsidP="00295832">
            <w:pPr>
              <w:spacing w:before="0" w:after="0" w:line="240" w:lineRule="auto"/>
              <w:rPr>
                <w:rFonts w:ascii="Arial" w:hAnsi="Arial" w:cs="Arial"/>
                <w:b/>
                <w:bCs/>
                <w:color w:val="000000"/>
                <w:sz w:val="16"/>
                <w:szCs w:val="16"/>
              </w:rPr>
            </w:pPr>
            <w:r w:rsidRPr="00295832">
              <w:rPr>
                <w:rFonts w:ascii="Arial" w:hAnsi="Arial" w:cs="Arial"/>
                <w:b/>
                <w:bCs/>
                <w:color w:val="000000"/>
                <w:sz w:val="16"/>
                <w:szCs w:val="16"/>
              </w:rPr>
              <w:t>Total agriculture, forestry and</w:t>
            </w:r>
          </w:p>
        </w:tc>
        <w:tc>
          <w:tcPr>
            <w:tcW w:w="506" w:type="pct"/>
            <w:tcBorders>
              <w:top w:val="single" w:sz="4" w:space="0" w:color="293F5B"/>
              <w:left w:val="nil"/>
              <w:bottom w:val="nil"/>
              <w:right w:val="nil"/>
            </w:tcBorders>
            <w:shd w:val="clear" w:color="000000" w:fill="FFFFFF"/>
            <w:noWrap/>
            <w:vAlign w:val="center"/>
            <w:hideMark/>
          </w:tcPr>
          <w:p w14:paraId="36908BB9" w14:textId="77777777" w:rsidR="00295832" w:rsidRPr="00295832" w:rsidRDefault="00295832" w:rsidP="00295832">
            <w:pPr>
              <w:spacing w:before="0" w:after="0" w:line="240" w:lineRule="auto"/>
              <w:rPr>
                <w:rFonts w:ascii="Arial" w:hAnsi="Arial" w:cs="Arial"/>
                <w:color w:val="000000"/>
                <w:sz w:val="16"/>
                <w:szCs w:val="16"/>
              </w:rPr>
            </w:pPr>
            <w:r w:rsidRPr="00295832">
              <w:rPr>
                <w:rFonts w:ascii="Arial" w:hAnsi="Arial" w:cs="Arial"/>
                <w:color w:val="000000"/>
                <w:sz w:val="16"/>
                <w:szCs w:val="16"/>
              </w:rPr>
              <w:t> </w:t>
            </w:r>
          </w:p>
        </w:tc>
        <w:tc>
          <w:tcPr>
            <w:tcW w:w="56" w:type="pct"/>
            <w:tcBorders>
              <w:top w:val="nil"/>
              <w:left w:val="nil"/>
              <w:bottom w:val="nil"/>
              <w:right w:val="nil"/>
            </w:tcBorders>
            <w:shd w:val="clear" w:color="000000" w:fill="FFFFFF"/>
            <w:noWrap/>
            <w:vAlign w:val="center"/>
            <w:hideMark/>
          </w:tcPr>
          <w:p w14:paraId="624CF63F" w14:textId="77777777" w:rsidR="00295832" w:rsidRPr="00295832" w:rsidRDefault="00295832" w:rsidP="00295832">
            <w:pPr>
              <w:spacing w:before="0" w:after="0" w:line="240" w:lineRule="auto"/>
              <w:rPr>
                <w:rFonts w:ascii="Arial" w:hAnsi="Arial" w:cs="Arial"/>
                <w:color w:val="000000"/>
                <w:sz w:val="16"/>
                <w:szCs w:val="16"/>
              </w:rPr>
            </w:pPr>
            <w:r w:rsidRPr="00295832">
              <w:rPr>
                <w:rFonts w:ascii="Arial" w:hAnsi="Arial" w:cs="Arial"/>
                <w:color w:val="000000"/>
                <w:sz w:val="16"/>
                <w:szCs w:val="16"/>
              </w:rPr>
              <w:t> </w:t>
            </w:r>
          </w:p>
        </w:tc>
        <w:tc>
          <w:tcPr>
            <w:tcW w:w="498" w:type="pct"/>
            <w:tcBorders>
              <w:top w:val="single" w:sz="4" w:space="0" w:color="293F5B"/>
              <w:left w:val="nil"/>
              <w:bottom w:val="nil"/>
              <w:right w:val="nil"/>
            </w:tcBorders>
            <w:shd w:val="clear" w:color="000000" w:fill="FFFFFF"/>
            <w:noWrap/>
            <w:vAlign w:val="center"/>
            <w:hideMark/>
          </w:tcPr>
          <w:p w14:paraId="3D8FB803" w14:textId="77777777" w:rsidR="00295832" w:rsidRPr="00295832" w:rsidRDefault="00295832" w:rsidP="00295832">
            <w:pPr>
              <w:spacing w:before="0" w:after="0" w:line="240" w:lineRule="auto"/>
              <w:rPr>
                <w:rFonts w:ascii="Arial" w:hAnsi="Arial" w:cs="Arial"/>
                <w:color w:val="000000"/>
                <w:sz w:val="16"/>
                <w:szCs w:val="16"/>
              </w:rPr>
            </w:pPr>
            <w:r w:rsidRPr="00295832">
              <w:rPr>
                <w:rFonts w:ascii="Arial" w:hAnsi="Arial" w:cs="Arial"/>
                <w:color w:val="000000"/>
                <w:sz w:val="16"/>
                <w:szCs w:val="16"/>
              </w:rPr>
              <w:t> </w:t>
            </w:r>
          </w:p>
        </w:tc>
        <w:tc>
          <w:tcPr>
            <w:tcW w:w="497" w:type="pct"/>
            <w:tcBorders>
              <w:top w:val="single" w:sz="4" w:space="0" w:color="293F5B"/>
              <w:left w:val="nil"/>
              <w:bottom w:val="nil"/>
              <w:right w:val="nil"/>
            </w:tcBorders>
            <w:shd w:val="clear" w:color="000000" w:fill="E6F2FF"/>
            <w:noWrap/>
            <w:vAlign w:val="center"/>
            <w:hideMark/>
          </w:tcPr>
          <w:p w14:paraId="4D931EDC" w14:textId="77777777" w:rsidR="00295832" w:rsidRPr="00295832" w:rsidRDefault="00295832" w:rsidP="00295832">
            <w:pPr>
              <w:spacing w:before="0" w:after="0" w:line="240" w:lineRule="auto"/>
              <w:rPr>
                <w:rFonts w:ascii="Arial" w:hAnsi="Arial" w:cs="Arial"/>
                <w:color w:val="000000"/>
                <w:sz w:val="16"/>
                <w:szCs w:val="16"/>
              </w:rPr>
            </w:pPr>
            <w:r w:rsidRPr="00295832">
              <w:rPr>
                <w:rFonts w:ascii="Arial" w:hAnsi="Arial" w:cs="Arial"/>
                <w:color w:val="000000"/>
                <w:sz w:val="16"/>
                <w:szCs w:val="16"/>
              </w:rPr>
              <w:t> </w:t>
            </w:r>
          </w:p>
        </w:tc>
        <w:tc>
          <w:tcPr>
            <w:tcW w:w="497" w:type="pct"/>
            <w:tcBorders>
              <w:top w:val="single" w:sz="4" w:space="0" w:color="293F5B"/>
              <w:left w:val="nil"/>
              <w:bottom w:val="nil"/>
              <w:right w:val="nil"/>
            </w:tcBorders>
            <w:shd w:val="clear" w:color="000000" w:fill="FFFFFF"/>
            <w:noWrap/>
            <w:vAlign w:val="center"/>
            <w:hideMark/>
          </w:tcPr>
          <w:p w14:paraId="2013BA9C" w14:textId="77777777" w:rsidR="00295832" w:rsidRPr="00295832" w:rsidRDefault="00295832" w:rsidP="00295832">
            <w:pPr>
              <w:spacing w:before="0" w:after="0" w:line="240" w:lineRule="auto"/>
              <w:rPr>
                <w:rFonts w:ascii="Arial" w:hAnsi="Arial" w:cs="Arial"/>
                <w:color w:val="000000"/>
                <w:sz w:val="16"/>
                <w:szCs w:val="16"/>
              </w:rPr>
            </w:pPr>
            <w:r w:rsidRPr="00295832">
              <w:rPr>
                <w:rFonts w:ascii="Arial" w:hAnsi="Arial" w:cs="Arial"/>
                <w:color w:val="000000"/>
                <w:sz w:val="16"/>
                <w:szCs w:val="16"/>
              </w:rPr>
              <w:t> </w:t>
            </w:r>
          </w:p>
        </w:tc>
        <w:tc>
          <w:tcPr>
            <w:tcW w:w="497" w:type="pct"/>
            <w:tcBorders>
              <w:top w:val="single" w:sz="4" w:space="0" w:color="293F5B"/>
              <w:left w:val="nil"/>
              <w:bottom w:val="nil"/>
              <w:right w:val="nil"/>
            </w:tcBorders>
            <w:shd w:val="clear" w:color="000000" w:fill="FFFFFF"/>
            <w:noWrap/>
            <w:vAlign w:val="center"/>
            <w:hideMark/>
          </w:tcPr>
          <w:p w14:paraId="2FEAC099" w14:textId="77777777" w:rsidR="00295832" w:rsidRPr="00295832" w:rsidRDefault="00295832" w:rsidP="00295832">
            <w:pPr>
              <w:spacing w:before="0" w:after="0" w:line="240" w:lineRule="auto"/>
              <w:rPr>
                <w:rFonts w:ascii="Arial" w:hAnsi="Arial" w:cs="Arial"/>
                <w:color w:val="000000"/>
                <w:sz w:val="16"/>
                <w:szCs w:val="16"/>
              </w:rPr>
            </w:pPr>
            <w:r w:rsidRPr="00295832">
              <w:rPr>
                <w:rFonts w:ascii="Arial" w:hAnsi="Arial" w:cs="Arial"/>
                <w:color w:val="000000"/>
                <w:sz w:val="16"/>
                <w:szCs w:val="16"/>
              </w:rPr>
              <w:t> </w:t>
            </w:r>
          </w:p>
        </w:tc>
        <w:tc>
          <w:tcPr>
            <w:tcW w:w="497" w:type="pct"/>
            <w:tcBorders>
              <w:top w:val="single" w:sz="4" w:space="0" w:color="293F5B"/>
              <w:left w:val="nil"/>
              <w:bottom w:val="nil"/>
              <w:right w:val="nil"/>
            </w:tcBorders>
            <w:shd w:val="clear" w:color="000000" w:fill="FFFFFF"/>
            <w:noWrap/>
            <w:vAlign w:val="center"/>
            <w:hideMark/>
          </w:tcPr>
          <w:p w14:paraId="5BEB83D3" w14:textId="77777777" w:rsidR="00295832" w:rsidRPr="00295832" w:rsidRDefault="00295832" w:rsidP="00295832">
            <w:pPr>
              <w:spacing w:before="0" w:after="0" w:line="240" w:lineRule="auto"/>
              <w:rPr>
                <w:rFonts w:ascii="Arial" w:hAnsi="Arial" w:cs="Arial"/>
                <w:color w:val="000000"/>
                <w:sz w:val="16"/>
                <w:szCs w:val="16"/>
              </w:rPr>
            </w:pPr>
            <w:r w:rsidRPr="00295832">
              <w:rPr>
                <w:rFonts w:ascii="Arial" w:hAnsi="Arial" w:cs="Arial"/>
                <w:color w:val="000000"/>
                <w:sz w:val="16"/>
                <w:szCs w:val="16"/>
              </w:rPr>
              <w:t> </w:t>
            </w:r>
          </w:p>
        </w:tc>
      </w:tr>
      <w:tr w:rsidR="00295832" w:rsidRPr="00295832" w14:paraId="35F92E22" w14:textId="77777777" w:rsidTr="00931C28">
        <w:trPr>
          <w:divId w:val="779882756"/>
          <w:trHeight w:hRule="exact" w:val="225"/>
        </w:trPr>
        <w:tc>
          <w:tcPr>
            <w:tcW w:w="1950" w:type="pct"/>
            <w:tcBorders>
              <w:top w:val="nil"/>
              <w:left w:val="nil"/>
              <w:bottom w:val="single" w:sz="4" w:space="0" w:color="293F5B"/>
              <w:right w:val="nil"/>
            </w:tcBorders>
            <w:shd w:val="clear" w:color="000000" w:fill="FFFFFF"/>
            <w:noWrap/>
            <w:vAlign w:val="center"/>
            <w:hideMark/>
          </w:tcPr>
          <w:p w14:paraId="5D1CC1EB" w14:textId="77777777" w:rsidR="00295832" w:rsidRPr="00295832" w:rsidRDefault="00295832" w:rsidP="00931C28">
            <w:pPr>
              <w:spacing w:before="0" w:after="0" w:line="240" w:lineRule="auto"/>
              <w:ind w:left="170"/>
              <w:rPr>
                <w:rFonts w:ascii="Arial" w:hAnsi="Arial" w:cs="Arial"/>
                <w:b/>
                <w:bCs/>
                <w:color w:val="000000"/>
                <w:sz w:val="16"/>
                <w:szCs w:val="16"/>
              </w:rPr>
            </w:pPr>
            <w:r w:rsidRPr="00295832">
              <w:rPr>
                <w:rFonts w:ascii="Arial" w:hAnsi="Arial" w:cs="Arial"/>
                <w:b/>
                <w:bCs/>
                <w:color w:val="000000"/>
                <w:sz w:val="16"/>
                <w:szCs w:val="16"/>
              </w:rPr>
              <w:t xml:space="preserve"> fishing</w:t>
            </w:r>
          </w:p>
        </w:tc>
        <w:tc>
          <w:tcPr>
            <w:tcW w:w="506" w:type="pct"/>
            <w:tcBorders>
              <w:top w:val="nil"/>
              <w:left w:val="nil"/>
              <w:bottom w:val="single" w:sz="4" w:space="0" w:color="293F5B"/>
              <w:right w:val="nil"/>
            </w:tcBorders>
            <w:shd w:val="clear" w:color="000000" w:fill="FFFFFF"/>
            <w:noWrap/>
            <w:vAlign w:val="center"/>
            <w:hideMark/>
          </w:tcPr>
          <w:p w14:paraId="3348370E" w14:textId="77777777" w:rsidR="00295832" w:rsidRPr="00295832" w:rsidRDefault="00295832" w:rsidP="00295832">
            <w:pPr>
              <w:spacing w:before="0" w:after="0" w:line="240" w:lineRule="auto"/>
              <w:jc w:val="right"/>
              <w:rPr>
                <w:rFonts w:ascii="Arial" w:hAnsi="Arial" w:cs="Arial"/>
                <w:b/>
                <w:bCs/>
                <w:color w:val="000000"/>
                <w:sz w:val="16"/>
                <w:szCs w:val="16"/>
              </w:rPr>
            </w:pPr>
            <w:r w:rsidRPr="00295832">
              <w:rPr>
                <w:rFonts w:ascii="Arial" w:hAnsi="Arial" w:cs="Arial"/>
                <w:b/>
                <w:bCs/>
                <w:color w:val="000000"/>
                <w:sz w:val="16"/>
                <w:szCs w:val="16"/>
              </w:rPr>
              <w:t>3,371</w:t>
            </w:r>
          </w:p>
        </w:tc>
        <w:tc>
          <w:tcPr>
            <w:tcW w:w="56" w:type="pct"/>
            <w:tcBorders>
              <w:top w:val="nil"/>
              <w:left w:val="nil"/>
              <w:bottom w:val="single" w:sz="4" w:space="0" w:color="293F5B"/>
              <w:right w:val="nil"/>
            </w:tcBorders>
            <w:shd w:val="clear" w:color="000000" w:fill="FFFFFF"/>
            <w:noWrap/>
            <w:vAlign w:val="center"/>
            <w:hideMark/>
          </w:tcPr>
          <w:p w14:paraId="7474D007" w14:textId="77777777" w:rsidR="00295832" w:rsidRPr="00295832" w:rsidRDefault="00295832" w:rsidP="00295832">
            <w:pPr>
              <w:spacing w:before="0" w:after="0" w:line="240" w:lineRule="auto"/>
              <w:rPr>
                <w:rFonts w:ascii="Arial" w:hAnsi="Arial" w:cs="Arial"/>
                <w:b/>
                <w:bCs/>
                <w:color w:val="000000"/>
                <w:sz w:val="16"/>
                <w:szCs w:val="16"/>
              </w:rPr>
            </w:pPr>
            <w:r w:rsidRPr="00295832">
              <w:rPr>
                <w:rFonts w:ascii="Arial" w:hAnsi="Arial" w:cs="Arial"/>
                <w:b/>
                <w:bCs/>
                <w:color w:val="000000"/>
                <w:sz w:val="16"/>
                <w:szCs w:val="16"/>
              </w:rPr>
              <w:t> </w:t>
            </w:r>
          </w:p>
        </w:tc>
        <w:tc>
          <w:tcPr>
            <w:tcW w:w="498" w:type="pct"/>
            <w:tcBorders>
              <w:top w:val="nil"/>
              <w:left w:val="nil"/>
              <w:bottom w:val="single" w:sz="4" w:space="0" w:color="293F5B"/>
              <w:right w:val="nil"/>
            </w:tcBorders>
            <w:shd w:val="clear" w:color="000000" w:fill="FFFFFF"/>
            <w:noWrap/>
            <w:vAlign w:val="center"/>
            <w:hideMark/>
          </w:tcPr>
          <w:p w14:paraId="405D825F" w14:textId="77777777" w:rsidR="00295832" w:rsidRPr="00295832" w:rsidRDefault="00295832" w:rsidP="00295832">
            <w:pPr>
              <w:spacing w:before="0" w:after="0" w:line="240" w:lineRule="auto"/>
              <w:jc w:val="right"/>
              <w:rPr>
                <w:rFonts w:ascii="Arial" w:hAnsi="Arial" w:cs="Arial"/>
                <w:b/>
                <w:bCs/>
                <w:color w:val="000000"/>
                <w:sz w:val="16"/>
                <w:szCs w:val="16"/>
              </w:rPr>
            </w:pPr>
            <w:r w:rsidRPr="00295832">
              <w:rPr>
                <w:rFonts w:ascii="Arial" w:hAnsi="Arial" w:cs="Arial"/>
                <w:b/>
                <w:bCs/>
                <w:color w:val="000000"/>
                <w:sz w:val="16"/>
                <w:szCs w:val="16"/>
              </w:rPr>
              <w:t>4,068</w:t>
            </w:r>
          </w:p>
        </w:tc>
        <w:tc>
          <w:tcPr>
            <w:tcW w:w="497" w:type="pct"/>
            <w:tcBorders>
              <w:top w:val="nil"/>
              <w:left w:val="nil"/>
              <w:bottom w:val="single" w:sz="4" w:space="0" w:color="293F5B"/>
              <w:right w:val="nil"/>
            </w:tcBorders>
            <w:shd w:val="clear" w:color="000000" w:fill="E6F2FF"/>
            <w:noWrap/>
            <w:vAlign w:val="center"/>
            <w:hideMark/>
          </w:tcPr>
          <w:p w14:paraId="5E5F4AA8" w14:textId="77777777" w:rsidR="00295832" w:rsidRPr="00295832" w:rsidRDefault="00295832" w:rsidP="00295832">
            <w:pPr>
              <w:spacing w:before="0" w:after="0" w:line="240" w:lineRule="auto"/>
              <w:jc w:val="right"/>
              <w:rPr>
                <w:rFonts w:ascii="Arial" w:hAnsi="Arial" w:cs="Arial"/>
                <w:b/>
                <w:bCs/>
                <w:color w:val="000000"/>
                <w:sz w:val="16"/>
                <w:szCs w:val="16"/>
              </w:rPr>
            </w:pPr>
            <w:r w:rsidRPr="00295832">
              <w:rPr>
                <w:rFonts w:ascii="Arial" w:hAnsi="Arial" w:cs="Arial"/>
                <w:b/>
                <w:bCs/>
                <w:color w:val="000000"/>
                <w:sz w:val="16"/>
                <w:szCs w:val="16"/>
              </w:rPr>
              <w:t>4,317</w:t>
            </w:r>
          </w:p>
        </w:tc>
        <w:tc>
          <w:tcPr>
            <w:tcW w:w="497" w:type="pct"/>
            <w:tcBorders>
              <w:top w:val="nil"/>
              <w:left w:val="nil"/>
              <w:bottom w:val="single" w:sz="4" w:space="0" w:color="293F5B"/>
              <w:right w:val="nil"/>
            </w:tcBorders>
            <w:shd w:val="clear" w:color="000000" w:fill="FFFFFF"/>
            <w:noWrap/>
            <w:vAlign w:val="center"/>
            <w:hideMark/>
          </w:tcPr>
          <w:p w14:paraId="08BFE833" w14:textId="77777777" w:rsidR="00295832" w:rsidRPr="00295832" w:rsidRDefault="00295832" w:rsidP="00295832">
            <w:pPr>
              <w:spacing w:before="0" w:after="0" w:line="240" w:lineRule="auto"/>
              <w:jc w:val="right"/>
              <w:rPr>
                <w:rFonts w:ascii="Arial" w:hAnsi="Arial" w:cs="Arial"/>
                <w:b/>
                <w:bCs/>
                <w:color w:val="000000"/>
                <w:sz w:val="16"/>
                <w:szCs w:val="16"/>
              </w:rPr>
            </w:pPr>
            <w:r w:rsidRPr="00295832">
              <w:rPr>
                <w:rFonts w:ascii="Arial" w:hAnsi="Arial" w:cs="Arial"/>
                <w:b/>
                <w:bCs/>
                <w:color w:val="000000"/>
                <w:sz w:val="16"/>
                <w:szCs w:val="16"/>
              </w:rPr>
              <w:t>4,079</w:t>
            </w:r>
          </w:p>
        </w:tc>
        <w:tc>
          <w:tcPr>
            <w:tcW w:w="497" w:type="pct"/>
            <w:tcBorders>
              <w:top w:val="nil"/>
              <w:left w:val="nil"/>
              <w:bottom w:val="single" w:sz="4" w:space="0" w:color="293F5B"/>
              <w:right w:val="nil"/>
            </w:tcBorders>
            <w:shd w:val="clear" w:color="000000" w:fill="FFFFFF"/>
            <w:noWrap/>
            <w:vAlign w:val="center"/>
            <w:hideMark/>
          </w:tcPr>
          <w:p w14:paraId="453BA5D9" w14:textId="77777777" w:rsidR="00295832" w:rsidRPr="00295832" w:rsidRDefault="00295832" w:rsidP="00295832">
            <w:pPr>
              <w:spacing w:before="0" w:after="0" w:line="240" w:lineRule="auto"/>
              <w:jc w:val="right"/>
              <w:rPr>
                <w:rFonts w:ascii="Arial" w:hAnsi="Arial" w:cs="Arial"/>
                <w:b/>
                <w:bCs/>
                <w:color w:val="000000"/>
                <w:sz w:val="16"/>
                <w:szCs w:val="16"/>
              </w:rPr>
            </w:pPr>
            <w:r w:rsidRPr="00295832">
              <w:rPr>
                <w:rFonts w:ascii="Arial" w:hAnsi="Arial" w:cs="Arial"/>
                <w:b/>
                <w:bCs/>
                <w:color w:val="000000"/>
                <w:sz w:val="16"/>
                <w:szCs w:val="16"/>
              </w:rPr>
              <w:t>3,949</w:t>
            </w:r>
          </w:p>
        </w:tc>
        <w:tc>
          <w:tcPr>
            <w:tcW w:w="497" w:type="pct"/>
            <w:tcBorders>
              <w:top w:val="nil"/>
              <w:left w:val="nil"/>
              <w:bottom w:val="single" w:sz="4" w:space="0" w:color="293F5B"/>
              <w:right w:val="nil"/>
            </w:tcBorders>
            <w:shd w:val="clear" w:color="000000" w:fill="FFFFFF"/>
            <w:noWrap/>
            <w:vAlign w:val="center"/>
            <w:hideMark/>
          </w:tcPr>
          <w:p w14:paraId="1C564DF3" w14:textId="77777777" w:rsidR="00295832" w:rsidRPr="00295832" w:rsidRDefault="00295832" w:rsidP="00295832">
            <w:pPr>
              <w:spacing w:before="0" w:after="0" w:line="240" w:lineRule="auto"/>
              <w:jc w:val="right"/>
              <w:rPr>
                <w:rFonts w:ascii="Arial" w:hAnsi="Arial" w:cs="Arial"/>
                <w:b/>
                <w:bCs/>
                <w:color w:val="000000"/>
                <w:sz w:val="16"/>
                <w:szCs w:val="16"/>
              </w:rPr>
            </w:pPr>
            <w:r w:rsidRPr="00295832">
              <w:rPr>
                <w:rFonts w:ascii="Arial" w:hAnsi="Arial" w:cs="Arial"/>
                <w:b/>
                <w:bCs/>
                <w:color w:val="000000"/>
                <w:sz w:val="16"/>
                <w:szCs w:val="16"/>
              </w:rPr>
              <w:t>3,294</w:t>
            </w:r>
          </w:p>
        </w:tc>
      </w:tr>
    </w:tbl>
    <w:p w14:paraId="7A4711E6" w14:textId="6DC18D52" w:rsidR="00BA3D2B" w:rsidRDefault="00BA3D2B" w:rsidP="001A619A">
      <w:r>
        <w:br w:type="page"/>
      </w:r>
    </w:p>
    <w:p w14:paraId="11489DDE" w14:textId="45872C76" w:rsidR="00BA5D50" w:rsidRDefault="004C4B96" w:rsidP="00BA5D50">
      <w:pPr>
        <w:pStyle w:val="TableHeadingcontinued"/>
        <w:rPr>
          <w:rFonts w:asciiTheme="minorHAnsi" w:eastAsiaTheme="minorHAnsi" w:hAnsiTheme="minorHAnsi" w:cstheme="minorBidi"/>
          <w:sz w:val="22"/>
          <w:szCs w:val="22"/>
          <w:lang w:eastAsia="en-US"/>
        </w:rPr>
      </w:pPr>
      <w:r>
        <w:lastRenderedPageBreak/>
        <w:t>Table </w:t>
      </w:r>
      <w:r w:rsidRPr="000177D7">
        <w:t>6A.1: Estimates of expenses by function and sub</w:t>
      </w:r>
      <w:r w:rsidR="008D4F6B">
        <w:noBreakHyphen/>
      </w:r>
      <w:r w:rsidRPr="000177D7">
        <w:t>function (</w:t>
      </w:r>
      <w:r w:rsidRPr="0082780C">
        <w:t>continued</w:t>
      </w:r>
      <w:r>
        <w:t>)</w:t>
      </w:r>
      <w:bookmarkStart w:id="210" w:name="_1727774436"/>
      <w:bookmarkEnd w:id="210"/>
      <w:r>
        <w:t xml:space="preserve"> </w:t>
      </w:r>
      <w:bookmarkStart w:id="211" w:name="_1776945597"/>
      <w:bookmarkStart w:id="212" w:name="_1776942835"/>
      <w:bookmarkStart w:id="213" w:name="_1776942844"/>
      <w:bookmarkEnd w:id="211"/>
      <w:bookmarkEnd w:id="212"/>
      <w:bookmarkEnd w:id="213"/>
    </w:p>
    <w:tbl>
      <w:tblPr>
        <w:tblW w:w="7666" w:type="dxa"/>
        <w:tblCellMar>
          <w:left w:w="0" w:type="dxa"/>
          <w:right w:w="28" w:type="dxa"/>
        </w:tblCellMar>
        <w:tblLook w:val="04A0" w:firstRow="1" w:lastRow="0" w:firstColumn="1" w:lastColumn="0" w:noHBand="0" w:noVBand="1"/>
      </w:tblPr>
      <w:tblGrid>
        <w:gridCol w:w="3118"/>
        <w:gridCol w:w="762"/>
        <w:gridCol w:w="84"/>
        <w:gridCol w:w="750"/>
        <w:gridCol w:w="749"/>
        <w:gridCol w:w="749"/>
        <w:gridCol w:w="749"/>
        <w:gridCol w:w="749"/>
      </w:tblGrid>
      <w:tr w:rsidR="00BA5D50" w:rsidRPr="00BA5D50" w14:paraId="6DF68EB9" w14:textId="77777777" w:rsidTr="007C7AA6">
        <w:trPr>
          <w:trHeight w:val="225"/>
        </w:trPr>
        <w:tc>
          <w:tcPr>
            <w:tcW w:w="3118" w:type="dxa"/>
            <w:tcBorders>
              <w:top w:val="single" w:sz="4" w:space="0" w:color="293F5B"/>
              <w:left w:val="nil"/>
              <w:bottom w:val="nil"/>
              <w:right w:val="nil"/>
            </w:tcBorders>
            <w:shd w:val="clear" w:color="000000" w:fill="FFFFFF"/>
            <w:noWrap/>
            <w:vAlign w:val="center"/>
            <w:hideMark/>
          </w:tcPr>
          <w:p w14:paraId="4796F742" w14:textId="24E8C7E0" w:rsidR="00BA5D50" w:rsidRPr="00BA5D50" w:rsidRDefault="00BA5D50" w:rsidP="00BA5D50">
            <w:pPr>
              <w:spacing w:before="0" w:after="0" w:line="240" w:lineRule="auto"/>
              <w:rPr>
                <w:rFonts w:ascii="Arial" w:hAnsi="Arial" w:cs="Arial"/>
                <w:color w:val="000000"/>
                <w:sz w:val="16"/>
                <w:szCs w:val="16"/>
              </w:rPr>
            </w:pPr>
            <w:r w:rsidRPr="00BA5D50">
              <w:rPr>
                <w:rFonts w:ascii="Arial" w:hAnsi="Arial" w:cs="Arial"/>
                <w:color w:val="000000"/>
                <w:sz w:val="16"/>
                <w:szCs w:val="16"/>
              </w:rPr>
              <w:t> </w:t>
            </w:r>
          </w:p>
        </w:tc>
        <w:tc>
          <w:tcPr>
            <w:tcW w:w="756" w:type="dxa"/>
            <w:tcBorders>
              <w:top w:val="single" w:sz="4" w:space="0" w:color="293F5B"/>
              <w:left w:val="nil"/>
              <w:bottom w:val="single" w:sz="4" w:space="0" w:color="293F5B"/>
              <w:right w:val="nil"/>
            </w:tcBorders>
            <w:shd w:val="clear" w:color="000000" w:fill="FFFFFF"/>
            <w:noWrap/>
            <w:vAlign w:val="center"/>
            <w:hideMark/>
          </w:tcPr>
          <w:p w14:paraId="05988A34" w14:textId="77777777" w:rsidR="00BA5D50" w:rsidRPr="00BA5D50" w:rsidRDefault="00BA5D50" w:rsidP="00BA5D50">
            <w:pPr>
              <w:spacing w:before="0" w:after="0" w:line="240" w:lineRule="auto"/>
              <w:jc w:val="center"/>
              <w:rPr>
                <w:rFonts w:ascii="Arial" w:hAnsi="Arial" w:cs="Arial"/>
                <w:color w:val="000000"/>
                <w:sz w:val="16"/>
                <w:szCs w:val="16"/>
              </w:rPr>
            </w:pPr>
            <w:r w:rsidRPr="00BA5D50">
              <w:rPr>
                <w:rFonts w:ascii="Arial" w:hAnsi="Arial" w:cs="Arial"/>
                <w:color w:val="000000"/>
                <w:sz w:val="16"/>
                <w:szCs w:val="16"/>
              </w:rPr>
              <w:t>Actual</w:t>
            </w:r>
          </w:p>
        </w:tc>
        <w:tc>
          <w:tcPr>
            <w:tcW w:w="76" w:type="dxa"/>
            <w:tcBorders>
              <w:top w:val="single" w:sz="4" w:space="0" w:color="293F5B"/>
              <w:left w:val="nil"/>
              <w:bottom w:val="nil"/>
              <w:right w:val="nil"/>
            </w:tcBorders>
            <w:shd w:val="clear" w:color="000000" w:fill="FFFFFF"/>
            <w:noWrap/>
            <w:vAlign w:val="center"/>
            <w:hideMark/>
          </w:tcPr>
          <w:p w14:paraId="47FA9D98" w14:textId="77777777" w:rsidR="00BA5D50" w:rsidRPr="00BA5D50" w:rsidRDefault="00BA5D50" w:rsidP="00BA5D50">
            <w:pPr>
              <w:spacing w:before="0" w:after="0" w:line="240" w:lineRule="auto"/>
              <w:jc w:val="right"/>
              <w:rPr>
                <w:rFonts w:ascii="Arial" w:hAnsi="Arial" w:cs="Arial"/>
                <w:color w:val="000000"/>
                <w:sz w:val="16"/>
                <w:szCs w:val="16"/>
              </w:rPr>
            </w:pPr>
            <w:r w:rsidRPr="00BA5D50">
              <w:rPr>
                <w:rFonts w:ascii="Arial" w:hAnsi="Arial" w:cs="Arial"/>
                <w:color w:val="000000"/>
                <w:sz w:val="16"/>
                <w:szCs w:val="16"/>
              </w:rPr>
              <w:t> </w:t>
            </w:r>
          </w:p>
        </w:tc>
        <w:tc>
          <w:tcPr>
            <w:tcW w:w="3716" w:type="dxa"/>
            <w:gridSpan w:val="5"/>
            <w:tcBorders>
              <w:top w:val="single" w:sz="4" w:space="0" w:color="293F5B"/>
              <w:left w:val="nil"/>
              <w:bottom w:val="single" w:sz="4" w:space="0" w:color="293F5B"/>
              <w:right w:val="nil"/>
            </w:tcBorders>
            <w:shd w:val="clear" w:color="000000" w:fill="FFFFFF"/>
            <w:noWrap/>
            <w:vAlign w:val="center"/>
            <w:hideMark/>
          </w:tcPr>
          <w:p w14:paraId="747CAC9A" w14:textId="77777777" w:rsidR="00BA5D50" w:rsidRPr="00BA5D50" w:rsidRDefault="00BA5D50" w:rsidP="00BA5D50">
            <w:pPr>
              <w:spacing w:before="0" w:after="0" w:line="240" w:lineRule="auto"/>
              <w:jc w:val="center"/>
              <w:rPr>
                <w:rFonts w:ascii="Arial" w:hAnsi="Arial" w:cs="Arial"/>
                <w:sz w:val="16"/>
                <w:szCs w:val="16"/>
              </w:rPr>
            </w:pPr>
            <w:r w:rsidRPr="00BA5D50">
              <w:rPr>
                <w:rFonts w:ascii="Arial" w:hAnsi="Arial" w:cs="Arial"/>
                <w:sz w:val="16"/>
                <w:szCs w:val="16"/>
              </w:rPr>
              <w:t>Estimates</w:t>
            </w:r>
          </w:p>
        </w:tc>
      </w:tr>
      <w:tr w:rsidR="00BA5D50" w:rsidRPr="00BA5D50" w14:paraId="33AF6691" w14:textId="77777777" w:rsidTr="00610633">
        <w:trPr>
          <w:trHeight w:val="225"/>
        </w:trPr>
        <w:tc>
          <w:tcPr>
            <w:tcW w:w="3118" w:type="dxa"/>
            <w:tcBorders>
              <w:top w:val="nil"/>
              <w:left w:val="nil"/>
              <w:bottom w:val="nil"/>
              <w:right w:val="nil"/>
            </w:tcBorders>
            <w:shd w:val="clear" w:color="000000" w:fill="FFFFFF"/>
            <w:noWrap/>
            <w:vAlign w:val="center"/>
            <w:hideMark/>
          </w:tcPr>
          <w:p w14:paraId="26CE35F0" w14:textId="77777777" w:rsidR="00BA5D50" w:rsidRPr="00BA5D50" w:rsidRDefault="00BA5D50" w:rsidP="00BA5D50">
            <w:pPr>
              <w:spacing w:before="0" w:after="0" w:line="240" w:lineRule="auto"/>
              <w:rPr>
                <w:rFonts w:ascii="Arial" w:hAnsi="Arial" w:cs="Arial"/>
                <w:color w:val="000000"/>
                <w:sz w:val="16"/>
                <w:szCs w:val="16"/>
              </w:rPr>
            </w:pPr>
            <w:r w:rsidRPr="00BA5D50">
              <w:rPr>
                <w:rFonts w:ascii="Arial" w:hAnsi="Arial" w:cs="Arial"/>
                <w:color w:val="000000"/>
                <w:sz w:val="16"/>
                <w:szCs w:val="16"/>
              </w:rPr>
              <w:t> </w:t>
            </w:r>
          </w:p>
        </w:tc>
        <w:tc>
          <w:tcPr>
            <w:tcW w:w="756" w:type="dxa"/>
            <w:tcBorders>
              <w:top w:val="single" w:sz="4" w:space="0" w:color="293F5B"/>
              <w:left w:val="nil"/>
              <w:bottom w:val="nil"/>
              <w:right w:val="nil"/>
            </w:tcBorders>
            <w:shd w:val="clear" w:color="000000" w:fill="FFFFFF"/>
            <w:noWrap/>
            <w:vAlign w:val="center"/>
            <w:hideMark/>
          </w:tcPr>
          <w:p w14:paraId="4FF7ECDD" w14:textId="77777777" w:rsidR="00BA5D50" w:rsidRPr="00BA5D50" w:rsidRDefault="00BA5D50" w:rsidP="00BA5D50">
            <w:pPr>
              <w:spacing w:before="0" w:after="0" w:line="240" w:lineRule="auto"/>
              <w:jc w:val="right"/>
              <w:rPr>
                <w:rFonts w:ascii="Arial" w:hAnsi="Arial" w:cs="Arial"/>
                <w:color w:val="000000"/>
                <w:sz w:val="16"/>
                <w:szCs w:val="16"/>
              </w:rPr>
            </w:pPr>
            <w:r w:rsidRPr="00BA5D50">
              <w:rPr>
                <w:rFonts w:ascii="Arial" w:hAnsi="Arial" w:cs="Arial"/>
                <w:color w:val="000000"/>
                <w:sz w:val="16"/>
                <w:szCs w:val="16"/>
              </w:rPr>
              <w:t>2022-23</w:t>
            </w:r>
          </w:p>
        </w:tc>
        <w:tc>
          <w:tcPr>
            <w:tcW w:w="76" w:type="dxa"/>
            <w:tcBorders>
              <w:top w:val="nil"/>
              <w:left w:val="nil"/>
              <w:bottom w:val="nil"/>
              <w:right w:val="nil"/>
            </w:tcBorders>
            <w:shd w:val="clear" w:color="000000" w:fill="FFFFFF"/>
            <w:noWrap/>
            <w:vAlign w:val="center"/>
            <w:hideMark/>
          </w:tcPr>
          <w:p w14:paraId="7546A85C" w14:textId="77777777" w:rsidR="00BA5D50" w:rsidRPr="00BA5D50" w:rsidRDefault="00BA5D50" w:rsidP="00BA5D50">
            <w:pPr>
              <w:spacing w:before="0" w:after="0" w:line="240" w:lineRule="auto"/>
              <w:jc w:val="right"/>
              <w:rPr>
                <w:rFonts w:ascii="Arial" w:hAnsi="Arial" w:cs="Arial"/>
                <w:color w:val="000000"/>
                <w:sz w:val="16"/>
                <w:szCs w:val="16"/>
              </w:rPr>
            </w:pPr>
            <w:r w:rsidRPr="00BA5D50">
              <w:rPr>
                <w:rFonts w:ascii="Arial" w:hAnsi="Arial" w:cs="Arial"/>
                <w:color w:val="000000"/>
                <w:sz w:val="16"/>
                <w:szCs w:val="16"/>
              </w:rPr>
              <w:t> </w:t>
            </w:r>
          </w:p>
        </w:tc>
        <w:tc>
          <w:tcPr>
            <w:tcW w:w="744" w:type="dxa"/>
            <w:tcBorders>
              <w:top w:val="single" w:sz="4" w:space="0" w:color="293F5B"/>
              <w:left w:val="nil"/>
              <w:bottom w:val="nil"/>
              <w:right w:val="nil"/>
            </w:tcBorders>
            <w:shd w:val="clear" w:color="000000" w:fill="FFFFFF"/>
            <w:noWrap/>
            <w:vAlign w:val="center"/>
            <w:hideMark/>
          </w:tcPr>
          <w:p w14:paraId="32B5B59A" w14:textId="77777777" w:rsidR="00BA5D50" w:rsidRPr="00BA5D50" w:rsidRDefault="00BA5D50" w:rsidP="00BA5D50">
            <w:pPr>
              <w:spacing w:before="0" w:after="0" w:line="240" w:lineRule="auto"/>
              <w:jc w:val="right"/>
              <w:rPr>
                <w:rFonts w:ascii="Arial" w:hAnsi="Arial" w:cs="Arial"/>
                <w:sz w:val="16"/>
                <w:szCs w:val="16"/>
              </w:rPr>
            </w:pPr>
            <w:r w:rsidRPr="00BA5D50">
              <w:rPr>
                <w:rFonts w:ascii="Arial" w:hAnsi="Arial" w:cs="Arial"/>
                <w:sz w:val="16"/>
                <w:szCs w:val="16"/>
              </w:rPr>
              <w:t>2023-24</w:t>
            </w:r>
          </w:p>
        </w:tc>
        <w:tc>
          <w:tcPr>
            <w:tcW w:w="743" w:type="dxa"/>
            <w:tcBorders>
              <w:top w:val="single" w:sz="4" w:space="0" w:color="293F5B"/>
              <w:left w:val="nil"/>
              <w:bottom w:val="nil"/>
              <w:right w:val="nil"/>
            </w:tcBorders>
            <w:shd w:val="clear" w:color="000000" w:fill="E6F2FF"/>
            <w:noWrap/>
            <w:vAlign w:val="center"/>
            <w:hideMark/>
          </w:tcPr>
          <w:p w14:paraId="0004A93E" w14:textId="77777777" w:rsidR="00BA5D50" w:rsidRPr="00BA5D50" w:rsidRDefault="00BA5D50" w:rsidP="00BA5D50">
            <w:pPr>
              <w:spacing w:before="0" w:after="0" w:line="240" w:lineRule="auto"/>
              <w:jc w:val="right"/>
              <w:rPr>
                <w:rFonts w:ascii="Arial" w:hAnsi="Arial" w:cs="Arial"/>
                <w:sz w:val="16"/>
                <w:szCs w:val="16"/>
              </w:rPr>
            </w:pPr>
            <w:r w:rsidRPr="00BA5D50">
              <w:rPr>
                <w:rFonts w:ascii="Arial" w:hAnsi="Arial" w:cs="Arial"/>
                <w:sz w:val="16"/>
                <w:szCs w:val="16"/>
              </w:rPr>
              <w:t>2024-25</w:t>
            </w:r>
          </w:p>
        </w:tc>
        <w:tc>
          <w:tcPr>
            <w:tcW w:w="743" w:type="dxa"/>
            <w:tcBorders>
              <w:top w:val="single" w:sz="4" w:space="0" w:color="293F5B"/>
              <w:left w:val="nil"/>
              <w:bottom w:val="nil"/>
              <w:right w:val="nil"/>
            </w:tcBorders>
            <w:shd w:val="clear" w:color="000000" w:fill="FFFFFF"/>
            <w:noWrap/>
            <w:vAlign w:val="center"/>
            <w:hideMark/>
          </w:tcPr>
          <w:p w14:paraId="4DDD7043" w14:textId="77777777" w:rsidR="00BA5D50" w:rsidRPr="00BA5D50" w:rsidRDefault="00BA5D50" w:rsidP="00BA5D50">
            <w:pPr>
              <w:spacing w:before="0" w:after="0" w:line="240" w:lineRule="auto"/>
              <w:jc w:val="right"/>
              <w:rPr>
                <w:rFonts w:ascii="Arial" w:hAnsi="Arial" w:cs="Arial"/>
                <w:sz w:val="16"/>
                <w:szCs w:val="16"/>
              </w:rPr>
            </w:pPr>
            <w:r w:rsidRPr="00BA5D50">
              <w:rPr>
                <w:rFonts w:ascii="Arial" w:hAnsi="Arial" w:cs="Arial"/>
                <w:sz w:val="16"/>
                <w:szCs w:val="16"/>
              </w:rPr>
              <w:t>2025-26</w:t>
            </w:r>
          </w:p>
        </w:tc>
        <w:tc>
          <w:tcPr>
            <w:tcW w:w="743" w:type="dxa"/>
            <w:tcBorders>
              <w:top w:val="single" w:sz="4" w:space="0" w:color="293F5B"/>
              <w:left w:val="nil"/>
              <w:bottom w:val="nil"/>
              <w:right w:val="nil"/>
            </w:tcBorders>
            <w:shd w:val="clear" w:color="000000" w:fill="FFFFFF"/>
            <w:noWrap/>
            <w:vAlign w:val="center"/>
            <w:hideMark/>
          </w:tcPr>
          <w:p w14:paraId="432891C8" w14:textId="77777777" w:rsidR="00BA5D50" w:rsidRPr="00BA5D50" w:rsidRDefault="00BA5D50" w:rsidP="00BA5D50">
            <w:pPr>
              <w:spacing w:before="0" w:after="0" w:line="240" w:lineRule="auto"/>
              <w:jc w:val="right"/>
              <w:rPr>
                <w:rFonts w:ascii="Arial" w:hAnsi="Arial" w:cs="Arial"/>
                <w:sz w:val="16"/>
                <w:szCs w:val="16"/>
              </w:rPr>
            </w:pPr>
            <w:r w:rsidRPr="00BA5D50">
              <w:rPr>
                <w:rFonts w:ascii="Arial" w:hAnsi="Arial" w:cs="Arial"/>
                <w:sz w:val="16"/>
                <w:szCs w:val="16"/>
              </w:rPr>
              <w:t>2026-27</w:t>
            </w:r>
          </w:p>
        </w:tc>
        <w:tc>
          <w:tcPr>
            <w:tcW w:w="743" w:type="dxa"/>
            <w:tcBorders>
              <w:top w:val="single" w:sz="4" w:space="0" w:color="293F5B"/>
              <w:left w:val="nil"/>
              <w:bottom w:val="nil"/>
              <w:right w:val="nil"/>
            </w:tcBorders>
            <w:shd w:val="clear" w:color="000000" w:fill="FFFFFF"/>
            <w:noWrap/>
            <w:vAlign w:val="center"/>
            <w:hideMark/>
          </w:tcPr>
          <w:p w14:paraId="066D8C63" w14:textId="77777777" w:rsidR="00BA5D50" w:rsidRPr="00BA5D50" w:rsidRDefault="00BA5D50" w:rsidP="00BA5D50">
            <w:pPr>
              <w:spacing w:before="0" w:after="0" w:line="240" w:lineRule="auto"/>
              <w:jc w:val="right"/>
              <w:rPr>
                <w:rFonts w:ascii="Arial" w:hAnsi="Arial" w:cs="Arial"/>
                <w:color w:val="000000"/>
                <w:sz w:val="16"/>
                <w:szCs w:val="16"/>
              </w:rPr>
            </w:pPr>
            <w:r w:rsidRPr="00BA5D50">
              <w:rPr>
                <w:rFonts w:ascii="Arial" w:hAnsi="Arial" w:cs="Arial"/>
                <w:color w:val="000000"/>
                <w:sz w:val="16"/>
                <w:szCs w:val="16"/>
              </w:rPr>
              <w:t>2027-28</w:t>
            </w:r>
          </w:p>
        </w:tc>
      </w:tr>
      <w:tr w:rsidR="00BA5D50" w:rsidRPr="00BA5D50" w14:paraId="4FBB9EB8" w14:textId="77777777" w:rsidTr="00610633">
        <w:trPr>
          <w:trHeight w:val="225"/>
        </w:trPr>
        <w:tc>
          <w:tcPr>
            <w:tcW w:w="3118" w:type="dxa"/>
            <w:tcBorders>
              <w:top w:val="nil"/>
              <w:left w:val="nil"/>
              <w:bottom w:val="nil"/>
              <w:right w:val="nil"/>
            </w:tcBorders>
            <w:shd w:val="clear" w:color="000000" w:fill="FFFFFF"/>
            <w:noWrap/>
            <w:vAlign w:val="center"/>
            <w:hideMark/>
          </w:tcPr>
          <w:p w14:paraId="6AFE8FC8" w14:textId="77777777" w:rsidR="00BA5D50" w:rsidRPr="00BA5D50" w:rsidRDefault="00BA5D50" w:rsidP="00BA5D50">
            <w:pPr>
              <w:spacing w:before="0" w:after="0" w:line="240" w:lineRule="auto"/>
              <w:rPr>
                <w:rFonts w:ascii="Arial" w:hAnsi="Arial" w:cs="Arial"/>
                <w:color w:val="000000"/>
                <w:sz w:val="16"/>
                <w:szCs w:val="16"/>
              </w:rPr>
            </w:pPr>
            <w:r w:rsidRPr="00BA5D50">
              <w:rPr>
                <w:rFonts w:ascii="Arial" w:hAnsi="Arial" w:cs="Arial"/>
                <w:color w:val="000000"/>
                <w:sz w:val="16"/>
                <w:szCs w:val="16"/>
              </w:rPr>
              <w:t> </w:t>
            </w:r>
          </w:p>
        </w:tc>
        <w:tc>
          <w:tcPr>
            <w:tcW w:w="756" w:type="dxa"/>
            <w:tcBorders>
              <w:top w:val="nil"/>
              <w:left w:val="nil"/>
              <w:bottom w:val="single" w:sz="4" w:space="0" w:color="293F5B"/>
              <w:right w:val="nil"/>
            </w:tcBorders>
            <w:shd w:val="clear" w:color="000000" w:fill="FFFFFF"/>
            <w:noWrap/>
            <w:vAlign w:val="center"/>
            <w:hideMark/>
          </w:tcPr>
          <w:p w14:paraId="42DED3F5" w14:textId="77777777" w:rsidR="00BA5D50" w:rsidRPr="00BA5D50" w:rsidRDefault="00BA5D50" w:rsidP="00BA5D50">
            <w:pPr>
              <w:spacing w:before="0" w:after="0" w:line="240" w:lineRule="auto"/>
              <w:jc w:val="right"/>
              <w:rPr>
                <w:rFonts w:ascii="Arial" w:hAnsi="Arial" w:cs="Arial"/>
                <w:color w:val="000000"/>
                <w:sz w:val="16"/>
                <w:szCs w:val="16"/>
              </w:rPr>
            </w:pPr>
            <w:r w:rsidRPr="00BA5D50">
              <w:rPr>
                <w:rFonts w:ascii="Arial" w:hAnsi="Arial" w:cs="Arial"/>
                <w:color w:val="000000"/>
                <w:sz w:val="16"/>
                <w:szCs w:val="16"/>
              </w:rPr>
              <w:t>$m</w:t>
            </w:r>
          </w:p>
        </w:tc>
        <w:tc>
          <w:tcPr>
            <w:tcW w:w="76" w:type="dxa"/>
            <w:tcBorders>
              <w:top w:val="nil"/>
              <w:left w:val="nil"/>
              <w:bottom w:val="nil"/>
              <w:right w:val="nil"/>
            </w:tcBorders>
            <w:shd w:val="clear" w:color="000000" w:fill="FFFFFF"/>
            <w:noWrap/>
            <w:vAlign w:val="center"/>
            <w:hideMark/>
          </w:tcPr>
          <w:p w14:paraId="797631D8" w14:textId="77777777" w:rsidR="00BA5D50" w:rsidRPr="00BA5D50" w:rsidRDefault="00BA5D50" w:rsidP="00BA5D50">
            <w:pPr>
              <w:spacing w:before="0" w:after="0" w:line="240" w:lineRule="auto"/>
              <w:jc w:val="right"/>
              <w:rPr>
                <w:rFonts w:ascii="Arial" w:hAnsi="Arial" w:cs="Arial"/>
                <w:color w:val="000000"/>
                <w:sz w:val="16"/>
                <w:szCs w:val="16"/>
              </w:rPr>
            </w:pPr>
            <w:r w:rsidRPr="00BA5D50">
              <w:rPr>
                <w:rFonts w:ascii="Arial" w:hAnsi="Arial" w:cs="Arial"/>
                <w:color w:val="000000"/>
                <w:sz w:val="16"/>
                <w:szCs w:val="16"/>
              </w:rPr>
              <w:t> </w:t>
            </w:r>
          </w:p>
        </w:tc>
        <w:tc>
          <w:tcPr>
            <w:tcW w:w="744" w:type="dxa"/>
            <w:tcBorders>
              <w:top w:val="nil"/>
              <w:left w:val="nil"/>
              <w:bottom w:val="single" w:sz="4" w:space="0" w:color="293F5B"/>
              <w:right w:val="nil"/>
            </w:tcBorders>
            <w:shd w:val="clear" w:color="000000" w:fill="FFFFFF"/>
            <w:noWrap/>
            <w:vAlign w:val="center"/>
            <w:hideMark/>
          </w:tcPr>
          <w:p w14:paraId="4663357D" w14:textId="77777777" w:rsidR="00BA5D50" w:rsidRPr="00BA5D50" w:rsidRDefault="00BA5D50" w:rsidP="00BA5D50">
            <w:pPr>
              <w:spacing w:before="0" w:after="0" w:line="240" w:lineRule="auto"/>
              <w:jc w:val="right"/>
              <w:rPr>
                <w:rFonts w:ascii="Arial" w:hAnsi="Arial" w:cs="Arial"/>
                <w:color w:val="000000"/>
                <w:sz w:val="16"/>
                <w:szCs w:val="16"/>
              </w:rPr>
            </w:pPr>
            <w:r w:rsidRPr="00BA5D50">
              <w:rPr>
                <w:rFonts w:ascii="Arial" w:hAnsi="Arial" w:cs="Arial"/>
                <w:color w:val="000000"/>
                <w:sz w:val="16"/>
                <w:szCs w:val="16"/>
              </w:rPr>
              <w:t>$m</w:t>
            </w:r>
          </w:p>
        </w:tc>
        <w:tc>
          <w:tcPr>
            <w:tcW w:w="743" w:type="dxa"/>
            <w:tcBorders>
              <w:top w:val="nil"/>
              <w:left w:val="nil"/>
              <w:bottom w:val="single" w:sz="4" w:space="0" w:color="293F5B"/>
              <w:right w:val="nil"/>
            </w:tcBorders>
            <w:shd w:val="clear" w:color="000000" w:fill="E6F2FF"/>
            <w:noWrap/>
            <w:vAlign w:val="center"/>
            <w:hideMark/>
          </w:tcPr>
          <w:p w14:paraId="6707C65D" w14:textId="77777777" w:rsidR="00BA5D50" w:rsidRPr="00BA5D50" w:rsidRDefault="00BA5D50" w:rsidP="00BA5D50">
            <w:pPr>
              <w:spacing w:before="0" w:after="0" w:line="240" w:lineRule="auto"/>
              <w:jc w:val="right"/>
              <w:rPr>
                <w:rFonts w:ascii="Arial" w:hAnsi="Arial" w:cs="Arial"/>
                <w:color w:val="000000"/>
                <w:sz w:val="16"/>
                <w:szCs w:val="16"/>
              </w:rPr>
            </w:pPr>
            <w:r w:rsidRPr="00BA5D50">
              <w:rPr>
                <w:rFonts w:ascii="Arial" w:hAnsi="Arial" w:cs="Arial"/>
                <w:color w:val="000000"/>
                <w:sz w:val="16"/>
                <w:szCs w:val="16"/>
              </w:rPr>
              <w:t>$m</w:t>
            </w:r>
          </w:p>
        </w:tc>
        <w:tc>
          <w:tcPr>
            <w:tcW w:w="743" w:type="dxa"/>
            <w:tcBorders>
              <w:top w:val="nil"/>
              <w:left w:val="nil"/>
              <w:bottom w:val="single" w:sz="4" w:space="0" w:color="293F5B"/>
              <w:right w:val="nil"/>
            </w:tcBorders>
            <w:shd w:val="clear" w:color="000000" w:fill="FFFFFF"/>
            <w:noWrap/>
            <w:vAlign w:val="center"/>
            <w:hideMark/>
          </w:tcPr>
          <w:p w14:paraId="3051C257" w14:textId="77777777" w:rsidR="00BA5D50" w:rsidRPr="00BA5D50" w:rsidRDefault="00BA5D50" w:rsidP="00BA5D50">
            <w:pPr>
              <w:spacing w:before="0" w:after="0" w:line="240" w:lineRule="auto"/>
              <w:jc w:val="right"/>
              <w:rPr>
                <w:rFonts w:ascii="Arial" w:hAnsi="Arial" w:cs="Arial"/>
                <w:color w:val="000000"/>
                <w:sz w:val="16"/>
                <w:szCs w:val="16"/>
              </w:rPr>
            </w:pPr>
            <w:r w:rsidRPr="00BA5D50">
              <w:rPr>
                <w:rFonts w:ascii="Arial" w:hAnsi="Arial" w:cs="Arial"/>
                <w:color w:val="000000"/>
                <w:sz w:val="16"/>
                <w:szCs w:val="16"/>
              </w:rPr>
              <w:t>$m</w:t>
            </w:r>
          </w:p>
        </w:tc>
        <w:tc>
          <w:tcPr>
            <w:tcW w:w="743" w:type="dxa"/>
            <w:tcBorders>
              <w:top w:val="nil"/>
              <w:left w:val="nil"/>
              <w:bottom w:val="single" w:sz="4" w:space="0" w:color="293F5B"/>
              <w:right w:val="nil"/>
            </w:tcBorders>
            <w:shd w:val="clear" w:color="000000" w:fill="FFFFFF"/>
            <w:noWrap/>
            <w:vAlign w:val="center"/>
            <w:hideMark/>
          </w:tcPr>
          <w:p w14:paraId="4B99544E" w14:textId="77777777" w:rsidR="00BA5D50" w:rsidRPr="00BA5D50" w:rsidRDefault="00BA5D50" w:rsidP="00BA5D50">
            <w:pPr>
              <w:spacing w:before="0" w:after="0" w:line="240" w:lineRule="auto"/>
              <w:jc w:val="right"/>
              <w:rPr>
                <w:rFonts w:ascii="Arial" w:hAnsi="Arial" w:cs="Arial"/>
                <w:color w:val="000000"/>
                <w:sz w:val="16"/>
                <w:szCs w:val="16"/>
              </w:rPr>
            </w:pPr>
            <w:r w:rsidRPr="00BA5D50">
              <w:rPr>
                <w:rFonts w:ascii="Arial" w:hAnsi="Arial" w:cs="Arial"/>
                <w:color w:val="000000"/>
                <w:sz w:val="16"/>
                <w:szCs w:val="16"/>
              </w:rPr>
              <w:t>$m</w:t>
            </w:r>
          </w:p>
        </w:tc>
        <w:tc>
          <w:tcPr>
            <w:tcW w:w="743" w:type="dxa"/>
            <w:tcBorders>
              <w:top w:val="nil"/>
              <w:left w:val="nil"/>
              <w:bottom w:val="single" w:sz="4" w:space="0" w:color="293F5B"/>
              <w:right w:val="nil"/>
            </w:tcBorders>
            <w:shd w:val="clear" w:color="000000" w:fill="FFFFFF"/>
            <w:noWrap/>
            <w:vAlign w:val="center"/>
            <w:hideMark/>
          </w:tcPr>
          <w:p w14:paraId="5443FFDD" w14:textId="77777777" w:rsidR="00BA5D50" w:rsidRPr="00BA5D50" w:rsidRDefault="00BA5D50" w:rsidP="00BA5D50">
            <w:pPr>
              <w:spacing w:before="0" w:after="0" w:line="240" w:lineRule="auto"/>
              <w:jc w:val="right"/>
              <w:rPr>
                <w:rFonts w:ascii="Arial" w:hAnsi="Arial" w:cs="Arial"/>
                <w:color w:val="000000"/>
                <w:sz w:val="16"/>
                <w:szCs w:val="16"/>
              </w:rPr>
            </w:pPr>
            <w:r w:rsidRPr="00BA5D50">
              <w:rPr>
                <w:rFonts w:ascii="Arial" w:hAnsi="Arial" w:cs="Arial"/>
                <w:color w:val="000000"/>
                <w:sz w:val="16"/>
                <w:szCs w:val="16"/>
              </w:rPr>
              <w:t>$m</w:t>
            </w:r>
          </w:p>
        </w:tc>
      </w:tr>
      <w:tr w:rsidR="00BA5D50" w:rsidRPr="00BA5D50" w14:paraId="268652ED" w14:textId="77777777" w:rsidTr="007C7AA6">
        <w:trPr>
          <w:trHeight w:val="225"/>
        </w:trPr>
        <w:tc>
          <w:tcPr>
            <w:tcW w:w="3118" w:type="dxa"/>
            <w:tcBorders>
              <w:top w:val="nil"/>
              <w:left w:val="nil"/>
              <w:bottom w:val="nil"/>
              <w:right w:val="nil"/>
            </w:tcBorders>
            <w:shd w:val="clear" w:color="000000" w:fill="FFFFFF"/>
            <w:noWrap/>
            <w:vAlign w:val="center"/>
            <w:hideMark/>
          </w:tcPr>
          <w:p w14:paraId="6BC4E616" w14:textId="77777777" w:rsidR="00BA5D50" w:rsidRPr="00BA5D50" w:rsidRDefault="00BA5D50" w:rsidP="00BA5D50">
            <w:pPr>
              <w:spacing w:before="0" w:after="0" w:line="240" w:lineRule="auto"/>
              <w:rPr>
                <w:rFonts w:ascii="Arial" w:hAnsi="Arial" w:cs="Arial"/>
                <w:b/>
                <w:bCs/>
                <w:color w:val="000000"/>
                <w:sz w:val="16"/>
                <w:szCs w:val="16"/>
              </w:rPr>
            </w:pPr>
            <w:r w:rsidRPr="00BA5D50">
              <w:rPr>
                <w:rFonts w:ascii="Arial" w:hAnsi="Arial" w:cs="Arial"/>
                <w:b/>
                <w:bCs/>
                <w:color w:val="000000"/>
                <w:sz w:val="16"/>
                <w:szCs w:val="16"/>
              </w:rPr>
              <w:t>Mining, manufacturing and</w:t>
            </w:r>
          </w:p>
        </w:tc>
        <w:tc>
          <w:tcPr>
            <w:tcW w:w="756" w:type="dxa"/>
            <w:tcBorders>
              <w:top w:val="nil"/>
              <w:left w:val="nil"/>
              <w:bottom w:val="nil"/>
              <w:right w:val="nil"/>
            </w:tcBorders>
            <w:shd w:val="clear" w:color="000000" w:fill="FFFFFF"/>
            <w:noWrap/>
            <w:vAlign w:val="center"/>
            <w:hideMark/>
          </w:tcPr>
          <w:p w14:paraId="7BBBD3BF" w14:textId="77777777" w:rsidR="00BA5D50" w:rsidRPr="00BA5D50" w:rsidRDefault="00BA5D50" w:rsidP="00BA5D50">
            <w:pPr>
              <w:spacing w:before="0" w:after="0" w:line="240" w:lineRule="auto"/>
              <w:rPr>
                <w:rFonts w:ascii="Arial" w:hAnsi="Arial" w:cs="Arial"/>
                <w:color w:val="000000"/>
                <w:sz w:val="16"/>
                <w:szCs w:val="16"/>
              </w:rPr>
            </w:pPr>
            <w:r w:rsidRPr="00BA5D50">
              <w:rPr>
                <w:rFonts w:ascii="Arial" w:hAnsi="Arial" w:cs="Arial"/>
                <w:color w:val="000000"/>
                <w:sz w:val="16"/>
                <w:szCs w:val="16"/>
              </w:rPr>
              <w:t> </w:t>
            </w:r>
          </w:p>
        </w:tc>
        <w:tc>
          <w:tcPr>
            <w:tcW w:w="76" w:type="dxa"/>
            <w:tcBorders>
              <w:top w:val="nil"/>
              <w:left w:val="nil"/>
              <w:bottom w:val="nil"/>
              <w:right w:val="nil"/>
            </w:tcBorders>
            <w:shd w:val="clear" w:color="000000" w:fill="FFFFFF"/>
            <w:noWrap/>
            <w:vAlign w:val="center"/>
            <w:hideMark/>
          </w:tcPr>
          <w:p w14:paraId="6FB74D08" w14:textId="77777777" w:rsidR="00BA5D50" w:rsidRPr="00BA5D50" w:rsidRDefault="00BA5D50" w:rsidP="00BA5D50">
            <w:pPr>
              <w:spacing w:before="0" w:after="0" w:line="240" w:lineRule="auto"/>
              <w:rPr>
                <w:rFonts w:ascii="Arial" w:hAnsi="Arial" w:cs="Arial"/>
                <w:color w:val="000000"/>
                <w:sz w:val="16"/>
                <w:szCs w:val="16"/>
              </w:rPr>
            </w:pPr>
            <w:r w:rsidRPr="00BA5D50">
              <w:rPr>
                <w:rFonts w:ascii="Arial" w:hAnsi="Arial" w:cs="Arial"/>
                <w:color w:val="000000"/>
                <w:sz w:val="16"/>
                <w:szCs w:val="16"/>
              </w:rPr>
              <w:t> </w:t>
            </w:r>
          </w:p>
        </w:tc>
        <w:tc>
          <w:tcPr>
            <w:tcW w:w="744" w:type="dxa"/>
            <w:tcBorders>
              <w:top w:val="single" w:sz="4" w:space="0" w:color="293F5B"/>
              <w:left w:val="nil"/>
              <w:bottom w:val="nil"/>
              <w:right w:val="nil"/>
            </w:tcBorders>
            <w:shd w:val="clear" w:color="000000" w:fill="FFFFFF"/>
            <w:noWrap/>
            <w:vAlign w:val="center"/>
            <w:hideMark/>
          </w:tcPr>
          <w:p w14:paraId="6613157A" w14:textId="77777777" w:rsidR="00BA5D50" w:rsidRPr="00BA5D50" w:rsidRDefault="00BA5D50" w:rsidP="00BA5D50">
            <w:pPr>
              <w:spacing w:before="0" w:after="0" w:line="240" w:lineRule="auto"/>
              <w:rPr>
                <w:rFonts w:ascii="Arial" w:hAnsi="Arial" w:cs="Arial"/>
                <w:color w:val="000000"/>
                <w:sz w:val="16"/>
                <w:szCs w:val="16"/>
              </w:rPr>
            </w:pPr>
            <w:r w:rsidRPr="00BA5D50">
              <w:rPr>
                <w:rFonts w:ascii="Arial" w:hAnsi="Arial" w:cs="Arial"/>
                <w:color w:val="000000"/>
                <w:sz w:val="16"/>
                <w:szCs w:val="16"/>
              </w:rPr>
              <w:t> </w:t>
            </w:r>
          </w:p>
        </w:tc>
        <w:tc>
          <w:tcPr>
            <w:tcW w:w="743" w:type="dxa"/>
            <w:tcBorders>
              <w:top w:val="single" w:sz="4" w:space="0" w:color="293F5B"/>
              <w:left w:val="nil"/>
              <w:bottom w:val="nil"/>
              <w:right w:val="nil"/>
            </w:tcBorders>
            <w:shd w:val="clear" w:color="000000" w:fill="E6F2FF"/>
            <w:noWrap/>
            <w:vAlign w:val="center"/>
            <w:hideMark/>
          </w:tcPr>
          <w:p w14:paraId="052BE6FB" w14:textId="77777777" w:rsidR="00BA5D50" w:rsidRPr="00BA5D50" w:rsidRDefault="00BA5D50" w:rsidP="00BA5D50">
            <w:pPr>
              <w:spacing w:before="0" w:after="0" w:line="240" w:lineRule="auto"/>
              <w:rPr>
                <w:rFonts w:ascii="Arial" w:hAnsi="Arial" w:cs="Arial"/>
                <w:color w:val="000000"/>
                <w:sz w:val="16"/>
                <w:szCs w:val="16"/>
              </w:rPr>
            </w:pPr>
            <w:r w:rsidRPr="00BA5D50">
              <w:rPr>
                <w:rFonts w:ascii="Arial" w:hAnsi="Arial" w:cs="Arial"/>
                <w:color w:val="000000"/>
                <w:sz w:val="16"/>
                <w:szCs w:val="16"/>
              </w:rPr>
              <w:t> </w:t>
            </w:r>
          </w:p>
        </w:tc>
        <w:tc>
          <w:tcPr>
            <w:tcW w:w="743" w:type="dxa"/>
            <w:tcBorders>
              <w:top w:val="single" w:sz="4" w:space="0" w:color="293F5B"/>
              <w:left w:val="nil"/>
              <w:bottom w:val="nil"/>
              <w:right w:val="nil"/>
            </w:tcBorders>
            <w:shd w:val="clear" w:color="000000" w:fill="FFFFFF"/>
            <w:noWrap/>
            <w:vAlign w:val="center"/>
            <w:hideMark/>
          </w:tcPr>
          <w:p w14:paraId="0048CFC1" w14:textId="77777777" w:rsidR="00BA5D50" w:rsidRPr="00BA5D50" w:rsidRDefault="00BA5D50" w:rsidP="00BA5D50">
            <w:pPr>
              <w:spacing w:before="0" w:after="0" w:line="240" w:lineRule="auto"/>
              <w:rPr>
                <w:rFonts w:ascii="Arial" w:hAnsi="Arial" w:cs="Arial"/>
                <w:color w:val="000000"/>
                <w:sz w:val="16"/>
                <w:szCs w:val="16"/>
              </w:rPr>
            </w:pPr>
            <w:r w:rsidRPr="00BA5D50">
              <w:rPr>
                <w:rFonts w:ascii="Arial" w:hAnsi="Arial" w:cs="Arial"/>
                <w:color w:val="000000"/>
                <w:sz w:val="16"/>
                <w:szCs w:val="16"/>
              </w:rPr>
              <w:t> </w:t>
            </w:r>
          </w:p>
        </w:tc>
        <w:tc>
          <w:tcPr>
            <w:tcW w:w="743" w:type="dxa"/>
            <w:tcBorders>
              <w:top w:val="single" w:sz="4" w:space="0" w:color="293F5B"/>
              <w:left w:val="nil"/>
              <w:bottom w:val="nil"/>
              <w:right w:val="nil"/>
            </w:tcBorders>
            <w:shd w:val="clear" w:color="000000" w:fill="FFFFFF"/>
            <w:noWrap/>
            <w:vAlign w:val="center"/>
            <w:hideMark/>
          </w:tcPr>
          <w:p w14:paraId="0456C4CE" w14:textId="77777777" w:rsidR="00BA5D50" w:rsidRPr="00BA5D50" w:rsidRDefault="00BA5D50" w:rsidP="00BA5D50">
            <w:pPr>
              <w:spacing w:before="0" w:after="0" w:line="240" w:lineRule="auto"/>
              <w:rPr>
                <w:rFonts w:ascii="Arial" w:hAnsi="Arial" w:cs="Arial"/>
                <w:color w:val="000000"/>
                <w:sz w:val="16"/>
                <w:szCs w:val="16"/>
              </w:rPr>
            </w:pPr>
            <w:r w:rsidRPr="00BA5D50">
              <w:rPr>
                <w:rFonts w:ascii="Arial" w:hAnsi="Arial" w:cs="Arial"/>
                <w:color w:val="000000"/>
                <w:sz w:val="16"/>
                <w:szCs w:val="16"/>
              </w:rPr>
              <w:t> </w:t>
            </w:r>
          </w:p>
        </w:tc>
        <w:tc>
          <w:tcPr>
            <w:tcW w:w="743" w:type="dxa"/>
            <w:tcBorders>
              <w:top w:val="single" w:sz="4" w:space="0" w:color="293F5B"/>
              <w:left w:val="nil"/>
              <w:bottom w:val="nil"/>
              <w:right w:val="nil"/>
            </w:tcBorders>
            <w:shd w:val="clear" w:color="000000" w:fill="FFFFFF"/>
            <w:noWrap/>
            <w:vAlign w:val="center"/>
            <w:hideMark/>
          </w:tcPr>
          <w:p w14:paraId="0FC8D454" w14:textId="77777777" w:rsidR="00BA5D50" w:rsidRPr="00BA5D50" w:rsidRDefault="00BA5D50" w:rsidP="00BA5D50">
            <w:pPr>
              <w:spacing w:before="0" w:after="0" w:line="240" w:lineRule="auto"/>
              <w:rPr>
                <w:rFonts w:ascii="Arial" w:hAnsi="Arial" w:cs="Arial"/>
                <w:color w:val="000000"/>
                <w:sz w:val="16"/>
                <w:szCs w:val="16"/>
              </w:rPr>
            </w:pPr>
            <w:r w:rsidRPr="00BA5D50">
              <w:rPr>
                <w:rFonts w:ascii="Arial" w:hAnsi="Arial" w:cs="Arial"/>
                <w:color w:val="000000"/>
                <w:sz w:val="16"/>
                <w:szCs w:val="16"/>
              </w:rPr>
              <w:t> </w:t>
            </w:r>
          </w:p>
        </w:tc>
      </w:tr>
      <w:tr w:rsidR="00BA5D50" w:rsidRPr="00BA5D50" w14:paraId="450A0DD4" w14:textId="77777777" w:rsidTr="00610633">
        <w:trPr>
          <w:trHeight w:val="225"/>
        </w:trPr>
        <w:tc>
          <w:tcPr>
            <w:tcW w:w="3118" w:type="dxa"/>
            <w:tcBorders>
              <w:top w:val="nil"/>
              <w:left w:val="nil"/>
              <w:bottom w:val="nil"/>
              <w:right w:val="nil"/>
            </w:tcBorders>
            <w:shd w:val="clear" w:color="000000" w:fill="FFFFFF"/>
            <w:noWrap/>
            <w:vAlign w:val="center"/>
            <w:hideMark/>
          </w:tcPr>
          <w:p w14:paraId="0A28086F" w14:textId="77777777" w:rsidR="00BA5D50" w:rsidRPr="00BA5D50" w:rsidRDefault="00BA5D50" w:rsidP="00BA5D50">
            <w:pPr>
              <w:spacing w:before="0" w:after="0" w:line="240" w:lineRule="auto"/>
              <w:ind w:firstLineChars="100" w:firstLine="161"/>
              <w:rPr>
                <w:rFonts w:ascii="Arial" w:hAnsi="Arial" w:cs="Arial"/>
                <w:b/>
                <w:bCs/>
                <w:color w:val="000000"/>
                <w:sz w:val="16"/>
                <w:szCs w:val="16"/>
              </w:rPr>
            </w:pPr>
            <w:r w:rsidRPr="00BA5D50">
              <w:rPr>
                <w:rFonts w:ascii="Arial" w:hAnsi="Arial" w:cs="Arial"/>
                <w:b/>
                <w:bCs/>
                <w:color w:val="000000"/>
                <w:sz w:val="16"/>
                <w:szCs w:val="16"/>
              </w:rPr>
              <w:t>construction</w:t>
            </w:r>
          </w:p>
        </w:tc>
        <w:tc>
          <w:tcPr>
            <w:tcW w:w="756" w:type="dxa"/>
            <w:tcBorders>
              <w:top w:val="nil"/>
              <w:left w:val="nil"/>
              <w:bottom w:val="nil"/>
              <w:right w:val="nil"/>
            </w:tcBorders>
            <w:shd w:val="clear" w:color="000000" w:fill="FFFFFF"/>
            <w:noWrap/>
            <w:vAlign w:val="center"/>
            <w:hideMark/>
          </w:tcPr>
          <w:p w14:paraId="3CD83A3E" w14:textId="77777777" w:rsidR="00BA5D50" w:rsidRPr="00BA5D50" w:rsidRDefault="00BA5D50" w:rsidP="00BA5D50">
            <w:pPr>
              <w:spacing w:before="0" w:after="0" w:line="240" w:lineRule="auto"/>
              <w:jc w:val="right"/>
              <w:rPr>
                <w:rFonts w:ascii="Arial" w:hAnsi="Arial" w:cs="Arial"/>
                <w:b/>
                <w:bCs/>
                <w:color w:val="000000"/>
                <w:sz w:val="16"/>
                <w:szCs w:val="16"/>
              </w:rPr>
            </w:pPr>
            <w:r w:rsidRPr="00BA5D50">
              <w:rPr>
                <w:rFonts w:ascii="Arial" w:hAnsi="Arial" w:cs="Arial"/>
                <w:b/>
                <w:bCs/>
                <w:color w:val="000000"/>
                <w:sz w:val="16"/>
                <w:szCs w:val="16"/>
              </w:rPr>
              <w:t>5,167</w:t>
            </w:r>
          </w:p>
        </w:tc>
        <w:tc>
          <w:tcPr>
            <w:tcW w:w="76" w:type="dxa"/>
            <w:tcBorders>
              <w:top w:val="nil"/>
              <w:left w:val="nil"/>
              <w:bottom w:val="nil"/>
              <w:right w:val="nil"/>
            </w:tcBorders>
            <w:shd w:val="clear" w:color="000000" w:fill="FFFFFF"/>
            <w:noWrap/>
            <w:vAlign w:val="center"/>
            <w:hideMark/>
          </w:tcPr>
          <w:p w14:paraId="4E3F2949" w14:textId="77777777" w:rsidR="00BA5D50" w:rsidRPr="00BA5D50" w:rsidRDefault="00BA5D50" w:rsidP="00BA5D50">
            <w:pPr>
              <w:spacing w:before="0" w:after="0" w:line="240" w:lineRule="auto"/>
              <w:rPr>
                <w:rFonts w:ascii="Arial" w:hAnsi="Arial" w:cs="Arial"/>
                <w:b/>
                <w:bCs/>
                <w:color w:val="000000"/>
                <w:sz w:val="16"/>
                <w:szCs w:val="16"/>
              </w:rPr>
            </w:pPr>
            <w:r w:rsidRPr="00BA5D50">
              <w:rPr>
                <w:rFonts w:ascii="Arial" w:hAnsi="Arial" w:cs="Arial"/>
                <w:b/>
                <w:bCs/>
                <w:color w:val="000000"/>
                <w:sz w:val="16"/>
                <w:szCs w:val="16"/>
              </w:rPr>
              <w:t> </w:t>
            </w:r>
          </w:p>
        </w:tc>
        <w:tc>
          <w:tcPr>
            <w:tcW w:w="744" w:type="dxa"/>
            <w:tcBorders>
              <w:top w:val="nil"/>
              <w:left w:val="nil"/>
              <w:bottom w:val="nil"/>
              <w:right w:val="nil"/>
            </w:tcBorders>
            <w:shd w:val="clear" w:color="000000" w:fill="FFFFFF"/>
            <w:noWrap/>
            <w:vAlign w:val="center"/>
            <w:hideMark/>
          </w:tcPr>
          <w:p w14:paraId="681FC60F" w14:textId="77777777" w:rsidR="00BA5D50" w:rsidRPr="00BA5D50" w:rsidRDefault="00BA5D50" w:rsidP="00BA5D50">
            <w:pPr>
              <w:spacing w:before="0" w:after="0" w:line="240" w:lineRule="auto"/>
              <w:jc w:val="right"/>
              <w:rPr>
                <w:rFonts w:ascii="Arial" w:hAnsi="Arial" w:cs="Arial"/>
                <w:b/>
                <w:bCs/>
                <w:color w:val="000000"/>
                <w:sz w:val="16"/>
                <w:szCs w:val="16"/>
              </w:rPr>
            </w:pPr>
            <w:r w:rsidRPr="00BA5D50">
              <w:rPr>
                <w:rFonts w:ascii="Arial" w:hAnsi="Arial" w:cs="Arial"/>
                <w:b/>
                <w:bCs/>
                <w:color w:val="000000"/>
                <w:sz w:val="16"/>
                <w:szCs w:val="16"/>
              </w:rPr>
              <w:t>5,968</w:t>
            </w:r>
          </w:p>
        </w:tc>
        <w:tc>
          <w:tcPr>
            <w:tcW w:w="743" w:type="dxa"/>
            <w:tcBorders>
              <w:top w:val="nil"/>
              <w:left w:val="nil"/>
              <w:bottom w:val="nil"/>
              <w:right w:val="nil"/>
            </w:tcBorders>
            <w:shd w:val="clear" w:color="000000" w:fill="E6F2FF"/>
            <w:noWrap/>
            <w:vAlign w:val="center"/>
            <w:hideMark/>
          </w:tcPr>
          <w:p w14:paraId="25FE26E9" w14:textId="77777777" w:rsidR="00BA5D50" w:rsidRPr="00BA5D50" w:rsidRDefault="00BA5D50" w:rsidP="00BA5D50">
            <w:pPr>
              <w:spacing w:before="0" w:after="0" w:line="240" w:lineRule="auto"/>
              <w:jc w:val="right"/>
              <w:rPr>
                <w:rFonts w:ascii="Arial" w:hAnsi="Arial" w:cs="Arial"/>
                <w:b/>
                <w:bCs/>
                <w:color w:val="000000"/>
                <w:sz w:val="16"/>
                <w:szCs w:val="16"/>
              </w:rPr>
            </w:pPr>
            <w:r w:rsidRPr="00BA5D50">
              <w:rPr>
                <w:rFonts w:ascii="Arial" w:hAnsi="Arial" w:cs="Arial"/>
                <w:b/>
                <w:bCs/>
                <w:color w:val="000000"/>
                <w:sz w:val="16"/>
                <w:szCs w:val="16"/>
              </w:rPr>
              <w:t>5,511</w:t>
            </w:r>
          </w:p>
        </w:tc>
        <w:tc>
          <w:tcPr>
            <w:tcW w:w="743" w:type="dxa"/>
            <w:tcBorders>
              <w:top w:val="nil"/>
              <w:left w:val="nil"/>
              <w:bottom w:val="nil"/>
              <w:right w:val="nil"/>
            </w:tcBorders>
            <w:shd w:val="clear" w:color="000000" w:fill="FFFFFF"/>
            <w:noWrap/>
            <w:vAlign w:val="center"/>
            <w:hideMark/>
          </w:tcPr>
          <w:p w14:paraId="22277CFB" w14:textId="77777777" w:rsidR="00BA5D50" w:rsidRPr="00BA5D50" w:rsidRDefault="00BA5D50" w:rsidP="00BA5D50">
            <w:pPr>
              <w:spacing w:before="0" w:after="0" w:line="240" w:lineRule="auto"/>
              <w:jc w:val="right"/>
              <w:rPr>
                <w:rFonts w:ascii="Arial" w:hAnsi="Arial" w:cs="Arial"/>
                <w:b/>
                <w:bCs/>
                <w:color w:val="000000"/>
                <w:sz w:val="16"/>
                <w:szCs w:val="16"/>
              </w:rPr>
            </w:pPr>
            <w:r w:rsidRPr="00BA5D50">
              <w:rPr>
                <w:rFonts w:ascii="Arial" w:hAnsi="Arial" w:cs="Arial"/>
                <w:b/>
                <w:bCs/>
                <w:color w:val="000000"/>
                <w:sz w:val="16"/>
                <w:szCs w:val="16"/>
              </w:rPr>
              <w:t>5,563</w:t>
            </w:r>
          </w:p>
        </w:tc>
        <w:tc>
          <w:tcPr>
            <w:tcW w:w="743" w:type="dxa"/>
            <w:tcBorders>
              <w:top w:val="nil"/>
              <w:left w:val="nil"/>
              <w:bottom w:val="nil"/>
              <w:right w:val="nil"/>
            </w:tcBorders>
            <w:shd w:val="clear" w:color="000000" w:fill="FFFFFF"/>
            <w:noWrap/>
            <w:vAlign w:val="center"/>
            <w:hideMark/>
          </w:tcPr>
          <w:p w14:paraId="5FF275D5" w14:textId="77777777" w:rsidR="00BA5D50" w:rsidRPr="00BA5D50" w:rsidRDefault="00BA5D50" w:rsidP="00BA5D50">
            <w:pPr>
              <w:spacing w:before="0" w:after="0" w:line="240" w:lineRule="auto"/>
              <w:jc w:val="right"/>
              <w:rPr>
                <w:rFonts w:ascii="Arial" w:hAnsi="Arial" w:cs="Arial"/>
                <w:b/>
                <w:bCs/>
                <w:color w:val="000000"/>
                <w:sz w:val="16"/>
                <w:szCs w:val="16"/>
              </w:rPr>
            </w:pPr>
            <w:r w:rsidRPr="00BA5D50">
              <w:rPr>
                <w:rFonts w:ascii="Arial" w:hAnsi="Arial" w:cs="Arial"/>
                <w:b/>
                <w:bCs/>
                <w:color w:val="000000"/>
                <w:sz w:val="16"/>
                <w:szCs w:val="16"/>
              </w:rPr>
              <w:t>5,776</w:t>
            </w:r>
          </w:p>
        </w:tc>
        <w:tc>
          <w:tcPr>
            <w:tcW w:w="743" w:type="dxa"/>
            <w:tcBorders>
              <w:top w:val="nil"/>
              <w:left w:val="nil"/>
              <w:bottom w:val="nil"/>
              <w:right w:val="nil"/>
            </w:tcBorders>
            <w:shd w:val="clear" w:color="000000" w:fill="FFFFFF"/>
            <w:noWrap/>
            <w:vAlign w:val="center"/>
            <w:hideMark/>
          </w:tcPr>
          <w:p w14:paraId="739F659C" w14:textId="77777777" w:rsidR="00BA5D50" w:rsidRPr="00BA5D50" w:rsidRDefault="00BA5D50" w:rsidP="00BA5D50">
            <w:pPr>
              <w:spacing w:before="0" w:after="0" w:line="240" w:lineRule="auto"/>
              <w:jc w:val="right"/>
              <w:rPr>
                <w:rFonts w:ascii="Arial" w:hAnsi="Arial" w:cs="Arial"/>
                <w:b/>
                <w:bCs/>
                <w:color w:val="000000"/>
                <w:sz w:val="16"/>
                <w:szCs w:val="16"/>
              </w:rPr>
            </w:pPr>
            <w:r w:rsidRPr="00BA5D50">
              <w:rPr>
                <w:rFonts w:ascii="Arial" w:hAnsi="Arial" w:cs="Arial"/>
                <w:b/>
                <w:bCs/>
                <w:color w:val="000000"/>
                <w:sz w:val="16"/>
                <w:szCs w:val="16"/>
              </w:rPr>
              <w:t>6,172</w:t>
            </w:r>
          </w:p>
        </w:tc>
      </w:tr>
      <w:tr w:rsidR="00BA5D50" w:rsidRPr="00BA5D50" w14:paraId="29F27FFA" w14:textId="77777777" w:rsidTr="00610633">
        <w:trPr>
          <w:trHeight w:val="60"/>
        </w:trPr>
        <w:tc>
          <w:tcPr>
            <w:tcW w:w="3118" w:type="dxa"/>
            <w:tcBorders>
              <w:top w:val="nil"/>
              <w:left w:val="nil"/>
              <w:bottom w:val="nil"/>
              <w:right w:val="nil"/>
            </w:tcBorders>
            <w:shd w:val="clear" w:color="000000" w:fill="FFFFFF"/>
            <w:noWrap/>
            <w:vAlign w:val="center"/>
            <w:hideMark/>
          </w:tcPr>
          <w:p w14:paraId="2DC1571B" w14:textId="77777777" w:rsidR="00BA5D50" w:rsidRPr="00204B48" w:rsidRDefault="00BA5D50" w:rsidP="00BA5D50">
            <w:pPr>
              <w:spacing w:before="0" w:after="0" w:line="240" w:lineRule="auto"/>
              <w:rPr>
                <w:rFonts w:ascii="Arial" w:hAnsi="Arial" w:cs="Arial"/>
                <w:color w:val="000000"/>
                <w:sz w:val="4"/>
                <w:szCs w:val="4"/>
              </w:rPr>
            </w:pPr>
            <w:r w:rsidRPr="00204B48">
              <w:rPr>
                <w:rFonts w:ascii="Arial" w:hAnsi="Arial" w:cs="Arial"/>
                <w:color w:val="000000"/>
                <w:sz w:val="4"/>
                <w:szCs w:val="4"/>
              </w:rPr>
              <w:t> </w:t>
            </w:r>
          </w:p>
        </w:tc>
        <w:tc>
          <w:tcPr>
            <w:tcW w:w="756" w:type="dxa"/>
            <w:tcBorders>
              <w:top w:val="nil"/>
              <w:left w:val="nil"/>
              <w:bottom w:val="nil"/>
              <w:right w:val="nil"/>
            </w:tcBorders>
            <w:shd w:val="clear" w:color="000000" w:fill="FFFFFF"/>
            <w:noWrap/>
            <w:vAlign w:val="center"/>
            <w:hideMark/>
          </w:tcPr>
          <w:p w14:paraId="6D377F85" w14:textId="77777777" w:rsidR="00BA5D50" w:rsidRPr="00204B48" w:rsidRDefault="00BA5D50" w:rsidP="00BA5D50">
            <w:pPr>
              <w:spacing w:before="0" w:after="0" w:line="240" w:lineRule="auto"/>
              <w:rPr>
                <w:rFonts w:ascii="Arial" w:hAnsi="Arial" w:cs="Arial"/>
                <w:color w:val="000000"/>
                <w:sz w:val="4"/>
                <w:szCs w:val="4"/>
              </w:rPr>
            </w:pPr>
            <w:r w:rsidRPr="00204B48">
              <w:rPr>
                <w:rFonts w:ascii="Arial" w:hAnsi="Arial" w:cs="Arial"/>
                <w:color w:val="000000"/>
                <w:sz w:val="4"/>
                <w:szCs w:val="4"/>
              </w:rPr>
              <w:t> </w:t>
            </w:r>
          </w:p>
        </w:tc>
        <w:tc>
          <w:tcPr>
            <w:tcW w:w="76" w:type="dxa"/>
            <w:tcBorders>
              <w:top w:val="nil"/>
              <w:left w:val="nil"/>
              <w:bottom w:val="nil"/>
              <w:right w:val="nil"/>
            </w:tcBorders>
            <w:shd w:val="clear" w:color="000000" w:fill="FFFFFF"/>
            <w:noWrap/>
            <w:vAlign w:val="center"/>
            <w:hideMark/>
          </w:tcPr>
          <w:p w14:paraId="052413EC" w14:textId="77777777" w:rsidR="00BA5D50" w:rsidRPr="00204B48" w:rsidRDefault="00BA5D50" w:rsidP="00BA5D50">
            <w:pPr>
              <w:spacing w:before="0" w:after="0" w:line="240" w:lineRule="auto"/>
              <w:rPr>
                <w:rFonts w:ascii="Arial" w:hAnsi="Arial" w:cs="Arial"/>
                <w:color w:val="000000"/>
                <w:sz w:val="4"/>
                <w:szCs w:val="4"/>
              </w:rPr>
            </w:pPr>
            <w:r w:rsidRPr="00204B48">
              <w:rPr>
                <w:rFonts w:ascii="Arial" w:hAnsi="Arial" w:cs="Arial"/>
                <w:color w:val="000000"/>
                <w:sz w:val="4"/>
                <w:szCs w:val="4"/>
              </w:rPr>
              <w:t> </w:t>
            </w:r>
          </w:p>
        </w:tc>
        <w:tc>
          <w:tcPr>
            <w:tcW w:w="744" w:type="dxa"/>
            <w:tcBorders>
              <w:top w:val="nil"/>
              <w:left w:val="nil"/>
              <w:bottom w:val="nil"/>
              <w:right w:val="nil"/>
            </w:tcBorders>
            <w:shd w:val="clear" w:color="000000" w:fill="FFFFFF"/>
            <w:noWrap/>
            <w:vAlign w:val="center"/>
            <w:hideMark/>
          </w:tcPr>
          <w:p w14:paraId="541CE8ED" w14:textId="77777777" w:rsidR="00BA5D50" w:rsidRPr="00204B48" w:rsidRDefault="00BA5D50" w:rsidP="00BA5D50">
            <w:pPr>
              <w:spacing w:before="0" w:after="0" w:line="240" w:lineRule="auto"/>
              <w:rPr>
                <w:rFonts w:ascii="Arial" w:hAnsi="Arial" w:cs="Arial"/>
                <w:color w:val="000000"/>
                <w:sz w:val="4"/>
                <w:szCs w:val="4"/>
              </w:rPr>
            </w:pPr>
            <w:r w:rsidRPr="00204B48">
              <w:rPr>
                <w:rFonts w:ascii="Arial" w:hAnsi="Arial" w:cs="Arial"/>
                <w:color w:val="000000"/>
                <w:sz w:val="4"/>
                <w:szCs w:val="4"/>
              </w:rPr>
              <w:t> </w:t>
            </w:r>
          </w:p>
        </w:tc>
        <w:tc>
          <w:tcPr>
            <w:tcW w:w="743" w:type="dxa"/>
            <w:tcBorders>
              <w:top w:val="nil"/>
              <w:left w:val="nil"/>
              <w:bottom w:val="nil"/>
              <w:right w:val="nil"/>
            </w:tcBorders>
            <w:shd w:val="clear" w:color="000000" w:fill="E6F2FF"/>
            <w:noWrap/>
            <w:vAlign w:val="center"/>
            <w:hideMark/>
          </w:tcPr>
          <w:p w14:paraId="74209BAB" w14:textId="77777777" w:rsidR="00BA5D50" w:rsidRPr="00204B48" w:rsidRDefault="00BA5D50" w:rsidP="00BA5D50">
            <w:pPr>
              <w:spacing w:before="0" w:after="0" w:line="240" w:lineRule="auto"/>
              <w:rPr>
                <w:rFonts w:ascii="Arial" w:hAnsi="Arial" w:cs="Arial"/>
                <w:color w:val="000000"/>
                <w:sz w:val="4"/>
                <w:szCs w:val="4"/>
              </w:rPr>
            </w:pPr>
            <w:r w:rsidRPr="00204B48">
              <w:rPr>
                <w:rFonts w:ascii="Arial" w:hAnsi="Arial" w:cs="Arial"/>
                <w:color w:val="000000"/>
                <w:sz w:val="4"/>
                <w:szCs w:val="4"/>
              </w:rPr>
              <w:t> </w:t>
            </w:r>
          </w:p>
        </w:tc>
        <w:tc>
          <w:tcPr>
            <w:tcW w:w="743" w:type="dxa"/>
            <w:tcBorders>
              <w:top w:val="nil"/>
              <w:left w:val="nil"/>
              <w:bottom w:val="nil"/>
              <w:right w:val="nil"/>
            </w:tcBorders>
            <w:shd w:val="clear" w:color="000000" w:fill="FFFFFF"/>
            <w:noWrap/>
            <w:vAlign w:val="center"/>
            <w:hideMark/>
          </w:tcPr>
          <w:p w14:paraId="2200EB94" w14:textId="77777777" w:rsidR="00BA5D50" w:rsidRPr="00204B48" w:rsidRDefault="00BA5D50" w:rsidP="00BA5D50">
            <w:pPr>
              <w:spacing w:before="0" w:after="0" w:line="240" w:lineRule="auto"/>
              <w:rPr>
                <w:rFonts w:ascii="Arial" w:hAnsi="Arial" w:cs="Arial"/>
                <w:color w:val="000000"/>
                <w:sz w:val="4"/>
                <w:szCs w:val="4"/>
              </w:rPr>
            </w:pPr>
            <w:r w:rsidRPr="00204B48">
              <w:rPr>
                <w:rFonts w:ascii="Arial" w:hAnsi="Arial" w:cs="Arial"/>
                <w:color w:val="000000"/>
                <w:sz w:val="4"/>
                <w:szCs w:val="4"/>
              </w:rPr>
              <w:t> </w:t>
            </w:r>
          </w:p>
        </w:tc>
        <w:tc>
          <w:tcPr>
            <w:tcW w:w="743" w:type="dxa"/>
            <w:tcBorders>
              <w:top w:val="nil"/>
              <w:left w:val="nil"/>
              <w:bottom w:val="nil"/>
              <w:right w:val="nil"/>
            </w:tcBorders>
            <w:shd w:val="clear" w:color="000000" w:fill="FFFFFF"/>
            <w:noWrap/>
            <w:vAlign w:val="center"/>
            <w:hideMark/>
          </w:tcPr>
          <w:p w14:paraId="185A5B5E" w14:textId="77777777" w:rsidR="00BA5D50" w:rsidRPr="00204B48" w:rsidRDefault="00BA5D50" w:rsidP="00BA5D50">
            <w:pPr>
              <w:spacing w:before="0" w:after="0" w:line="240" w:lineRule="auto"/>
              <w:rPr>
                <w:rFonts w:ascii="Arial" w:hAnsi="Arial" w:cs="Arial"/>
                <w:color w:val="000000"/>
                <w:sz w:val="4"/>
                <w:szCs w:val="4"/>
              </w:rPr>
            </w:pPr>
            <w:r w:rsidRPr="00204B48">
              <w:rPr>
                <w:rFonts w:ascii="Arial" w:hAnsi="Arial" w:cs="Arial"/>
                <w:color w:val="000000"/>
                <w:sz w:val="4"/>
                <w:szCs w:val="4"/>
              </w:rPr>
              <w:t> </w:t>
            </w:r>
          </w:p>
        </w:tc>
        <w:tc>
          <w:tcPr>
            <w:tcW w:w="743" w:type="dxa"/>
            <w:tcBorders>
              <w:top w:val="nil"/>
              <w:left w:val="nil"/>
              <w:bottom w:val="nil"/>
              <w:right w:val="nil"/>
            </w:tcBorders>
            <w:shd w:val="clear" w:color="000000" w:fill="FFFFFF"/>
            <w:noWrap/>
            <w:vAlign w:val="center"/>
            <w:hideMark/>
          </w:tcPr>
          <w:p w14:paraId="5D6FED61" w14:textId="77777777" w:rsidR="00BA5D50" w:rsidRPr="00204B48" w:rsidRDefault="00BA5D50" w:rsidP="00BA5D50">
            <w:pPr>
              <w:spacing w:before="0" w:after="0" w:line="240" w:lineRule="auto"/>
              <w:rPr>
                <w:rFonts w:ascii="Arial" w:hAnsi="Arial" w:cs="Arial"/>
                <w:color w:val="000000"/>
                <w:sz w:val="4"/>
                <w:szCs w:val="4"/>
              </w:rPr>
            </w:pPr>
            <w:r w:rsidRPr="00204B48">
              <w:rPr>
                <w:rFonts w:ascii="Arial" w:hAnsi="Arial" w:cs="Arial"/>
                <w:color w:val="000000"/>
                <w:sz w:val="4"/>
                <w:szCs w:val="4"/>
              </w:rPr>
              <w:t> </w:t>
            </w:r>
          </w:p>
        </w:tc>
      </w:tr>
      <w:tr w:rsidR="00BA5D50" w:rsidRPr="00BA5D50" w14:paraId="4A532A88" w14:textId="77777777" w:rsidTr="00610633">
        <w:trPr>
          <w:trHeight w:val="218"/>
        </w:trPr>
        <w:tc>
          <w:tcPr>
            <w:tcW w:w="3118" w:type="dxa"/>
            <w:tcBorders>
              <w:top w:val="nil"/>
              <w:left w:val="nil"/>
              <w:bottom w:val="nil"/>
              <w:right w:val="nil"/>
            </w:tcBorders>
            <w:shd w:val="clear" w:color="000000" w:fill="FFFFFF"/>
            <w:noWrap/>
            <w:vAlign w:val="center"/>
            <w:hideMark/>
          </w:tcPr>
          <w:p w14:paraId="57245636" w14:textId="77777777" w:rsidR="00BA5D50" w:rsidRPr="00BA5D50" w:rsidRDefault="00BA5D50" w:rsidP="00BA5D50">
            <w:pPr>
              <w:spacing w:before="0" w:after="0" w:line="240" w:lineRule="auto"/>
              <w:rPr>
                <w:rFonts w:ascii="Arial" w:hAnsi="Arial" w:cs="Arial"/>
                <w:b/>
                <w:bCs/>
                <w:color w:val="000000"/>
                <w:sz w:val="16"/>
                <w:szCs w:val="16"/>
              </w:rPr>
            </w:pPr>
            <w:r w:rsidRPr="00BA5D50">
              <w:rPr>
                <w:rFonts w:ascii="Arial" w:hAnsi="Arial" w:cs="Arial"/>
                <w:b/>
                <w:bCs/>
                <w:color w:val="000000"/>
                <w:sz w:val="16"/>
                <w:szCs w:val="16"/>
              </w:rPr>
              <w:t>Transport and communication</w:t>
            </w:r>
          </w:p>
        </w:tc>
        <w:tc>
          <w:tcPr>
            <w:tcW w:w="756" w:type="dxa"/>
            <w:tcBorders>
              <w:top w:val="nil"/>
              <w:left w:val="nil"/>
              <w:bottom w:val="nil"/>
              <w:right w:val="nil"/>
            </w:tcBorders>
            <w:shd w:val="clear" w:color="000000" w:fill="FFFFFF"/>
            <w:noWrap/>
            <w:vAlign w:val="center"/>
            <w:hideMark/>
          </w:tcPr>
          <w:p w14:paraId="280C3EE5" w14:textId="77777777" w:rsidR="00BA5D50" w:rsidRPr="00BA5D50" w:rsidRDefault="00BA5D50" w:rsidP="00BA5D50">
            <w:pPr>
              <w:spacing w:before="0" w:after="0" w:line="240" w:lineRule="auto"/>
              <w:rPr>
                <w:rFonts w:ascii="Arial" w:hAnsi="Arial" w:cs="Arial"/>
                <w:color w:val="000000"/>
                <w:sz w:val="16"/>
                <w:szCs w:val="16"/>
              </w:rPr>
            </w:pPr>
            <w:r w:rsidRPr="00BA5D50">
              <w:rPr>
                <w:rFonts w:ascii="Arial" w:hAnsi="Arial" w:cs="Arial"/>
                <w:color w:val="000000"/>
                <w:sz w:val="16"/>
                <w:szCs w:val="16"/>
              </w:rPr>
              <w:t> </w:t>
            </w:r>
          </w:p>
        </w:tc>
        <w:tc>
          <w:tcPr>
            <w:tcW w:w="76" w:type="dxa"/>
            <w:tcBorders>
              <w:top w:val="nil"/>
              <w:left w:val="nil"/>
              <w:bottom w:val="nil"/>
              <w:right w:val="nil"/>
            </w:tcBorders>
            <w:shd w:val="clear" w:color="000000" w:fill="FFFFFF"/>
            <w:noWrap/>
            <w:vAlign w:val="center"/>
            <w:hideMark/>
          </w:tcPr>
          <w:p w14:paraId="78D59288" w14:textId="77777777" w:rsidR="00BA5D50" w:rsidRPr="00BA5D50" w:rsidRDefault="00BA5D50" w:rsidP="00BA5D50">
            <w:pPr>
              <w:spacing w:before="0" w:after="0" w:line="240" w:lineRule="auto"/>
              <w:rPr>
                <w:rFonts w:ascii="Arial" w:hAnsi="Arial" w:cs="Arial"/>
                <w:color w:val="000000"/>
                <w:sz w:val="16"/>
                <w:szCs w:val="16"/>
              </w:rPr>
            </w:pPr>
            <w:r w:rsidRPr="00BA5D50">
              <w:rPr>
                <w:rFonts w:ascii="Arial" w:hAnsi="Arial" w:cs="Arial"/>
                <w:color w:val="000000"/>
                <w:sz w:val="16"/>
                <w:szCs w:val="16"/>
              </w:rPr>
              <w:t> </w:t>
            </w:r>
          </w:p>
        </w:tc>
        <w:tc>
          <w:tcPr>
            <w:tcW w:w="744" w:type="dxa"/>
            <w:tcBorders>
              <w:top w:val="nil"/>
              <w:left w:val="nil"/>
              <w:bottom w:val="nil"/>
              <w:right w:val="nil"/>
            </w:tcBorders>
            <w:shd w:val="clear" w:color="000000" w:fill="FFFFFF"/>
            <w:noWrap/>
            <w:vAlign w:val="center"/>
            <w:hideMark/>
          </w:tcPr>
          <w:p w14:paraId="34636637" w14:textId="77777777" w:rsidR="00BA5D50" w:rsidRPr="00BA5D50" w:rsidRDefault="00BA5D50" w:rsidP="00BA5D50">
            <w:pPr>
              <w:spacing w:before="0" w:after="0" w:line="240" w:lineRule="auto"/>
              <w:rPr>
                <w:rFonts w:ascii="Arial" w:hAnsi="Arial" w:cs="Arial"/>
                <w:color w:val="000000"/>
                <w:sz w:val="16"/>
                <w:szCs w:val="16"/>
              </w:rPr>
            </w:pPr>
            <w:r w:rsidRPr="00BA5D50">
              <w:rPr>
                <w:rFonts w:ascii="Arial" w:hAnsi="Arial" w:cs="Arial"/>
                <w:color w:val="000000"/>
                <w:sz w:val="16"/>
                <w:szCs w:val="16"/>
              </w:rPr>
              <w:t> </w:t>
            </w:r>
          </w:p>
        </w:tc>
        <w:tc>
          <w:tcPr>
            <w:tcW w:w="743" w:type="dxa"/>
            <w:tcBorders>
              <w:top w:val="nil"/>
              <w:left w:val="nil"/>
              <w:bottom w:val="nil"/>
              <w:right w:val="nil"/>
            </w:tcBorders>
            <w:shd w:val="clear" w:color="000000" w:fill="E6F2FF"/>
            <w:noWrap/>
            <w:vAlign w:val="center"/>
            <w:hideMark/>
          </w:tcPr>
          <w:p w14:paraId="64551ABA" w14:textId="77777777" w:rsidR="00BA5D50" w:rsidRPr="00BA5D50" w:rsidRDefault="00BA5D50" w:rsidP="00BA5D50">
            <w:pPr>
              <w:spacing w:before="0" w:after="0" w:line="240" w:lineRule="auto"/>
              <w:rPr>
                <w:rFonts w:ascii="Arial" w:hAnsi="Arial" w:cs="Arial"/>
                <w:color w:val="000000"/>
                <w:sz w:val="16"/>
                <w:szCs w:val="16"/>
              </w:rPr>
            </w:pPr>
            <w:r w:rsidRPr="00BA5D50">
              <w:rPr>
                <w:rFonts w:ascii="Arial" w:hAnsi="Arial" w:cs="Arial"/>
                <w:color w:val="000000"/>
                <w:sz w:val="16"/>
                <w:szCs w:val="16"/>
              </w:rPr>
              <w:t> </w:t>
            </w:r>
          </w:p>
        </w:tc>
        <w:tc>
          <w:tcPr>
            <w:tcW w:w="743" w:type="dxa"/>
            <w:tcBorders>
              <w:top w:val="nil"/>
              <w:left w:val="nil"/>
              <w:bottom w:val="nil"/>
              <w:right w:val="nil"/>
            </w:tcBorders>
            <w:shd w:val="clear" w:color="000000" w:fill="FFFFFF"/>
            <w:noWrap/>
            <w:vAlign w:val="center"/>
            <w:hideMark/>
          </w:tcPr>
          <w:p w14:paraId="2FEF4E1A" w14:textId="77777777" w:rsidR="00BA5D50" w:rsidRPr="00BA5D50" w:rsidRDefault="00BA5D50" w:rsidP="00BA5D50">
            <w:pPr>
              <w:spacing w:before="0" w:after="0" w:line="240" w:lineRule="auto"/>
              <w:rPr>
                <w:rFonts w:ascii="Arial" w:hAnsi="Arial" w:cs="Arial"/>
                <w:color w:val="000000"/>
                <w:sz w:val="16"/>
                <w:szCs w:val="16"/>
              </w:rPr>
            </w:pPr>
            <w:r w:rsidRPr="00BA5D50">
              <w:rPr>
                <w:rFonts w:ascii="Arial" w:hAnsi="Arial" w:cs="Arial"/>
                <w:color w:val="000000"/>
                <w:sz w:val="16"/>
                <w:szCs w:val="16"/>
              </w:rPr>
              <w:t> </w:t>
            </w:r>
          </w:p>
        </w:tc>
        <w:tc>
          <w:tcPr>
            <w:tcW w:w="743" w:type="dxa"/>
            <w:tcBorders>
              <w:top w:val="nil"/>
              <w:left w:val="nil"/>
              <w:bottom w:val="nil"/>
              <w:right w:val="nil"/>
            </w:tcBorders>
            <w:shd w:val="clear" w:color="000000" w:fill="FFFFFF"/>
            <w:noWrap/>
            <w:vAlign w:val="center"/>
            <w:hideMark/>
          </w:tcPr>
          <w:p w14:paraId="0A9410F1" w14:textId="77777777" w:rsidR="00BA5D50" w:rsidRPr="00BA5D50" w:rsidRDefault="00BA5D50" w:rsidP="00BA5D50">
            <w:pPr>
              <w:spacing w:before="0" w:after="0" w:line="240" w:lineRule="auto"/>
              <w:rPr>
                <w:rFonts w:ascii="Arial" w:hAnsi="Arial" w:cs="Arial"/>
                <w:color w:val="000000"/>
                <w:sz w:val="16"/>
                <w:szCs w:val="16"/>
              </w:rPr>
            </w:pPr>
            <w:r w:rsidRPr="00BA5D50">
              <w:rPr>
                <w:rFonts w:ascii="Arial" w:hAnsi="Arial" w:cs="Arial"/>
                <w:color w:val="000000"/>
                <w:sz w:val="16"/>
                <w:szCs w:val="16"/>
              </w:rPr>
              <w:t> </w:t>
            </w:r>
          </w:p>
        </w:tc>
        <w:tc>
          <w:tcPr>
            <w:tcW w:w="743" w:type="dxa"/>
            <w:tcBorders>
              <w:top w:val="nil"/>
              <w:left w:val="nil"/>
              <w:bottom w:val="nil"/>
              <w:right w:val="nil"/>
            </w:tcBorders>
            <w:shd w:val="clear" w:color="000000" w:fill="FFFFFF"/>
            <w:noWrap/>
            <w:vAlign w:val="center"/>
            <w:hideMark/>
          </w:tcPr>
          <w:p w14:paraId="6D5AAAB1" w14:textId="77777777" w:rsidR="00BA5D50" w:rsidRPr="00BA5D50" w:rsidRDefault="00BA5D50" w:rsidP="00BA5D50">
            <w:pPr>
              <w:spacing w:before="0" w:after="0" w:line="240" w:lineRule="auto"/>
              <w:rPr>
                <w:rFonts w:ascii="Arial" w:hAnsi="Arial" w:cs="Arial"/>
                <w:color w:val="000000"/>
                <w:sz w:val="16"/>
                <w:szCs w:val="16"/>
              </w:rPr>
            </w:pPr>
            <w:r w:rsidRPr="00BA5D50">
              <w:rPr>
                <w:rFonts w:ascii="Arial" w:hAnsi="Arial" w:cs="Arial"/>
                <w:color w:val="000000"/>
                <w:sz w:val="16"/>
                <w:szCs w:val="16"/>
              </w:rPr>
              <w:t> </w:t>
            </w:r>
          </w:p>
        </w:tc>
      </w:tr>
      <w:tr w:rsidR="00BA5D50" w:rsidRPr="00BA5D50" w14:paraId="794135C0" w14:textId="77777777" w:rsidTr="00610633">
        <w:trPr>
          <w:trHeight w:val="225"/>
        </w:trPr>
        <w:tc>
          <w:tcPr>
            <w:tcW w:w="3118" w:type="dxa"/>
            <w:tcBorders>
              <w:top w:val="nil"/>
              <w:left w:val="nil"/>
              <w:bottom w:val="nil"/>
              <w:right w:val="nil"/>
            </w:tcBorders>
            <w:shd w:val="clear" w:color="000000" w:fill="FFFFFF"/>
            <w:noWrap/>
            <w:vAlign w:val="center"/>
            <w:hideMark/>
          </w:tcPr>
          <w:p w14:paraId="73938256" w14:textId="77777777" w:rsidR="00BA5D50" w:rsidRPr="00BA5D50" w:rsidRDefault="00BA5D50" w:rsidP="00BA5D50">
            <w:pPr>
              <w:spacing w:before="0" w:after="0" w:line="240" w:lineRule="auto"/>
              <w:ind w:firstLineChars="100" w:firstLine="160"/>
              <w:rPr>
                <w:rFonts w:ascii="Arial" w:hAnsi="Arial" w:cs="Arial"/>
                <w:color w:val="000000"/>
                <w:sz w:val="16"/>
                <w:szCs w:val="16"/>
              </w:rPr>
            </w:pPr>
            <w:r w:rsidRPr="00BA5D50">
              <w:rPr>
                <w:rFonts w:ascii="Arial" w:hAnsi="Arial" w:cs="Arial"/>
                <w:color w:val="000000"/>
                <w:sz w:val="16"/>
                <w:szCs w:val="16"/>
              </w:rPr>
              <w:t>Communication</w:t>
            </w:r>
          </w:p>
        </w:tc>
        <w:tc>
          <w:tcPr>
            <w:tcW w:w="756" w:type="dxa"/>
            <w:tcBorders>
              <w:top w:val="nil"/>
              <w:left w:val="nil"/>
              <w:bottom w:val="nil"/>
              <w:right w:val="nil"/>
            </w:tcBorders>
            <w:shd w:val="clear" w:color="000000" w:fill="FFFFFF"/>
            <w:noWrap/>
            <w:vAlign w:val="center"/>
            <w:hideMark/>
          </w:tcPr>
          <w:p w14:paraId="7CFC22C3" w14:textId="77777777" w:rsidR="00BA5D50" w:rsidRPr="00BA5D50" w:rsidRDefault="00BA5D50" w:rsidP="00BA5D50">
            <w:pPr>
              <w:spacing w:before="0" w:after="0" w:line="240" w:lineRule="auto"/>
              <w:jc w:val="right"/>
              <w:rPr>
                <w:rFonts w:ascii="Arial" w:hAnsi="Arial" w:cs="Arial"/>
                <w:color w:val="000000"/>
                <w:sz w:val="16"/>
                <w:szCs w:val="16"/>
              </w:rPr>
            </w:pPr>
            <w:r w:rsidRPr="00BA5D50">
              <w:rPr>
                <w:rFonts w:ascii="Arial" w:hAnsi="Arial" w:cs="Arial"/>
                <w:color w:val="000000"/>
                <w:sz w:val="16"/>
                <w:szCs w:val="16"/>
              </w:rPr>
              <w:t>1,580</w:t>
            </w:r>
          </w:p>
        </w:tc>
        <w:tc>
          <w:tcPr>
            <w:tcW w:w="76" w:type="dxa"/>
            <w:tcBorders>
              <w:top w:val="nil"/>
              <w:left w:val="nil"/>
              <w:bottom w:val="nil"/>
              <w:right w:val="nil"/>
            </w:tcBorders>
            <w:shd w:val="clear" w:color="000000" w:fill="FFFFFF"/>
            <w:noWrap/>
            <w:vAlign w:val="center"/>
            <w:hideMark/>
          </w:tcPr>
          <w:p w14:paraId="6FCE870D" w14:textId="77777777" w:rsidR="00BA5D50" w:rsidRPr="00BA5D50" w:rsidRDefault="00BA5D50" w:rsidP="00BA5D50">
            <w:pPr>
              <w:spacing w:before="0" w:after="0" w:line="240" w:lineRule="auto"/>
              <w:rPr>
                <w:rFonts w:ascii="Arial" w:hAnsi="Arial" w:cs="Arial"/>
                <w:color w:val="000000"/>
                <w:sz w:val="16"/>
                <w:szCs w:val="16"/>
              </w:rPr>
            </w:pPr>
            <w:r w:rsidRPr="00BA5D50">
              <w:rPr>
                <w:rFonts w:ascii="Arial" w:hAnsi="Arial" w:cs="Arial"/>
                <w:color w:val="000000"/>
                <w:sz w:val="16"/>
                <w:szCs w:val="16"/>
              </w:rPr>
              <w:t> </w:t>
            </w:r>
          </w:p>
        </w:tc>
        <w:tc>
          <w:tcPr>
            <w:tcW w:w="744" w:type="dxa"/>
            <w:tcBorders>
              <w:top w:val="nil"/>
              <w:left w:val="nil"/>
              <w:bottom w:val="nil"/>
              <w:right w:val="nil"/>
            </w:tcBorders>
            <w:shd w:val="clear" w:color="000000" w:fill="FFFFFF"/>
            <w:noWrap/>
            <w:vAlign w:val="center"/>
            <w:hideMark/>
          </w:tcPr>
          <w:p w14:paraId="611FF36F" w14:textId="77777777" w:rsidR="00BA5D50" w:rsidRPr="00BA5D50" w:rsidRDefault="00BA5D50" w:rsidP="00BA5D50">
            <w:pPr>
              <w:spacing w:before="0" w:after="0" w:line="240" w:lineRule="auto"/>
              <w:jc w:val="right"/>
              <w:rPr>
                <w:rFonts w:ascii="Arial" w:hAnsi="Arial" w:cs="Arial"/>
                <w:color w:val="000000"/>
                <w:sz w:val="16"/>
                <w:szCs w:val="16"/>
              </w:rPr>
            </w:pPr>
            <w:r w:rsidRPr="00BA5D50">
              <w:rPr>
                <w:rFonts w:ascii="Arial" w:hAnsi="Arial" w:cs="Arial"/>
                <w:color w:val="000000"/>
                <w:sz w:val="16"/>
                <w:szCs w:val="16"/>
              </w:rPr>
              <w:t>1,775</w:t>
            </w:r>
          </w:p>
        </w:tc>
        <w:tc>
          <w:tcPr>
            <w:tcW w:w="743" w:type="dxa"/>
            <w:tcBorders>
              <w:top w:val="nil"/>
              <w:left w:val="nil"/>
              <w:bottom w:val="nil"/>
              <w:right w:val="nil"/>
            </w:tcBorders>
            <w:shd w:val="clear" w:color="000000" w:fill="E6F2FF"/>
            <w:noWrap/>
            <w:vAlign w:val="center"/>
            <w:hideMark/>
          </w:tcPr>
          <w:p w14:paraId="21CAD0F4" w14:textId="77777777" w:rsidR="00BA5D50" w:rsidRPr="00BA5D50" w:rsidRDefault="00BA5D50" w:rsidP="00BA5D50">
            <w:pPr>
              <w:spacing w:before="0" w:after="0" w:line="240" w:lineRule="auto"/>
              <w:jc w:val="right"/>
              <w:rPr>
                <w:rFonts w:ascii="Arial" w:hAnsi="Arial" w:cs="Arial"/>
                <w:color w:val="000000"/>
                <w:sz w:val="16"/>
                <w:szCs w:val="16"/>
              </w:rPr>
            </w:pPr>
            <w:r w:rsidRPr="00BA5D50">
              <w:rPr>
                <w:rFonts w:ascii="Arial" w:hAnsi="Arial" w:cs="Arial"/>
                <w:color w:val="000000"/>
                <w:sz w:val="16"/>
                <w:szCs w:val="16"/>
              </w:rPr>
              <w:t>1,927</w:t>
            </w:r>
          </w:p>
        </w:tc>
        <w:tc>
          <w:tcPr>
            <w:tcW w:w="743" w:type="dxa"/>
            <w:tcBorders>
              <w:top w:val="nil"/>
              <w:left w:val="nil"/>
              <w:bottom w:val="nil"/>
              <w:right w:val="nil"/>
            </w:tcBorders>
            <w:shd w:val="clear" w:color="000000" w:fill="FFFFFF"/>
            <w:noWrap/>
            <w:vAlign w:val="center"/>
            <w:hideMark/>
          </w:tcPr>
          <w:p w14:paraId="7CBEDC21" w14:textId="77777777" w:rsidR="00BA5D50" w:rsidRPr="00BA5D50" w:rsidRDefault="00BA5D50" w:rsidP="00BA5D50">
            <w:pPr>
              <w:spacing w:before="0" w:after="0" w:line="240" w:lineRule="auto"/>
              <w:jc w:val="right"/>
              <w:rPr>
                <w:rFonts w:ascii="Arial" w:hAnsi="Arial" w:cs="Arial"/>
                <w:color w:val="000000"/>
                <w:sz w:val="16"/>
                <w:szCs w:val="16"/>
              </w:rPr>
            </w:pPr>
            <w:r w:rsidRPr="00BA5D50">
              <w:rPr>
                <w:rFonts w:ascii="Arial" w:hAnsi="Arial" w:cs="Arial"/>
                <w:color w:val="000000"/>
                <w:sz w:val="16"/>
                <w:szCs w:val="16"/>
              </w:rPr>
              <w:t>1,825</w:t>
            </w:r>
          </w:p>
        </w:tc>
        <w:tc>
          <w:tcPr>
            <w:tcW w:w="743" w:type="dxa"/>
            <w:tcBorders>
              <w:top w:val="nil"/>
              <w:left w:val="nil"/>
              <w:bottom w:val="nil"/>
              <w:right w:val="nil"/>
            </w:tcBorders>
            <w:shd w:val="clear" w:color="000000" w:fill="FFFFFF"/>
            <w:noWrap/>
            <w:vAlign w:val="center"/>
            <w:hideMark/>
          </w:tcPr>
          <w:p w14:paraId="410FE6BC" w14:textId="77777777" w:rsidR="00BA5D50" w:rsidRPr="00BA5D50" w:rsidRDefault="00BA5D50" w:rsidP="00BA5D50">
            <w:pPr>
              <w:spacing w:before="0" w:after="0" w:line="240" w:lineRule="auto"/>
              <w:jc w:val="right"/>
              <w:rPr>
                <w:rFonts w:ascii="Arial" w:hAnsi="Arial" w:cs="Arial"/>
                <w:color w:val="000000"/>
                <w:sz w:val="16"/>
                <w:szCs w:val="16"/>
              </w:rPr>
            </w:pPr>
            <w:r w:rsidRPr="00BA5D50">
              <w:rPr>
                <w:rFonts w:ascii="Arial" w:hAnsi="Arial" w:cs="Arial"/>
                <w:color w:val="000000"/>
                <w:sz w:val="16"/>
                <w:szCs w:val="16"/>
              </w:rPr>
              <w:t>1,745</w:t>
            </w:r>
          </w:p>
        </w:tc>
        <w:tc>
          <w:tcPr>
            <w:tcW w:w="743" w:type="dxa"/>
            <w:tcBorders>
              <w:top w:val="nil"/>
              <w:left w:val="nil"/>
              <w:bottom w:val="nil"/>
              <w:right w:val="nil"/>
            </w:tcBorders>
            <w:shd w:val="clear" w:color="000000" w:fill="FFFFFF"/>
            <w:noWrap/>
            <w:vAlign w:val="center"/>
            <w:hideMark/>
          </w:tcPr>
          <w:p w14:paraId="1A1380CF" w14:textId="77777777" w:rsidR="00BA5D50" w:rsidRPr="00BA5D50" w:rsidRDefault="00BA5D50" w:rsidP="00BA5D50">
            <w:pPr>
              <w:spacing w:before="0" w:after="0" w:line="240" w:lineRule="auto"/>
              <w:jc w:val="right"/>
              <w:rPr>
                <w:rFonts w:ascii="Arial" w:hAnsi="Arial" w:cs="Arial"/>
                <w:color w:val="000000"/>
                <w:sz w:val="16"/>
                <w:szCs w:val="16"/>
              </w:rPr>
            </w:pPr>
            <w:r w:rsidRPr="00BA5D50">
              <w:rPr>
                <w:rFonts w:ascii="Arial" w:hAnsi="Arial" w:cs="Arial"/>
                <w:color w:val="000000"/>
                <w:sz w:val="16"/>
                <w:szCs w:val="16"/>
              </w:rPr>
              <w:t>1,645</w:t>
            </w:r>
          </w:p>
        </w:tc>
      </w:tr>
      <w:tr w:rsidR="00BA5D50" w:rsidRPr="00BA5D50" w14:paraId="5F93D0FE" w14:textId="77777777" w:rsidTr="00610633">
        <w:trPr>
          <w:trHeight w:val="225"/>
        </w:trPr>
        <w:tc>
          <w:tcPr>
            <w:tcW w:w="3118" w:type="dxa"/>
            <w:tcBorders>
              <w:top w:val="nil"/>
              <w:left w:val="nil"/>
              <w:bottom w:val="nil"/>
              <w:right w:val="nil"/>
            </w:tcBorders>
            <w:shd w:val="clear" w:color="000000" w:fill="FFFFFF"/>
            <w:noWrap/>
            <w:vAlign w:val="center"/>
            <w:hideMark/>
          </w:tcPr>
          <w:p w14:paraId="55B7FB90" w14:textId="77777777" w:rsidR="00BA5D50" w:rsidRPr="00BA5D50" w:rsidRDefault="00BA5D50" w:rsidP="00BA5D50">
            <w:pPr>
              <w:spacing w:before="0" w:after="0" w:line="240" w:lineRule="auto"/>
              <w:ind w:firstLineChars="100" w:firstLine="160"/>
              <w:rPr>
                <w:rFonts w:ascii="Arial" w:hAnsi="Arial" w:cs="Arial"/>
                <w:color w:val="000000"/>
                <w:sz w:val="16"/>
                <w:szCs w:val="16"/>
              </w:rPr>
            </w:pPr>
            <w:r w:rsidRPr="00BA5D50">
              <w:rPr>
                <w:rFonts w:ascii="Arial" w:hAnsi="Arial" w:cs="Arial"/>
                <w:color w:val="000000"/>
                <w:sz w:val="16"/>
                <w:szCs w:val="16"/>
              </w:rPr>
              <w:t>Rail transport</w:t>
            </w:r>
          </w:p>
        </w:tc>
        <w:tc>
          <w:tcPr>
            <w:tcW w:w="756" w:type="dxa"/>
            <w:tcBorders>
              <w:top w:val="nil"/>
              <w:left w:val="nil"/>
              <w:bottom w:val="nil"/>
              <w:right w:val="nil"/>
            </w:tcBorders>
            <w:shd w:val="clear" w:color="000000" w:fill="FFFFFF"/>
            <w:noWrap/>
            <w:vAlign w:val="center"/>
            <w:hideMark/>
          </w:tcPr>
          <w:p w14:paraId="0E3AA40C" w14:textId="77777777" w:rsidR="00BA5D50" w:rsidRPr="00BA5D50" w:rsidRDefault="00BA5D50" w:rsidP="00BA5D50">
            <w:pPr>
              <w:spacing w:before="0" w:after="0" w:line="240" w:lineRule="auto"/>
              <w:jc w:val="right"/>
              <w:rPr>
                <w:rFonts w:ascii="Arial" w:hAnsi="Arial" w:cs="Arial"/>
                <w:color w:val="000000"/>
                <w:sz w:val="16"/>
                <w:szCs w:val="16"/>
              </w:rPr>
            </w:pPr>
            <w:r w:rsidRPr="00BA5D50">
              <w:rPr>
                <w:rFonts w:ascii="Arial" w:hAnsi="Arial" w:cs="Arial"/>
                <w:color w:val="000000"/>
                <w:sz w:val="16"/>
                <w:szCs w:val="16"/>
              </w:rPr>
              <w:t>2,532</w:t>
            </w:r>
          </w:p>
        </w:tc>
        <w:tc>
          <w:tcPr>
            <w:tcW w:w="76" w:type="dxa"/>
            <w:tcBorders>
              <w:top w:val="nil"/>
              <w:left w:val="nil"/>
              <w:bottom w:val="nil"/>
              <w:right w:val="nil"/>
            </w:tcBorders>
            <w:shd w:val="clear" w:color="000000" w:fill="FFFFFF"/>
            <w:noWrap/>
            <w:vAlign w:val="center"/>
            <w:hideMark/>
          </w:tcPr>
          <w:p w14:paraId="7AB426F0" w14:textId="77777777" w:rsidR="00BA5D50" w:rsidRPr="00BA5D50" w:rsidRDefault="00BA5D50" w:rsidP="00BA5D50">
            <w:pPr>
              <w:spacing w:before="0" w:after="0" w:line="240" w:lineRule="auto"/>
              <w:rPr>
                <w:rFonts w:ascii="Arial" w:hAnsi="Arial" w:cs="Arial"/>
                <w:color w:val="000000"/>
                <w:sz w:val="16"/>
                <w:szCs w:val="16"/>
              </w:rPr>
            </w:pPr>
            <w:r w:rsidRPr="00BA5D50">
              <w:rPr>
                <w:rFonts w:ascii="Arial" w:hAnsi="Arial" w:cs="Arial"/>
                <w:color w:val="000000"/>
                <w:sz w:val="16"/>
                <w:szCs w:val="16"/>
              </w:rPr>
              <w:t> </w:t>
            </w:r>
          </w:p>
        </w:tc>
        <w:tc>
          <w:tcPr>
            <w:tcW w:w="744" w:type="dxa"/>
            <w:tcBorders>
              <w:top w:val="nil"/>
              <w:left w:val="nil"/>
              <w:bottom w:val="nil"/>
              <w:right w:val="nil"/>
            </w:tcBorders>
            <w:shd w:val="clear" w:color="000000" w:fill="FFFFFF"/>
            <w:noWrap/>
            <w:vAlign w:val="center"/>
            <w:hideMark/>
          </w:tcPr>
          <w:p w14:paraId="6C46C96F" w14:textId="77777777" w:rsidR="00BA5D50" w:rsidRPr="00BA5D50" w:rsidRDefault="00BA5D50" w:rsidP="00BA5D50">
            <w:pPr>
              <w:spacing w:before="0" w:after="0" w:line="240" w:lineRule="auto"/>
              <w:jc w:val="right"/>
              <w:rPr>
                <w:rFonts w:ascii="Arial" w:hAnsi="Arial" w:cs="Arial"/>
                <w:color w:val="000000"/>
                <w:sz w:val="16"/>
                <w:szCs w:val="16"/>
              </w:rPr>
            </w:pPr>
            <w:r w:rsidRPr="00BA5D50">
              <w:rPr>
                <w:rFonts w:ascii="Arial" w:hAnsi="Arial" w:cs="Arial"/>
                <w:color w:val="000000"/>
                <w:sz w:val="16"/>
                <w:szCs w:val="16"/>
              </w:rPr>
              <w:t>3,082</w:t>
            </w:r>
          </w:p>
        </w:tc>
        <w:tc>
          <w:tcPr>
            <w:tcW w:w="743" w:type="dxa"/>
            <w:tcBorders>
              <w:top w:val="nil"/>
              <w:left w:val="nil"/>
              <w:bottom w:val="nil"/>
              <w:right w:val="nil"/>
            </w:tcBorders>
            <w:shd w:val="clear" w:color="000000" w:fill="E6F2FF"/>
            <w:noWrap/>
            <w:vAlign w:val="center"/>
            <w:hideMark/>
          </w:tcPr>
          <w:p w14:paraId="72AA9817" w14:textId="77777777" w:rsidR="00BA5D50" w:rsidRPr="00BA5D50" w:rsidRDefault="00BA5D50" w:rsidP="00BA5D50">
            <w:pPr>
              <w:spacing w:before="0" w:after="0" w:line="240" w:lineRule="auto"/>
              <w:jc w:val="right"/>
              <w:rPr>
                <w:rFonts w:ascii="Arial" w:hAnsi="Arial" w:cs="Arial"/>
                <w:color w:val="000000"/>
                <w:sz w:val="16"/>
                <w:szCs w:val="16"/>
              </w:rPr>
            </w:pPr>
            <w:r w:rsidRPr="00BA5D50">
              <w:rPr>
                <w:rFonts w:ascii="Arial" w:hAnsi="Arial" w:cs="Arial"/>
                <w:color w:val="000000"/>
                <w:sz w:val="16"/>
                <w:szCs w:val="16"/>
              </w:rPr>
              <w:t>3,814</w:t>
            </w:r>
          </w:p>
        </w:tc>
        <w:tc>
          <w:tcPr>
            <w:tcW w:w="743" w:type="dxa"/>
            <w:tcBorders>
              <w:top w:val="nil"/>
              <w:left w:val="nil"/>
              <w:bottom w:val="nil"/>
              <w:right w:val="nil"/>
            </w:tcBorders>
            <w:shd w:val="clear" w:color="000000" w:fill="FFFFFF"/>
            <w:noWrap/>
            <w:vAlign w:val="center"/>
            <w:hideMark/>
          </w:tcPr>
          <w:p w14:paraId="1599926F" w14:textId="77777777" w:rsidR="00BA5D50" w:rsidRPr="00BA5D50" w:rsidRDefault="00BA5D50" w:rsidP="00BA5D50">
            <w:pPr>
              <w:spacing w:before="0" w:after="0" w:line="240" w:lineRule="auto"/>
              <w:jc w:val="right"/>
              <w:rPr>
                <w:rFonts w:ascii="Arial" w:hAnsi="Arial" w:cs="Arial"/>
                <w:color w:val="000000"/>
                <w:sz w:val="16"/>
                <w:szCs w:val="16"/>
              </w:rPr>
            </w:pPr>
            <w:r w:rsidRPr="00BA5D50">
              <w:rPr>
                <w:rFonts w:ascii="Arial" w:hAnsi="Arial" w:cs="Arial"/>
                <w:color w:val="000000"/>
                <w:sz w:val="16"/>
                <w:szCs w:val="16"/>
              </w:rPr>
              <w:t>3,212</w:t>
            </w:r>
          </w:p>
        </w:tc>
        <w:tc>
          <w:tcPr>
            <w:tcW w:w="743" w:type="dxa"/>
            <w:tcBorders>
              <w:top w:val="nil"/>
              <w:left w:val="nil"/>
              <w:bottom w:val="nil"/>
              <w:right w:val="nil"/>
            </w:tcBorders>
            <w:shd w:val="clear" w:color="000000" w:fill="FFFFFF"/>
            <w:noWrap/>
            <w:vAlign w:val="center"/>
            <w:hideMark/>
          </w:tcPr>
          <w:p w14:paraId="3F936B57" w14:textId="77777777" w:rsidR="00BA5D50" w:rsidRPr="00BA5D50" w:rsidRDefault="00BA5D50" w:rsidP="00BA5D50">
            <w:pPr>
              <w:spacing w:before="0" w:after="0" w:line="240" w:lineRule="auto"/>
              <w:jc w:val="right"/>
              <w:rPr>
                <w:rFonts w:ascii="Arial" w:hAnsi="Arial" w:cs="Arial"/>
                <w:color w:val="000000"/>
                <w:sz w:val="16"/>
                <w:szCs w:val="16"/>
              </w:rPr>
            </w:pPr>
            <w:r w:rsidRPr="00BA5D50">
              <w:rPr>
                <w:rFonts w:ascii="Arial" w:hAnsi="Arial" w:cs="Arial"/>
                <w:color w:val="000000"/>
                <w:sz w:val="16"/>
                <w:szCs w:val="16"/>
              </w:rPr>
              <w:t>3,676</w:t>
            </w:r>
          </w:p>
        </w:tc>
        <w:tc>
          <w:tcPr>
            <w:tcW w:w="743" w:type="dxa"/>
            <w:tcBorders>
              <w:top w:val="nil"/>
              <w:left w:val="nil"/>
              <w:bottom w:val="nil"/>
              <w:right w:val="nil"/>
            </w:tcBorders>
            <w:shd w:val="clear" w:color="000000" w:fill="FFFFFF"/>
            <w:noWrap/>
            <w:vAlign w:val="center"/>
            <w:hideMark/>
          </w:tcPr>
          <w:p w14:paraId="1589B93B" w14:textId="77777777" w:rsidR="00BA5D50" w:rsidRPr="00BA5D50" w:rsidRDefault="00BA5D50" w:rsidP="00BA5D50">
            <w:pPr>
              <w:spacing w:before="0" w:after="0" w:line="240" w:lineRule="auto"/>
              <w:jc w:val="right"/>
              <w:rPr>
                <w:rFonts w:ascii="Arial" w:hAnsi="Arial" w:cs="Arial"/>
                <w:color w:val="000000"/>
                <w:sz w:val="16"/>
                <w:szCs w:val="16"/>
              </w:rPr>
            </w:pPr>
            <w:r w:rsidRPr="00BA5D50">
              <w:rPr>
                <w:rFonts w:ascii="Arial" w:hAnsi="Arial" w:cs="Arial"/>
                <w:color w:val="000000"/>
                <w:sz w:val="16"/>
                <w:szCs w:val="16"/>
              </w:rPr>
              <w:t>2,816</w:t>
            </w:r>
          </w:p>
        </w:tc>
      </w:tr>
      <w:tr w:rsidR="00BA5D50" w:rsidRPr="00BA5D50" w14:paraId="0000E7BC" w14:textId="77777777" w:rsidTr="00610633">
        <w:trPr>
          <w:trHeight w:val="225"/>
        </w:trPr>
        <w:tc>
          <w:tcPr>
            <w:tcW w:w="3118" w:type="dxa"/>
            <w:tcBorders>
              <w:top w:val="nil"/>
              <w:left w:val="nil"/>
              <w:bottom w:val="nil"/>
              <w:right w:val="nil"/>
            </w:tcBorders>
            <w:shd w:val="clear" w:color="000000" w:fill="FFFFFF"/>
            <w:noWrap/>
            <w:vAlign w:val="center"/>
            <w:hideMark/>
          </w:tcPr>
          <w:p w14:paraId="44C581D5" w14:textId="77777777" w:rsidR="00BA5D50" w:rsidRPr="00BA5D50" w:rsidRDefault="00BA5D50" w:rsidP="00BA5D50">
            <w:pPr>
              <w:spacing w:before="0" w:after="0" w:line="240" w:lineRule="auto"/>
              <w:ind w:firstLineChars="100" w:firstLine="160"/>
              <w:rPr>
                <w:rFonts w:ascii="Arial" w:hAnsi="Arial" w:cs="Arial"/>
                <w:color w:val="000000"/>
                <w:sz w:val="16"/>
                <w:szCs w:val="16"/>
              </w:rPr>
            </w:pPr>
            <w:r w:rsidRPr="00BA5D50">
              <w:rPr>
                <w:rFonts w:ascii="Arial" w:hAnsi="Arial" w:cs="Arial"/>
                <w:color w:val="000000"/>
                <w:sz w:val="16"/>
                <w:szCs w:val="16"/>
              </w:rPr>
              <w:t>Air transport</w:t>
            </w:r>
          </w:p>
        </w:tc>
        <w:tc>
          <w:tcPr>
            <w:tcW w:w="756" w:type="dxa"/>
            <w:tcBorders>
              <w:top w:val="nil"/>
              <w:left w:val="nil"/>
              <w:bottom w:val="nil"/>
              <w:right w:val="nil"/>
            </w:tcBorders>
            <w:shd w:val="clear" w:color="000000" w:fill="FFFFFF"/>
            <w:noWrap/>
            <w:vAlign w:val="center"/>
            <w:hideMark/>
          </w:tcPr>
          <w:p w14:paraId="68128EE2" w14:textId="77777777" w:rsidR="00BA5D50" w:rsidRPr="00BA5D50" w:rsidRDefault="00BA5D50" w:rsidP="00BA5D50">
            <w:pPr>
              <w:spacing w:before="0" w:after="0" w:line="240" w:lineRule="auto"/>
              <w:jc w:val="right"/>
              <w:rPr>
                <w:rFonts w:ascii="Arial" w:hAnsi="Arial" w:cs="Arial"/>
                <w:color w:val="000000"/>
                <w:sz w:val="16"/>
                <w:szCs w:val="16"/>
              </w:rPr>
            </w:pPr>
            <w:r w:rsidRPr="00BA5D50">
              <w:rPr>
                <w:rFonts w:ascii="Arial" w:hAnsi="Arial" w:cs="Arial"/>
                <w:color w:val="000000"/>
                <w:sz w:val="16"/>
                <w:szCs w:val="16"/>
              </w:rPr>
              <w:t>349</w:t>
            </w:r>
          </w:p>
        </w:tc>
        <w:tc>
          <w:tcPr>
            <w:tcW w:w="76" w:type="dxa"/>
            <w:tcBorders>
              <w:top w:val="nil"/>
              <w:left w:val="nil"/>
              <w:bottom w:val="nil"/>
              <w:right w:val="nil"/>
            </w:tcBorders>
            <w:shd w:val="clear" w:color="000000" w:fill="FFFFFF"/>
            <w:noWrap/>
            <w:vAlign w:val="center"/>
            <w:hideMark/>
          </w:tcPr>
          <w:p w14:paraId="2B007162" w14:textId="77777777" w:rsidR="00BA5D50" w:rsidRPr="00BA5D50" w:rsidRDefault="00BA5D50" w:rsidP="00BA5D50">
            <w:pPr>
              <w:spacing w:before="0" w:after="0" w:line="240" w:lineRule="auto"/>
              <w:rPr>
                <w:rFonts w:ascii="Arial" w:hAnsi="Arial" w:cs="Arial"/>
                <w:color w:val="000000"/>
                <w:sz w:val="16"/>
                <w:szCs w:val="16"/>
              </w:rPr>
            </w:pPr>
            <w:r w:rsidRPr="00BA5D50">
              <w:rPr>
                <w:rFonts w:ascii="Arial" w:hAnsi="Arial" w:cs="Arial"/>
                <w:color w:val="000000"/>
                <w:sz w:val="16"/>
                <w:szCs w:val="16"/>
              </w:rPr>
              <w:t> </w:t>
            </w:r>
          </w:p>
        </w:tc>
        <w:tc>
          <w:tcPr>
            <w:tcW w:w="744" w:type="dxa"/>
            <w:tcBorders>
              <w:top w:val="nil"/>
              <w:left w:val="nil"/>
              <w:bottom w:val="nil"/>
              <w:right w:val="nil"/>
            </w:tcBorders>
            <w:shd w:val="clear" w:color="000000" w:fill="FFFFFF"/>
            <w:noWrap/>
            <w:vAlign w:val="center"/>
            <w:hideMark/>
          </w:tcPr>
          <w:p w14:paraId="4B0A8B0D" w14:textId="77777777" w:rsidR="00BA5D50" w:rsidRPr="00BA5D50" w:rsidRDefault="00BA5D50" w:rsidP="00BA5D50">
            <w:pPr>
              <w:spacing w:before="0" w:after="0" w:line="240" w:lineRule="auto"/>
              <w:jc w:val="right"/>
              <w:rPr>
                <w:rFonts w:ascii="Arial" w:hAnsi="Arial" w:cs="Arial"/>
                <w:color w:val="000000"/>
                <w:sz w:val="16"/>
                <w:szCs w:val="16"/>
              </w:rPr>
            </w:pPr>
            <w:r w:rsidRPr="00BA5D50">
              <w:rPr>
                <w:rFonts w:ascii="Arial" w:hAnsi="Arial" w:cs="Arial"/>
                <w:color w:val="000000"/>
                <w:sz w:val="16"/>
                <w:szCs w:val="16"/>
              </w:rPr>
              <w:t>434</w:t>
            </w:r>
          </w:p>
        </w:tc>
        <w:tc>
          <w:tcPr>
            <w:tcW w:w="743" w:type="dxa"/>
            <w:tcBorders>
              <w:top w:val="nil"/>
              <w:left w:val="nil"/>
              <w:bottom w:val="nil"/>
              <w:right w:val="nil"/>
            </w:tcBorders>
            <w:shd w:val="clear" w:color="000000" w:fill="E6F2FF"/>
            <w:noWrap/>
            <w:vAlign w:val="center"/>
            <w:hideMark/>
          </w:tcPr>
          <w:p w14:paraId="6E855261" w14:textId="77777777" w:rsidR="00BA5D50" w:rsidRPr="00BA5D50" w:rsidRDefault="00BA5D50" w:rsidP="00BA5D50">
            <w:pPr>
              <w:spacing w:before="0" w:after="0" w:line="240" w:lineRule="auto"/>
              <w:jc w:val="right"/>
              <w:rPr>
                <w:rFonts w:ascii="Arial" w:hAnsi="Arial" w:cs="Arial"/>
                <w:color w:val="000000"/>
                <w:sz w:val="16"/>
                <w:szCs w:val="16"/>
              </w:rPr>
            </w:pPr>
            <w:r w:rsidRPr="00BA5D50">
              <w:rPr>
                <w:rFonts w:ascii="Arial" w:hAnsi="Arial" w:cs="Arial"/>
                <w:color w:val="000000"/>
                <w:sz w:val="16"/>
                <w:szCs w:val="16"/>
              </w:rPr>
              <w:t>465</w:t>
            </w:r>
          </w:p>
        </w:tc>
        <w:tc>
          <w:tcPr>
            <w:tcW w:w="743" w:type="dxa"/>
            <w:tcBorders>
              <w:top w:val="nil"/>
              <w:left w:val="nil"/>
              <w:bottom w:val="nil"/>
              <w:right w:val="nil"/>
            </w:tcBorders>
            <w:shd w:val="clear" w:color="000000" w:fill="FFFFFF"/>
            <w:noWrap/>
            <w:vAlign w:val="center"/>
            <w:hideMark/>
          </w:tcPr>
          <w:p w14:paraId="0BB63938" w14:textId="77777777" w:rsidR="00BA5D50" w:rsidRPr="00BA5D50" w:rsidRDefault="00BA5D50" w:rsidP="00BA5D50">
            <w:pPr>
              <w:spacing w:before="0" w:after="0" w:line="240" w:lineRule="auto"/>
              <w:jc w:val="right"/>
              <w:rPr>
                <w:rFonts w:ascii="Arial" w:hAnsi="Arial" w:cs="Arial"/>
                <w:color w:val="000000"/>
                <w:sz w:val="16"/>
                <w:szCs w:val="16"/>
              </w:rPr>
            </w:pPr>
            <w:r w:rsidRPr="00BA5D50">
              <w:rPr>
                <w:rFonts w:ascii="Arial" w:hAnsi="Arial" w:cs="Arial"/>
                <w:color w:val="000000"/>
                <w:sz w:val="16"/>
                <w:szCs w:val="16"/>
              </w:rPr>
              <w:t>446</w:t>
            </w:r>
          </w:p>
        </w:tc>
        <w:tc>
          <w:tcPr>
            <w:tcW w:w="743" w:type="dxa"/>
            <w:tcBorders>
              <w:top w:val="nil"/>
              <w:left w:val="nil"/>
              <w:bottom w:val="nil"/>
              <w:right w:val="nil"/>
            </w:tcBorders>
            <w:shd w:val="clear" w:color="000000" w:fill="FFFFFF"/>
            <w:noWrap/>
            <w:vAlign w:val="center"/>
            <w:hideMark/>
          </w:tcPr>
          <w:p w14:paraId="68BDD50F" w14:textId="77777777" w:rsidR="00BA5D50" w:rsidRPr="00BA5D50" w:rsidRDefault="00BA5D50" w:rsidP="00BA5D50">
            <w:pPr>
              <w:spacing w:before="0" w:after="0" w:line="240" w:lineRule="auto"/>
              <w:jc w:val="right"/>
              <w:rPr>
                <w:rFonts w:ascii="Arial" w:hAnsi="Arial" w:cs="Arial"/>
                <w:color w:val="000000"/>
                <w:sz w:val="16"/>
                <w:szCs w:val="16"/>
              </w:rPr>
            </w:pPr>
            <w:r w:rsidRPr="00BA5D50">
              <w:rPr>
                <w:rFonts w:ascii="Arial" w:hAnsi="Arial" w:cs="Arial"/>
                <w:color w:val="000000"/>
                <w:sz w:val="16"/>
                <w:szCs w:val="16"/>
              </w:rPr>
              <w:t>355</w:t>
            </w:r>
          </w:p>
        </w:tc>
        <w:tc>
          <w:tcPr>
            <w:tcW w:w="743" w:type="dxa"/>
            <w:tcBorders>
              <w:top w:val="nil"/>
              <w:left w:val="nil"/>
              <w:bottom w:val="nil"/>
              <w:right w:val="nil"/>
            </w:tcBorders>
            <w:shd w:val="clear" w:color="000000" w:fill="FFFFFF"/>
            <w:noWrap/>
            <w:vAlign w:val="center"/>
            <w:hideMark/>
          </w:tcPr>
          <w:p w14:paraId="55A397BC" w14:textId="77777777" w:rsidR="00BA5D50" w:rsidRPr="00BA5D50" w:rsidRDefault="00BA5D50" w:rsidP="00BA5D50">
            <w:pPr>
              <w:spacing w:before="0" w:after="0" w:line="240" w:lineRule="auto"/>
              <w:jc w:val="right"/>
              <w:rPr>
                <w:rFonts w:ascii="Arial" w:hAnsi="Arial" w:cs="Arial"/>
                <w:color w:val="000000"/>
                <w:sz w:val="16"/>
                <w:szCs w:val="16"/>
              </w:rPr>
            </w:pPr>
            <w:r w:rsidRPr="00BA5D50">
              <w:rPr>
                <w:rFonts w:ascii="Arial" w:hAnsi="Arial" w:cs="Arial"/>
                <w:color w:val="000000"/>
                <w:sz w:val="16"/>
                <w:szCs w:val="16"/>
              </w:rPr>
              <w:t>291</w:t>
            </w:r>
          </w:p>
        </w:tc>
      </w:tr>
      <w:tr w:rsidR="00BA5D50" w:rsidRPr="00BA5D50" w14:paraId="50727105" w14:textId="77777777" w:rsidTr="00610633">
        <w:trPr>
          <w:trHeight w:val="225"/>
        </w:trPr>
        <w:tc>
          <w:tcPr>
            <w:tcW w:w="3118" w:type="dxa"/>
            <w:tcBorders>
              <w:top w:val="nil"/>
              <w:left w:val="nil"/>
              <w:bottom w:val="nil"/>
              <w:right w:val="nil"/>
            </w:tcBorders>
            <w:shd w:val="clear" w:color="000000" w:fill="FFFFFF"/>
            <w:noWrap/>
            <w:vAlign w:val="center"/>
            <w:hideMark/>
          </w:tcPr>
          <w:p w14:paraId="3DC6C202" w14:textId="77777777" w:rsidR="00BA5D50" w:rsidRPr="00BA5D50" w:rsidRDefault="00BA5D50" w:rsidP="00BA5D50">
            <w:pPr>
              <w:spacing w:before="0" w:after="0" w:line="240" w:lineRule="auto"/>
              <w:ind w:firstLineChars="100" w:firstLine="160"/>
              <w:rPr>
                <w:rFonts w:ascii="Arial" w:hAnsi="Arial" w:cs="Arial"/>
                <w:color w:val="000000"/>
                <w:sz w:val="16"/>
                <w:szCs w:val="16"/>
              </w:rPr>
            </w:pPr>
            <w:r w:rsidRPr="00BA5D50">
              <w:rPr>
                <w:rFonts w:ascii="Arial" w:hAnsi="Arial" w:cs="Arial"/>
                <w:color w:val="000000"/>
                <w:sz w:val="16"/>
                <w:szCs w:val="16"/>
              </w:rPr>
              <w:t>Road transport</w:t>
            </w:r>
          </w:p>
        </w:tc>
        <w:tc>
          <w:tcPr>
            <w:tcW w:w="756" w:type="dxa"/>
            <w:tcBorders>
              <w:top w:val="nil"/>
              <w:left w:val="nil"/>
              <w:bottom w:val="nil"/>
              <w:right w:val="nil"/>
            </w:tcBorders>
            <w:shd w:val="clear" w:color="000000" w:fill="FFFFFF"/>
            <w:noWrap/>
            <w:vAlign w:val="center"/>
            <w:hideMark/>
          </w:tcPr>
          <w:p w14:paraId="0D0D8EBD" w14:textId="77777777" w:rsidR="00BA5D50" w:rsidRPr="00BA5D50" w:rsidRDefault="00BA5D50" w:rsidP="00BA5D50">
            <w:pPr>
              <w:spacing w:before="0" w:after="0" w:line="240" w:lineRule="auto"/>
              <w:jc w:val="right"/>
              <w:rPr>
                <w:rFonts w:ascii="Arial" w:hAnsi="Arial" w:cs="Arial"/>
                <w:color w:val="000000"/>
                <w:sz w:val="16"/>
                <w:szCs w:val="16"/>
              </w:rPr>
            </w:pPr>
            <w:r w:rsidRPr="00BA5D50">
              <w:rPr>
                <w:rFonts w:ascii="Arial" w:hAnsi="Arial" w:cs="Arial"/>
                <w:color w:val="000000"/>
                <w:sz w:val="16"/>
                <w:szCs w:val="16"/>
              </w:rPr>
              <w:t>6,969</w:t>
            </w:r>
          </w:p>
        </w:tc>
        <w:tc>
          <w:tcPr>
            <w:tcW w:w="76" w:type="dxa"/>
            <w:tcBorders>
              <w:top w:val="nil"/>
              <w:left w:val="nil"/>
              <w:bottom w:val="nil"/>
              <w:right w:val="nil"/>
            </w:tcBorders>
            <w:shd w:val="clear" w:color="000000" w:fill="FFFFFF"/>
            <w:noWrap/>
            <w:vAlign w:val="center"/>
            <w:hideMark/>
          </w:tcPr>
          <w:p w14:paraId="5C2998EA" w14:textId="77777777" w:rsidR="00BA5D50" w:rsidRPr="00BA5D50" w:rsidRDefault="00BA5D50" w:rsidP="00BA5D50">
            <w:pPr>
              <w:spacing w:before="0" w:after="0" w:line="240" w:lineRule="auto"/>
              <w:rPr>
                <w:rFonts w:ascii="Arial" w:hAnsi="Arial" w:cs="Arial"/>
                <w:color w:val="000000"/>
                <w:sz w:val="16"/>
                <w:szCs w:val="16"/>
              </w:rPr>
            </w:pPr>
            <w:r w:rsidRPr="00BA5D50">
              <w:rPr>
                <w:rFonts w:ascii="Arial" w:hAnsi="Arial" w:cs="Arial"/>
                <w:color w:val="000000"/>
                <w:sz w:val="16"/>
                <w:szCs w:val="16"/>
              </w:rPr>
              <w:t> </w:t>
            </w:r>
          </w:p>
        </w:tc>
        <w:tc>
          <w:tcPr>
            <w:tcW w:w="744" w:type="dxa"/>
            <w:tcBorders>
              <w:top w:val="nil"/>
              <w:left w:val="nil"/>
              <w:bottom w:val="nil"/>
              <w:right w:val="nil"/>
            </w:tcBorders>
            <w:shd w:val="clear" w:color="000000" w:fill="FFFFFF"/>
            <w:noWrap/>
            <w:vAlign w:val="center"/>
            <w:hideMark/>
          </w:tcPr>
          <w:p w14:paraId="42DC21F3" w14:textId="77777777" w:rsidR="00BA5D50" w:rsidRPr="00BA5D50" w:rsidRDefault="00BA5D50" w:rsidP="00BA5D50">
            <w:pPr>
              <w:spacing w:before="0" w:after="0" w:line="240" w:lineRule="auto"/>
              <w:jc w:val="right"/>
              <w:rPr>
                <w:rFonts w:ascii="Arial" w:hAnsi="Arial" w:cs="Arial"/>
                <w:color w:val="000000"/>
                <w:sz w:val="16"/>
                <w:szCs w:val="16"/>
              </w:rPr>
            </w:pPr>
            <w:r w:rsidRPr="00BA5D50">
              <w:rPr>
                <w:rFonts w:ascii="Arial" w:hAnsi="Arial" w:cs="Arial"/>
                <w:color w:val="000000"/>
                <w:sz w:val="16"/>
                <w:szCs w:val="16"/>
              </w:rPr>
              <w:t>8,859</w:t>
            </w:r>
          </w:p>
        </w:tc>
        <w:tc>
          <w:tcPr>
            <w:tcW w:w="743" w:type="dxa"/>
            <w:tcBorders>
              <w:top w:val="nil"/>
              <w:left w:val="nil"/>
              <w:bottom w:val="nil"/>
              <w:right w:val="nil"/>
            </w:tcBorders>
            <w:shd w:val="clear" w:color="000000" w:fill="E6F2FF"/>
            <w:noWrap/>
            <w:vAlign w:val="center"/>
            <w:hideMark/>
          </w:tcPr>
          <w:p w14:paraId="120F320F" w14:textId="77777777" w:rsidR="00BA5D50" w:rsidRPr="00BA5D50" w:rsidRDefault="00BA5D50" w:rsidP="00BA5D50">
            <w:pPr>
              <w:spacing w:before="0" w:after="0" w:line="240" w:lineRule="auto"/>
              <w:jc w:val="right"/>
              <w:rPr>
                <w:rFonts w:ascii="Arial" w:hAnsi="Arial" w:cs="Arial"/>
                <w:color w:val="000000"/>
                <w:sz w:val="16"/>
                <w:szCs w:val="16"/>
              </w:rPr>
            </w:pPr>
            <w:r w:rsidRPr="00BA5D50">
              <w:rPr>
                <w:rFonts w:ascii="Arial" w:hAnsi="Arial" w:cs="Arial"/>
                <w:color w:val="000000"/>
                <w:sz w:val="16"/>
                <w:szCs w:val="16"/>
              </w:rPr>
              <w:t>9,707</w:t>
            </w:r>
          </w:p>
        </w:tc>
        <w:tc>
          <w:tcPr>
            <w:tcW w:w="743" w:type="dxa"/>
            <w:tcBorders>
              <w:top w:val="nil"/>
              <w:left w:val="nil"/>
              <w:bottom w:val="nil"/>
              <w:right w:val="nil"/>
            </w:tcBorders>
            <w:shd w:val="clear" w:color="000000" w:fill="FFFFFF"/>
            <w:noWrap/>
            <w:vAlign w:val="center"/>
            <w:hideMark/>
          </w:tcPr>
          <w:p w14:paraId="6C002790" w14:textId="77777777" w:rsidR="00BA5D50" w:rsidRPr="00BA5D50" w:rsidRDefault="00BA5D50" w:rsidP="00BA5D50">
            <w:pPr>
              <w:spacing w:before="0" w:after="0" w:line="240" w:lineRule="auto"/>
              <w:jc w:val="right"/>
              <w:rPr>
                <w:rFonts w:ascii="Arial" w:hAnsi="Arial" w:cs="Arial"/>
                <w:color w:val="000000"/>
                <w:sz w:val="16"/>
                <w:szCs w:val="16"/>
              </w:rPr>
            </w:pPr>
            <w:r w:rsidRPr="00BA5D50">
              <w:rPr>
                <w:rFonts w:ascii="Arial" w:hAnsi="Arial" w:cs="Arial"/>
                <w:color w:val="000000"/>
                <w:sz w:val="16"/>
                <w:szCs w:val="16"/>
              </w:rPr>
              <w:t>10,408</w:t>
            </w:r>
          </w:p>
        </w:tc>
        <w:tc>
          <w:tcPr>
            <w:tcW w:w="743" w:type="dxa"/>
            <w:tcBorders>
              <w:top w:val="nil"/>
              <w:left w:val="nil"/>
              <w:bottom w:val="nil"/>
              <w:right w:val="nil"/>
            </w:tcBorders>
            <w:shd w:val="clear" w:color="000000" w:fill="FFFFFF"/>
            <w:noWrap/>
            <w:vAlign w:val="center"/>
            <w:hideMark/>
          </w:tcPr>
          <w:p w14:paraId="5CFAAF67" w14:textId="77777777" w:rsidR="00BA5D50" w:rsidRPr="00BA5D50" w:rsidRDefault="00BA5D50" w:rsidP="00BA5D50">
            <w:pPr>
              <w:spacing w:before="0" w:after="0" w:line="240" w:lineRule="auto"/>
              <w:jc w:val="right"/>
              <w:rPr>
                <w:rFonts w:ascii="Arial" w:hAnsi="Arial" w:cs="Arial"/>
                <w:color w:val="000000"/>
                <w:sz w:val="16"/>
                <w:szCs w:val="16"/>
              </w:rPr>
            </w:pPr>
            <w:r w:rsidRPr="00BA5D50">
              <w:rPr>
                <w:rFonts w:ascii="Arial" w:hAnsi="Arial" w:cs="Arial"/>
                <w:color w:val="000000"/>
                <w:sz w:val="16"/>
                <w:szCs w:val="16"/>
              </w:rPr>
              <w:t>9,799</w:t>
            </w:r>
          </w:p>
        </w:tc>
        <w:tc>
          <w:tcPr>
            <w:tcW w:w="743" w:type="dxa"/>
            <w:tcBorders>
              <w:top w:val="nil"/>
              <w:left w:val="nil"/>
              <w:bottom w:val="nil"/>
              <w:right w:val="nil"/>
            </w:tcBorders>
            <w:shd w:val="clear" w:color="000000" w:fill="FFFFFF"/>
            <w:noWrap/>
            <w:vAlign w:val="center"/>
            <w:hideMark/>
          </w:tcPr>
          <w:p w14:paraId="1827F86F" w14:textId="77777777" w:rsidR="00BA5D50" w:rsidRPr="00BA5D50" w:rsidRDefault="00BA5D50" w:rsidP="00BA5D50">
            <w:pPr>
              <w:spacing w:before="0" w:after="0" w:line="240" w:lineRule="auto"/>
              <w:jc w:val="right"/>
              <w:rPr>
                <w:rFonts w:ascii="Arial" w:hAnsi="Arial" w:cs="Arial"/>
                <w:color w:val="000000"/>
                <w:sz w:val="16"/>
                <w:szCs w:val="16"/>
              </w:rPr>
            </w:pPr>
            <w:r w:rsidRPr="00BA5D50">
              <w:rPr>
                <w:rFonts w:ascii="Arial" w:hAnsi="Arial" w:cs="Arial"/>
                <w:color w:val="000000"/>
                <w:sz w:val="16"/>
                <w:szCs w:val="16"/>
              </w:rPr>
              <w:t>9,111</w:t>
            </w:r>
          </w:p>
        </w:tc>
      </w:tr>
      <w:tr w:rsidR="00BA5D50" w:rsidRPr="00BA5D50" w14:paraId="72B1337B" w14:textId="77777777" w:rsidTr="00610633">
        <w:trPr>
          <w:trHeight w:val="225"/>
        </w:trPr>
        <w:tc>
          <w:tcPr>
            <w:tcW w:w="3118" w:type="dxa"/>
            <w:tcBorders>
              <w:top w:val="nil"/>
              <w:left w:val="nil"/>
              <w:bottom w:val="nil"/>
              <w:right w:val="nil"/>
            </w:tcBorders>
            <w:shd w:val="clear" w:color="000000" w:fill="FFFFFF"/>
            <w:noWrap/>
            <w:vAlign w:val="center"/>
            <w:hideMark/>
          </w:tcPr>
          <w:p w14:paraId="5166BD95" w14:textId="77777777" w:rsidR="00BA5D50" w:rsidRPr="00BA5D50" w:rsidRDefault="00BA5D50" w:rsidP="00BA5D50">
            <w:pPr>
              <w:spacing w:before="0" w:after="0" w:line="240" w:lineRule="auto"/>
              <w:ind w:firstLineChars="100" w:firstLine="160"/>
              <w:rPr>
                <w:rFonts w:ascii="Arial" w:hAnsi="Arial" w:cs="Arial"/>
                <w:color w:val="000000"/>
                <w:sz w:val="16"/>
                <w:szCs w:val="16"/>
              </w:rPr>
            </w:pPr>
            <w:r w:rsidRPr="00BA5D50">
              <w:rPr>
                <w:rFonts w:ascii="Arial" w:hAnsi="Arial" w:cs="Arial"/>
                <w:color w:val="000000"/>
                <w:sz w:val="16"/>
                <w:szCs w:val="16"/>
              </w:rPr>
              <w:t>Sea transport</w:t>
            </w:r>
          </w:p>
        </w:tc>
        <w:tc>
          <w:tcPr>
            <w:tcW w:w="756" w:type="dxa"/>
            <w:tcBorders>
              <w:top w:val="nil"/>
              <w:left w:val="nil"/>
              <w:bottom w:val="nil"/>
              <w:right w:val="nil"/>
            </w:tcBorders>
            <w:shd w:val="clear" w:color="000000" w:fill="FFFFFF"/>
            <w:noWrap/>
            <w:vAlign w:val="center"/>
            <w:hideMark/>
          </w:tcPr>
          <w:p w14:paraId="6D83E520" w14:textId="77777777" w:rsidR="00BA5D50" w:rsidRPr="00BA5D50" w:rsidRDefault="00BA5D50" w:rsidP="00BA5D50">
            <w:pPr>
              <w:spacing w:before="0" w:after="0" w:line="240" w:lineRule="auto"/>
              <w:jc w:val="right"/>
              <w:rPr>
                <w:rFonts w:ascii="Arial" w:hAnsi="Arial" w:cs="Arial"/>
                <w:color w:val="000000"/>
                <w:sz w:val="16"/>
                <w:szCs w:val="16"/>
              </w:rPr>
            </w:pPr>
            <w:r w:rsidRPr="00BA5D50">
              <w:rPr>
                <w:rFonts w:ascii="Arial" w:hAnsi="Arial" w:cs="Arial"/>
                <w:color w:val="000000"/>
                <w:sz w:val="16"/>
                <w:szCs w:val="16"/>
              </w:rPr>
              <w:t>484</w:t>
            </w:r>
          </w:p>
        </w:tc>
        <w:tc>
          <w:tcPr>
            <w:tcW w:w="76" w:type="dxa"/>
            <w:tcBorders>
              <w:top w:val="nil"/>
              <w:left w:val="nil"/>
              <w:bottom w:val="nil"/>
              <w:right w:val="nil"/>
            </w:tcBorders>
            <w:shd w:val="clear" w:color="000000" w:fill="FFFFFF"/>
            <w:noWrap/>
            <w:vAlign w:val="center"/>
            <w:hideMark/>
          </w:tcPr>
          <w:p w14:paraId="77FA0152" w14:textId="77777777" w:rsidR="00BA5D50" w:rsidRPr="00BA5D50" w:rsidRDefault="00BA5D50" w:rsidP="00BA5D50">
            <w:pPr>
              <w:spacing w:before="0" w:after="0" w:line="240" w:lineRule="auto"/>
              <w:rPr>
                <w:rFonts w:ascii="Arial" w:hAnsi="Arial" w:cs="Arial"/>
                <w:color w:val="000000"/>
                <w:sz w:val="16"/>
                <w:szCs w:val="16"/>
              </w:rPr>
            </w:pPr>
            <w:r w:rsidRPr="00BA5D50">
              <w:rPr>
                <w:rFonts w:ascii="Arial" w:hAnsi="Arial" w:cs="Arial"/>
                <w:color w:val="000000"/>
                <w:sz w:val="16"/>
                <w:szCs w:val="16"/>
              </w:rPr>
              <w:t> </w:t>
            </w:r>
          </w:p>
        </w:tc>
        <w:tc>
          <w:tcPr>
            <w:tcW w:w="744" w:type="dxa"/>
            <w:tcBorders>
              <w:top w:val="nil"/>
              <w:left w:val="nil"/>
              <w:bottom w:val="nil"/>
              <w:right w:val="nil"/>
            </w:tcBorders>
            <w:shd w:val="clear" w:color="000000" w:fill="FFFFFF"/>
            <w:noWrap/>
            <w:vAlign w:val="center"/>
            <w:hideMark/>
          </w:tcPr>
          <w:p w14:paraId="4D119B01" w14:textId="77777777" w:rsidR="00BA5D50" w:rsidRPr="00BA5D50" w:rsidRDefault="00BA5D50" w:rsidP="00BA5D50">
            <w:pPr>
              <w:spacing w:before="0" w:after="0" w:line="240" w:lineRule="auto"/>
              <w:jc w:val="right"/>
              <w:rPr>
                <w:rFonts w:ascii="Arial" w:hAnsi="Arial" w:cs="Arial"/>
                <w:color w:val="000000"/>
                <w:sz w:val="16"/>
                <w:szCs w:val="16"/>
              </w:rPr>
            </w:pPr>
            <w:r w:rsidRPr="00BA5D50">
              <w:rPr>
                <w:rFonts w:ascii="Arial" w:hAnsi="Arial" w:cs="Arial"/>
                <w:color w:val="000000"/>
                <w:sz w:val="16"/>
                <w:szCs w:val="16"/>
              </w:rPr>
              <w:t>499</w:t>
            </w:r>
          </w:p>
        </w:tc>
        <w:tc>
          <w:tcPr>
            <w:tcW w:w="743" w:type="dxa"/>
            <w:tcBorders>
              <w:top w:val="nil"/>
              <w:left w:val="nil"/>
              <w:bottom w:val="nil"/>
              <w:right w:val="nil"/>
            </w:tcBorders>
            <w:shd w:val="clear" w:color="000000" w:fill="E6F2FF"/>
            <w:noWrap/>
            <w:vAlign w:val="center"/>
            <w:hideMark/>
          </w:tcPr>
          <w:p w14:paraId="377444B7" w14:textId="77777777" w:rsidR="00BA5D50" w:rsidRPr="00BA5D50" w:rsidRDefault="00BA5D50" w:rsidP="00BA5D50">
            <w:pPr>
              <w:spacing w:before="0" w:after="0" w:line="240" w:lineRule="auto"/>
              <w:jc w:val="right"/>
              <w:rPr>
                <w:rFonts w:ascii="Arial" w:hAnsi="Arial" w:cs="Arial"/>
                <w:color w:val="000000"/>
                <w:sz w:val="16"/>
                <w:szCs w:val="16"/>
              </w:rPr>
            </w:pPr>
            <w:r w:rsidRPr="00BA5D50">
              <w:rPr>
                <w:rFonts w:ascii="Arial" w:hAnsi="Arial" w:cs="Arial"/>
                <w:color w:val="000000"/>
                <w:sz w:val="16"/>
                <w:szCs w:val="16"/>
              </w:rPr>
              <w:t>496</w:t>
            </w:r>
          </w:p>
        </w:tc>
        <w:tc>
          <w:tcPr>
            <w:tcW w:w="743" w:type="dxa"/>
            <w:tcBorders>
              <w:top w:val="nil"/>
              <w:left w:val="nil"/>
              <w:bottom w:val="nil"/>
              <w:right w:val="nil"/>
            </w:tcBorders>
            <w:shd w:val="clear" w:color="000000" w:fill="FFFFFF"/>
            <w:noWrap/>
            <w:vAlign w:val="center"/>
            <w:hideMark/>
          </w:tcPr>
          <w:p w14:paraId="027CE1AC" w14:textId="77777777" w:rsidR="00BA5D50" w:rsidRPr="00BA5D50" w:rsidRDefault="00BA5D50" w:rsidP="00BA5D50">
            <w:pPr>
              <w:spacing w:before="0" w:after="0" w:line="240" w:lineRule="auto"/>
              <w:jc w:val="right"/>
              <w:rPr>
                <w:rFonts w:ascii="Arial" w:hAnsi="Arial" w:cs="Arial"/>
                <w:color w:val="000000"/>
                <w:sz w:val="16"/>
                <w:szCs w:val="16"/>
              </w:rPr>
            </w:pPr>
            <w:r w:rsidRPr="00BA5D50">
              <w:rPr>
                <w:rFonts w:ascii="Arial" w:hAnsi="Arial" w:cs="Arial"/>
                <w:color w:val="000000"/>
                <w:sz w:val="16"/>
                <w:szCs w:val="16"/>
              </w:rPr>
              <w:t>496</w:t>
            </w:r>
          </w:p>
        </w:tc>
        <w:tc>
          <w:tcPr>
            <w:tcW w:w="743" w:type="dxa"/>
            <w:tcBorders>
              <w:top w:val="nil"/>
              <w:left w:val="nil"/>
              <w:bottom w:val="nil"/>
              <w:right w:val="nil"/>
            </w:tcBorders>
            <w:shd w:val="clear" w:color="000000" w:fill="FFFFFF"/>
            <w:noWrap/>
            <w:vAlign w:val="center"/>
            <w:hideMark/>
          </w:tcPr>
          <w:p w14:paraId="0BEA3803" w14:textId="77777777" w:rsidR="00BA5D50" w:rsidRPr="00BA5D50" w:rsidRDefault="00BA5D50" w:rsidP="00BA5D50">
            <w:pPr>
              <w:spacing w:before="0" w:after="0" w:line="240" w:lineRule="auto"/>
              <w:jc w:val="right"/>
              <w:rPr>
                <w:rFonts w:ascii="Arial" w:hAnsi="Arial" w:cs="Arial"/>
                <w:color w:val="000000"/>
                <w:sz w:val="16"/>
                <w:szCs w:val="16"/>
              </w:rPr>
            </w:pPr>
            <w:r w:rsidRPr="00BA5D50">
              <w:rPr>
                <w:rFonts w:ascii="Arial" w:hAnsi="Arial" w:cs="Arial"/>
                <w:color w:val="000000"/>
                <w:sz w:val="16"/>
                <w:szCs w:val="16"/>
              </w:rPr>
              <w:t>501</w:t>
            </w:r>
          </w:p>
        </w:tc>
        <w:tc>
          <w:tcPr>
            <w:tcW w:w="743" w:type="dxa"/>
            <w:tcBorders>
              <w:top w:val="nil"/>
              <w:left w:val="nil"/>
              <w:bottom w:val="nil"/>
              <w:right w:val="nil"/>
            </w:tcBorders>
            <w:shd w:val="clear" w:color="000000" w:fill="FFFFFF"/>
            <w:noWrap/>
            <w:vAlign w:val="center"/>
            <w:hideMark/>
          </w:tcPr>
          <w:p w14:paraId="33738B3B" w14:textId="77777777" w:rsidR="00BA5D50" w:rsidRPr="00BA5D50" w:rsidRDefault="00BA5D50" w:rsidP="00BA5D50">
            <w:pPr>
              <w:spacing w:before="0" w:after="0" w:line="240" w:lineRule="auto"/>
              <w:jc w:val="right"/>
              <w:rPr>
                <w:rFonts w:ascii="Arial" w:hAnsi="Arial" w:cs="Arial"/>
                <w:color w:val="000000"/>
                <w:sz w:val="16"/>
                <w:szCs w:val="16"/>
              </w:rPr>
            </w:pPr>
            <w:r w:rsidRPr="00BA5D50">
              <w:rPr>
                <w:rFonts w:ascii="Arial" w:hAnsi="Arial" w:cs="Arial"/>
                <w:color w:val="000000"/>
                <w:sz w:val="16"/>
                <w:szCs w:val="16"/>
              </w:rPr>
              <w:t>507</w:t>
            </w:r>
          </w:p>
        </w:tc>
      </w:tr>
      <w:tr w:rsidR="00BA5D50" w:rsidRPr="00BA5D50" w14:paraId="5AD1C8EC" w14:textId="77777777" w:rsidTr="00610633">
        <w:trPr>
          <w:trHeight w:val="225"/>
        </w:trPr>
        <w:tc>
          <w:tcPr>
            <w:tcW w:w="3118" w:type="dxa"/>
            <w:tcBorders>
              <w:top w:val="nil"/>
              <w:left w:val="nil"/>
              <w:bottom w:val="nil"/>
              <w:right w:val="nil"/>
            </w:tcBorders>
            <w:shd w:val="clear" w:color="000000" w:fill="FFFFFF"/>
            <w:noWrap/>
            <w:vAlign w:val="center"/>
            <w:hideMark/>
          </w:tcPr>
          <w:p w14:paraId="1310FD92" w14:textId="77777777" w:rsidR="00BA5D50" w:rsidRPr="00BA5D50" w:rsidRDefault="00BA5D50" w:rsidP="00BA5D50">
            <w:pPr>
              <w:spacing w:before="0" w:after="0" w:line="240" w:lineRule="auto"/>
              <w:ind w:firstLineChars="100" w:firstLine="160"/>
              <w:rPr>
                <w:rFonts w:ascii="Arial" w:hAnsi="Arial" w:cs="Arial"/>
                <w:color w:val="000000"/>
                <w:sz w:val="16"/>
                <w:szCs w:val="16"/>
              </w:rPr>
            </w:pPr>
            <w:r w:rsidRPr="00BA5D50">
              <w:rPr>
                <w:rFonts w:ascii="Arial" w:hAnsi="Arial" w:cs="Arial"/>
                <w:color w:val="000000"/>
                <w:sz w:val="16"/>
                <w:szCs w:val="16"/>
              </w:rPr>
              <w:t>Other transport and</w:t>
            </w:r>
          </w:p>
        </w:tc>
        <w:tc>
          <w:tcPr>
            <w:tcW w:w="756" w:type="dxa"/>
            <w:tcBorders>
              <w:top w:val="nil"/>
              <w:left w:val="nil"/>
              <w:bottom w:val="nil"/>
              <w:right w:val="nil"/>
            </w:tcBorders>
            <w:shd w:val="clear" w:color="000000" w:fill="FFFFFF"/>
            <w:noWrap/>
            <w:vAlign w:val="center"/>
            <w:hideMark/>
          </w:tcPr>
          <w:p w14:paraId="0DDC79EC" w14:textId="77777777" w:rsidR="00BA5D50" w:rsidRPr="00BA5D50" w:rsidRDefault="00BA5D50" w:rsidP="00BA5D50">
            <w:pPr>
              <w:spacing w:before="0" w:after="0" w:line="240" w:lineRule="auto"/>
              <w:rPr>
                <w:rFonts w:ascii="Arial" w:hAnsi="Arial" w:cs="Arial"/>
                <w:color w:val="000000"/>
                <w:sz w:val="16"/>
                <w:szCs w:val="16"/>
              </w:rPr>
            </w:pPr>
            <w:r w:rsidRPr="00BA5D50">
              <w:rPr>
                <w:rFonts w:ascii="Arial" w:hAnsi="Arial" w:cs="Arial"/>
                <w:color w:val="000000"/>
                <w:sz w:val="16"/>
                <w:szCs w:val="16"/>
              </w:rPr>
              <w:t> </w:t>
            </w:r>
          </w:p>
        </w:tc>
        <w:tc>
          <w:tcPr>
            <w:tcW w:w="76" w:type="dxa"/>
            <w:tcBorders>
              <w:top w:val="nil"/>
              <w:left w:val="nil"/>
              <w:bottom w:val="nil"/>
              <w:right w:val="nil"/>
            </w:tcBorders>
            <w:shd w:val="clear" w:color="000000" w:fill="FFFFFF"/>
            <w:noWrap/>
            <w:vAlign w:val="center"/>
            <w:hideMark/>
          </w:tcPr>
          <w:p w14:paraId="5E3E08D5" w14:textId="77777777" w:rsidR="00BA5D50" w:rsidRPr="00BA5D50" w:rsidRDefault="00BA5D50" w:rsidP="00BA5D50">
            <w:pPr>
              <w:spacing w:before="0" w:after="0" w:line="240" w:lineRule="auto"/>
              <w:rPr>
                <w:rFonts w:ascii="Arial" w:hAnsi="Arial" w:cs="Arial"/>
                <w:color w:val="000000"/>
                <w:sz w:val="16"/>
                <w:szCs w:val="16"/>
              </w:rPr>
            </w:pPr>
            <w:r w:rsidRPr="00BA5D50">
              <w:rPr>
                <w:rFonts w:ascii="Arial" w:hAnsi="Arial" w:cs="Arial"/>
                <w:color w:val="000000"/>
                <w:sz w:val="16"/>
                <w:szCs w:val="16"/>
              </w:rPr>
              <w:t> </w:t>
            </w:r>
          </w:p>
        </w:tc>
        <w:tc>
          <w:tcPr>
            <w:tcW w:w="744" w:type="dxa"/>
            <w:tcBorders>
              <w:top w:val="nil"/>
              <w:left w:val="nil"/>
              <w:bottom w:val="nil"/>
              <w:right w:val="nil"/>
            </w:tcBorders>
            <w:shd w:val="clear" w:color="000000" w:fill="FFFFFF"/>
            <w:noWrap/>
            <w:vAlign w:val="center"/>
            <w:hideMark/>
          </w:tcPr>
          <w:p w14:paraId="0CE5B2C4" w14:textId="77777777" w:rsidR="00BA5D50" w:rsidRPr="00BA5D50" w:rsidRDefault="00BA5D50" w:rsidP="00BA5D50">
            <w:pPr>
              <w:spacing w:before="0" w:after="0" w:line="240" w:lineRule="auto"/>
              <w:rPr>
                <w:rFonts w:ascii="Arial" w:hAnsi="Arial" w:cs="Arial"/>
                <w:color w:val="000000"/>
                <w:sz w:val="16"/>
                <w:szCs w:val="16"/>
              </w:rPr>
            </w:pPr>
            <w:r w:rsidRPr="00BA5D50">
              <w:rPr>
                <w:rFonts w:ascii="Arial" w:hAnsi="Arial" w:cs="Arial"/>
                <w:color w:val="000000"/>
                <w:sz w:val="16"/>
                <w:szCs w:val="16"/>
              </w:rPr>
              <w:t> </w:t>
            </w:r>
          </w:p>
        </w:tc>
        <w:tc>
          <w:tcPr>
            <w:tcW w:w="743" w:type="dxa"/>
            <w:tcBorders>
              <w:top w:val="nil"/>
              <w:left w:val="nil"/>
              <w:bottom w:val="nil"/>
              <w:right w:val="nil"/>
            </w:tcBorders>
            <w:shd w:val="clear" w:color="000000" w:fill="E6F2FF"/>
            <w:noWrap/>
            <w:vAlign w:val="center"/>
            <w:hideMark/>
          </w:tcPr>
          <w:p w14:paraId="6307C572" w14:textId="77777777" w:rsidR="00BA5D50" w:rsidRPr="00BA5D50" w:rsidRDefault="00BA5D50" w:rsidP="00BA5D50">
            <w:pPr>
              <w:spacing w:before="0" w:after="0" w:line="240" w:lineRule="auto"/>
              <w:rPr>
                <w:rFonts w:ascii="Arial" w:hAnsi="Arial" w:cs="Arial"/>
                <w:color w:val="000000"/>
                <w:sz w:val="16"/>
                <w:szCs w:val="16"/>
              </w:rPr>
            </w:pPr>
            <w:r w:rsidRPr="00BA5D50">
              <w:rPr>
                <w:rFonts w:ascii="Arial" w:hAnsi="Arial" w:cs="Arial"/>
                <w:color w:val="000000"/>
                <w:sz w:val="16"/>
                <w:szCs w:val="16"/>
              </w:rPr>
              <w:t> </w:t>
            </w:r>
          </w:p>
        </w:tc>
        <w:tc>
          <w:tcPr>
            <w:tcW w:w="743" w:type="dxa"/>
            <w:tcBorders>
              <w:top w:val="nil"/>
              <w:left w:val="nil"/>
              <w:bottom w:val="nil"/>
              <w:right w:val="nil"/>
            </w:tcBorders>
            <w:shd w:val="clear" w:color="000000" w:fill="FFFFFF"/>
            <w:noWrap/>
            <w:vAlign w:val="center"/>
            <w:hideMark/>
          </w:tcPr>
          <w:p w14:paraId="3C2E81C1" w14:textId="77777777" w:rsidR="00BA5D50" w:rsidRPr="00BA5D50" w:rsidRDefault="00BA5D50" w:rsidP="00BA5D50">
            <w:pPr>
              <w:spacing w:before="0" w:after="0" w:line="240" w:lineRule="auto"/>
              <w:rPr>
                <w:rFonts w:ascii="Arial" w:hAnsi="Arial" w:cs="Arial"/>
                <w:color w:val="000000"/>
                <w:sz w:val="16"/>
                <w:szCs w:val="16"/>
              </w:rPr>
            </w:pPr>
            <w:r w:rsidRPr="00BA5D50">
              <w:rPr>
                <w:rFonts w:ascii="Arial" w:hAnsi="Arial" w:cs="Arial"/>
                <w:color w:val="000000"/>
                <w:sz w:val="16"/>
                <w:szCs w:val="16"/>
              </w:rPr>
              <w:t> </w:t>
            </w:r>
          </w:p>
        </w:tc>
        <w:tc>
          <w:tcPr>
            <w:tcW w:w="743" w:type="dxa"/>
            <w:tcBorders>
              <w:top w:val="nil"/>
              <w:left w:val="nil"/>
              <w:bottom w:val="nil"/>
              <w:right w:val="nil"/>
            </w:tcBorders>
            <w:shd w:val="clear" w:color="000000" w:fill="FFFFFF"/>
            <w:noWrap/>
            <w:vAlign w:val="center"/>
            <w:hideMark/>
          </w:tcPr>
          <w:p w14:paraId="5F348CB2" w14:textId="77777777" w:rsidR="00BA5D50" w:rsidRPr="00BA5D50" w:rsidRDefault="00BA5D50" w:rsidP="00BA5D50">
            <w:pPr>
              <w:spacing w:before="0" w:after="0" w:line="240" w:lineRule="auto"/>
              <w:rPr>
                <w:rFonts w:ascii="Arial" w:hAnsi="Arial" w:cs="Arial"/>
                <w:color w:val="000000"/>
                <w:sz w:val="16"/>
                <w:szCs w:val="16"/>
              </w:rPr>
            </w:pPr>
            <w:r w:rsidRPr="00BA5D50">
              <w:rPr>
                <w:rFonts w:ascii="Arial" w:hAnsi="Arial" w:cs="Arial"/>
                <w:color w:val="000000"/>
                <w:sz w:val="16"/>
                <w:szCs w:val="16"/>
              </w:rPr>
              <w:t> </w:t>
            </w:r>
          </w:p>
        </w:tc>
        <w:tc>
          <w:tcPr>
            <w:tcW w:w="743" w:type="dxa"/>
            <w:tcBorders>
              <w:top w:val="nil"/>
              <w:left w:val="nil"/>
              <w:bottom w:val="nil"/>
              <w:right w:val="nil"/>
            </w:tcBorders>
            <w:shd w:val="clear" w:color="000000" w:fill="FFFFFF"/>
            <w:noWrap/>
            <w:vAlign w:val="center"/>
            <w:hideMark/>
          </w:tcPr>
          <w:p w14:paraId="7E0682B8" w14:textId="77777777" w:rsidR="00BA5D50" w:rsidRPr="00BA5D50" w:rsidRDefault="00BA5D50" w:rsidP="00BA5D50">
            <w:pPr>
              <w:spacing w:before="0" w:after="0" w:line="240" w:lineRule="auto"/>
              <w:rPr>
                <w:rFonts w:ascii="Arial" w:hAnsi="Arial" w:cs="Arial"/>
                <w:color w:val="000000"/>
                <w:sz w:val="16"/>
                <w:szCs w:val="16"/>
              </w:rPr>
            </w:pPr>
            <w:r w:rsidRPr="00BA5D50">
              <w:rPr>
                <w:rFonts w:ascii="Arial" w:hAnsi="Arial" w:cs="Arial"/>
                <w:color w:val="000000"/>
                <w:sz w:val="16"/>
                <w:szCs w:val="16"/>
              </w:rPr>
              <w:t> </w:t>
            </w:r>
          </w:p>
        </w:tc>
      </w:tr>
      <w:tr w:rsidR="00BA5D50" w:rsidRPr="00BA5D50" w14:paraId="2899A564" w14:textId="77777777" w:rsidTr="007C7AA6">
        <w:trPr>
          <w:trHeight w:val="225"/>
        </w:trPr>
        <w:tc>
          <w:tcPr>
            <w:tcW w:w="3118" w:type="dxa"/>
            <w:tcBorders>
              <w:top w:val="nil"/>
              <w:left w:val="nil"/>
              <w:bottom w:val="nil"/>
              <w:right w:val="nil"/>
            </w:tcBorders>
            <w:shd w:val="clear" w:color="000000" w:fill="FFFFFF"/>
            <w:noWrap/>
            <w:vAlign w:val="center"/>
            <w:hideMark/>
          </w:tcPr>
          <w:p w14:paraId="3D15FE25" w14:textId="77777777" w:rsidR="00BA5D50" w:rsidRPr="00BA5D50" w:rsidRDefault="00BA5D50" w:rsidP="00BA5D50">
            <w:pPr>
              <w:spacing w:before="0" w:after="0" w:line="240" w:lineRule="auto"/>
              <w:ind w:firstLineChars="200" w:firstLine="320"/>
              <w:rPr>
                <w:rFonts w:ascii="Arial" w:hAnsi="Arial" w:cs="Arial"/>
                <w:color w:val="000000"/>
                <w:sz w:val="16"/>
                <w:szCs w:val="16"/>
              </w:rPr>
            </w:pPr>
            <w:r w:rsidRPr="00BA5D50">
              <w:rPr>
                <w:rFonts w:ascii="Arial" w:hAnsi="Arial" w:cs="Arial"/>
                <w:color w:val="000000"/>
                <w:sz w:val="16"/>
                <w:szCs w:val="16"/>
              </w:rPr>
              <w:t>communication</w:t>
            </w:r>
          </w:p>
        </w:tc>
        <w:tc>
          <w:tcPr>
            <w:tcW w:w="756" w:type="dxa"/>
            <w:tcBorders>
              <w:top w:val="nil"/>
              <w:left w:val="nil"/>
              <w:bottom w:val="single" w:sz="4" w:space="0" w:color="293F5B"/>
              <w:right w:val="nil"/>
            </w:tcBorders>
            <w:shd w:val="clear" w:color="000000" w:fill="FFFFFF"/>
            <w:noWrap/>
            <w:vAlign w:val="center"/>
            <w:hideMark/>
          </w:tcPr>
          <w:p w14:paraId="0FC3A750" w14:textId="77777777" w:rsidR="00BA5D50" w:rsidRPr="00BA5D50" w:rsidRDefault="00BA5D50" w:rsidP="00BA5D50">
            <w:pPr>
              <w:spacing w:before="0" w:after="0" w:line="240" w:lineRule="auto"/>
              <w:jc w:val="right"/>
              <w:rPr>
                <w:rFonts w:ascii="Arial" w:hAnsi="Arial" w:cs="Arial"/>
                <w:color w:val="000000"/>
                <w:sz w:val="16"/>
                <w:szCs w:val="16"/>
              </w:rPr>
            </w:pPr>
            <w:r w:rsidRPr="00BA5D50">
              <w:rPr>
                <w:rFonts w:ascii="Arial" w:hAnsi="Arial" w:cs="Arial"/>
                <w:color w:val="000000"/>
                <w:sz w:val="16"/>
                <w:szCs w:val="16"/>
              </w:rPr>
              <w:t>253</w:t>
            </w:r>
          </w:p>
        </w:tc>
        <w:tc>
          <w:tcPr>
            <w:tcW w:w="76" w:type="dxa"/>
            <w:tcBorders>
              <w:top w:val="nil"/>
              <w:left w:val="nil"/>
              <w:bottom w:val="nil"/>
              <w:right w:val="nil"/>
            </w:tcBorders>
            <w:shd w:val="clear" w:color="000000" w:fill="FFFFFF"/>
            <w:noWrap/>
            <w:vAlign w:val="center"/>
            <w:hideMark/>
          </w:tcPr>
          <w:p w14:paraId="5FF661AE" w14:textId="77777777" w:rsidR="00BA5D50" w:rsidRPr="00BA5D50" w:rsidRDefault="00BA5D50" w:rsidP="00BA5D50">
            <w:pPr>
              <w:spacing w:before="0" w:after="0" w:line="240" w:lineRule="auto"/>
              <w:rPr>
                <w:rFonts w:ascii="Arial" w:hAnsi="Arial" w:cs="Arial"/>
                <w:color w:val="000000"/>
                <w:sz w:val="16"/>
                <w:szCs w:val="16"/>
              </w:rPr>
            </w:pPr>
            <w:r w:rsidRPr="00BA5D50">
              <w:rPr>
                <w:rFonts w:ascii="Arial" w:hAnsi="Arial" w:cs="Arial"/>
                <w:color w:val="000000"/>
                <w:sz w:val="16"/>
                <w:szCs w:val="16"/>
              </w:rPr>
              <w:t> </w:t>
            </w:r>
          </w:p>
        </w:tc>
        <w:tc>
          <w:tcPr>
            <w:tcW w:w="744" w:type="dxa"/>
            <w:tcBorders>
              <w:top w:val="nil"/>
              <w:left w:val="nil"/>
              <w:bottom w:val="single" w:sz="4" w:space="0" w:color="293F5B"/>
              <w:right w:val="nil"/>
            </w:tcBorders>
            <w:shd w:val="clear" w:color="000000" w:fill="FFFFFF"/>
            <w:noWrap/>
            <w:vAlign w:val="center"/>
            <w:hideMark/>
          </w:tcPr>
          <w:p w14:paraId="0A0E4434" w14:textId="77777777" w:rsidR="00BA5D50" w:rsidRPr="00BA5D50" w:rsidRDefault="00BA5D50" w:rsidP="00BA5D50">
            <w:pPr>
              <w:spacing w:before="0" w:after="0" w:line="240" w:lineRule="auto"/>
              <w:jc w:val="right"/>
              <w:rPr>
                <w:rFonts w:ascii="Arial" w:hAnsi="Arial" w:cs="Arial"/>
                <w:color w:val="000000"/>
                <w:sz w:val="16"/>
                <w:szCs w:val="16"/>
              </w:rPr>
            </w:pPr>
            <w:r w:rsidRPr="00BA5D50">
              <w:rPr>
                <w:rFonts w:ascii="Arial" w:hAnsi="Arial" w:cs="Arial"/>
                <w:color w:val="000000"/>
                <w:sz w:val="16"/>
                <w:szCs w:val="16"/>
              </w:rPr>
              <w:t>279</w:t>
            </w:r>
          </w:p>
        </w:tc>
        <w:tc>
          <w:tcPr>
            <w:tcW w:w="743" w:type="dxa"/>
            <w:tcBorders>
              <w:top w:val="nil"/>
              <w:left w:val="nil"/>
              <w:bottom w:val="single" w:sz="4" w:space="0" w:color="293F5B"/>
              <w:right w:val="nil"/>
            </w:tcBorders>
            <w:shd w:val="clear" w:color="000000" w:fill="E6F2FF"/>
            <w:noWrap/>
            <w:vAlign w:val="center"/>
            <w:hideMark/>
          </w:tcPr>
          <w:p w14:paraId="605B3942" w14:textId="77777777" w:rsidR="00BA5D50" w:rsidRPr="00BA5D50" w:rsidRDefault="00BA5D50" w:rsidP="00BA5D50">
            <w:pPr>
              <w:spacing w:before="0" w:after="0" w:line="240" w:lineRule="auto"/>
              <w:jc w:val="right"/>
              <w:rPr>
                <w:rFonts w:ascii="Arial" w:hAnsi="Arial" w:cs="Arial"/>
                <w:color w:val="000000"/>
                <w:sz w:val="16"/>
                <w:szCs w:val="16"/>
              </w:rPr>
            </w:pPr>
            <w:r w:rsidRPr="00BA5D50">
              <w:rPr>
                <w:rFonts w:ascii="Arial" w:hAnsi="Arial" w:cs="Arial"/>
                <w:color w:val="000000"/>
                <w:sz w:val="16"/>
                <w:szCs w:val="16"/>
              </w:rPr>
              <w:t>360</w:t>
            </w:r>
          </w:p>
        </w:tc>
        <w:tc>
          <w:tcPr>
            <w:tcW w:w="743" w:type="dxa"/>
            <w:tcBorders>
              <w:top w:val="nil"/>
              <w:left w:val="nil"/>
              <w:bottom w:val="single" w:sz="4" w:space="0" w:color="293F5B"/>
              <w:right w:val="nil"/>
            </w:tcBorders>
            <w:shd w:val="clear" w:color="000000" w:fill="FFFFFF"/>
            <w:noWrap/>
            <w:vAlign w:val="center"/>
            <w:hideMark/>
          </w:tcPr>
          <w:p w14:paraId="26B085ED" w14:textId="77777777" w:rsidR="00BA5D50" w:rsidRPr="00BA5D50" w:rsidRDefault="00BA5D50" w:rsidP="00BA5D50">
            <w:pPr>
              <w:spacing w:before="0" w:after="0" w:line="240" w:lineRule="auto"/>
              <w:jc w:val="right"/>
              <w:rPr>
                <w:rFonts w:ascii="Arial" w:hAnsi="Arial" w:cs="Arial"/>
                <w:color w:val="000000"/>
                <w:sz w:val="16"/>
                <w:szCs w:val="16"/>
              </w:rPr>
            </w:pPr>
            <w:r w:rsidRPr="00BA5D50">
              <w:rPr>
                <w:rFonts w:ascii="Arial" w:hAnsi="Arial" w:cs="Arial"/>
                <w:color w:val="000000"/>
                <w:sz w:val="16"/>
                <w:szCs w:val="16"/>
              </w:rPr>
              <w:t>331</w:t>
            </w:r>
          </w:p>
        </w:tc>
        <w:tc>
          <w:tcPr>
            <w:tcW w:w="743" w:type="dxa"/>
            <w:tcBorders>
              <w:top w:val="nil"/>
              <w:left w:val="nil"/>
              <w:bottom w:val="single" w:sz="4" w:space="0" w:color="293F5B"/>
              <w:right w:val="nil"/>
            </w:tcBorders>
            <w:shd w:val="clear" w:color="000000" w:fill="FFFFFF"/>
            <w:noWrap/>
            <w:vAlign w:val="center"/>
            <w:hideMark/>
          </w:tcPr>
          <w:p w14:paraId="5D0E8C9E" w14:textId="77777777" w:rsidR="00BA5D50" w:rsidRPr="00BA5D50" w:rsidRDefault="00BA5D50" w:rsidP="00BA5D50">
            <w:pPr>
              <w:spacing w:before="0" w:after="0" w:line="240" w:lineRule="auto"/>
              <w:jc w:val="right"/>
              <w:rPr>
                <w:rFonts w:ascii="Arial" w:hAnsi="Arial" w:cs="Arial"/>
                <w:color w:val="000000"/>
                <w:sz w:val="16"/>
                <w:szCs w:val="16"/>
              </w:rPr>
            </w:pPr>
            <w:r w:rsidRPr="00BA5D50">
              <w:rPr>
                <w:rFonts w:ascii="Arial" w:hAnsi="Arial" w:cs="Arial"/>
                <w:color w:val="000000"/>
                <w:sz w:val="16"/>
                <w:szCs w:val="16"/>
              </w:rPr>
              <w:t>299</w:t>
            </w:r>
          </w:p>
        </w:tc>
        <w:tc>
          <w:tcPr>
            <w:tcW w:w="743" w:type="dxa"/>
            <w:tcBorders>
              <w:top w:val="nil"/>
              <w:left w:val="nil"/>
              <w:bottom w:val="single" w:sz="4" w:space="0" w:color="293F5B"/>
              <w:right w:val="nil"/>
            </w:tcBorders>
            <w:shd w:val="clear" w:color="000000" w:fill="FFFFFF"/>
            <w:noWrap/>
            <w:vAlign w:val="center"/>
            <w:hideMark/>
          </w:tcPr>
          <w:p w14:paraId="12357A18" w14:textId="77777777" w:rsidR="00BA5D50" w:rsidRPr="00BA5D50" w:rsidRDefault="00BA5D50" w:rsidP="00BA5D50">
            <w:pPr>
              <w:spacing w:before="0" w:after="0" w:line="240" w:lineRule="auto"/>
              <w:jc w:val="right"/>
              <w:rPr>
                <w:rFonts w:ascii="Arial" w:hAnsi="Arial" w:cs="Arial"/>
                <w:color w:val="000000"/>
                <w:sz w:val="16"/>
                <w:szCs w:val="16"/>
              </w:rPr>
            </w:pPr>
            <w:r w:rsidRPr="00BA5D50">
              <w:rPr>
                <w:rFonts w:ascii="Arial" w:hAnsi="Arial" w:cs="Arial"/>
                <w:color w:val="000000"/>
                <w:sz w:val="16"/>
                <w:szCs w:val="16"/>
              </w:rPr>
              <w:t>286</w:t>
            </w:r>
          </w:p>
        </w:tc>
      </w:tr>
      <w:tr w:rsidR="00BA5D50" w:rsidRPr="00BA5D50" w14:paraId="3D20F0BB" w14:textId="77777777" w:rsidTr="00610633">
        <w:trPr>
          <w:trHeight w:val="225"/>
        </w:trPr>
        <w:tc>
          <w:tcPr>
            <w:tcW w:w="3118" w:type="dxa"/>
            <w:tcBorders>
              <w:top w:val="nil"/>
              <w:left w:val="nil"/>
              <w:bottom w:val="nil"/>
              <w:right w:val="nil"/>
            </w:tcBorders>
            <w:shd w:val="clear" w:color="000000" w:fill="FFFFFF"/>
            <w:noWrap/>
            <w:vAlign w:val="center"/>
            <w:hideMark/>
          </w:tcPr>
          <w:p w14:paraId="296AA96C" w14:textId="77777777" w:rsidR="00BA5D50" w:rsidRPr="00BA5D50" w:rsidRDefault="00BA5D50" w:rsidP="00BA5D50">
            <w:pPr>
              <w:spacing w:before="0" w:after="0" w:line="240" w:lineRule="auto"/>
              <w:rPr>
                <w:rFonts w:ascii="Arial" w:hAnsi="Arial" w:cs="Arial"/>
                <w:b/>
                <w:bCs/>
                <w:color w:val="000000"/>
                <w:sz w:val="16"/>
                <w:szCs w:val="16"/>
              </w:rPr>
            </w:pPr>
            <w:r w:rsidRPr="00BA5D50">
              <w:rPr>
                <w:rFonts w:ascii="Arial" w:hAnsi="Arial" w:cs="Arial"/>
                <w:b/>
                <w:bCs/>
                <w:color w:val="000000"/>
                <w:sz w:val="16"/>
                <w:szCs w:val="16"/>
              </w:rPr>
              <w:t>Total transport and</w:t>
            </w:r>
          </w:p>
        </w:tc>
        <w:tc>
          <w:tcPr>
            <w:tcW w:w="756" w:type="dxa"/>
            <w:tcBorders>
              <w:top w:val="single" w:sz="4" w:space="0" w:color="293F5B"/>
              <w:left w:val="nil"/>
              <w:bottom w:val="nil"/>
              <w:right w:val="nil"/>
            </w:tcBorders>
            <w:shd w:val="clear" w:color="000000" w:fill="FFFFFF"/>
            <w:noWrap/>
            <w:vAlign w:val="center"/>
            <w:hideMark/>
          </w:tcPr>
          <w:p w14:paraId="7BF261A2" w14:textId="77777777" w:rsidR="00BA5D50" w:rsidRPr="00BA5D50" w:rsidRDefault="00BA5D50" w:rsidP="00BA5D50">
            <w:pPr>
              <w:spacing w:before="0" w:after="0" w:line="240" w:lineRule="auto"/>
              <w:rPr>
                <w:rFonts w:ascii="Arial" w:hAnsi="Arial" w:cs="Arial"/>
                <w:color w:val="000000"/>
                <w:sz w:val="16"/>
                <w:szCs w:val="16"/>
              </w:rPr>
            </w:pPr>
            <w:r w:rsidRPr="00BA5D50">
              <w:rPr>
                <w:rFonts w:ascii="Arial" w:hAnsi="Arial" w:cs="Arial"/>
                <w:color w:val="000000"/>
                <w:sz w:val="16"/>
                <w:szCs w:val="16"/>
              </w:rPr>
              <w:t> </w:t>
            </w:r>
          </w:p>
        </w:tc>
        <w:tc>
          <w:tcPr>
            <w:tcW w:w="76" w:type="dxa"/>
            <w:tcBorders>
              <w:top w:val="nil"/>
              <w:left w:val="nil"/>
              <w:bottom w:val="nil"/>
              <w:right w:val="nil"/>
            </w:tcBorders>
            <w:shd w:val="clear" w:color="000000" w:fill="FFFFFF"/>
            <w:noWrap/>
            <w:vAlign w:val="center"/>
            <w:hideMark/>
          </w:tcPr>
          <w:p w14:paraId="1C98760B" w14:textId="77777777" w:rsidR="00BA5D50" w:rsidRPr="00BA5D50" w:rsidRDefault="00BA5D50" w:rsidP="00BA5D50">
            <w:pPr>
              <w:spacing w:before="0" w:after="0" w:line="240" w:lineRule="auto"/>
              <w:rPr>
                <w:rFonts w:ascii="Arial" w:hAnsi="Arial" w:cs="Arial"/>
                <w:color w:val="000000"/>
                <w:sz w:val="16"/>
                <w:szCs w:val="16"/>
              </w:rPr>
            </w:pPr>
            <w:r w:rsidRPr="00BA5D50">
              <w:rPr>
                <w:rFonts w:ascii="Arial" w:hAnsi="Arial" w:cs="Arial"/>
                <w:color w:val="000000"/>
                <w:sz w:val="16"/>
                <w:szCs w:val="16"/>
              </w:rPr>
              <w:t> </w:t>
            </w:r>
          </w:p>
        </w:tc>
        <w:tc>
          <w:tcPr>
            <w:tcW w:w="744" w:type="dxa"/>
            <w:tcBorders>
              <w:top w:val="single" w:sz="4" w:space="0" w:color="293F5B"/>
              <w:left w:val="nil"/>
              <w:bottom w:val="nil"/>
              <w:right w:val="nil"/>
            </w:tcBorders>
            <w:shd w:val="clear" w:color="000000" w:fill="FFFFFF"/>
            <w:noWrap/>
            <w:vAlign w:val="center"/>
            <w:hideMark/>
          </w:tcPr>
          <w:p w14:paraId="1FF556F2" w14:textId="77777777" w:rsidR="00BA5D50" w:rsidRPr="00BA5D50" w:rsidRDefault="00BA5D50" w:rsidP="00BA5D50">
            <w:pPr>
              <w:spacing w:before="0" w:after="0" w:line="240" w:lineRule="auto"/>
              <w:rPr>
                <w:rFonts w:ascii="Arial" w:hAnsi="Arial" w:cs="Arial"/>
                <w:color w:val="000000"/>
                <w:sz w:val="16"/>
                <w:szCs w:val="16"/>
              </w:rPr>
            </w:pPr>
            <w:r w:rsidRPr="00BA5D50">
              <w:rPr>
                <w:rFonts w:ascii="Arial" w:hAnsi="Arial" w:cs="Arial"/>
                <w:color w:val="000000"/>
                <w:sz w:val="16"/>
                <w:szCs w:val="16"/>
              </w:rPr>
              <w:t> </w:t>
            </w:r>
          </w:p>
        </w:tc>
        <w:tc>
          <w:tcPr>
            <w:tcW w:w="743" w:type="dxa"/>
            <w:tcBorders>
              <w:top w:val="single" w:sz="4" w:space="0" w:color="293F5B"/>
              <w:left w:val="nil"/>
              <w:bottom w:val="nil"/>
              <w:right w:val="nil"/>
            </w:tcBorders>
            <w:shd w:val="clear" w:color="000000" w:fill="E6F2FF"/>
            <w:noWrap/>
            <w:vAlign w:val="center"/>
            <w:hideMark/>
          </w:tcPr>
          <w:p w14:paraId="22153850" w14:textId="77777777" w:rsidR="00BA5D50" w:rsidRPr="00BA5D50" w:rsidRDefault="00BA5D50" w:rsidP="00BA5D50">
            <w:pPr>
              <w:spacing w:before="0" w:after="0" w:line="240" w:lineRule="auto"/>
              <w:rPr>
                <w:rFonts w:ascii="Arial" w:hAnsi="Arial" w:cs="Arial"/>
                <w:color w:val="000000"/>
                <w:sz w:val="16"/>
                <w:szCs w:val="16"/>
              </w:rPr>
            </w:pPr>
            <w:r w:rsidRPr="00BA5D50">
              <w:rPr>
                <w:rFonts w:ascii="Arial" w:hAnsi="Arial" w:cs="Arial"/>
                <w:color w:val="000000"/>
                <w:sz w:val="16"/>
                <w:szCs w:val="16"/>
              </w:rPr>
              <w:t> </w:t>
            </w:r>
          </w:p>
        </w:tc>
        <w:tc>
          <w:tcPr>
            <w:tcW w:w="743" w:type="dxa"/>
            <w:tcBorders>
              <w:top w:val="single" w:sz="4" w:space="0" w:color="293F5B"/>
              <w:left w:val="nil"/>
              <w:bottom w:val="nil"/>
              <w:right w:val="nil"/>
            </w:tcBorders>
            <w:shd w:val="clear" w:color="000000" w:fill="FFFFFF"/>
            <w:noWrap/>
            <w:vAlign w:val="center"/>
            <w:hideMark/>
          </w:tcPr>
          <w:p w14:paraId="231E29F5" w14:textId="77777777" w:rsidR="00BA5D50" w:rsidRPr="00BA5D50" w:rsidRDefault="00BA5D50" w:rsidP="00BA5D50">
            <w:pPr>
              <w:spacing w:before="0" w:after="0" w:line="240" w:lineRule="auto"/>
              <w:rPr>
                <w:rFonts w:ascii="Arial" w:hAnsi="Arial" w:cs="Arial"/>
                <w:color w:val="000000"/>
                <w:sz w:val="16"/>
                <w:szCs w:val="16"/>
              </w:rPr>
            </w:pPr>
            <w:r w:rsidRPr="00BA5D50">
              <w:rPr>
                <w:rFonts w:ascii="Arial" w:hAnsi="Arial" w:cs="Arial"/>
                <w:color w:val="000000"/>
                <w:sz w:val="16"/>
                <w:szCs w:val="16"/>
              </w:rPr>
              <w:t> </w:t>
            </w:r>
          </w:p>
        </w:tc>
        <w:tc>
          <w:tcPr>
            <w:tcW w:w="743" w:type="dxa"/>
            <w:tcBorders>
              <w:top w:val="single" w:sz="4" w:space="0" w:color="293F5B"/>
              <w:left w:val="nil"/>
              <w:bottom w:val="nil"/>
              <w:right w:val="nil"/>
            </w:tcBorders>
            <w:shd w:val="clear" w:color="000000" w:fill="FFFFFF"/>
            <w:noWrap/>
            <w:vAlign w:val="center"/>
            <w:hideMark/>
          </w:tcPr>
          <w:p w14:paraId="573C6E20" w14:textId="77777777" w:rsidR="00BA5D50" w:rsidRPr="00BA5D50" w:rsidRDefault="00BA5D50" w:rsidP="00BA5D50">
            <w:pPr>
              <w:spacing w:before="0" w:after="0" w:line="240" w:lineRule="auto"/>
              <w:rPr>
                <w:rFonts w:ascii="Arial" w:hAnsi="Arial" w:cs="Arial"/>
                <w:color w:val="000000"/>
                <w:sz w:val="16"/>
                <w:szCs w:val="16"/>
              </w:rPr>
            </w:pPr>
            <w:r w:rsidRPr="00BA5D50">
              <w:rPr>
                <w:rFonts w:ascii="Arial" w:hAnsi="Arial" w:cs="Arial"/>
                <w:color w:val="000000"/>
                <w:sz w:val="16"/>
                <w:szCs w:val="16"/>
              </w:rPr>
              <w:t> </w:t>
            </w:r>
          </w:p>
        </w:tc>
        <w:tc>
          <w:tcPr>
            <w:tcW w:w="743" w:type="dxa"/>
            <w:tcBorders>
              <w:top w:val="single" w:sz="4" w:space="0" w:color="293F5B"/>
              <w:left w:val="nil"/>
              <w:bottom w:val="nil"/>
              <w:right w:val="nil"/>
            </w:tcBorders>
            <w:shd w:val="clear" w:color="000000" w:fill="FFFFFF"/>
            <w:noWrap/>
            <w:vAlign w:val="center"/>
            <w:hideMark/>
          </w:tcPr>
          <w:p w14:paraId="44599E76" w14:textId="77777777" w:rsidR="00BA5D50" w:rsidRPr="00BA5D50" w:rsidRDefault="00BA5D50" w:rsidP="00BA5D50">
            <w:pPr>
              <w:spacing w:before="0" w:after="0" w:line="240" w:lineRule="auto"/>
              <w:rPr>
                <w:rFonts w:ascii="Arial" w:hAnsi="Arial" w:cs="Arial"/>
                <w:color w:val="000000"/>
                <w:sz w:val="16"/>
                <w:szCs w:val="16"/>
              </w:rPr>
            </w:pPr>
            <w:r w:rsidRPr="00BA5D50">
              <w:rPr>
                <w:rFonts w:ascii="Arial" w:hAnsi="Arial" w:cs="Arial"/>
                <w:color w:val="000000"/>
                <w:sz w:val="16"/>
                <w:szCs w:val="16"/>
              </w:rPr>
              <w:t> </w:t>
            </w:r>
          </w:p>
        </w:tc>
      </w:tr>
      <w:tr w:rsidR="00BA5D50" w:rsidRPr="00BA5D50" w14:paraId="73A3EBE3" w14:textId="77777777" w:rsidTr="00610633">
        <w:trPr>
          <w:trHeight w:val="225"/>
        </w:trPr>
        <w:tc>
          <w:tcPr>
            <w:tcW w:w="3118" w:type="dxa"/>
            <w:tcBorders>
              <w:top w:val="nil"/>
              <w:left w:val="nil"/>
              <w:bottom w:val="nil"/>
              <w:right w:val="nil"/>
            </w:tcBorders>
            <w:shd w:val="clear" w:color="000000" w:fill="FFFFFF"/>
            <w:noWrap/>
            <w:vAlign w:val="center"/>
            <w:hideMark/>
          </w:tcPr>
          <w:p w14:paraId="33C003EF" w14:textId="77777777" w:rsidR="00BA5D50" w:rsidRPr="00BA5D50" w:rsidRDefault="00BA5D50" w:rsidP="00BA5D50">
            <w:pPr>
              <w:spacing w:before="0" w:after="0" w:line="240" w:lineRule="auto"/>
              <w:ind w:firstLineChars="100" w:firstLine="161"/>
              <w:rPr>
                <w:rFonts w:ascii="Arial" w:hAnsi="Arial" w:cs="Arial"/>
                <w:b/>
                <w:bCs/>
                <w:color w:val="000000"/>
                <w:sz w:val="16"/>
                <w:szCs w:val="16"/>
              </w:rPr>
            </w:pPr>
            <w:r w:rsidRPr="00BA5D50">
              <w:rPr>
                <w:rFonts w:ascii="Arial" w:hAnsi="Arial" w:cs="Arial"/>
                <w:b/>
                <w:bCs/>
                <w:color w:val="000000"/>
                <w:sz w:val="16"/>
                <w:szCs w:val="16"/>
              </w:rPr>
              <w:t>communication</w:t>
            </w:r>
          </w:p>
        </w:tc>
        <w:tc>
          <w:tcPr>
            <w:tcW w:w="756" w:type="dxa"/>
            <w:tcBorders>
              <w:top w:val="nil"/>
              <w:left w:val="nil"/>
              <w:bottom w:val="single" w:sz="4" w:space="0" w:color="293F5B"/>
              <w:right w:val="nil"/>
            </w:tcBorders>
            <w:shd w:val="clear" w:color="000000" w:fill="FFFFFF"/>
            <w:noWrap/>
            <w:vAlign w:val="center"/>
            <w:hideMark/>
          </w:tcPr>
          <w:p w14:paraId="6863C508" w14:textId="77777777" w:rsidR="00BA5D50" w:rsidRPr="00BA5D50" w:rsidRDefault="00BA5D50" w:rsidP="00BA5D50">
            <w:pPr>
              <w:spacing w:before="0" w:after="0" w:line="240" w:lineRule="auto"/>
              <w:jc w:val="right"/>
              <w:rPr>
                <w:rFonts w:ascii="Arial" w:hAnsi="Arial" w:cs="Arial"/>
                <w:b/>
                <w:bCs/>
                <w:color w:val="000000"/>
                <w:sz w:val="16"/>
                <w:szCs w:val="16"/>
              </w:rPr>
            </w:pPr>
            <w:r w:rsidRPr="00BA5D50">
              <w:rPr>
                <w:rFonts w:ascii="Arial" w:hAnsi="Arial" w:cs="Arial"/>
                <w:b/>
                <w:bCs/>
                <w:color w:val="000000"/>
                <w:sz w:val="16"/>
                <w:szCs w:val="16"/>
              </w:rPr>
              <w:t>12,166</w:t>
            </w:r>
          </w:p>
        </w:tc>
        <w:tc>
          <w:tcPr>
            <w:tcW w:w="76" w:type="dxa"/>
            <w:tcBorders>
              <w:top w:val="nil"/>
              <w:left w:val="nil"/>
              <w:bottom w:val="nil"/>
              <w:right w:val="nil"/>
            </w:tcBorders>
            <w:shd w:val="clear" w:color="000000" w:fill="FFFFFF"/>
            <w:noWrap/>
            <w:vAlign w:val="center"/>
            <w:hideMark/>
          </w:tcPr>
          <w:p w14:paraId="568AC29C" w14:textId="77777777" w:rsidR="00BA5D50" w:rsidRPr="00BA5D50" w:rsidRDefault="00BA5D50" w:rsidP="00BA5D50">
            <w:pPr>
              <w:spacing w:before="0" w:after="0" w:line="240" w:lineRule="auto"/>
              <w:rPr>
                <w:rFonts w:ascii="Arial" w:hAnsi="Arial" w:cs="Arial"/>
                <w:b/>
                <w:bCs/>
                <w:color w:val="000000"/>
                <w:sz w:val="16"/>
                <w:szCs w:val="16"/>
              </w:rPr>
            </w:pPr>
            <w:r w:rsidRPr="00BA5D50">
              <w:rPr>
                <w:rFonts w:ascii="Arial" w:hAnsi="Arial" w:cs="Arial"/>
                <w:b/>
                <w:bCs/>
                <w:color w:val="000000"/>
                <w:sz w:val="16"/>
                <w:szCs w:val="16"/>
              </w:rPr>
              <w:t> </w:t>
            </w:r>
          </w:p>
        </w:tc>
        <w:tc>
          <w:tcPr>
            <w:tcW w:w="744" w:type="dxa"/>
            <w:tcBorders>
              <w:top w:val="nil"/>
              <w:left w:val="nil"/>
              <w:bottom w:val="single" w:sz="4" w:space="0" w:color="293F5B"/>
              <w:right w:val="nil"/>
            </w:tcBorders>
            <w:shd w:val="clear" w:color="000000" w:fill="FFFFFF"/>
            <w:noWrap/>
            <w:vAlign w:val="center"/>
            <w:hideMark/>
          </w:tcPr>
          <w:p w14:paraId="2458BA6F" w14:textId="77777777" w:rsidR="00BA5D50" w:rsidRPr="00BA5D50" w:rsidRDefault="00BA5D50" w:rsidP="00BA5D50">
            <w:pPr>
              <w:spacing w:before="0" w:after="0" w:line="240" w:lineRule="auto"/>
              <w:jc w:val="right"/>
              <w:rPr>
                <w:rFonts w:ascii="Arial" w:hAnsi="Arial" w:cs="Arial"/>
                <w:b/>
                <w:bCs/>
                <w:color w:val="000000"/>
                <w:sz w:val="16"/>
                <w:szCs w:val="16"/>
              </w:rPr>
            </w:pPr>
            <w:r w:rsidRPr="00BA5D50">
              <w:rPr>
                <w:rFonts w:ascii="Arial" w:hAnsi="Arial" w:cs="Arial"/>
                <w:b/>
                <w:bCs/>
                <w:color w:val="000000"/>
                <w:sz w:val="16"/>
                <w:szCs w:val="16"/>
              </w:rPr>
              <w:t>14,928</w:t>
            </w:r>
          </w:p>
        </w:tc>
        <w:tc>
          <w:tcPr>
            <w:tcW w:w="743" w:type="dxa"/>
            <w:tcBorders>
              <w:top w:val="nil"/>
              <w:left w:val="nil"/>
              <w:bottom w:val="single" w:sz="4" w:space="0" w:color="293F5B"/>
              <w:right w:val="nil"/>
            </w:tcBorders>
            <w:shd w:val="clear" w:color="000000" w:fill="E6F2FF"/>
            <w:noWrap/>
            <w:vAlign w:val="center"/>
            <w:hideMark/>
          </w:tcPr>
          <w:p w14:paraId="7AF4ED0B" w14:textId="77777777" w:rsidR="00BA5D50" w:rsidRPr="00BA5D50" w:rsidRDefault="00BA5D50" w:rsidP="00BA5D50">
            <w:pPr>
              <w:spacing w:before="0" w:after="0" w:line="240" w:lineRule="auto"/>
              <w:jc w:val="right"/>
              <w:rPr>
                <w:rFonts w:ascii="Arial" w:hAnsi="Arial" w:cs="Arial"/>
                <w:b/>
                <w:bCs/>
                <w:color w:val="000000"/>
                <w:sz w:val="16"/>
                <w:szCs w:val="16"/>
              </w:rPr>
            </w:pPr>
            <w:r w:rsidRPr="00BA5D50">
              <w:rPr>
                <w:rFonts w:ascii="Arial" w:hAnsi="Arial" w:cs="Arial"/>
                <w:b/>
                <w:bCs/>
                <w:color w:val="000000"/>
                <w:sz w:val="16"/>
                <w:szCs w:val="16"/>
              </w:rPr>
              <w:t>16,769</w:t>
            </w:r>
          </w:p>
        </w:tc>
        <w:tc>
          <w:tcPr>
            <w:tcW w:w="743" w:type="dxa"/>
            <w:tcBorders>
              <w:top w:val="nil"/>
              <w:left w:val="nil"/>
              <w:bottom w:val="single" w:sz="4" w:space="0" w:color="293F5B"/>
              <w:right w:val="nil"/>
            </w:tcBorders>
            <w:shd w:val="clear" w:color="000000" w:fill="FFFFFF"/>
            <w:noWrap/>
            <w:vAlign w:val="center"/>
            <w:hideMark/>
          </w:tcPr>
          <w:p w14:paraId="2136AC18" w14:textId="77777777" w:rsidR="00BA5D50" w:rsidRPr="00BA5D50" w:rsidRDefault="00BA5D50" w:rsidP="00BA5D50">
            <w:pPr>
              <w:spacing w:before="0" w:after="0" w:line="240" w:lineRule="auto"/>
              <w:jc w:val="right"/>
              <w:rPr>
                <w:rFonts w:ascii="Arial" w:hAnsi="Arial" w:cs="Arial"/>
                <w:b/>
                <w:bCs/>
                <w:color w:val="000000"/>
                <w:sz w:val="16"/>
                <w:szCs w:val="16"/>
              </w:rPr>
            </w:pPr>
            <w:r w:rsidRPr="00BA5D50">
              <w:rPr>
                <w:rFonts w:ascii="Arial" w:hAnsi="Arial" w:cs="Arial"/>
                <w:b/>
                <w:bCs/>
                <w:color w:val="000000"/>
                <w:sz w:val="16"/>
                <w:szCs w:val="16"/>
              </w:rPr>
              <w:t>16,717</w:t>
            </w:r>
          </w:p>
        </w:tc>
        <w:tc>
          <w:tcPr>
            <w:tcW w:w="743" w:type="dxa"/>
            <w:tcBorders>
              <w:top w:val="nil"/>
              <w:left w:val="nil"/>
              <w:bottom w:val="single" w:sz="4" w:space="0" w:color="293F5B"/>
              <w:right w:val="nil"/>
            </w:tcBorders>
            <w:shd w:val="clear" w:color="000000" w:fill="FFFFFF"/>
            <w:noWrap/>
            <w:vAlign w:val="center"/>
            <w:hideMark/>
          </w:tcPr>
          <w:p w14:paraId="4974DA2D" w14:textId="77777777" w:rsidR="00BA5D50" w:rsidRPr="00BA5D50" w:rsidRDefault="00BA5D50" w:rsidP="00BA5D50">
            <w:pPr>
              <w:spacing w:before="0" w:after="0" w:line="240" w:lineRule="auto"/>
              <w:jc w:val="right"/>
              <w:rPr>
                <w:rFonts w:ascii="Arial" w:hAnsi="Arial" w:cs="Arial"/>
                <w:b/>
                <w:bCs/>
                <w:color w:val="000000"/>
                <w:sz w:val="16"/>
                <w:szCs w:val="16"/>
              </w:rPr>
            </w:pPr>
            <w:r w:rsidRPr="00BA5D50">
              <w:rPr>
                <w:rFonts w:ascii="Arial" w:hAnsi="Arial" w:cs="Arial"/>
                <w:b/>
                <w:bCs/>
                <w:color w:val="000000"/>
                <w:sz w:val="16"/>
                <w:szCs w:val="16"/>
              </w:rPr>
              <w:t>16,375</w:t>
            </w:r>
          </w:p>
        </w:tc>
        <w:tc>
          <w:tcPr>
            <w:tcW w:w="743" w:type="dxa"/>
            <w:tcBorders>
              <w:top w:val="nil"/>
              <w:left w:val="nil"/>
              <w:bottom w:val="single" w:sz="4" w:space="0" w:color="293F5B"/>
              <w:right w:val="nil"/>
            </w:tcBorders>
            <w:shd w:val="clear" w:color="000000" w:fill="FFFFFF"/>
            <w:noWrap/>
            <w:vAlign w:val="center"/>
            <w:hideMark/>
          </w:tcPr>
          <w:p w14:paraId="22E2D8CD" w14:textId="77777777" w:rsidR="00BA5D50" w:rsidRPr="00BA5D50" w:rsidRDefault="00BA5D50" w:rsidP="00BA5D50">
            <w:pPr>
              <w:spacing w:before="0" w:after="0" w:line="240" w:lineRule="auto"/>
              <w:jc w:val="right"/>
              <w:rPr>
                <w:rFonts w:ascii="Arial" w:hAnsi="Arial" w:cs="Arial"/>
                <w:b/>
                <w:bCs/>
                <w:color w:val="000000"/>
                <w:sz w:val="16"/>
                <w:szCs w:val="16"/>
              </w:rPr>
            </w:pPr>
            <w:r w:rsidRPr="00BA5D50">
              <w:rPr>
                <w:rFonts w:ascii="Arial" w:hAnsi="Arial" w:cs="Arial"/>
                <w:b/>
                <w:bCs/>
                <w:color w:val="000000"/>
                <w:sz w:val="16"/>
                <w:szCs w:val="16"/>
              </w:rPr>
              <w:t>14,656</w:t>
            </w:r>
          </w:p>
        </w:tc>
      </w:tr>
      <w:tr w:rsidR="00BA5D50" w:rsidRPr="00BA5D50" w14:paraId="2891A515" w14:textId="77777777" w:rsidTr="007C7AA6">
        <w:trPr>
          <w:trHeight w:val="60"/>
        </w:trPr>
        <w:tc>
          <w:tcPr>
            <w:tcW w:w="3118" w:type="dxa"/>
            <w:tcBorders>
              <w:top w:val="nil"/>
              <w:left w:val="nil"/>
              <w:bottom w:val="nil"/>
              <w:right w:val="nil"/>
            </w:tcBorders>
            <w:shd w:val="clear" w:color="000000" w:fill="FFFFFF"/>
            <w:noWrap/>
            <w:vAlign w:val="center"/>
            <w:hideMark/>
          </w:tcPr>
          <w:p w14:paraId="729D653D" w14:textId="77777777" w:rsidR="00BA5D50" w:rsidRPr="00204B48" w:rsidRDefault="00BA5D50" w:rsidP="00BA5D50">
            <w:pPr>
              <w:spacing w:before="0" w:after="0" w:line="240" w:lineRule="auto"/>
              <w:ind w:firstLineChars="100" w:firstLine="40"/>
              <w:rPr>
                <w:rFonts w:ascii="Arial" w:hAnsi="Arial" w:cs="Arial"/>
                <w:b/>
                <w:color w:val="000000"/>
                <w:sz w:val="4"/>
                <w:szCs w:val="4"/>
              </w:rPr>
            </w:pPr>
            <w:r w:rsidRPr="00204B48">
              <w:rPr>
                <w:rFonts w:ascii="Arial" w:hAnsi="Arial" w:cs="Arial"/>
                <w:b/>
                <w:color w:val="000000"/>
                <w:sz w:val="4"/>
                <w:szCs w:val="4"/>
              </w:rPr>
              <w:t> </w:t>
            </w:r>
          </w:p>
        </w:tc>
        <w:tc>
          <w:tcPr>
            <w:tcW w:w="756" w:type="dxa"/>
            <w:tcBorders>
              <w:top w:val="single" w:sz="4" w:space="0" w:color="293F5B"/>
              <w:left w:val="nil"/>
              <w:bottom w:val="nil"/>
              <w:right w:val="nil"/>
            </w:tcBorders>
            <w:shd w:val="clear" w:color="000000" w:fill="FFFFFF"/>
            <w:noWrap/>
            <w:vAlign w:val="center"/>
            <w:hideMark/>
          </w:tcPr>
          <w:p w14:paraId="1B41C614" w14:textId="77777777" w:rsidR="00BA5D50" w:rsidRPr="00204B48" w:rsidRDefault="00BA5D50" w:rsidP="00BA5D50">
            <w:pPr>
              <w:spacing w:before="0" w:after="0" w:line="240" w:lineRule="auto"/>
              <w:rPr>
                <w:rFonts w:ascii="Arial" w:hAnsi="Arial" w:cs="Arial"/>
                <w:b/>
                <w:color w:val="000000"/>
                <w:sz w:val="4"/>
                <w:szCs w:val="4"/>
              </w:rPr>
            </w:pPr>
            <w:r w:rsidRPr="00204B48">
              <w:rPr>
                <w:rFonts w:ascii="Arial" w:hAnsi="Arial" w:cs="Arial"/>
                <w:b/>
                <w:color w:val="000000"/>
                <w:sz w:val="4"/>
                <w:szCs w:val="4"/>
              </w:rPr>
              <w:t> </w:t>
            </w:r>
          </w:p>
        </w:tc>
        <w:tc>
          <w:tcPr>
            <w:tcW w:w="76" w:type="dxa"/>
            <w:tcBorders>
              <w:top w:val="nil"/>
              <w:left w:val="nil"/>
              <w:bottom w:val="nil"/>
              <w:right w:val="nil"/>
            </w:tcBorders>
            <w:shd w:val="clear" w:color="000000" w:fill="FFFFFF"/>
            <w:noWrap/>
            <w:vAlign w:val="center"/>
            <w:hideMark/>
          </w:tcPr>
          <w:p w14:paraId="4558BCEA" w14:textId="77777777" w:rsidR="00BA5D50" w:rsidRPr="00204B48" w:rsidRDefault="00BA5D50" w:rsidP="00BA5D50">
            <w:pPr>
              <w:spacing w:before="0" w:after="0" w:line="240" w:lineRule="auto"/>
              <w:rPr>
                <w:rFonts w:ascii="Arial" w:hAnsi="Arial" w:cs="Arial"/>
                <w:b/>
                <w:color w:val="000000"/>
                <w:sz w:val="4"/>
                <w:szCs w:val="4"/>
              </w:rPr>
            </w:pPr>
            <w:r w:rsidRPr="00204B48">
              <w:rPr>
                <w:rFonts w:ascii="Arial" w:hAnsi="Arial" w:cs="Arial"/>
                <w:b/>
                <w:color w:val="000000"/>
                <w:sz w:val="4"/>
                <w:szCs w:val="4"/>
              </w:rPr>
              <w:t> </w:t>
            </w:r>
          </w:p>
        </w:tc>
        <w:tc>
          <w:tcPr>
            <w:tcW w:w="744" w:type="dxa"/>
            <w:tcBorders>
              <w:top w:val="single" w:sz="4" w:space="0" w:color="293F5B"/>
              <w:left w:val="nil"/>
              <w:bottom w:val="nil"/>
              <w:right w:val="nil"/>
            </w:tcBorders>
            <w:shd w:val="clear" w:color="000000" w:fill="FFFFFF"/>
            <w:noWrap/>
            <w:vAlign w:val="center"/>
            <w:hideMark/>
          </w:tcPr>
          <w:p w14:paraId="78543A11" w14:textId="77777777" w:rsidR="00BA5D50" w:rsidRPr="00204B48" w:rsidRDefault="00BA5D50" w:rsidP="00BA5D50">
            <w:pPr>
              <w:spacing w:before="0" w:after="0" w:line="240" w:lineRule="auto"/>
              <w:rPr>
                <w:rFonts w:ascii="Arial" w:hAnsi="Arial" w:cs="Arial"/>
                <w:b/>
                <w:color w:val="000000"/>
                <w:sz w:val="4"/>
                <w:szCs w:val="4"/>
              </w:rPr>
            </w:pPr>
            <w:r w:rsidRPr="00204B48">
              <w:rPr>
                <w:rFonts w:ascii="Arial" w:hAnsi="Arial" w:cs="Arial"/>
                <w:b/>
                <w:color w:val="000000"/>
                <w:sz w:val="4"/>
                <w:szCs w:val="4"/>
              </w:rPr>
              <w:t> </w:t>
            </w:r>
          </w:p>
        </w:tc>
        <w:tc>
          <w:tcPr>
            <w:tcW w:w="743" w:type="dxa"/>
            <w:tcBorders>
              <w:top w:val="single" w:sz="4" w:space="0" w:color="293F5B"/>
              <w:left w:val="nil"/>
              <w:bottom w:val="nil"/>
              <w:right w:val="nil"/>
            </w:tcBorders>
            <w:shd w:val="clear" w:color="000000" w:fill="E6F2FF"/>
            <w:noWrap/>
            <w:vAlign w:val="center"/>
            <w:hideMark/>
          </w:tcPr>
          <w:p w14:paraId="52448EF1" w14:textId="77777777" w:rsidR="00BA5D50" w:rsidRPr="00204B48" w:rsidRDefault="00BA5D50" w:rsidP="00BA5D50">
            <w:pPr>
              <w:spacing w:before="0" w:after="0" w:line="240" w:lineRule="auto"/>
              <w:rPr>
                <w:rFonts w:ascii="Arial" w:hAnsi="Arial" w:cs="Arial"/>
                <w:b/>
                <w:color w:val="000000"/>
                <w:sz w:val="4"/>
                <w:szCs w:val="4"/>
              </w:rPr>
            </w:pPr>
            <w:r w:rsidRPr="00204B48">
              <w:rPr>
                <w:rFonts w:ascii="Arial" w:hAnsi="Arial" w:cs="Arial"/>
                <w:b/>
                <w:color w:val="000000"/>
                <w:sz w:val="4"/>
                <w:szCs w:val="4"/>
              </w:rPr>
              <w:t> </w:t>
            </w:r>
          </w:p>
        </w:tc>
        <w:tc>
          <w:tcPr>
            <w:tcW w:w="743" w:type="dxa"/>
            <w:tcBorders>
              <w:top w:val="single" w:sz="4" w:space="0" w:color="293F5B"/>
              <w:left w:val="nil"/>
              <w:bottom w:val="nil"/>
              <w:right w:val="nil"/>
            </w:tcBorders>
            <w:shd w:val="clear" w:color="000000" w:fill="FFFFFF"/>
            <w:noWrap/>
            <w:vAlign w:val="center"/>
            <w:hideMark/>
          </w:tcPr>
          <w:p w14:paraId="2B2C9BA1" w14:textId="77777777" w:rsidR="00BA5D50" w:rsidRPr="00204B48" w:rsidRDefault="00BA5D50" w:rsidP="00BA5D50">
            <w:pPr>
              <w:spacing w:before="0" w:after="0" w:line="240" w:lineRule="auto"/>
              <w:rPr>
                <w:rFonts w:ascii="Arial" w:hAnsi="Arial" w:cs="Arial"/>
                <w:b/>
                <w:color w:val="000000"/>
                <w:sz w:val="4"/>
                <w:szCs w:val="4"/>
              </w:rPr>
            </w:pPr>
            <w:r w:rsidRPr="00204B48">
              <w:rPr>
                <w:rFonts w:ascii="Arial" w:hAnsi="Arial" w:cs="Arial"/>
                <w:b/>
                <w:color w:val="000000"/>
                <w:sz w:val="4"/>
                <w:szCs w:val="4"/>
              </w:rPr>
              <w:t> </w:t>
            </w:r>
          </w:p>
        </w:tc>
        <w:tc>
          <w:tcPr>
            <w:tcW w:w="743" w:type="dxa"/>
            <w:tcBorders>
              <w:top w:val="single" w:sz="4" w:space="0" w:color="293F5B"/>
              <w:left w:val="nil"/>
              <w:bottom w:val="nil"/>
              <w:right w:val="nil"/>
            </w:tcBorders>
            <w:shd w:val="clear" w:color="000000" w:fill="FFFFFF"/>
            <w:noWrap/>
            <w:vAlign w:val="center"/>
            <w:hideMark/>
          </w:tcPr>
          <w:p w14:paraId="695B2E6D" w14:textId="77777777" w:rsidR="00BA5D50" w:rsidRPr="00204B48" w:rsidRDefault="00BA5D50" w:rsidP="00BA5D50">
            <w:pPr>
              <w:spacing w:before="0" w:after="0" w:line="240" w:lineRule="auto"/>
              <w:rPr>
                <w:rFonts w:ascii="Arial" w:hAnsi="Arial" w:cs="Arial"/>
                <w:b/>
                <w:color w:val="000000"/>
                <w:sz w:val="4"/>
                <w:szCs w:val="4"/>
              </w:rPr>
            </w:pPr>
            <w:r w:rsidRPr="00204B48">
              <w:rPr>
                <w:rFonts w:ascii="Arial" w:hAnsi="Arial" w:cs="Arial"/>
                <w:b/>
                <w:color w:val="000000"/>
                <w:sz w:val="4"/>
                <w:szCs w:val="4"/>
              </w:rPr>
              <w:t> </w:t>
            </w:r>
          </w:p>
        </w:tc>
        <w:tc>
          <w:tcPr>
            <w:tcW w:w="743" w:type="dxa"/>
            <w:tcBorders>
              <w:top w:val="single" w:sz="4" w:space="0" w:color="293F5B"/>
              <w:left w:val="nil"/>
              <w:bottom w:val="nil"/>
              <w:right w:val="nil"/>
            </w:tcBorders>
            <w:shd w:val="clear" w:color="000000" w:fill="FFFFFF"/>
            <w:noWrap/>
            <w:vAlign w:val="center"/>
            <w:hideMark/>
          </w:tcPr>
          <w:p w14:paraId="6A10FB9D" w14:textId="77777777" w:rsidR="00BA5D50" w:rsidRPr="00204B48" w:rsidRDefault="00BA5D50" w:rsidP="00BA5D50">
            <w:pPr>
              <w:spacing w:before="0" w:after="0" w:line="240" w:lineRule="auto"/>
              <w:rPr>
                <w:rFonts w:ascii="Arial" w:hAnsi="Arial" w:cs="Arial"/>
                <w:b/>
                <w:color w:val="000000"/>
                <w:sz w:val="4"/>
                <w:szCs w:val="4"/>
              </w:rPr>
            </w:pPr>
            <w:r w:rsidRPr="00204B48">
              <w:rPr>
                <w:rFonts w:ascii="Arial" w:hAnsi="Arial" w:cs="Arial"/>
                <w:b/>
                <w:color w:val="000000"/>
                <w:sz w:val="4"/>
                <w:szCs w:val="4"/>
              </w:rPr>
              <w:t> </w:t>
            </w:r>
          </w:p>
        </w:tc>
      </w:tr>
      <w:tr w:rsidR="00BA5D50" w:rsidRPr="00BA5D50" w14:paraId="05399F99" w14:textId="77777777" w:rsidTr="00610633">
        <w:trPr>
          <w:trHeight w:val="225"/>
        </w:trPr>
        <w:tc>
          <w:tcPr>
            <w:tcW w:w="3118" w:type="dxa"/>
            <w:tcBorders>
              <w:top w:val="nil"/>
              <w:left w:val="nil"/>
              <w:bottom w:val="nil"/>
              <w:right w:val="nil"/>
            </w:tcBorders>
            <w:shd w:val="clear" w:color="000000" w:fill="FFFFFF"/>
            <w:noWrap/>
            <w:vAlign w:val="center"/>
            <w:hideMark/>
          </w:tcPr>
          <w:p w14:paraId="7676D172" w14:textId="77777777" w:rsidR="00BA5D50" w:rsidRPr="00BA5D50" w:rsidRDefault="00BA5D50" w:rsidP="00BA5D50">
            <w:pPr>
              <w:spacing w:before="0" w:after="0" w:line="240" w:lineRule="auto"/>
              <w:rPr>
                <w:rFonts w:ascii="Arial" w:hAnsi="Arial" w:cs="Arial"/>
                <w:b/>
                <w:bCs/>
                <w:color w:val="000000"/>
                <w:sz w:val="16"/>
                <w:szCs w:val="16"/>
              </w:rPr>
            </w:pPr>
            <w:r w:rsidRPr="00BA5D50">
              <w:rPr>
                <w:rFonts w:ascii="Arial" w:hAnsi="Arial" w:cs="Arial"/>
                <w:b/>
                <w:bCs/>
                <w:color w:val="000000"/>
                <w:sz w:val="16"/>
                <w:szCs w:val="16"/>
              </w:rPr>
              <w:t>Other economic affairs</w:t>
            </w:r>
          </w:p>
        </w:tc>
        <w:tc>
          <w:tcPr>
            <w:tcW w:w="756" w:type="dxa"/>
            <w:tcBorders>
              <w:top w:val="nil"/>
              <w:left w:val="nil"/>
              <w:bottom w:val="nil"/>
              <w:right w:val="nil"/>
            </w:tcBorders>
            <w:shd w:val="clear" w:color="000000" w:fill="FFFFFF"/>
            <w:noWrap/>
            <w:vAlign w:val="center"/>
            <w:hideMark/>
          </w:tcPr>
          <w:p w14:paraId="474DF2CE" w14:textId="77777777" w:rsidR="00BA5D50" w:rsidRPr="00BA5D50" w:rsidRDefault="00BA5D50" w:rsidP="00BA5D50">
            <w:pPr>
              <w:spacing w:before="0" w:after="0" w:line="240" w:lineRule="auto"/>
              <w:rPr>
                <w:rFonts w:ascii="Arial" w:hAnsi="Arial" w:cs="Arial"/>
                <w:color w:val="000000"/>
                <w:sz w:val="16"/>
                <w:szCs w:val="16"/>
              </w:rPr>
            </w:pPr>
            <w:r w:rsidRPr="00BA5D50">
              <w:rPr>
                <w:rFonts w:ascii="Arial" w:hAnsi="Arial" w:cs="Arial"/>
                <w:color w:val="000000"/>
                <w:sz w:val="16"/>
                <w:szCs w:val="16"/>
              </w:rPr>
              <w:t> </w:t>
            </w:r>
          </w:p>
        </w:tc>
        <w:tc>
          <w:tcPr>
            <w:tcW w:w="76" w:type="dxa"/>
            <w:tcBorders>
              <w:top w:val="nil"/>
              <w:left w:val="nil"/>
              <w:bottom w:val="nil"/>
              <w:right w:val="nil"/>
            </w:tcBorders>
            <w:shd w:val="clear" w:color="000000" w:fill="FFFFFF"/>
            <w:noWrap/>
            <w:vAlign w:val="center"/>
            <w:hideMark/>
          </w:tcPr>
          <w:p w14:paraId="1468B45C" w14:textId="77777777" w:rsidR="00BA5D50" w:rsidRPr="00BA5D50" w:rsidRDefault="00BA5D50" w:rsidP="00BA5D50">
            <w:pPr>
              <w:spacing w:before="0" w:after="0" w:line="240" w:lineRule="auto"/>
              <w:rPr>
                <w:rFonts w:ascii="Arial" w:hAnsi="Arial" w:cs="Arial"/>
                <w:color w:val="000000"/>
                <w:sz w:val="16"/>
                <w:szCs w:val="16"/>
              </w:rPr>
            </w:pPr>
            <w:r w:rsidRPr="00BA5D50">
              <w:rPr>
                <w:rFonts w:ascii="Arial" w:hAnsi="Arial" w:cs="Arial"/>
                <w:color w:val="000000"/>
                <w:sz w:val="16"/>
                <w:szCs w:val="16"/>
              </w:rPr>
              <w:t> </w:t>
            </w:r>
          </w:p>
        </w:tc>
        <w:tc>
          <w:tcPr>
            <w:tcW w:w="744" w:type="dxa"/>
            <w:tcBorders>
              <w:top w:val="nil"/>
              <w:left w:val="nil"/>
              <w:bottom w:val="nil"/>
              <w:right w:val="nil"/>
            </w:tcBorders>
            <w:shd w:val="clear" w:color="000000" w:fill="FFFFFF"/>
            <w:noWrap/>
            <w:vAlign w:val="center"/>
            <w:hideMark/>
          </w:tcPr>
          <w:p w14:paraId="0FDBFA00" w14:textId="77777777" w:rsidR="00BA5D50" w:rsidRPr="00BA5D50" w:rsidRDefault="00BA5D50" w:rsidP="00BA5D50">
            <w:pPr>
              <w:spacing w:before="0" w:after="0" w:line="240" w:lineRule="auto"/>
              <w:rPr>
                <w:rFonts w:ascii="Arial" w:hAnsi="Arial" w:cs="Arial"/>
                <w:color w:val="000000"/>
                <w:sz w:val="16"/>
                <w:szCs w:val="16"/>
              </w:rPr>
            </w:pPr>
            <w:r w:rsidRPr="00BA5D50">
              <w:rPr>
                <w:rFonts w:ascii="Arial" w:hAnsi="Arial" w:cs="Arial"/>
                <w:color w:val="000000"/>
                <w:sz w:val="16"/>
                <w:szCs w:val="16"/>
              </w:rPr>
              <w:t> </w:t>
            </w:r>
          </w:p>
        </w:tc>
        <w:tc>
          <w:tcPr>
            <w:tcW w:w="743" w:type="dxa"/>
            <w:tcBorders>
              <w:top w:val="nil"/>
              <w:left w:val="nil"/>
              <w:bottom w:val="nil"/>
              <w:right w:val="nil"/>
            </w:tcBorders>
            <w:shd w:val="clear" w:color="000000" w:fill="E6F2FF"/>
            <w:noWrap/>
            <w:vAlign w:val="center"/>
            <w:hideMark/>
          </w:tcPr>
          <w:p w14:paraId="05129DE8" w14:textId="77777777" w:rsidR="00BA5D50" w:rsidRPr="00BA5D50" w:rsidRDefault="00BA5D50" w:rsidP="00BA5D50">
            <w:pPr>
              <w:spacing w:before="0" w:after="0" w:line="240" w:lineRule="auto"/>
              <w:rPr>
                <w:rFonts w:ascii="Arial" w:hAnsi="Arial" w:cs="Arial"/>
                <w:color w:val="000000"/>
                <w:sz w:val="16"/>
                <w:szCs w:val="16"/>
              </w:rPr>
            </w:pPr>
            <w:r w:rsidRPr="00BA5D50">
              <w:rPr>
                <w:rFonts w:ascii="Arial" w:hAnsi="Arial" w:cs="Arial"/>
                <w:color w:val="000000"/>
                <w:sz w:val="16"/>
                <w:szCs w:val="16"/>
              </w:rPr>
              <w:t> </w:t>
            </w:r>
          </w:p>
        </w:tc>
        <w:tc>
          <w:tcPr>
            <w:tcW w:w="743" w:type="dxa"/>
            <w:tcBorders>
              <w:top w:val="nil"/>
              <w:left w:val="nil"/>
              <w:bottom w:val="nil"/>
              <w:right w:val="nil"/>
            </w:tcBorders>
            <w:shd w:val="clear" w:color="000000" w:fill="FFFFFF"/>
            <w:noWrap/>
            <w:vAlign w:val="center"/>
            <w:hideMark/>
          </w:tcPr>
          <w:p w14:paraId="364080D5" w14:textId="77777777" w:rsidR="00BA5D50" w:rsidRPr="00BA5D50" w:rsidRDefault="00BA5D50" w:rsidP="00BA5D50">
            <w:pPr>
              <w:spacing w:before="0" w:after="0" w:line="240" w:lineRule="auto"/>
              <w:rPr>
                <w:rFonts w:ascii="Arial" w:hAnsi="Arial" w:cs="Arial"/>
                <w:color w:val="000000"/>
                <w:sz w:val="16"/>
                <w:szCs w:val="16"/>
              </w:rPr>
            </w:pPr>
            <w:r w:rsidRPr="00BA5D50">
              <w:rPr>
                <w:rFonts w:ascii="Arial" w:hAnsi="Arial" w:cs="Arial"/>
                <w:color w:val="000000"/>
                <w:sz w:val="16"/>
                <w:szCs w:val="16"/>
              </w:rPr>
              <w:t> </w:t>
            </w:r>
          </w:p>
        </w:tc>
        <w:tc>
          <w:tcPr>
            <w:tcW w:w="743" w:type="dxa"/>
            <w:tcBorders>
              <w:top w:val="nil"/>
              <w:left w:val="nil"/>
              <w:bottom w:val="nil"/>
              <w:right w:val="nil"/>
            </w:tcBorders>
            <w:shd w:val="clear" w:color="000000" w:fill="FFFFFF"/>
            <w:noWrap/>
            <w:vAlign w:val="center"/>
            <w:hideMark/>
          </w:tcPr>
          <w:p w14:paraId="639B4404" w14:textId="77777777" w:rsidR="00BA5D50" w:rsidRPr="00BA5D50" w:rsidRDefault="00BA5D50" w:rsidP="00BA5D50">
            <w:pPr>
              <w:spacing w:before="0" w:after="0" w:line="240" w:lineRule="auto"/>
              <w:rPr>
                <w:rFonts w:ascii="Arial" w:hAnsi="Arial" w:cs="Arial"/>
                <w:color w:val="000000"/>
                <w:sz w:val="16"/>
                <w:szCs w:val="16"/>
              </w:rPr>
            </w:pPr>
            <w:r w:rsidRPr="00BA5D50">
              <w:rPr>
                <w:rFonts w:ascii="Arial" w:hAnsi="Arial" w:cs="Arial"/>
                <w:color w:val="000000"/>
                <w:sz w:val="16"/>
                <w:szCs w:val="16"/>
              </w:rPr>
              <w:t> </w:t>
            </w:r>
          </w:p>
        </w:tc>
        <w:tc>
          <w:tcPr>
            <w:tcW w:w="743" w:type="dxa"/>
            <w:tcBorders>
              <w:top w:val="nil"/>
              <w:left w:val="nil"/>
              <w:bottom w:val="nil"/>
              <w:right w:val="nil"/>
            </w:tcBorders>
            <w:shd w:val="clear" w:color="000000" w:fill="FFFFFF"/>
            <w:noWrap/>
            <w:vAlign w:val="center"/>
            <w:hideMark/>
          </w:tcPr>
          <w:p w14:paraId="568D4915" w14:textId="77777777" w:rsidR="00BA5D50" w:rsidRPr="00BA5D50" w:rsidRDefault="00BA5D50" w:rsidP="00BA5D50">
            <w:pPr>
              <w:spacing w:before="0" w:after="0" w:line="240" w:lineRule="auto"/>
              <w:rPr>
                <w:rFonts w:ascii="Arial" w:hAnsi="Arial" w:cs="Arial"/>
                <w:color w:val="000000"/>
                <w:sz w:val="16"/>
                <w:szCs w:val="16"/>
              </w:rPr>
            </w:pPr>
            <w:r w:rsidRPr="00BA5D50">
              <w:rPr>
                <w:rFonts w:ascii="Arial" w:hAnsi="Arial" w:cs="Arial"/>
                <w:color w:val="000000"/>
                <w:sz w:val="16"/>
                <w:szCs w:val="16"/>
              </w:rPr>
              <w:t> </w:t>
            </w:r>
          </w:p>
        </w:tc>
      </w:tr>
      <w:tr w:rsidR="00BA5D50" w:rsidRPr="00BA5D50" w14:paraId="59D2675E" w14:textId="77777777" w:rsidTr="00610633">
        <w:trPr>
          <w:trHeight w:val="225"/>
        </w:trPr>
        <w:tc>
          <w:tcPr>
            <w:tcW w:w="3118" w:type="dxa"/>
            <w:tcBorders>
              <w:top w:val="nil"/>
              <w:left w:val="nil"/>
              <w:bottom w:val="nil"/>
              <w:right w:val="nil"/>
            </w:tcBorders>
            <w:shd w:val="clear" w:color="000000" w:fill="FFFFFF"/>
            <w:noWrap/>
            <w:vAlign w:val="center"/>
            <w:hideMark/>
          </w:tcPr>
          <w:p w14:paraId="0EAC5274" w14:textId="77777777" w:rsidR="00BA5D50" w:rsidRPr="00BA5D50" w:rsidRDefault="00BA5D50" w:rsidP="00BA5D50">
            <w:pPr>
              <w:spacing w:before="0" w:after="0" w:line="240" w:lineRule="auto"/>
              <w:ind w:firstLineChars="100" w:firstLine="160"/>
              <w:rPr>
                <w:rFonts w:ascii="Arial" w:hAnsi="Arial" w:cs="Arial"/>
                <w:color w:val="000000"/>
                <w:sz w:val="16"/>
                <w:szCs w:val="16"/>
              </w:rPr>
            </w:pPr>
            <w:r w:rsidRPr="00BA5D50">
              <w:rPr>
                <w:rFonts w:ascii="Arial" w:hAnsi="Arial" w:cs="Arial"/>
                <w:color w:val="000000"/>
                <w:sz w:val="16"/>
                <w:szCs w:val="16"/>
              </w:rPr>
              <w:t>Tourism and area promotion</w:t>
            </w:r>
          </w:p>
        </w:tc>
        <w:tc>
          <w:tcPr>
            <w:tcW w:w="756" w:type="dxa"/>
            <w:tcBorders>
              <w:top w:val="nil"/>
              <w:left w:val="nil"/>
              <w:bottom w:val="nil"/>
              <w:right w:val="nil"/>
            </w:tcBorders>
            <w:shd w:val="clear" w:color="000000" w:fill="FFFFFF"/>
            <w:noWrap/>
            <w:vAlign w:val="center"/>
            <w:hideMark/>
          </w:tcPr>
          <w:p w14:paraId="03E3E384" w14:textId="77777777" w:rsidR="00BA5D50" w:rsidRPr="00BA5D50" w:rsidRDefault="00BA5D50" w:rsidP="00BA5D50">
            <w:pPr>
              <w:spacing w:before="0" w:after="0" w:line="240" w:lineRule="auto"/>
              <w:jc w:val="right"/>
              <w:rPr>
                <w:rFonts w:ascii="Arial" w:hAnsi="Arial" w:cs="Arial"/>
                <w:color w:val="000000"/>
                <w:sz w:val="16"/>
                <w:szCs w:val="16"/>
              </w:rPr>
            </w:pPr>
            <w:r w:rsidRPr="00BA5D50">
              <w:rPr>
                <w:rFonts w:ascii="Arial" w:hAnsi="Arial" w:cs="Arial"/>
                <w:color w:val="000000"/>
                <w:sz w:val="16"/>
                <w:szCs w:val="16"/>
              </w:rPr>
              <w:t>204</w:t>
            </w:r>
          </w:p>
        </w:tc>
        <w:tc>
          <w:tcPr>
            <w:tcW w:w="76" w:type="dxa"/>
            <w:tcBorders>
              <w:top w:val="nil"/>
              <w:left w:val="nil"/>
              <w:bottom w:val="nil"/>
              <w:right w:val="nil"/>
            </w:tcBorders>
            <w:shd w:val="clear" w:color="000000" w:fill="FFFFFF"/>
            <w:noWrap/>
            <w:vAlign w:val="center"/>
            <w:hideMark/>
          </w:tcPr>
          <w:p w14:paraId="589BFB58" w14:textId="77777777" w:rsidR="00BA5D50" w:rsidRPr="00BA5D50" w:rsidRDefault="00BA5D50" w:rsidP="00BA5D50">
            <w:pPr>
              <w:spacing w:before="0" w:after="0" w:line="240" w:lineRule="auto"/>
              <w:rPr>
                <w:rFonts w:ascii="Arial" w:hAnsi="Arial" w:cs="Arial"/>
                <w:color w:val="000000"/>
                <w:sz w:val="16"/>
                <w:szCs w:val="16"/>
              </w:rPr>
            </w:pPr>
            <w:r w:rsidRPr="00BA5D50">
              <w:rPr>
                <w:rFonts w:ascii="Arial" w:hAnsi="Arial" w:cs="Arial"/>
                <w:color w:val="000000"/>
                <w:sz w:val="16"/>
                <w:szCs w:val="16"/>
              </w:rPr>
              <w:t> </w:t>
            </w:r>
          </w:p>
        </w:tc>
        <w:tc>
          <w:tcPr>
            <w:tcW w:w="744" w:type="dxa"/>
            <w:tcBorders>
              <w:top w:val="nil"/>
              <w:left w:val="nil"/>
              <w:bottom w:val="nil"/>
              <w:right w:val="nil"/>
            </w:tcBorders>
            <w:shd w:val="clear" w:color="000000" w:fill="FFFFFF"/>
            <w:noWrap/>
            <w:vAlign w:val="center"/>
            <w:hideMark/>
          </w:tcPr>
          <w:p w14:paraId="7306483D" w14:textId="77777777" w:rsidR="00BA5D50" w:rsidRPr="00BA5D50" w:rsidRDefault="00BA5D50" w:rsidP="00BA5D50">
            <w:pPr>
              <w:spacing w:before="0" w:after="0" w:line="240" w:lineRule="auto"/>
              <w:jc w:val="right"/>
              <w:rPr>
                <w:rFonts w:ascii="Arial" w:hAnsi="Arial" w:cs="Arial"/>
                <w:color w:val="000000"/>
                <w:sz w:val="16"/>
                <w:szCs w:val="16"/>
              </w:rPr>
            </w:pPr>
            <w:r w:rsidRPr="00BA5D50">
              <w:rPr>
                <w:rFonts w:ascii="Arial" w:hAnsi="Arial" w:cs="Arial"/>
                <w:color w:val="000000"/>
                <w:sz w:val="16"/>
                <w:szCs w:val="16"/>
              </w:rPr>
              <w:t>198</w:t>
            </w:r>
          </w:p>
        </w:tc>
        <w:tc>
          <w:tcPr>
            <w:tcW w:w="743" w:type="dxa"/>
            <w:tcBorders>
              <w:top w:val="nil"/>
              <w:left w:val="nil"/>
              <w:bottom w:val="nil"/>
              <w:right w:val="nil"/>
            </w:tcBorders>
            <w:shd w:val="clear" w:color="000000" w:fill="E6F2FF"/>
            <w:noWrap/>
            <w:vAlign w:val="center"/>
            <w:hideMark/>
          </w:tcPr>
          <w:p w14:paraId="530E543B" w14:textId="77777777" w:rsidR="00BA5D50" w:rsidRPr="00BA5D50" w:rsidRDefault="00BA5D50" w:rsidP="00BA5D50">
            <w:pPr>
              <w:spacing w:before="0" w:after="0" w:line="240" w:lineRule="auto"/>
              <w:jc w:val="right"/>
              <w:rPr>
                <w:rFonts w:ascii="Arial" w:hAnsi="Arial" w:cs="Arial"/>
                <w:color w:val="000000"/>
                <w:sz w:val="16"/>
                <w:szCs w:val="16"/>
              </w:rPr>
            </w:pPr>
            <w:r w:rsidRPr="00BA5D50">
              <w:rPr>
                <w:rFonts w:ascii="Arial" w:hAnsi="Arial" w:cs="Arial"/>
                <w:color w:val="000000"/>
                <w:sz w:val="16"/>
                <w:szCs w:val="16"/>
              </w:rPr>
              <w:t>192</w:t>
            </w:r>
          </w:p>
        </w:tc>
        <w:tc>
          <w:tcPr>
            <w:tcW w:w="743" w:type="dxa"/>
            <w:tcBorders>
              <w:top w:val="nil"/>
              <w:left w:val="nil"/>
              <w:bottom w:val="nil"/>
              <w:right w:val="nil"/>
            </w:tcBorders>
            <w:shd w:val="clear" w:color="000000" w:fill="FFFFFF"/>
            <w:noWrap/>
            <w:vAlign w:val="center"/>
            <w:hideMark/>
          </w:tcPr>
          <w:p w14:paraId="67C22FE0" w14:textId="77777777" w:rsidR="00BA5D50" w:rsidRPr="00BA5D50" w:rsidRDefault="00BA5D50" w:rsidP="00BA5D50">
            <w:pPr>
              <w:spacing w:before="0" w:after="0" w:line="240" w:lineRule="auto"/>
              <w:jc w:val="right"/>
              <w:rPr>
                <w:rFonts w:ascii="Arial" w:hAnsi="Arial" w:cs="Arial"/>
                <w:color w:val="000000"/>
                <w:sz w:val="16"/>
                <w:szCs w:val="16"/>
              </w:rPr>
            </w:pPr>
            <w:r w:rsidRPr="00BA5D50">
              <w:rPr>
                <w:rFonts w:ascii="Arial" w:hAnsi="Arial" w:cs="Arial"/>
                <w:color w:val="000000"/>
                <w:sz w:val="16"/>
                <w:szCs w:val="16"/>
              </w:rPr>
              <w:t>191</w:t>
            </w:r>
          </w:p>
        </w:tc>
        <w:tc>
          <w:tcPr>
            <w:tcW w:w="743" w:type="dxa"/>
            <w:tcBorders>
              <w:top w:val="nil"/>
              <w:left w:val="nil"/>
              <w:bottom w:val="nil"/>
              <w:right w:val="nil"/>
            </w:tcBorders>
            <w:shd w:val="clear" w:color="000000" w:fill="FFFFFF"/>
            <w:noWrap/>
            <w:vAlign w:val="center"/>
            <w:hideMark/>
          </w:tcPr>
          <w:p w14:paraId="1FB3996A" w14:textId="77777777" w:rsidR="00BA5D50" w:rsidRPr="00BA5D50" w:rsidRDefault="00BA5D50" w:rsidP="00BA5D50">
            <w:pPr>
              <w:spacing w:before="0" w:after="0" w:line="240" w:lineRule="auto"/>
              <w:jc w:val="right"/>
              <w:rPr>
                <w:rFonts w:ascii="Arial" w:hAnsi="Arial" w:cs="Arial"/>
                <w:color w:val="000000"/>
                <w:sz w:val="16"/>
                <w:szCs w:val="16"/>
              </w:rPr>
            </w:pPr>
            <w:r w:rsidRPr="00BA5D50">
              <w:rPr>
                <w:rFonts w:ascii="Arial" w:hAnsi="Arial" w:cs="Arial"/>
                <w:color w:val="000000"/>
                <w:sz w:val="16"/>
                <w:szCs w:val="16"/>
              </w:rPr>
              <w:t>191</w:t>
            </w:r>
          </w:p>
        </w:tc>
        <w:tc>
          <w:tcPr>
            <w:tcW w:w="743" w:type="dxa"/>
            <w:tcBorders>
              <w:top w:val="nil"/>
              <w:left w:val="nil"/>
              <w:bottom w:val="nil"/>
              <w:right w:val="nil"/>
            </w:tcBorders>
            <w:shd w:val="clear" w:color="000000" w:fill="FFFFFF"/>
            <w:noWrap/>
            <w:vAlign w:val="center"/>
            <w:hideMark/>
          </w:tcPr>
          <w:p w14:paraId="481146B5" w14:textId="77777777" w:rsidR="00BA5D50" w:rsidRPr="00BA5D50" w:rsidRDefault="00BA5D50" w:rsidP="00BA5D50">
            <w:pPr>
              <w:spacing w:before="0" w:after="0" w:line="240" w:lineRule="auto"/>
              <w:jc w:val="right"/>
              <w:rPr>
                <w:rFonts w:ascii="Arial" w:hAnsi="Arial" w:cs="Arial"/>
                <w:color w:val="000000"/>
                <w:sz w:val="16"/>
                <w:szCs w:val="16"/>
              </w:rPr>
            </w:pPr>
            <w:r w:rsidRPr="00BA5D50">
              <w:rPr>
                <w:rFonts w:ascii="Arial" w:hAnsi="Arial" w:cs="Arial"/>
                <w:color w:val="000000"/>
                <w:sz w:val="16"/>
                <w:szCs w:val="16"/>
              </w:rPr>
              <w:t>191</w:t>
            </w:r>
          </w:p>
        </w:tc>
      </w:tr>
      <w:tr w:rsidR="00BA5D50" w:rsidRPr="00BA5D50" w14:paraId="0CBFD364" w14:textId="77777777" w:rsidTr="00610633">
        <w:trPr>
          <w:trHeight w:val="225"/>
        </w:trPr>
        <w:tc>
          <w:tcPr>
            <w:tcW w:w="3118" w:type="dxa"/>
            <w:tcBorders>
              <w:top w:val="nil"/>
              <w:left w:val="nil"/>
              <w:bottom w:val="nil"/>
              <w:right w:val="nil"/>
            </w:tcBorders>
            <w:shd w:val="clear" w:color="000000" w:fill="FFFFFF"/>
            <w:noWrap/>
            <w:vAlign w:val="center"/>
            <w:hideMark/>
          </w:tcPr>
          <w:p w14:paraId="77D46447" w14:textId="77777777" w:rsidR="00BA5D50" w:rsidRPr="00BA5D50" w:rsidRDefault="00BA5D50" w:rsidP="00BA5D50">
            <w:pPr>
              <w:spacing w:before="0" w:after="0" w:line="240" w:lineRule="auto"/>
              <w:ind w:firstLineChars="100" w:firstLine="160"/>
              <w:rPr>
                <w:rFonts w:ascii="Arial" w:hAnsi="Arial" w:cs="Arial"/>
                <w:color w:val="000000"/>
                <w:sz w:val="16"/>
                <w:szCs w:val="16"/>
              </w:rPr>
            </w:pPr>
            <w:r w:rsidRPr="00BA5D50">
              <w:rPr>
                <w:rFonts w:ascii="Arial" w:hAnsi="Arial" w:cs="Arial"/>
                <w:color w:val="000000"/>
                <w:sz w:val="16"/>
                <w:szCs w:val="16"/>
              </w:rPr>
              <w:t xml:space="preserve">Total labour and employment </w:t>
            </w:r>
          </w:p>
        </w:tc>
        <w:tc>
          <w:tcPr>
            <w:tcW w:w="756" w:type="dxa"/>
            <w:tcBorders>
              <w:top w:val="nil"/>
              <w:left w:val="nil"/>
              <w:bottom w:val="nil"/>
              <w:right w:val="nil"/>
            </w:tcBorders>
            <w:shd w:val="clear" w:color="000000" w:fill="FFFFFF"/>
            <w:noWrap/>
            <w:vAlign w:val="center"/>
            <w:hideMark/>
          </w:tcPr>
          <w:p w14:paraId="2A17DD8C" w14:textId="77777777" w:rsidR="00BA5D50" w:rsidRPr="00BA5D50" w:rsidRDefault="00BA5D50" w:rsidP="00BA5D50">
            <w:pPr>
              <w:spacing w:before="0" w:after="0" w:line="240" w:lineRule="auto"/>
              <w:rPr>
                <w:rFonts w:ascii="Arial" w:hAnsi="Arial" w:cs="Arial"/>
                <w:color w:val="000000"/>
                <w:sz w:val="16"/>
                <w:szCs w:val="16"/>
              </w:rPr>
            </w:pPr>
            <w:r w:rsidRPr="00BA5D50">
              <w:rPr>
                <w:rFonts w:ascii="Arial" w:hAnsi="Arial" w:cs="Arial"/>
                <w:color w:val="000000"/>
                <w:sz w:val="16"/>
                <w:szCs w:val="16"/>
              </w:rPr>
              <w:t> </w:t>
            </w:r>
          </w:p>
        </w:tc>
        <w:tc>
          <w:tcPr>
            <w:tcW w:w="76" w:type="dxa"/>
            <w:tcBorders>
              <w:top w:val="nil"/>
              <w:left w:val="nil"/>
              <w:bottom w:val="nil"/>
              <w:right w:val="nil"/>
            </w:tcBorders>
            <w:shd w:val="clear" w:color="000000" w:fill="FFFFFF"/>
            <w:noWrap/>
            <w:vAlign w:val="center"/>
            <w:hideMark/>
          </w:tcPr>
          <w:p w14:paraId="709B111C" w14:textId="77777777" w:rsidR="00BA5D50" w:rsidRPr="00BA5D50" w:rsidRDefault="00BA5D50" w:rsidP="00BA5D50">
            <w:pPr>
              <w:spacing w:before="0" w:after="0" w:line="240" w:lineRule="auto"/>
              <w:rPr>
                <w:rFonts w:ascii="Arial" w:hAnsi="Arial" w:cs="Arial"/>
                <w:color w:val="000000"/>
                <w:sz w:val="16"/>
                <w:szCs w:val="16"/>
              </w:rPr>
            </w:pPr>
            <w:r w:rsidRPr="00BA5D50">
              <w:rPr>
                <w:rFonts w:ascii="Arial" w:hAnsi="Arial" w:cs="Arial"/>
                <w:color w:val="000000"/>
                <w:sz w:val="16"/>
                <w:szCs w:val="16"/>
              </w:rPr>
              <w:t> </w:t>
            </w:r>
          </w:p>
        </w:tc>
        <w:tc>
          <w:tcPr>
            <w:tcW w:w="744" w:type="dxa"/>
            <w:tcBorders>
              <w:top w:val="nil"/>
              <w:left w:val="nil"/>
              <w:bottom w:val="nil"/>
              <w:right w:val="nil"/>
            </w:tcBorders>
            <w:shd w:val="clear" w:color="000000" w:fill="FFFFFF"/>
            <w:noWrap/>
            <w:vAlign w:val="center"/>
            <w:hideMark/>
          </w:tcPr>
          <w:p w14:paraId="07EC436E" w14:textId="77777777" w:rsidR="00BA5D50" w:rsidRPr="00BA5D50" w:rsidRDefault="00BA5D50" w:rsidP="00BA5D50">
            <w:pPr>
              <w:spacing w:before="0" w:after="0" w:line="240" w:lineRule="auto"/>
              <w:rPr>
                <w:rFonts w:ascii="Arial" w:hAnsi="Arial" w:cs="Arial"/>
                <w:color w:val="000000"/>
                <w:sz w:val="16"/>
                <w:szCs w:val="16"/>
              </w:rPr>
            </w:pPr>
            <w:r w:rsidRPr="00BA5D50">
              <w:rPr>
                <w:rFonts w:ascii="Arial" w:hAnsi="Arial" w:cs="Arial"/>
                <w:color w:val="000000"/>
                <w:sz w:val="16"/>
                <w:szCs w:val="16"/>
              </w:rPr>
              <w:t> </w:t>
            </w:r>
          </w:p>
        </w:tc>
        <w:tc>
          <w:tcPr>
            <w:tcW w:w="743" w:type="dxa"/>
            <w:tcBorders>
              <w:top w:val="nil"/>
              <w:left w:val="nil"/>
              <w:bottom w:val="nil"/>
              <w:right w:val="nil"/>
            </w:tcBorders>
            <w:shd w:val="clear" w:color="000000" w:fill="E6F2FF"/>
            <w:noWrap/>
            <w:vAlign w:val="center"/>
            <w:hideMark/>
          </w:tcPr>
          <w:p w14:paraId="0DE387F0" w14:textId="77777777" w:rsidR="00BA5D50" w:rsidRPr="00BA5D50" w:rsidRDefault="00BA5D50" w:rsidP="00BA5D50">
            <w:pPr>
              <w:spacing w:before="0" w:after="0" w:line="240" w:lineRule="auto"/>
              <w:rPr>
                <w:rFonts w:ascii="Arial" w:hAnsi="Arial" w:cs="Arial"/>
                <w:color w:val="000000"/>
                <w:sz w:val="16"/>
                <w:szCs w:val="16"/>
              </w:rPr>
            </w:pPr>
            <w:r w:rsidRPr="00BA5D50">
              <w:rPr>
                <w:rFonts w:ascii="Arial" w:hAnsi="Arial" w:cs="Arial"/>
                <w:color w:val="000000"/>
                <w:sz w:val="16"/>
                <w:szCs w:val="16"/>
              </w:rPr>
              <w:t> </w:t>
            </w:r>
          </w:p>
        </w:tc>
        <w:tc>
          <w:tcPr>
            <w:tcW w:w="743" w:type="dxa"/>
            <w:tcBorders>
              <w:top w:val="nil"/>
              <w:left w:val="nil"/>
              <w:bottom w:val="nil"/>
              <w:right w:val="nil"/>
            </w:tcBorders>
            <w:shd w:val="clear" w:color="000000" w:fill="FFFFFF"/>
            <w:noWrap/>
            <w:vAlign w:val="center"/>
            <w:hideMark/>
          </w:tcPr>
          <w:p w14:paraId="6CE2C5C5" w14:textId="77777777" w:rsidR="00BA5D50" w:rsidRPr="00BA5D50" w:rsidRDefault="00BA5D50" w:rsidP="00BA5D50">
            <w:pPr>
              <w:spacing w:before="0" w:after="0" w:line="240" w:lineRule="auto"/>
              <w:rPr>
                <w:rFonts w:ascii="Arial" w:hAnsi="Arial" w:cs="Arial"/>
                <w:color w:val="000000"/>
                <w:sz w:val="16"/>
                <w:szCs w:val="16"/>
              </w:rPr>
            </w:pPr>
            <w:r w:rsidRPr="00BA5D50">
              <w:rPr>
                <w:rFonts w:ascii="Arial" w:hAnsi="Arial" w:cs="Arial"/>
                <w:color w:val="000000"/>
                <w:sz w:val="16"/>
                <w:szCs w:val="16"/>
              </w:rPr>
              <w:t> </w:t>
            </w:r>
          </w:p>
        </w:tc>
        <w:tc>
          <w:tcPr>
            <w:tcW w:w="743" w:type="dxa"/>
            <w:tcBorders>
              <w:top w:val="nil"/>
              <w:left w:val="nil"/>
              <w:bottom w:val="nil"/>
              <w:right w:val="nil"/>
            </w:tcBorders>
            <w:shd w:val="clear" w:color="000000" w:fill="FFFFFF"/>
            <w:noWrap/>
            <w:vAlign w:val="center"/>
            <w:hideMark/>
          </w:tcPr>
          <w:p w14:paraId="52CA10A0" w14:textId="77777777" w:rsidR="00BA5D50" w:rsidRPr="00BA5D50" w:rsidRDefault="00BA5D50" w:rsidP="00BA5D50">
            <w:pPr>
              <w:spacing w:before="0" w:after="0" w:line="240" w:lineRule="auto"/>
              <w:rPr>
                <w:rFonts w:ascii="Arial" w:hAnsi="Arial" w:cs="Arial"/>
                <w:color w:val="000000"/>
                <w:sz w:val="16"/>
                <w:szCs w:val="16"/>
              </w:rPr>
            </w:pPr>
            <w:r w:rsidRPr="00BA5D50">
              <w:rPr>
                <w:rFonts w:ascii="Arial" w:hAnsi="Arial" w:cs="Arial"/>
                <w:color w:val="000000"/>
                <w:sz w:val="16"/>
                <w:szCs w:val="16"/>
              </w:rPr>
              <w:t> </w:t>
            </w:r>
          </w:p>
        </w:tc>
        <w:tc>
          <w:tcPr>
            <w:tcW w:w="743" w:type="dxa"/>
            <w:tcBorders>
              <w:top w:val="nil"/>
              <w:left w:val="nil"/>
              <w:bottom w:val="nil"/>
              <w:right w:val="nil"/>
            </w:tcBorders>
            <w:shd w:val="clear" w:color="000000" w:fill="FFFFFF"/>
            <w:noWrap/>
            <w:vAlign w:val="center"/>
            <w:hideMark/>
          </w:tcPr>
          <w:p w14:paraId="2CEC9FEB" w14:textId="77777777" w:rsidR="00BA5D50" w:rsidRPr="00BA5D50" w:rsidRDefault="00BA5D50" w:rsidP="00BA5D50">
            <w:pPr>
              <w:spacing w:before="0" w:after="0" w:line="240" w:lineRule="auto"/>
              <w:rPr>
                <w:rFonts w:ascii="Arial" w:hAnsi="Arial" w:cs="Arial"/>
                <w:color w:val="000000"/>
                <w:sz w:val="16"/>
                <w:szCs w:val="16"/>
              </w:rPr>
            </w:pPr>
            <w:r w:rsidRPr="00BA5D50">
              <w:rPr>
                <w:rFonts w:ascii="Arial" w:hAnsi="Arial" w:cs="Arial"/>
                <w:color w:val="000000"/>
                <w:sz w:val="16"/>
                <w:szCs w:val="16"/>
              </w:rPr>
              <w:t> </w:t>
            </w:r>
          </w:p>
        </w:tc>
      </w:tr>
      <w:tr w:rsidR="00BA5D50" w:rsidRPr="00BA5D50" w14:paraId="102939D1" w14:textId="77777777" w:rsidTr="00610633">
        <w:trPr>
          <w:trHeight w:val="225"/>
        </w:trPr>
        <w:tc>
          <w:tcPr>
            <w:tcW w:w="3118" w:type="dxa"/>
            <w:tcBorders>
              <w:top w:val="nil"/>
              <w:left w:val="nil"/>
              <w:bottom w:val="nil"/>
              <w:right w:val="nil"/>
            </w:tcBorders>
            <w:shd w:val="clear" w:color="000000" w:fill="FFFFFF"/>
            <w:noWrap/>
            <w:vAlign w:val="center"/>
            <w:hideMark/>
          </w:tcPr>
          <w:p w14:paraId="361D4EB6" w14:textId="77777777" w:rsidR="00BA5D50" w:rsidRPr="00BA5D50" w:rsidRDefault="00BA5D50" w:rsidP="00BA5D50">
            <w:pPr>
              <w:spacing w:before="0" w:after="0" w:line="240" w:lineRule="auto"/>
              <w:ind w:firstLineChars="200" w:firstLine="320"/>
              <w:rPr>
                <w:rFonts w:ascii="Arial" w:hAnsi="Arial" w:cs="Arial"/>
                <w:color w:val="000000"/>
                <w:sz w:val="16"/>
                <w:szCs w:val="16"/>
              </w:rPr>
            </w:pPr>
            <w:r w:rsidRPr="00BA5D50">
              <w:rPr>
                <w:rFonts w:ascii="Arial" w:hAnsi="Arial" w:cs="Arial"/>
                <w:color w:val="000000"/>
                <w:sz w:val="16"/>
                <w:szCs w:val="16"/>
              </w:rPr>
              <w:t>affairs</w:t>
            </w:r>
          </w:p>
        </w:tc>
        <w:tc>
          <w:tcPr>
            <w:tcW w:w="756" w:type="dxa"/>
            <w:tcBorders>
              <w:top w:val="nil"/>
              <w:left w:val="nil"/>
              <w:bottom w:val="nil"/>
              <w:right w:val="nil"/>
            </w:tcBorders>
            <w:shd w:val="clear" w:color="000000" w:fill="FFFFFF"/>
            <w:noWrap/>
            <w:vAlign w:val="center"/>
            <w:hideMark/>
          </w:tcPr>
          <w:p w14:paraId="1D617C7A" w14:textId="77777777" w:rsidR="00BA5D50" w:rsidRPr="00BA5D50" w:rsidRDefault="00BA5D50" w:rsidP="00BA5D50">
            <w:pPr>
              <w:spacing w:before="0" w:after="0" w:line="240" w:lineRule="auto"/>
              <w:jc w:val="right"/>
              <w:rPr>
                <w:rFonts w:ascii="Arial" w:hAnsi="Arial" w:cs="Arial"/>
                <w:color w:val="000000"/>
                <w:sz w:val="16"/>
                <w:szCs w:val="16"/>
              </w:rPr>
            </w:pPr>
            <w:r w:rsidRPr="00BA5D50">
              <w:rPr>
                <w:rFonts w:ascii="Arial" w:hAnsi="Arial" w:cs="Arial"/>
                <w:color w:val="000000"/>
                <w:sz w:val="16"/>
                <w:szCs w:val="16"/>
              </w:rPr>
              <w:t>7,410</w:t>
            </w:r>
          </w:p>
        </w:tc>
        <w:tc>
          <w:tcPr>
            <w:tcW w:w="76" w:type="dxa"/>
            <w:tcBorders>
              <w:top w:val="nil"/>
              <w:left w:val="nil"/>
              <w:bottom w:val="nil"/>
              <w:right w:val="nil"/>
            </w:tcBorders>
            <w:shd w:val="clear" w:color="000000" w:fill="FFFFFF"/>
            <w:noWrap/>
            <w:vAlign w:val="center"/>
            <w:hideMark/>
          </w:tcPr>
          <w:p w14:paraId="3FF11E6D" w14:textId="77777777" w:rsidR="00BA5D50" w:rsidRPr="00BA5D50" w:rsidRDefault="00BA5D50" w:rsidP="00BA5D50">
            <w:pPr>
              <w:spacing w:before="0" w:after="0" w:line="240" w:lineRule="auto"/>
              <w:rPr>
                <w:rFonts w:ascii="Arial" w:hAnsi="Arial" w:cs="Arial"/>
                <w:color w:val="000000"/>
                <w:sz w:val="16"/>
                <w:szCs w:val="16"/>
              </w:rPr>
            </w:pPr>
            <w:r w:rsidRPr="00BA5D50">
              <w:rPr>
                <w:rFonts w:ascii="Arial" w:hAnsi="Arial" w:cs="Arial"/>
                <w:color w:val="000000"/>
                <w:sz w:val="16"/>
                <w:szCs w:val="16"/>
              </w:rPr>
              <w:t> </w:t>
            </w:r>
          </w:p>
        </w:tc>
        <w:tc>
          <w:tcPr>
            <w:tcW w:w="744" w:type="dxa"/>
            <w:tcBorders>
              <w:top w:val="nil"/>
              <w:left w:val="nil"/>
              <w:bottom w:val="nil"/>
              <w:right w:val="nil"/>
            </w:tcBorders>
            <w:shd w:val="clear" w:color="000000" w:fill="FFFFFF"/>
            <w:noWrap/>
            <w:vAlign w:val="center"/>
            <w:hideMark/>
          </w:tcPr>
          <w:p w14:paraId="202907BA" w14:textId="77777777" w:rsidR="00BA5D50" w:rsidRPr="00BA5D50" w:rsidRDefault="00BA5D50" w:rsidP="00BA5D50">
            <w:pPr>
              <w:spacing w:before="0" w:after="0" w:line="240" w:lineRule="auto"/>
              <w:jc w:val="right"/>
              <w:rPr>
                <w:rFonts w:ascii="Arial" w:hAnsi="Arial" w:cs="Arial"/>
                <w:color w:val="000000"/>
                <w:sz w:val="16"/>
                <w:szCs w:val="16"/>
              </w:rPr>
            </w:pPr>
            <w:r w:rsidRPr="00BA5D50">
              <w:rPr>
                <w:rFonts w:ascii="Arial" w:hAnsi="Arial" w:cs="Arial"/>
                <w:color w:val="000000"/>
                <w:sz w:val="16"/>
                <w:szCs w:val="16"/>
              </w:rPr>
              <w:t>6,308</w:t>
            </w:r>
          </w:p>
        </w:tc>
        <w:tc>
          <w:tcPr>
            <w:tcW w:w="743" w:type="dxa"/>
            <w:tcBorders>
              <w:top w:val="nil"/>
              <w:left w:val="nil"/>
              <w:bottom w:val="nil"/>
              <w:right w:val="nil"/>
            </w:tcBorders>
            <w:shd w:val="clear" w:color="000000" w:fill="E6F2FF"/>
            <w:noWrap/>
            <w:vAlign w:val="center"/>
            <w:hideMark/>
          </w:tcPr>
          <w:p w14:paraId="611A3306" w14:textId="77777777" w:rsidR="00BA5D50" w:rsidRPr="00BA5D50" w:rsidRDefault="00BA5D50" w:rsidP="00BA5D50">
            <w:pPr>
              <w:spacing w:before="0" w:after="0" w:line="240" w:lineRule="auto"/>
              <w:jc w:val="right"/>
              <w:rPr>
                <w:rFonts w:ascii="Arial" w:hAnsi="Arial" w:cs="Arial"/>
                <w:color w:val="000000"/>
                <w:sz w:val="16"/>
                <w:szCs w:val="16"/>
              </w:rPr>
            </w:pPr>
            <w:r w:rsidRPr="00BA5D50">
              <w:rPr>
                <w:rFonts w:ascii="Arial" w:hAnsi="Arial" w:cs="Arial"/>
                <w:color w:val="000000"/>
                <w:sz w:val="16"/>
                <w:szCs w:val="16"/>
              </w:rPr>
              <w:t>5,881</w:t>
            </w:r>
          </w:p>
        </w:tc>
        <w:tc>
          <w:tcPr>
            <w:tcW w:w="743" w:type="dxa"/>
            <w:tcBorders>
              <w:top w:val="nil"/>
              <w:left w:val="nil"/>
              <w:bottom w:val="nil"/>
              <w:right w:val="nil"/>
            </w:tcBorders>
            <w:shd w:val="clear" w:color="000000" w:fill="FFFFFF"/>
            <w:noWrap/>
            <w:vAlign w:val="center"/>
            <w:hideMark/>
          </w:tcPr>
          <w:p w14:paraId="45245FD2" w14:textId="77777777" w:rsidR="00BA5D50" w:rsidRPr="00BA5D50" w:rsidRDefault="00BA5D50" w:rsidP="00BA5D50">
            <w:pPr>
              <w:spacing w:before="0" w:after="0" w:line="240" w:lineRule="auto"/>
              <w:jc w:val="right"/>
              <w:rPr>
                <w:rFonts w:ascii="Arial" w:hAnsi="Arial" w:cs="Arial"/>
                <w:color w:val="000000"/>
                <w:sz w:val="16"/>
                <w:szCs w:val="16"/>
              </w:rPr>
            </w:pPr>
            <w:r w:rsidRPr="00BA5D50">
              <w:rPr>
                <w:rFonts w:ascii="Arial" w:hAnsi="Arial" w:cs="Arial"/>
                <w:color w:val="000000"/>
                <w:sz w:val="16"/>
                <w:szCs w:val="16"/>
              </w:rPr>
              <w:t>5,575</w:t>
            </w:r>
          </w:p>
        </w:tc>
        <w:tc>
          <w:tcPr>
            <w:tcW w:w="743" w:type="dxa"/>
            <w:tcBorders>
              <w:top w:val="nil"/>
              <w:left w:val="nil"/>
              <w:bottom w:val="nil"/>
              <w:right w:val="nil"/>
            </w:tcBorders>
            <w:shd w:val="clear" w:color="000000" w:fill="FFFFFF"/>
            <w:noWrap/>
            <w:vAlign w:val="center"/>
            <w:hideMark/>
          </w:tcPr>
          <w:p w14:paraId="1F7CD1AF" w14:textId="77777777" w:rsidR="00BA5D50" w:rsidRPr="00BA5D50" w:rsidRDefault="00BA5D50" w:rsidP="00BA5D50">
            <w:pPr>
              <w:spacing w:before="0" w:after="0" w:line="240" w:lineRule="auto"/>
              <w:jc w:val="right"/>
              <w:rPr>
                <w:rFonts w:ascii="Arial" w:hAnsi="Arial" w:cs="Arial"/>
                <w:color w:val="000000"/>
                <w:sz w:val="16"/>
                <w:szCs w:val="16"/>
              </w:rPr>
            </w:pPr>
            <w:r w:rsidRPr="00BA5D50">
              <w:rPr>
                <w:rFonts w:ascii="Arial" w:hAnsi="Arial" w:cs="Arial"/>
                <w:color w:val="000000"/>
                <w:sz w:val="16"/>
                <w:szCs w:val="16"/>
              </w:rPr>
              <w:t>5,198</w:t>
            </w:r>
          </w:p>
        </w:tc>
        <w:tc>
          <w:tcPr>
            <w:tcW w:w="743" w:type="dxa"/>
            <w:tcBorders>
              <w:top w:val="nil"/>
              <w:left w:val="nil"/>
              <w:bottom w:val="nil"/>
              <w:right w:val="nil"/>
            </w:tcBorders>
            <w:shd w:val="clear" w:color="000000" w:fill="FFFFFF"/>
            <w:noWrap/>
            <w:vAlign w:val="center"/>
            <w:hideMark/>
          </w:tcPr>
          <w:p w14:paraId="1284EA9D" w14:textId="77777777" w:rsidR="00BA5D50" w:rsidRPr="00BA5D50" w:rsidRDefault="00BA5D50" w:rsidP="00BA5D50">
            <w:pPr>
              <w:spacing w:before="0" w:after="0" w:line="240" w:lineRule="auto"/>
              <w:jc w:val="right"/>
              <w:rPr>
                <w:rFonts w:ascii="Arial" w:hAnsi="Arial" w:cs="Arial"/>
                <w:color w:val="000000"/>
                <w:sz w:val="16"/>
                <w:szCs w:val="16"/>
              </w:rPr>
            </w:pPr>
            <w:r w:rsidRPr="00BA5D50">
              <w:rPr>
                <w:rFonts w:ascii="Arial" w:hAnsi="Arial" w:cs="Arial"/>
                <w:color w:val="000000"/>
                <w:sz w:val="16"/>
                <w:szCs w:val="16"/>
              </w:rPr>
              <w:t>5,081</w:t>
            </w:r>
          </w:p>
        </w:tc>
      </w:tr>
      <w:tr w:rsidR="00BA5D50" w:rsidRPr="00BA5D50" w14:paraId="30C7BEE5" w14:textId="77777777" w:rsidTr="00610633">
        <w:trPr>
          <w:trHeight w:val="225"/>
        </w:trPr>
        <w:tc>
          <w:tcPr>
            <w:tcW w:w="3118" w:type="dxa"/>
            <w:tcBorders>
              <w:top w:val="nil"/>
              <w:left w:val="nil"/>
              <w:bottom w:val="nil"/>
              <w:right w:val="nil"/>
            </w:tcBorders>
            <w:shd w:val="clear" w:color="000000" w:fill="FFFFFF"/>
            <w:noWrap/>
            <w:vAlign w:val="center"/>
            <w:hideMark/>
          </w:tcPr>
          <w:p w14:paraId="189BC3EC" w14:textId="77777777" w:rsidR="00BA5D50" w:rsidRPr="00BA5D50" w:rsidRDefault="00BA5D50" w:rsidP="00BA5D50">
            <w:pPr>
              <w:spacing w:before="0" w:after="0" w:line="240" w:lineRule="auto"/>
              <w:ind w:firstLineChars="300" w:firstLine="480"/>
              <w:rPr>
                <w:rFonts w:ascii="Arial" w:hAnsi="Arial" w:cs="Arial"/>
                <w:i/>
                <w:iCs/>
                <w:color w:val="000000"/>
                <w:sz w:val="16"/>
                <w:szCs w:val="16"/>
              </w:rPr>
            </w:pPr>
            <w:r w:rsidRPr="00BA5D50">
              <w:rPr>
                <w:rFonts w:ascii="Arial" w:hAnsi="Arial" w:cs="Arial"/>
                <w:i/>
                <w:iCs/>
                <w:color w:val="000000"/>
                <w:sz w:val="16"/>
                <w:szCs w:val="16"/>
              </w:rPr>
              <w:t>Vocational and industry training</w:t>
            </w:r>
          </w:p>
        </w:tc>
        <w:tc>
          <w:tcPr>
            <w:tcW w:w="756" w:type="dxa"/>
            <w:tcBorders>
              <w:top w:val="nil"/>
              <w:left w:val="nil"/>
              <w:bottom w:val="nil"/>
              <w:right w:val="nil"/>
            </w:tcBorders>
            <w:shd w:val="clear" w:color="000000" w:fill="FFFFFF"/>
            <w:noWrap/>
            <w:vAlign w:val="center"/>
            <w:hideMark/>
          </w:tcPr>
          <w:p w14:paraId="2AB7E2AB" w14:textId="77777777" w:rsidR="00BA5D50" w:rsidRPr="00BA5D50" w:rsidRDefault="00BA5D50" w:rsidP="00BA5D50">
            <w:pPr>
              <w:spacing w:before="0" w:after="0" w:line="240" w:lineRule="auto"/>
              <w:jc w:val="right"/>
              <w:rPr>
                <w:rFonts w:ascii="Arial" w:hAnsi="Arial" w:cs="Arial"/>
                <w:i/>
                <w:iCs/>
                <w:color w:val="000000"/>
                <w:sz w:val="16"/>
                <w:szCs w:val="16"/>
              </w:rPr>
            </w:pPr>
            <w:r w:rsidRPr="00BA5D50">
              <w:rPr>
                <w:rFonts w:ascii="Arial" w:hAnsi="Arial" w:cs="Arial"/>
                <w:i/>
                <w:iCs/>
                <w:color w:val="000000"/>
                <w:sz w:val="16"/>
                <w:szCs w:val="16"/>
              </w:rPr>
              <w:t>4,580</w:t>
            </w:r>
          </w:p>
        </w:tc>
        <w:tc>
          <w:tcPr>
            <w:tcW w:w="76" w:type="dxa"/>
            <w:tcBorders>
              <w:top w:val="nil"/>
              <w:left w:val="nil"/>
              <w:bottom w:val="nil"/>
              <w:right w:val="nil"/>
            </w:tcBorders>
            <w:shd w:val="clear" w:color="000000" w:fill="FFFFFF"/>
            <w:noWrap/>
            <w:vAlign w:val="center"/>
            <w:hideMark/>
          </w:tcPr>
          <w:p w14:paraId="6B7F7ADB" w14:textId="77777777" w:rsidR="00BA5D50" w:rsidRPr="00BA5D50" w:rsidRDefault="00BA5D50" w:rsidP="00BA5D50">
            <w:pPr>
              <w:spacing w:before="0" w:after="0" w:line="240" w:lineRule="auto"/>
              <w:rPr>
                <w:rFonts w:ascii="Arial" w:hAnsi="Arial" w:cs="Arial"/>
                <w:i/>
                <w:iCs/>
                <w:color w:val="000000"/>
                <w:sz w:val="16"/>
                <w:szCs w:val="16"/>
              </w:rPr>
            </w:pPr>
            <w:r w:rsidRPr="00BA5D50">
              <w:rPr>
                <w:rFonts w:ascii="Arial" w:hAnsi="Arial" w:cs="Arial"/>
                <w:i/>
                <w:iCs/>
                <w:color w:val="000000"/>
                <w:sz w:val="16"/>
                <w:szCs w:val="16"/>
              </w:rPr>
              <w:t> </w:t>
            </w:r>
          </w:p>
        </w:tc>
        <w:tc>
          <w:tcPr>
            <w:tcW w:w="744" w:type="dxa"/>
            <w:tcBorders>
              <w:top w:val="nil"/>
              <w:left w:val="nil"/>
              <w:bottom w:val="nil"/>
              <w:right w:val="nil"/>
            </w:tcBorders>
            <w:shd w:val="clear" w:color="000000" w:fill="FFFFFF"/>
            <w:noWrap/>
            <w:vAlign w:val="center"/>
            <w:hideMark/>
          </w:tcPr>
          <w:p w14:paraId="1499215E" w14:textId="77777777" w:rsidR="00BA5D50" w:rsidRPr="00BA5D50" w:rsidRDefault="00BA5D50" w:rsidP="00BA5D50">
            <w:pPr>
              <w:spacing w:before="0" w:after="0" w:line="240" w:lineRule="auto"/>
              <w:jc w:val="right"/>
              <w:rPr>
                <w:rFonts w:ascii="Arial" w:hAnsi="Arial" w:cs="Arial"/>
                <w:i/>
                <w:iCs/>
                <w:color w:val="000000"/>
                <w:sz w:val="16"/>
                <w:szCs w:val="16"/>
              </w:rPr>
            </w:pPr>
            <w:r w:rsidRPr="00BA5D50">
              <w:rPr>
                <w:rFonts w:ascii="Arial" w:hAnsi="Arial" w:cs="Arial"/>
                <w:i/>
                <w:iCs/>
                <w:color w:val="000000"/>
                <w:sz w:val="16"/>
                <w:szCs w:val="16"/>
              </w:rPr>
              <w:t>2,984</w:t>
            </w:r>
          </w:p>
        </w:tc>
        <w:tc>
          <w:tcPr>
            <w:tcW w:w="743" w:type="dxa"/>
            <w:tcBorders>
              <w:top w:val="nil"/>
              <w:left w:val="nil"/>
              <w:bottom w:val="nil"/>
              <w:right w:val="nil"/>
            </w:tcBorders>
            <w:shd w:val="clear" w:color="000000" w:fill="E6F2FF"/>
            <w:noWrap/>
            <w:vAlign w:val="center"/>
            <w:hideMark/>
          </w:tcPr>
          <w:p w14:paraId="51A1C5B9" w14:textId="77777777" w:rsidR="00BA5D50" w:rsidRPr="00BA5D50" w:rsidRDefault="00BA5D50" w:rsidP="00BA5D50">
            <w:pPr>
              <w:spacing w:before="0" w:after="0" w:line="240" w:lineRule="auto"/>
              <w:jc w:val="right"/>
              <w:rPr>
                <w:rFonts w:ascii="Arial" w:hAnsi="Arial" w:cs="Arial"/>
                <w:i/>
                <w:iCs/>
                <w:color w:val="000000"/>
                <w:sz w:val="16"/>
                <w:szCs w:val="16"/>
              </w:rPr>
            </w:pPr>
            <w:r w:rsidRPr="00BA5D50">
              <w:rPr>
                <w:rFonts w:ascii="Arial" w:hAnsi="Arial" w:cs="Arial"/>
                <w:i/>
                <w:iCs/>
                <w:color w:val="000000"/>
                <w:sz w:val="16"/>
                <w:szCs w:val="16"/>
              </w:rPr>
              <w:t>2,384</w:t>
            </w:r>
          </w:p>
        </w:tc>
        <w:tc>
          <w:tcPr>
            <w:tcW w:w="743" w:type="dxa"/>
            <w:tcBorders>
              <w:top w:val="nil"/>
              <w:left w:val="nil"/>
              <w:bottom w:val="nil"/>
              <w:right w:val="nil"/>
            </w:tcBorders>
            <w:shd w:val="clear" w:color="000000" w:fill="FFFFFF"/>
            <w:noWrap/>
            <w:vAlign w:val="center"/>
            <w:hideMark/>
          </w:tcPr>
          <w:p w14:paraId="462B3B59" w14:textId="77777777" w:rsidR="00BA5D50" w:rsidRPr="00BA5D50" w:rsidRDefault="00BA5D50" w:rsidP="00BA5D50">
            <w:pPr>
              <w:spacing w:before="0" w:after="0" w:line="240" w:lineRule="auto"/>
              <w:jc w:val="right"/>
              <w:rPr>
                <w:rFonts w:ascii="Arial" w:hAnsi="Arial" w:cs="Arial"/>
                <w:i/>
                <w:iCs/>
                <w:color w:val="000000"/>
                <w:sz w:val="16"/>
                <w:szCs w:val="16"/>
              </w:rPr>
            </w:pPr>
            <w:r w:rsidRPr="00BA5D50">
              <w:rPr>
                <w:rFonts w:ascii="Arial" w:hAnsi="Arial" w:cs="Arial"/>
                <w:i/>
                <w:iCs/>
                <w:color w:val="000000"/>
                <w:sz w:val="16"/>
                <w:szCs w:val="16"/>
              </w:rPr>
              <w:t>2,130</w:t>
            </w:r>
          </w:p>
        </w:tc>
        <w:tc>
          <w:tcPr>
            <w:tcW w:w="743" w:type="dxa"/>
            <w:tcBorders>
              <w:top w:val="nil"/>
              <w:left w:val="nil"/>
              <w:bottom w:val="nil"/>
              <w:right w:val="nil"/>
            </w:tcBorders>
            <w:shd w:val="clear" w:color="000000" w:fill="FFFFFF"/>
            <w:noWrap/>
            <w:vAlign w:val="center"/>
            <w:hideMark/>
          </w:tcPr>
          <w:p w14:paraId="0390A9D1" w14:textId="77777777" w:rsidR="00BA5D50" w:rsidRPr="00BA5D50" w:rsidRDefault="00BA5D50" w:rsidP="00BA5D50">
            <w:pPr>
              <w:spacing w:before="0" w:after="0" w:line="240" w:lineRule="auto"/>
              <w:jc w:val="right"/>
              <w:rPr>
                <w:rFonts w:ascii="Arial" w:hAnsi="Arial" w:cs="Arial"/>
                <w:i/>
                <w:iCs/>
                <w:color w:val="000000"/>
                <w:sz w:val="16"/>
                <w:szCs w:val="16"/>
              </w:rPr>
            </w:pPr>
            <w:r w:rsidRPr="00BA5D50">
              <w:rPr>
                <w:rFonts w:ascii="Arial" w:hAnsi="Arial" w:cs="Arial"/>
                <w:i/>
                <w:iCs/>
                <w:color w:val="000000"/>
                <w:sz w:val="16"/>
                <w:szCs w:val="16"/>
              </w:rPr>
              <w:t>1,676</w:t>
            </w:r>
          </w:p>
        </w:tc>
        <w:tc>
          <w:tcPr>
            <w:tcW w:w="743" w:type="dxa"/>
            <w:tcBorders>
              <w:top w:val="nil"/>
              <w:left w:val="nil"/>
              <w:bottom w:val="nil"/>
              <w:right w:val="nil"/>
            </w:tcBorders>
            <w:shd w:val="clear" w:color="000000" w:fill="FFFFFF"/>
            <w:noWrap/>
            <w:vAlign w:val="center"/>
            <w:hideMark/>
          </w:tcPr>
          <w:p w14:paraId="5FCF5A4A" w14:textId="77777777" w:rsidR="00BA5D50" w:rsidRPr="00BA5D50" w:rsidRDefault="00BA5D50" w:rsidP="00BA5D50">
            <w:pPr>
              <w:spacing w:before="0" w:after="0" w:line="240" w:lineRule="auto"/>
              <w:jc w:val="right"/>
              <w:rPr>
                <w:rFonts w:ascii="Arial" w:hAnsi="Arial" w:cs="Arial"/>
                <w:i/>
                <w:iCs/>
                <w:color w:val="000000"/>
                <w:sz w:val="16"/>
                <w:szCs w:val="16"/>
              </w:rPr>
            </w:pPr>
            <w:r w:rsidRPr="00BA5D50">
              <w:rPr>
                <w:rFonts w:ascii="Arial" w:hAnsi="Arial" w:cs="Arial"/>
                <w:i/>
                <w:iCs/>
                <w:color w:val="000000"/>
                <w:sz w:val="16"/>
                <w:szCs w:val="16"/>
              </w:rPr>
              <w:t>1,561</w:t>
            </w:r>
          </w:p>
        </w:tc>
      </w:tr>
      <w:tr w:rsidR="00BA5D50" w:rsidRPr="00BA5D50" w14:paraId="48FB6417" w14:textId="77777777" w:rsidTr="00610633">
        <w:trPr>
          <w:trHeight w:val="225"/>
        </w:trPr>
        <w:tc>
          <w:tcPr>
            <w:tcW w:w="3118" w:type="dxa"/>
            <w:tcBorders>
              <w:top w:val="nil"/>
              <w:left w:val="nil"/>
              <w:bottom w:val="nil"/>
              <w:right w:val="nil"/>
            </w:tcBorders>
            <w:shd w:val="clear" w:color="000000" w:fill="FFFFFF"/>
            <w:noWrap/>
            <w:vAlign w:val="center"/>
            <w:hideMark/>
          </w:tcPr>
          <w:p w14:paraId="79F33440" w14:textId="77777777" w:rsidR="00BA5D50" w:rsidRPr="00BA5D50" w:rsidRDefault="00BA5D50" w:rsidP="00BA5D50">
            <w:pPr>
              <w:spacing w:before="0" w:after="0" w:line="240" w:lineRule="auto"/>
              <w:ind w:firstLineChars="300" w:firstLine="480"/>
              <w:rPr>
                <w:rFonts w:ascii="Arial" w:hAnsi="Arial" w:cs="Arial"/>
                <w:i/>
                <w:iCs/>
                <w:color w:val="000000"/>
                <w:sz w:val="16"/>
                <w:szCs w:val="16"/>
              </w:rPr>
            </w:pPr>
            <w:r w:rsidRPr="00BA5D50">
              <w:rPr>
                <w:rFonts w:ascii="Arial" w:hAnsi="Arial" w:cs="Arial"/>
                <w:i/>
                <w:iCs/>
                <w:color w:val="000000"/>
                <w:sz w:val="16"/>
                <w:szCs w:val="16"/>
              </w:rPr>
              <w:t>Labour market assistance to</w:t>
            </w:r>
          </w:p>
        </w:tc>
        <w:tc>
          <w:tcPr>
            <w:tcW w:w="756" w:type="dxa"/>
            <w:tcBorders>
              <w:top w:val="nil"/>
              <w:left w:val="nil"/>
              <w:bottom w:val="nil"/>
              <w:right w:val="nil"/>
            </w:tcBorders>
            <w:shd w:val="clear" w:color="000000" w:fill="FFFFFF"/>
            <w:noWrap/>
            <w:vAlign w:val="center"/>
            <w:hideMark/>
          </w:tcPr>
          <w:p w14:paraId="02286C05" w14:textId="77777777" w:rsidR="00BA5D50" w:rsidRPr="00BA5D50" w:rsidRDefault="00BA5D50" w:rsidP="00BA5D50">
            <w:pPr>
              <w:spacing w:before="0" w:after="0" w:line="240" w:lineRule="auto"/>
              <w:rPr>
                <w:rFonts w:ascii="Arial" w:hAnsi="Arial" w:cs="Arial"/>
                <w:i/>
                <w:iCs/>
                <w:color w:val="000000"/>
                <w:sz w:val="16"/>
                <w:szCs w:val="16"/>
              </w:rPr>
            </w:pPr>
            <w:r w:rsidRPr="00BA5D50">
              <w:rPr>
                <w:rFonts w:ascii="Arial" w:hAnsi="Arial" w:cs="Arial"/>
                <w:i/>
                <w:iCs/>
                <w:color w:val="000000"/>
                <w:sz w:val="16"/>
                <w:szCs w:val="16"/>
              </w:rPr>
              <w:t> </w:t>
            </w:r>
          </w:p>
        </w:tc>
        <w:tc>
          <w:tcPr>
            <w:tcW w:w="76" w:type="dxa"/>
            <w:tcBorders>
              <w:top w:val="nil"/>
              <w:left w:val="nil"/>
              <w:bottom w:val="nil"/>
              <w:right w:val="nil"/>
            </w:tcBorders>
            <w:shd w:val="clear" w:color="000000" w:fill="FFFFFF"/>
            <w:noWrap/>
            <w:vAlign w:val="center"/>
            <w:hideMark/>
          </w:tcPr>
          <w:p w14:paraId="63C4BD87" w14:textId="77777777" w:rsidR="00BA5D50" w:rsidRPr="00BA5D50" w:rsidRDefault="00BA5D50" w:rsidP="00BA5D50">
            <w:pPr>
              <w:spacing w:before="0" w:after="0" w:line="240" w:lineRule="auto"/>
              <w:rPr>
                <w:rFonts w:ascii="Arial" w:hAnsi="Arial" w:cs="Arial"/>
                <w:i/>
                <w:iCs/>
                <w:color w:val="000000"/>
                <w:sz w:val="16"/>
                <w:szCs w:val="16"/>
              </w:rPr>
            </w:pPr>
            <w:r w:rsidRPr="00BA5D50">
              <w:rPr>
                <w:rFonts w:ascii="Arial" w:hAnsi="Arial" w:cs="Arial"/>
                <w:i/>
                <w:iCs/>
                <w:color w:val="000000"/>
                <w:sz w:val="16"/>
                <w:szCs w:val="16"/>
              </w:rPr>
              <w:t> </w:t>
            </w:r>
          </w:p>
        </w:tc>
        <w:tc>
          <w:tcPr>
            <w:tcW w:w="744" w:type="dxa"/>
            <w:tcBorders>
              <w:top w:val="nil"/>
              <w:left w:val="nil"/>
              <w:bottom w:val="nil"/>
              <w:right w:val="nil"/>
            </w:tcBorders>
            <w:shd w:val="clear" w:color="000000" w:fill="FFFFFF"/>
            <w:noWrap/>
            <w:vAlign w:val="center"/>
            <w:hideMark/>
          </w:tcPr>
          <w:p w14:paraId="0DA7C95A" w14:textId="77777777" w:rsidR="00BA5D50" w:rsidRPr="00BA5D50" w:rsidRDefault="00BA5D50" w:rsidP="00BA5D50">
            <w:pPr>
              <w:spacing w:before="0" w:after="0" w:line="240" w:lineRule="auto"/>
              <w:rPr>
                <w:rFonts w:ascii="Arial" w:hAnsi="Arial" w:cs="Arial"/>
                <w:i/>
                <w:iCs/>
                <w:color w:val="000000"/>
                <w:sz w:val="16"/>
                <w:szCs w:val="16"/>
              </w:rPr>
            </w:pPr>
            <w:r w:rsidRPr="00BA5D50">
              <w:rPr>
                <w:rFonts w:ascii="Arial" w:hAnsi="Arial" w:cs="Arial"/>
                <w:i/>
                <w:iCs/>
                <w:color w:val="000000"/>
                <w:sz w:val="16"/>
                <w:szCs w:val="16"/>
              </w:rPr>
              <w:t> </w:t>
            </w:r>
          </w:p>
        </w:tc>
        <w:tc>
          <w:tcPr>
            <w:tcW w:w="743" w:type="dxa"/>
            <w:tcBorders>
              <w:top w:val="nil"/>
              <w:left w:val="nil"/>
              <w:bottom w:val="nil"/>
              <w:right w:val="nil"/>
            </w:tcBorders>
            <w:shd w:val="clear" w:color="000000" w:fill="E6F2FF"/>
            <w:noWrap/>
            <w:vAlign w:val="center"/>
            <w:hideMark/>
          </w:tcPr>
          <w:p w14:paraId="78E43BFD" w14:textId="77777777" w:rsidR="00BA5D50" w:rsidRPr="00BA5D50" w:rsidRDefault="00BA5D50" w:rsidP="00BA5D50">
            <w:pPr>
              <w:spacing w:before="0" w:after="0" w:line="240" w:lineRule="auto"/>
              <w:rPr>
                <w:rFonts w:ascii="Arial" w:hAnsi="Arial" w:cs="Arial"/>
                <w:i/>
                <w:iCs/>
                <w:color w:val="000000"/>
                <w:sz w:val="16"/>
                <w:szCs w:val="16"/>
              </w:rPr>
            </w:pPr>
            <w:r w:rsidRPr="00BA5D50">
              <w:rPr>
                <w:rFonts w:ascii="Arial" w:hAnsi="Arial" w:cs="Arial"/>
                <w:i/>
                <w:iCs/>
                <w:color w:val="000000"/>
                <w:sz w:val="16"/>
                <w:szCs w:val="16"/>
              </w:rPr>
              <w:t> </w:t>
            </w:r>
          </w:p>
        </w:tc>
        <w:tc>
          <w:tcPr>
            <w:tcW w:w="743" w:type="dxa"/>
            <w:tcBorders>
              <w:top w:val="nil"/>
              <w:left w:val="nil"/>
              <w:bottom w:val="nil"/>
              <w:right w:val="nil"/>
            </w:tcBorders>
            <w:shd w:val="clear" w:color="000000" w:fill="FFFFFF"/>
            <w:noWrap/>
            <w:vAlign w:val="center"/>
            <w:hideMark/>
          </w:tcPr>
          <w:p w14:paraId="66DE3EE3" w14:textId="77777777" w:rsidR="00BA5D50" w:rsidRPr="00BA5D50" w:rsidRDefault="00BA5D50" w:rsidP="00BA5D50">
            <w:pPr>
              <w:spacing w:before="0" w:after="0" w:line="240" w:lineRule="auto"/>
              <w:rPr>
                <w:rFonts w:ascii="Arial" w:hAnsi="Arial" w:cs="Arial"/>
                <w:i/>
                <w:iCs/>
                <w:color w:val="000000"/>
                <w:sz w:val="16"/>
                <w:szCs w:val="16"/>
              </w:rPr>
            </w:pPr>
            <w:r w:rsidRPr="00BA5D50">
              <w:rPr>
                <w:rFonts w:ascii="Arial" w:hAnsi="Arial" w:cs="Arial"/>
                <w:i/>
                <w:iCs/>
                <w:color w:val="000000"/>
                <w:sz w:val="16"/>
                <w:szCs w:val="16"/>
              </w:rPr>
              <w:t> </w:t>
            </w:r>
          </w:p>
        </w:tc>
        <w:tc>
          <w:tcPr>
            <w:tcW w:w="743" w:type="dxa"/>
            <w:tcBorders>
              <w:top w:val="nil"/>
              <w:left w:val="nil"/>
              <w:bottom w:val="nil"/>
              <w:right w:val="nil"/>
            </w:tcBorders>
            <w:shd w:val="clear" w:color="000000" w:fill="FFFFFF"/>
            <w:noWrap/>
            <w:vAlign w:val="center"/>
            <w:hideMark/>
          </w:tcPr>
          <w:p w14:paraId="771F6C8B" w14:textId="77777777" w:rsidR="00BA5D50" w:rsidRPr="00BA5D50" w:rsidRDefault="00BA5D50" w:rsidP="00BA5D50">
            <w:pPr>
              <w:spacing w:before="0" w:after="0" w:line="240" w:lineRule="auto"/>
              <w:rPr>
                <w:rFonts w:ascii="Arial" w:hAnsi="Arial" w:cs="Arial"/>
                <w:i/>
                <w:iCs/>
                <w:color w:val="000000"/>
                <w:sz w:val="16"/>
                <w:szCs w:val="16"/>
              </w:rPr>
            </w:pPr>
            <w:r w:rsidRPr="00BA5D50">
              <w:rPr>
                <w:rFonts w:ascii="Arial" w:hAnsi="Arial" w:cs="Arial"/>
                <w:i/>
                <w:iCs/>
                <w:color w:val="000000"/>
                <w:sz w:val="16"/>
                <w:szCs w:val="16"/>
              </w:rPr>
              <w:t> </w:t>
            </w:r>
          </w:p>
        </w:tc>
        <w:tc>
          <w:tcPr>
            <w:tcW w:w="743" w:type="dxa"/>
            <w:tcBorders>
              <w:top w:val="nil"/>
              <w:left w:val="nil"/>
              <w:bottom w:val="nil"/>
              <w:right w:val="nil"/>
            </w:tcBorders>
            <w:shd w:val="clear" w:color="000000" w:fill="FFFFFF"/>
            <w:noWrap/>
            <w:vAlign w:val="center"/>
            <w:hideMark/>
          </w:tcPr>
          <w:p w14:paraId="0B9407C9" w14:textId="77777777" w:rsidR="00BA5D50" w:rsidRPr="00BA5D50" w:rsidRDefault="00BA5D50" w:rsidP="00BA5D50">
            <w:pPr>
              <w:spacing w:before="0" w:after="0" w:line="240" w:lineRule="auto"/>
              <w:rPr>
                <w:rFonts w:ascii="Arial" w:hAnsi="Arial" w:cs="Arial"/>
                <w:i/>
                <w:iCs/>
                <w:color w:val="000000"/>
                <w:sz w:val="16"/>
                <w:szCs w:val="16"/>
              </w:rPr>
            </w:pPr>
            <w:r w:rsidRPr="00BA5D50">
              <w:rPr>
                <w:rFonts w:ascii="Arial" w:hAnsi="Arial" w:cs="Arial"/>
                <w:i/>
                <w:iCs/>
                <w:color w:val="000000"/>
                <w:sz w:val="16"/>
                <w:szCs w:val="16"/>
              </w:rPr>
              <w:t> </w:t>
            </w:r>
          </w:p>
        </w:tc>
      </w:tr>
      <w:tr w:rsidR="00BA5D50" w:rsidRPr="00BA5D50" w14:paraId="4D02BDE1" w14:textId="77777777" w:rsidTr="00610633">
        <w:trPr>
          <w:trHeight w:val="225"/>
        </w:trPr>
        <w:tc>
          <w:tcPr>
            <w:tcW w:w="3118" w:type="dxa"/>
            <w:tcBorders>
              <w:top w:val="nil"/>
              <w:left w:val="nil"/>
              <w:bottom w:val="nil"/>
              <w:right w:val="nil"/>
            </w:tcBorders>
            <w:shd w:val="clear" w:color="000000" w:fill="FFFFFF"/>
            <w:noWrap/>
            <w:vAlign w:val="center"/>
            <w:hideMark/>
          </w:tcPr>
          <w:p w14:paraId="6F3B976D" w14:textId="77777777" w:rsidR="00BA5D50" w:rsidRPr="00BA5D50" w:rsidRDefault="00BA5D50" w:rsidP="00BA5D50">
            <w:pPr>
              <w:spacing w:before="0" w:after="0" w:line="240" w:lineRule="auto"/>
              <w:ind w:firstLineChars="400" w:firstLine="640"/>
              <w:rPr>
                <w:rFonts w:ascii="Arial" w:hAnsi="Arial" w:cs="Arial"/>
                <w:i/>
                <w:iCs/>
                <w:color w:val="000000"/>
                <w:sz w:val="16"/>
                <w:szCs w:val="16"/>
              </w:rPr>
            </w:pPr>
            <w:r w:rsidRPr="00BA5D50">
              <w:rPr>
                <w:rFonts w:ascii="Arial" w:hAnsi="Arial" w:cs="Arial"/>
                <w:i/>
                <w:iCs/>
                <w:color w:val="000000"/>
                <w:sz w:val="16"/>
                <w:szCs w:val="16"/>
              </w:rPr>
              <w:t>job seekers and industry</w:t>
            </w:r>
          </w:p>
        </w:tc>
        <w:tc>
          <w:tcPr>
            <w:tcW w:w="756" w:type="dxa"/>
            <w:tcBorders>
              <w:top w:val="nil"/>
              <w:left w:val="nil"/>
              <w:bottom w:val="nil"/>
              <w:right w:val="nil"/>
            </w:tcBorders>
            <w:shd w:val="clear" w:color="000000" w:fill="FFFFFF"/>
            <w:noWrap/>
            <w:vAlign w:val="center"/>
            <w:hideMark/>
          </w:tcPr>
          <w:p w14:paraId="5C2D1EF7" w14:textId="77777777" w:rsidR="00BA5D50" w:rsidRPr="00BA5D50" w:rsidRDefault="00BA5D50" w:rsidP="00BA5D50">
            <w:pPr>
              <w:spacing w:before="0" w:after="0" w:line="240" w:lineRule="auto"/>
              <w:jc w:val="right"/>
              <w:rPr>
                <w:rFonts w:ascii="Arial" w:hAnsi="Arial" w:cs="Arial"/>
                <w:i/>
                <w:iCs/>
                <w:color w:val="000000"/>
                <w:sz w:val="16"/>
                <w:szCs w:val="16"/>
              </w:rPr>
            </w:pPr>
            <w:r w:rsidRPr="00BA5D50">
              <w:rPr>
                <w:rFonts w:ascii="Arial" w:hAnsi="Arial" w:cs="Arial"/>
                <w:i/>
                <w:iCs/>
                <w:color w:val="000000"/>
                <w:sz w:val="16"/>
                <w:szCs w:val="16"/>
              </w:rPr>
              <w:t>2,129</w:t>
            </w:r>
          </w:p>
        </w:tc>
        <w:tc>
          <w:tcPr>
            <w:tcW w:w="76" w:type="dxa"/>
            <w:tcBorders>
              <w:top w:val="nil"/>
              <w:left w:val="nil"/>
              <w:bottom w:val="nil"/>
              <w:right w:val="nil"/>
            </w:tcBorders>
            <w:shd w:val="clear" w:color="000000" w:fill="FFFFFF"/>
            <w:noWrap/>
            <w:vAlign w:val="center"/>
            <w:hideMark/>
          </w:tcPr>
          <w:p w14:paraId="4A09D900" w14:textId="77777777" w:rsidR="00BA5D50" w:rsidRPr="00BA5D50" w:rsidRDefault="00BA5D50" w:rsidP="00BA5D50">
            <w:pPr>
              <w:spacing w:before="0" w:after="0" w:line="240" w:lineRule="auto"/>
              <w:rPr>
                <w:rFonts w:ascii="Arial" w:hAnsi="Arial" w:cs="Arial"/>
                <w:i/>
                <w:iCs/>
                <w:color w:val="000000"/>
                <w:sz w:val="16"/>
                <w:szCs w:val="16"/>
              </w:rPr>
            </w:pPr>
            <w:r w:rsidRPr="00BA5D50">
              <w:rPr>
                <w:rFonts w:ascii="Arial" w:hAnsi="Arial" w:cs="Arial"/>
                <w:i/>
                <w:iCs/>
                <w:color w:val="000000"/>
                <w:sz w:val="16"/>
                <w:szCs w:val="16"/>
              </w:rPr>
              <w:t> </w:t>
            </w:r>
          </w:p>
        </w:tc>
        <w:tc>
          <w:tcPr>
            <w:tcW w:w="744" w:type="dxa"/>
            <w:tcBorders>
              <w:top w:val="nil"/>
              <w:left w:val="nil"/>
              <w:bottom w:val="nil"/>
              <w:right w:val="nil"/>
            </w:tcBorders>
            <w:shd w:val="clear" w:color="000000" w:fill="FFFFFF"/>
            <w:noWrap/>
            <w:vAlign w:val="center"/>
            <w:hideMark/>
          </w:tcPr>
          <w:p w14:paraId="76D6A4B8" w14:textId="77777777" w:rsidR="00BA5D50" w:rsidRPr="00BA5D50" w:rsidRDefault="00BA5D50" w:rsidP="00BA5D50">
            <w:pPr>
              <w:spacing w:before="0" w:after="0" w:line="240" w:lineRule="auto"/>
              <w:jc w:val="right"/>
              <w:rPr>
                <w:rFonts w:ascii="Arial" w:hAnsi="Arial" w:cs="Arial"/>
                <w:i/>
                <w:iCs/>
                <w:color w:val="000000"/>
                <w:sz w:val="16"/>
                <w:szCs w:val="16"/>
              </w:rPr>
            </w:pPr>
            <w:r w:rsidRPr="00BA5D50">
              <w:rPr>
                <w:rFonts w:ascii="Arial" w:hAnsi="Arial" w:cs="Arial"/>
                <w:i/>
                <w:iCs/>
                <w:color w:val="000000"/>
                <w:sz w:val="16"/>
                <w:szCs w:val="16"/>
              </w:rPr>
              <w:t>2,326</w:t>
            </w:r>
          </w:p>
        </w:tc>
        <w:tc>
          <w:tcPr>
            <w:tcW w:w="743" w:type="dxa"/>
            <w:tcBorders>
              <w:top w:val="nil"/>
              <w:left w:val="nil"/>
              <w:bottom w:val="nil"/>
              <w:right w:val="nil"/>
            </w:tcBorders>
            <w:shd w:val="clear" w:color="000000" w:fill="E6F2FF"/>
            <w:noWrap/>
            <w:vAlign w:val="center"/>
            <w:hideMark/>
          </w:tcPr>
          <w:p w14:paraId="237A313D" w14:textId="77777777" w:rsidR="00BA5D50" w:rsidRPr="00BA5D50" w:rsidRDefault="00BA5D50" w:rsidP="00BA5D50">
            <w:pPr>
              <w:spacing w:before="0" w:after="0" w:line="240" w:lineRule="auto"/>
              <w:jc w:val="right"/>
              <w:rPr>
                <w:rFonts w:ascii="Arial" w:hAnsi="Arial" w:cs="Arial"/>
                <w:i/>
                <w:iCs/>
                <w:color w:val="000000"/>
                <w:sz w:val="16"/>
                <w:szCs w:val="16"/>
              </w:rPr>
            </w:pPr>
            <w:r w:rsidRPr="00BA5D50">
              <w:rPr>
                <w:rFonts w:ascii="Arial" w:hAnsi="Arial" w:cs="Arial"/>
                <w:i/>
                <w:iCs/>
                <w:color w:val="000000"/>
                <w:sz w:val="16"/>
                <w:szCs w:val="16"/>
              </w:rPr>
              <w:t>2,411</w:t>
            </w:r>
          </w:p>
        </w:tc>
        <w:tc>
          <w:tcPr>
            <w:tcW w:w="743" w:type="dxa"/>
            <w:tcBorders>
              <w:top w:val="nil"/>
              <w:left w:val="nil"/>
              <w:bottom w:val="nil"/>
              <w:right w:val="nil"/>
            </w:tcBorders>
            <w:shd w:val="clear" w:color="000000" w:fill="FFFFFF"/>
            <w:noWrap/>
            <w:vAlign w:val="center"/>
            <w:hideMark/>
          </w:tcPr>
          <w:p w14:paraId="21BFB785" w14:textId="77777777" w:rsidR="00BA5D50" w:rsidRPr="00BA5D50" w:rsidRDefault="00BA5D50" w:rsidP="00BA5D50">
            <w:pPr>
              <w:spacing w:before="0" w:after="0" w:line="240" w:lineRule="auto"/>
              <w:jc w:val="right"/>
              <w:rPr>
                <w:rFonts w:ascii="Arial" w:hAnsi="Arial" w:cs="Arial"/>
                <w:i/>
                <w:iCs/>
                <w:color w:val="000000"/>
                <w:sz w:val="16"/>
                <w:szCs w:val="16"/>
              </w:rPr>
            </w:pPr>
            <w:r w:rsidRPr="00BA5D50">
              <w:rPr>
                <w:rFonts w:ascii="Arial" w:hAnsi="Arial" w:cs="Arial"/>
                <w:i/>
                <w:iCs/>
                <w:color w:val="000000"/>
                <w:sz w:val="16"/>
                <w:szCs w:val="16"/>
              </w:rPr>
              <w:t>2,400</w:t>
            </w:r>
          </w:p>
        </w:tc>
        <w:tc>
          <w:tcPr>
            <w:tcW w:w="743" w:type="dxa"/>
            <w:tcBorders>
              <w:top w:val="nil"/>
              <w:left w:val="nil"/>
              <w:bottom w:val="nil"/>
              <w:right w:val="nil"/>
            </w:tcBorders>
            <w:shd w:val="clear" w:color="000000" w:fill="FFFFFF"/>
            <w:noWrap/>
            <w:vAlign w:val="center"/>
            <w:hideMark/>
          </w:tcPr>
          <w:p w14:paraId="52F0324C" w14:textId="77777777" w:rsidR="00BA5D50" w:rsidRPr="00BA5D50" w:rsidRDefault="00BA5D50" w:rsidP="00BA5D50">
            <w:pPr>
              <w:spacing w:before="0" w:after="0" w:line="240" w:lineRule="auto"/>
              <w:jc w:val="right"/>
              <w:rPr>
                <w:rFonts w:ascii="Arial" w:hAnsi="Arial" w:cs="Arial"/>
                <w:i/>
                <w:iCs/>
                <w:color w:val="000000"/>
                <w:sz w:val="16"/>
                <w:szCs w:val="16"/>
              </w:rPr>
            </w:pPr>
            <w:r w:rsidRPr="00BA5D50">
              <w:rPr>
                <w:rFonts w:ascii="Arial" w:hAnsi="Arial" w:cs="Arial"/>
                <w:i/>
                <w:iCs/>
                <w:color w:val="000000"/>
                <w:sz w:val="16"/>
                <w:szCs w:val="16"/>
              </w:rPr>
              <w:t>2,490</w:t>
            </w:r>
          </w:p>
        </w:tc>
        <w:tc>
          <w:tcPr>
            <w:tcW w:w="743" w:type="dxa"/>
            <w:tcBorders>
              <w:top w:val="nil"/>
              <w:left w:val="nil"/>
              <w:bottom w:val="nil"/>
              <w:right w:val="nil"/>
            </w:tcBorders>
            <w:shd w:val="clear" w:color="000000" w:fill="FFFFFF"/>
            <w:noWrap/>
            <w:vAlign w:val="center"/>
            <w:hideMark/>
          </w:tcPr>
          <w:p w14:paraId="63C6644D" w14:textId="77777777" w:rsidR="00BA5D50" w:rsidRPr="00BA5D50" w:rsidRDefault="00BA5D50" w:rsidP="00BA5D50">
            <w:pPr>
              <w:spacing w:before="0" w:after="0" w:line="240" w:lineRule="auto"/>
              <w:jc w:val="right"/>
              <w:rPr>
                <w:rFonts w:ascii="Arial" w:hAnsi="Arial" w:cs="Arial"/>
                <w:i/>
                <w:iCs/>
                <w:color w:val="000000"/>
                <w:sz w:val="16"/>
                <w:szCs w:val="16"/>
              </w:rPr>
            </w:pPr>
            <w:r w:rsidRPr="00BA5D50">
              <w:rPr>
                <w:rFonts w:ascii="Arial" w:hAnsi="Arial" w:cs="Arial"/>
                <w:i/>
                <w:iCs/>
                <w:color w:val="000000"/>
                <w:sz w:val="16"/>
                <w:szCs w:val="16"/>
              </w:rPr>
              <w:t>2,473</w:t>
            </w:r>
          </w:p>
        </w:tc>
      </w:tr>
      <w:tr w:rsidR="00BA5D50" w:rsidRPr="00BA5D50" w14:paraId="463AC80E" w14:textId="77777777" w:rsidTr="00610633">
        <w:trPr>
          <w:trHeight w:val="225"/>
        </w:trPr>
        <w:tc>
          <w:tcPr>
            <w:tcW w:w="3118" w:type="dxa"/>
            <w:tcBorders>
              <w:top w:val="nil"/>
              <w:left w:val="nil"/>
              <w:bottom w:val="nil"/>
              <w:right w:val="nil"/>
            </w:tcBorders>
            <w:shd w:val="clear" w:color="000000" w:fill="FFFFFF"/>
            <w:noWrap/>
            <w:vAlign w:val="center"/>
            <w:hideMark/>
          </w:tcPr>
          <w:p w14:paraId="7D3B4DC1" w14:textId="77777777" w:rsidR="00BA5D50" w:rsidRPr="00BA5D50" w:rsidRDefault="00BA5D50" w:rsidP="00BA5D50">
            <w:pPr>
              <w:spacing w:before="0" w:after="0" w:line="240" w:lineRule="auto"/>
              <w:ind w:firstLineChars="300" w:firstLine="480"/>
              <w:rPr>
                <w:rFonts w:ascii="Arial" w:hAnsi="Arial" w:cs="Arial"/>
                <w:i/>
                <w:iCs/>
                <w:color w:val="000000"/>
                <w:sz w:val="16"/>
                <w:szCs w:val="16"/>
              </w:rPr>
            </w:pPr>
            <w:r w:rsidRPr="00BA5D50">
              <w:rPr>
                <w:rFonts w:ascii="Arial" w:hAnsi="Arial" w:cs="Arial"/>
                <w:i/>
                <w:iCs/>
                <w:color w:val="000000"/>
                <w:sz w:val="16"/>
                <w:szCs w:val="16"/>
              </w:rPr>
              <w:t>Industrial relations</w:t>
            </w:r>
          </w:p>
        </w:tc>
        <w:tc>
          <w:tcPr>
            <w:tcW w:w="756" w:type="dxa"/>
            <w:tcBorders>
              <w:top w:val="nil"/>
              <w:left w:val="nil"/>
              <w:bottom w:val="nil"/>
              <w:right w:val="nil"/>
            </w:tcBorders>
            <w:shd w:val="clear" w:color="000000" w:fill="FFFFFF"/>
            <w:noWrap/>
            <w:vAlign w:val="center"/>
            <w:hideMark/>
          </w:tcPr>
          <w:p w14:paraId="6722F054" w14:textId="77777777" w:rsidR="00BA5D50" w:rsidRPr="00BA5D50" w:rsidRDefault="00BA5D50" w:rsidP="00BA5D50">
            <w:pPr>
              <w:spacing w:before="0" w:after="0" w:line="240" w:lineRule="auto"/>
              <w:jc w:val="right"/>
              <w:rPr>
                <w:rFonts w:ascii="Arial" w:hAnsi="Arial" w:cs="Arial"/>
                <w:i/>
                <w:iCs/>
                <w:color w:val="000000"/>
                <w:sz w:val="16"/>
                <w:szCs w:val="16"/>
              </w:rPr>
            </w:pPr>
            <w:r w:rsidRPr="00BA5D50">
              <w:rPr>
                <w:rFonts w:ascii="Arial" w:hAnsi="Arial" w:cs="Arial"/>
                <w:i/>
                <w:iCs/>
                <w:color w:val="000000"/>
                <w:sz w:val="16"/>
                <w:szCs w:val="16"/>
              </w:rPr>
              <w:t>701</w:t>
            </w:r>
          </w:p>
        </w:tc>
        <w:tc>
          <w:tcPr>
            <w:tcW w:w="76" w:type="dxa"/>
            <w:tcBorders>
              <w:top w:val="nil"/>
              <w:left w:val="nil"/>
              <w:bottom w:val="nil"/>
              <w:right w:val="nil"/>
            </w:tcBorders>
            <w:shd w:val="clear" w:color="000000" w:fill="FFFFFF"/>
            <w:noWrap/>
            <w:vAlign w:val="center"/>
            <w:hideMark/>
          </w:tcPr>
          <w:p w14:paraId="426AB33D" w14:textId="77777777" w:rsidR="00BA5D50" w:rsidRPr="00BA5D50" w:rsidRDefault="00BA5D50" w:rsidP="00BA5D50">
            <w:pPr>
              <w:spacing w:before="0" w:after="0" w:line="240" w:lineRule="auto"/>
              <w:rPr>
                <w:rFonts w:ascii="Arial" w:hAnsi="Arial" w:cs="Arial"/>
                <w:i/>
                <w:iCs/>
                <w:color w:val="000000"/>
                <w:sz w:val="16"/>
                <w:szCs w:val="16"/>
              </w:rPr>
            </w:pPr>
            <w:r w:rsidRPr="00BA5D50">
              <w:rPr>
                <w:rFonts w:ascii="Arial" w:hAnsi="Arial" w:cs="Arial"/>
                <w:i/>
                <w:iCs/>
                <w:color w:val="000000"/>
                <w:sz w:val="16"/>
                <w:szCs w:val="16"/>
              </w:rPr>
              <w:t> </w:t>
            </w:r>
          </w:p>
        </w:tc>
        <w:tc>
          <w:tcPr>
            <w:tcW w:w="744" w:type="dxa"/>
            <w:tcBorders>
              <w:top w:val="nil"/>
              <w:left w:val="nil"/>
              <w:bottom w:val="nil"/>
              <w:right w:val="nil"/>
            </w:tcBorders>
            <w:shd w:val="clear" w:color="000000" w:fill="FFFFFF"/>
            <w:noWrap/>
            <w:vAlign w:val="center"/>
            <w:hideMark/>
          </w:tcPr>
          <w:p w14:paraId="126AF425" w14:textId="77777777" w:rsidR="00BA5D50" w:rsidRPr="00BA5D50" w:rsidRDefault="00BA5D50" w:rsidP="00BA5D50">
            <w:pPr>
              <w:spacing w:before="0" w:after="0" w:line="240" w:lineRule="auto"/>
              <w:jc w:val="right"/>
              <w:rPr>
                <w:rFonts w:ascii="Arial" w:hAnsi="Arial" w:cs="Arial"/>
                <w:i/>
                <w:iCs/>
                <w:color w:val="000000"/>
                <w:sz w:val="16"/>
                <w:szCs w:val="16"/>
              </w:rPr>
            </w:pPr>
            <w:r w:rsidRPr="00BA5D50">
              <w:rPr>
                <w:rFonts w:ascii="Arial" w:hAnsi="Arial" w:cs="Arial"/>
                <w:i/>
                <w:iCs/>
                <w:color w:val="000000"/>
                <w:sz w:val="16"/>
                <w:szCs w:val="16"/>
              </w:rPr>
              <w:t>998</w:t>
            </w:r>
          </w:p>
        </w:tc>
        <w:tc>
          <w:tcPr>
            <w:tcW w:w="743" w:type="dxa"/>
            <w:tcBorders>
              <w:top w:val="nil"/>
              <w:left w:val="nil"/>
              <w:bottom w:val="nil"/>
              <w:right w:val="nil"/>
            </w:tcBorders>
            <w:shd w:val="clear" w:color="000000" w:fill="E6F2FF"/>
            <w:noWrap/>
            <w:vAlign w:val="center"/>
            <w:hideMark/>
          </w:tcPr>
          <w:p w14:paraId="2C24DFC6" w14:textId="77777777" w:rsidR="00BA5D50" w:rsidRPr="00BA5D50" w:rsidRDefault="00BA5D50" w:rsidP="00BA5D50">
            <w:pPr>
              <w:spacing w:before="0" w:after="0" w:line="240" w:lineRule="auto"/>
              <w:jc w:val="right"/>
              <w:rPr>
                <w:rFonts w:ascii="Arial" w:hAnsi="Arial" w:cs="Arial"/>
                <w:i/>
                <w:iCs/>
                <w:color w:val="000000"/>
                <w:sz w:val="16"/>
                <w:szCs w:val="16"/>
              </w:rPr>
            </w:pPr>
            <w:r w:rsidRPr="00BA5D50">
              <w:rPr>
                <w:rFonts w:ascii="Arial" w:hAnsi="Arial" w:cs="Arial"/>
                <w:i/>
                <w:iCs/>
                <w:color w:val="000000"/>
                <w:sz w:val="16"/>
                <w:szCs w:val="16"/>
              </w:rPr>
              <w:t>1,086</w:t>
            </w:r>
          </w:p>
        </w:tc>
        <w:tc>
          <w:tcPr>
            <w:tcW w:w="743" w:type="dxa"/>
            <w:tcBorders>
              <w:top w:val="nil"/>
              <w:left w:val="nil"/>
              <w:bottom w:val="nil"/>
              <w:right w:val="nil"/>
            </w:tcBorders>
            <w:shd w:val="clear" w:color="000000" w:fill="FFFFFF"/>
            <w:noWrap/>
            <w:vAlign w:val="center"/>
            <w:hideMark/>
          </w:tcPr>
          <w:p w14:paraId="1DA9687A" w14:textId="77777777" w:rsidR="00BA5D50" w:rsidRPr="00BA5D50" w:rsidRDefault="00BA5D50" w:rsidP="00BA5D50">
            <w:pPr>
              <w:spacing w:before="0" w:after="0" w:line="240" w:lineRule="auto"/>
              <w:jc w:val="right"/>
              <w:rPr>
                <w:rFonts w:ascii="Arial" w:hAnsi="Arial" w:cs="Arial"/>
                <w:i/>
                <w:iCs/>
                <w:color w:val="000000"/>
                <w:sz w:val="16"/>
                <w:szCs w:val="16"/>
              </w:rPr>
            </w:pPr>
            <w:r w:rsidRPr="00BA5D50">
              <w:rPr>
                <w:rFonts w:ascii="Arial" w:hAnsi="Arial" w:cs="Arial"/>
                <w:i/>
                <w:iCs/>
                <w:color w:val="000000"/>
                <w:sz w:val="16"/>
                <w:szCs w:val="16"/>
              </w:rPr>
              <w:t>1,044</w:t>
            </w:r>
          </w:p>
        </w:tc>
        <w:tc>
          <w:tcPr>
            <w:tcW w:w="743" w:type="dxa"/>
            <w:tcBorders>
              <w:top w:val="nil"/>
              <w:left w:val="nil"/>
              <w:bottom w:val="nil"/>
              <w:right w:val="nil"/>
            </w:tcBorders>
            <w:shd w:val="clear" w:color="000000" w:fill="FFFFFF"/>
            <w:noWrap/>
            <w:vAlign w:val="center"/>
            <w:hideMark/>
          </w:tcPr>
          <w:p w14:paraId="0719D6FB" w14:textId="77777777" w:rsidR="00BA5D50" w:rsidRPr="00BA5D50" w:rsidRDefault="00BA5D50" w:rsidP="00BA5D50">
            <w:pPr>
              <w:spacing w:before="0" w:after="0" w:line="240" w:lineRule="auto"/>
              <w:jc w:val="right"/>
              <w:rPr>
                <w:rFonts w:ascii="Arial" w:hAnsi="Arial" w:cs="Arial"/>
                <w:i/>
                <w:iCs/>
                <w:color w:val="000000"/>
                <w:sz w:val="16"/>
                <w:szCs w:val="16"/>
              </w:rPr>
            </w:pPr>
            <w:r w:rsidRPr="00BA5D50">
              <w:rPr>
                <w:rFonts w:ascii="Arial" w:hAnsi="Arial" w:cs="Arial"/>
                <w:i/>
                <w:iCs/>
                <w:color w:val="000000"/>
                <w:sz w:val="16"/>
                <w:szCs w:val="16"/>
              </w:rPr>
              <w:t>1,032</w:t>
            </w:r>
          </w:p>
        </w:tc>
        <w:tc>
          <w:tcPr>
            <w:tcW w:w="743" w:type="dxa"/>
            <w:tcBorders>
              <w:top w:val="nil"/>
              <w:left w:val="nil"/>
              <w:bottom w:val="nil"/>
              <w:right w:val="nil"/>
            </w:tcBorders>
            <w:shd w:val="clear" w:color="000000" w:fill="FFFFFF"/>
            <w:noWrap/>
            <w:vAlign w:val="center"/>
            <w:hideMark/>
          </w:tcPr>
          <w:p w14:paraId="055919AD" w14:textId="77777777" w:rsidR="00BA5D50" w:rsidRPr="00BA5D50" w:rsidRDefault="00BA5D50" w:rsidP="00BA5D50">
            <w:pPr>
              <w:spacing w:before="0" w:after="0" w:line="240" w:lineRule="auto"/>
              <w:jc w:val="right"/>
              <w:rPr>
                <w:rFonts w:ascii="Arial" w:hAnsi="Arial" w:cs="Arial"/>
                <w:i/>
                <w:iCs/>
                <w:color w:val="000000"/>
                <w:sz w:val="16"/>
                <w:szCs w:val="16"/>
              </w:rPr>
            </w:pPr>
            <w:r w:rsidRPr="00BA5D50">
              <w:rPr>
                <w:rFonts w:ascii="Arial" w:hAnsi="Arial" w:cs="Arial"/>
                <w:i/>
                <w:iCs/>
                <w:color w:val="000000"/>
                <w:sz w:val="16"/>
                <w:szCs w:val="16"/>
              </w:rPr>
              <w:t>1,047</w:t>
            </w:r>
          </w:p>
        </w:tc>
      </w:tr>
      <w:tr w:rsidR="00BA5D50" w:rsidRPr="00BA5D50" w14:paraId="1CE8D522" w14:textId="77777777" w:rsidTr="00610633">
        <w:trPr>
          <w:trHeight w:val="225"/>
        </w:trPr>
        <w:tc>
          <w:tcPr>
            <w:tcW w:w="3118" w:type="dxa"/>
            <w:tcBorders>
              <w:top w:val="nil"/>
              <w:left w:val="nil"/>
              <w:bottom w:val="nil"/>
              <w:right w:val="nil"/>
            </w:tcBorders>
            <w:shd w:val="clear" w:color="000000" w:fill="FFFFFF"/>
            <w:noWrap/>
            <w:vAlign w:val="center"/>
            <w:hideMark/>
          </w:tcPr>
          <w:p w14:paraId="5819A27E" w14:textId="77777777" w:rsidR="00BA5D50" w:rsidRPr="00BA5D50" w:rsidRDefault="00BA5D50" w:rsidP="00BA5D50">
            <w:pPr>
              <w:spacing w:before="0" w:after="0" w:line="240" w:lineRule="auto"/>
              <w:ind w:firstLineChars="100" w:firstLine="160"/>
              <w:rPr>
                <w:rFonts w:ascii="Arial" w:hAnsi="Arial" w:cs="Arial"/>
                <w:color w:val="000000"/>
                <w:sz w:val="16"/>
                <w:szCs w:val="16"/>
              </w:rPr>
            </w:pPr>
            <w:r w:rsidRPr="00BA5D50">
              <w:rPr>
                <w:rFonts w:ascii="Arial" w:hAnsi="Arial" w:cs="Arial"/>
                <w:color w:val="000000"/>
                <w:sz w:val="16"/>
                <w:szCs w:val="16"/>
              </w:rPr>
              <w:t>Immigration</w:t>
            </w:r>
          </w:p>
        </w:tc>
        <w:tc>
          <w:tcPr>
            <w:tcW w:w="756" w:type="dxa"/>
            <w:tcBorders>
              <w:top w:val="nil"/>
              <w:left w:val="nil"/>
              <w:bottom w:val="nil"/>
              <w:right w:val="nil"/>
            </w:tcBorders>
            <w:shd w:val="clear" w:color="000000" w:fill="FFFFFF"/>
            <w:noWrap/>
            <w:vAlign w:val="center"/>
            <w:hideMark/>
          </w:tcPr>
          <w:p w14:paraId="6A7B9AB5" w14:textId="77777777" w:rsidR="00BA5D50" w:rsidRPr="00BA5D50" w:rsidRDefault="00BA5D50" w:rsidP="00BA5D50">
            <w:pPr>
              <w:spacing w:before="0" w:after="0" w:line="240" w:lineRule="auto"/>
              <w:jc w:val="right"/>
              <w:rPr>
                <w:rFonts w:ascii="Arial" w:hAnsi="Arial" w:cs="Arial"/>
                <w:color w:val="000000"/>
                <w:sz w:val="16"/>
                <w:szCs w:val="16"/>
              </w:rPr>
            </w:pPr>
            <w:r w:rsidRPr="00BA5D50">
              <w:rPr>
                <w:rFonts w:ascii="Arial" w:hAnsi="Arial" w:cs="Arial"/>
                <w:color w:val="000000"/>
                <w:sz w:val="16"/>
                <w:szCs w:val="16"/>
              </w:rPr>
              <w:t>3,405</w:t>
            </w:r>
          </w:p>
        </w:tc>
        <w:tc>
          <w:tcPr>
            <w:tcW w:w="76" w:type="dxa"/>
            <w:tcBorders>
              <w:top w:val="nil"/>
              <w:left w:val="nil"/>
              <w:bottom w:val="nil"/>
              <w:right w:val="nil"/>
            </w:tcBorders>
            <w:shd w:val="clear" w:color="000000" w:fill="FFFFFF"/>
            <w:noWrap/>
            <w:vAlign w:val="center"/>
            <w:hideMark/>
          </w:tcPr>
          <w:p w14:paraId="22EAF0EA" w14:textId="77777777" w:rsidR="00BA5D50" w:rsidRPr="00BA5D50" w:rsidRDefault="00BA5D50" w:rsidP="00BA5D50">
            <w:pPr>
              <w:spacing w:before="0" w:after="0" w:line="240" w:lineRule="auto"/>
              <w:rPr>
                <w:rFonts w:ascii="Arial" w:hAnsi="Arial" w:cs="Arial"/>
                <w:color w:val="000000"/>
                <w:sz w:val="16"/>
                <w:szCs w:val="16"/>
              </w:rPr>
            </w:pPr>
            <w:r w:rsidRPr="00BA5D50">
              <w:rPr>
                <w:rFonts w:ascii="Arial" w:hAnsi="Arial" w:cs="Arial"/>
                <w:color w:val="000000"/>
                <w:sz w:val="16"/>
                <w:szCs w:val="16"/>
              </w:rPr>
              <w:t> </w:t>
            </w:r>
          </w:p>
        </w:tc>
        <w:tc>
          <w:tcPr>
            <w:tcW w:w="744" w:type="dxa"/>
            <w:tcBorders>
              <w:top w:val="nil"/>
              <w:left w:val="nil"/>
              <w:bottom w:val="nil"/>
              <w:right w:val="nil"/>
            </w:tcBorders>
            <w:shd w:val="clear" w:color="000000" w:fill="FFFFFF"/>
            <w:noWrap/>
            <w:vAlign w:val="center"/>
            <w:hideMark/>
          </w:tcPr>
          <w:p w14:paraId="2A290EB6" w14:textId="77777777" w:rsidR="00BA5D50" w:rsidRPr="00BA5D50" w:rsidRDefault="00BA5D50" w:rsidP="00BA5D50">
            <w:pPr>
              <w:spacing w:before="0" w:after="0" w:line="240" w:lineRule="auto"/>
              <w:jc w:val="right"/>
              <w:rPr>
                <w:rFonts w:ascii="Arial" w:hAnsi="Arial" w:cs="Arial"/>
                <w:color w:val="000000"/>
                <w:sz w:val="16"/>
                <w:szCs w:val="16"/>
              </w:rPr>
            </w:pPr>
            <w:r w:rsidRPr="00BA5D50">
              <w:rPr>
                <w:rFonts w:ascii="Arial" w:hAnsi="Arial" w:cs="Arial"/>
                <w:color w:val="000000"/>
                <w:sz w:val="16"/>
                <w:szCs w:val="16"/>
              </w:rPr>
              <w:t>3,836</w:t>
            </w:r>
          </w:p>
        </w:tc>
        <w:tc>
          <w:tcPr>
            <w:tcW w:w="743" w:type="dxa"/>
            <w:tcBorders>
              <w:top w:val="nil"/>
              <w:left w:val="nil"/>
              <w:bottom w:val="nil"/>
              <w:right w:val="nil"/>
            </w:tcBorders>
            <w:shd w:val="clear" w:color="000000" w:fill="E6F2FF"/>
            <w:noWrap/>
            <w:vAlign w:val="center"/>
            <w:hideMark/>
          </w:tcPr>
          <w:p w14:paraId="04261D75" w14:textId="77777777" w:rsidR="00BA5D50" w:rsidRPr="00BA5D50" w:rsidRDefault="00BA5D50" w:rsidP="00BA5D50">
            <w:pPr>
              <w:spacing w:before="0" w:after="0" w:line="240" w:lineRule="auto"/>
              <w:jc w:val="right"/>
              <w:rPr>
                <w:rFonts w:ascii="Arial" w:hAnsi="Arial" w:cs="Arial"/>
                <w:color w:val="000000"/>
                <w:sz w:val="16"/>
                <w:szCs w:val="16"/>
              </w:rPr>
            </w:pPr>
            <w:r w:rsidRPr="00BA5D50">
              <w:rPr>
                <w:rFonts w:ascii="Arial" w:hAnsi="Arial" w:cs="Arial"/>
                <w:color w:val="000000"/>
                <w:sz w:val="16"/>
                <w:szCs w:val="16"/>
              </w:rPr>
              <w:t>3,699</w:t>
            </w:r>
          </w:p>
        </w:tc>
        <w:tc>
          <w:tcPr>
            <w:tcW w:w="743" w:type="dxa"/>
            <w:tcBorders>
              <w:top w:val="nil"/>
              <w:left w:val="nil"/>
              <w:bottom w:val="nil"/>
              <w:right w:val="nil"/>
            </w:tcBorders>
            <w:shd w:val="clear" w:color="000000" w:fill="FFFFFF"/>
            <w:noWrap/>
            <w:vAlign w:val="center"/>
            <w:hideMark/>
          </w:tcPr>
          <w:p w14:paraId="4544D3F7" w14:textId="77777777" w:rsidR="00BA5D50" w:rsidRPr="00BA5D50" w:rsidRDefault="00BA5D50" w:rsidP="00BA5D50">
            <w:pPr>
              <w:spacing w:before="0" w:after="0" w:line="240" w:lineRule="auto"/>
              <w:jc w:val="right"/>
              <w:rPr>
                <w:rFonts w:ascii="Arial" w:hAnsi="Arial" w:cs="Arial"/>
                <w:color w:val="000000"/>
                <w:sz w:val="16"/>
                <w:szCs w:val="16"/>
              </w:rPr>
            </w:pPr>
            <w:r w:rsidRPr="00BA5D50">
              <w:rPr>
                <w:rFonts w:ascii="Arial" w:hAnsi="Arial" w:cs="Arial"/>
                <w:color w:val="000000"/>
                <w:sz w:val="16"/>
                <w:szCs w:val="16"/>
              </w:rPr>
              <w:t>3,147</w:t>
            </w:r>
          </w:p>
        </w:tc>
        <w:tc>
          <w:tcPr>
            <w:tcW w:w="743" w:type="dxa"/>
            <w:tcBorders>
              <w:top w:val="nil"/>
              <w:left w:val="nil"/>
              <w:bottom w:val="nil"/>
              <w:right w:val="nil"/>
            </w:tcBorders>
            <w:shd w:val="clear" w:color="000000" w:fill="FFFFFF"/>
            <w:noWrap/>
            <w:vAlign w:val="center"/>
            <w:hideMark/>
          </w:tcPr>
          <w:p w14:paraId="7C8488FD" w14:textId="77777777" w:rsidR="00BA5D50" w:rsidRPr="00BA5D50" w:rsidRDefault="00BA5D50" w:rsidP="00BA5D50">
            <w:pPr>
              <w:spacing w:before="0" w:after="0" w:line="240" w:lineRule="auto"/>
              <w:jc w:val="right"/>
              <w:rPr>
                <w:rFonts w:ascii="Arial" w:hAnsi="Arial" w:cs="Arial"/>
                <w:color w:val="000000"/>
                <w:sz w:val="16"/>
                <w:szCs w:val="16"/>
              </w:rPr>
            </w:pPr>
            <w:r w:rsidRPr="00BA5D50">
              <w:rPr>
                <w:rFonts w:ascii="Arial" w:hAnsi="Arial" w:cs="Arial"/>
                <w:color w:val="000000"/>
                <w:sz w:val="16"/>
                <w:szCs w:val="16"/>
              </w:rPr>
              <w:t>3,156</w:t>
            </w:r>
          </w:p>
        </w:tc>
        <w:tc>
          <w:tcPr>
            <w:tcW w:w="743" w:type="dxa"/>
            <w:tcBorders>
              <w:top w:val="nil"/>
              <w:left w:val="nil"/>
              <w:bottom w:val="nil"/>
              <w:right w:val="nil"/>
            </w:tcBorders>
            <w:shd w:val="clear" w:color="000000" w:fill="FFFFFF"/>
            <w:noWrap/>
            <w:vAlign w:val="center"/>
            <w:hideMark/>
          </w:tcPr>
          <w:p w14:paraId="03883F16" w14:textId="77777777" w:rsidR="00BA5D50" w:rsidRPr="00BA5D50" w:rsidRDefault="00BA5D50" w:rsidP="00BA5D50">
            <w:pPr>
              <w:spacing w:before="0" w:after="0" w:line="240" w:lineRule="auto"/>
              <w:jc w:val="right"/>
              <w:rPr>
                <w:rFonts w:ascii="Arial" w:hAnsi="Arial" w:cs="Arial"/>
                <w:color w:val="000000"/>
                <w:sz w:val="16"/>
                <w:szCs w:val="16"/>
              </w:rPr>
            </w:pPr>
            <w:r w:rsidRPr="00BA5D50">
              <w:rPr>
                <w:rFonts w:ascii="Arial" w:hAnsi="Arial" w:cs="Arial"/>
                <w:color w:val="000000"/>
                <w:sz w:val="16"/>
                <w:szCs w:val="16"/>
              </w:rPr>
              <w:t>3,088</w:t>
            </w:r>
          </w:p>
        </w:tc>
      </w:tr>
      <w:tr w:rsidR="00BA5D50" w:rsidRPr="00BA5D50" w14:paraId="709FFCA5" w14:textId="77777777" w:rsidTr="007C7AA6">
        <w:trPr>
          <w:trHeight w:val="225"/>
        </w:trPr>
        <w:tc>
          <w:tcPr>
            <w:tcW w:w="3118" w:type="dxa"/>
            <w:tcBorders>
              <w:top w:val="nil"/>
              <w:left w:val="nil"/>
              <w:bottom w:val="nil"/>
              <w:right w:val="nil"/>
            </w:tcBorders>
            <w:shd w:val="clear" w:color="000000" w:fill="FFFFFF"/>
            <w:noWrap/>
            <w:vAlign w:val="center"/>
            <w:hideMark/>
          </w:tcPr>
          <w:p w14:paraId="2B453E4A" w14:textId="77777777" w:rsidR="00BA5D50" w:rsidRPr="00BA5D50" w:rsidRDefault="00BA5D50" w:rsidP="00BA5D50">
            <w:pPr>
              <w:spacing w:before="0" w:after="0" w:line="240" w:lineRule="auto"/>
              <w:ind w:firstLineChars="100" w:firstLine="160"/>
              <w:rPr>
                <w:rFonts w:ascii="Arial" w:hAnsi="Arial" w:cs="Arial"/>
                <w:color w:val="000000"/>
                <w:sz w:val="16"/>
                <w:szCs w:val="16"/>
              </w:rPr>
            </w:pPr>
            <w:r w:rsidRPr="00BA5D50">
              <w:rPr>
                <w:rFonts w:ascii="Arial" w:hAnsi="Arial" w:cs="Arial"/>
                <w:color w:val="000000"/>
                <w:sz w:val="16"/>
                <w:szCs w:val="16"/>
              </w:rPr>
              <w:t>Other economic affairs nec</w:t>
            </w:r>
          </w:p>
        </w:tc>
        <w:tc>
          <w:tcPr>
            <w:tcW w:w="756" w:type="dxa"/>
            <w:tcBorders>
              <w:top w:val="nil"/>
              <w:left w:val="nil"/>
              <w:bottom w:val="single" w:sz="4" w:space="0" w:color="293F5B"/>
              <w:right w:val="nil"/>
            </w:tcBorders>
            <w:shd w:val="clear" w:color="000000" w:fill="FFFFFF"/>
            <w:noWrap/>
            <w:vAlign w:val="center"/>
            <w:hideMark/>
          </w:tcPr>
          <w:p w14:paraId="1A73548F" w14:textId="77777777" w:rsidR="00BA5D50" w:rsidRPr="00BA5D50" w:rsidRDefault="00BA5D50" w:rsidP="00BA5D50">
            <w:pPr>
              <w:spacing w:before="0" w:after="0" w:line="240" w:lineRule="auto"/>
              <w:jc w:val="right"/>
              <w:rPr>
                <w:rFonts w:ascii="Arial" w:hAnsi="Arial" w:cs="Arial"/>
                <w:color w:val="000000"/>
                <w:sz w:val="16"/>
                <w:szCs w:val="16"/>
              </w:rPr>
            </w:pPr>
            <w:r w:rsidRPr="00BA5D50">
              <w:rPr>
                <w:rFonts w:ascii="Arial" w:hAnsi="Arial" w:cs="Arial"/>
                <w:color w:val="000000"/>
                <w:sz w:val="16"/>
                <w:szCs w:val="16"/>
              </w:rPr>
              <w:t>3,380</w:t>
            </w:r>
          </w:p>
        </w:tc>
        <w:tc>
          <w:tcPr>
            <w:tcW w:w="76" w:type="dxa"/>
            <w:tcBorders>
              <w:top w:val="nil"/>
              <w:left w:val="nil"/>
              <w:bottom w:val="nil"/>
              <w:right w:val="nil"/>
            </w:tcBorders>
            <w:shd w:val="clear" w:color="000000" w:fill="FFFFFF"/>
            <w:noWrap/>
            <w:vAlign w:val="center"/>
            <w:hideMark/>
          </w:tcPr>
          <w:p w14:paraId="557FA3DA" w14:textId="77777777" w:rsidR="00BA5D50" w:rsidRPr="00BA5D50" w:rsidRDefault="00BA5D50" w:rsidP="00BA5D50">
            <w:pPr>
              <w:spacing w:before="0" w:after="0" w:line="240" w:lineRule="auto"/>
              <w:rPr>
                <w:rFonts w:ascii="Arial" w:hAnsi="Arial" w:cs="Arial"/>
                <w:color w:val="000000"/>
                <w:sz w:val="16"/>
                <w:szCs w:val="16"/>
              </w:rPr>
            </w:pPr>
            <w:r w:rsidRPr="00BA5D50">
              <w:rPr>
                <w:rFonts w:ascii="Arial" w:hAnsi="Arial" w:cs="Arial"/>
                <w:color w:val="000000"/>
                <w:sz w:val="16"/>
                <w:szCs w:val="16"/>
              </w:rPr>
              <w:t> </w:t>
            </w:r>
          </w:p>
        </w:tc>
        <w:tc>
          <w:tcPr>
            <w:tcW w:w="744" w:type="dxa"/>
            <w:tcBorders>
              <w:top w:val="nil"/>
              <w:left w:val="nil"/>
              <w:bottom w:val="single" w:sz="4" w:space="0" w:color="293F5B"/>
              <w:right w:val="nil"/>
            </w:tcBorders>
            <w:shd w:val="clear" w:color="000000" w:fill="FFFFFF"/>
            <w:noWrap/>
            <w:vAlign w:val="center"/>
            <w:hideMark/>
          </w:tcPr>
          <w:p w14:paraId="1CBDBAFD" w14:textId="77777777" w:rsidR="00BA5D50" w:rsidRPr="00BA5D50" w:rsidRDefault="00BA5D50" w:rsidP="00BA5D50">
            <w:pPr>
              <w:spacing w:before="0" w:after="0" w:line="240" w:lineRule="auto"/>
              <w:jc w:val="right"/>
              <w:rPr>
                <w:rFonts w:ascii="Arial" w:hAnsi="Arial" w:cs="Arial"/>
                <w:color w:val="000000"/>
                <w:sz w:val="16"/>
                <w:szCs w:val="16"/>
              </w:rPr>
            </w:pPr>
            <w:r w:rsidRPr="00BA5D50">
              <w:rPr>
                <w:rFonts w:ascii="Arial" w:hAnsi="Arial" w:cs="Arial"/>
                <w:color w:val="000000"/>
                <w:sz w:val="16"/>
                <w:szCs w:val="16"/>
              </w:rPr>
              <w:t>3,669</w:t>
            </w:r>
          </w:p>
        </w:tc>
        <w:tc>
          <w:tcPr>
            <w:tcW w:w="743" w:type="dxa"/>
            <w:tcBorders>
              <w:top w:val="nil"/>
              <w:left w:val="nil"/>
              <w:bottom w:val="single" w:sz="4" w:space="0" w:color="293F5B"/>
              <w:right w:val="nil"/>
            </w:tcBorders>
            <w:shd w:val="clear" w:color="000000" w:fill="E6F2FF"/>
            <w:noWrap/>
            <w:vAlign w:val="center"/>
            <w:hideMark/>
          </w:tcPr>
          <w:p w14:paraId="35BB38C1" w14:textId="77777777" w:rsidR="00BA5D50" w:rsidRPr="00BA5D50" w:rsidRDefault="00BA5D50" w:rsidP="00BA5D50">
            <w:pPr>
              <w:spacing w:before="0" w:after="0" w:line="240" w:lineRule="auto"/>
              <w:jc w:val="right"/>
              <w:rPr>
                <w:rFonts w:ascii="Arial" w:hAnsi="Arial" w:cs="Arial"/>
                <w:color w:val="000000"/>
                <w:sz w:val="16"/>
                <w:szCs w:val="16"/>
              </w:rPr>
            </w:pPr>
            <w:r w:rsidRPr="00BA5D50">
              <w:rPr>
                <w:rFonts w:ascii="Arial" w:hAnsi="Arial" w:cs="Arial"/>
                <w:color w:val="000000"/>
                <w:sz w:val="16"/>
                <w:szCs w:val="16"/>
              </w:rPr>
              <w:t>3,614</w:t>
            </w:r>
          </w:p>
        </w:tc>
        <w:tc>
          <w:tcPr>
            <w:tcW w:w="743" w:type="dxa"/>
            <w:tcBorders>
              <w:top w:val="nil"/>
              <w:left w:val="nil"/>
              <w:bottom w:val="single" w:sz="4" w:space="0" w:color="293F5B"/>
              <w:right w:val="nil"/>
            </w:tcBorders>
            <w:shd w:val="clear" w:color="000000" w:fill="FFFFFF"/>
            <w:noWrap/>
            <w:vAlign w:val="center"/>
            <w:hideMark/>
          </w:tcPr>
          <w:p w14:paraId="6A7D0A78" w14:textId="77777777" w:rsidR="00BA5D50" w:rsidRPr="00BA5D50" w:rsidRDefault="00BA5D50" w:rsidP="00BA5D50">
            <w:pPr>
              <w:spacing w:before="0" w:after="0" w:line="240" w:lineRule="auto"/>
              <w:jc w:val="right"/>
              <w:rPr>
                <w:rFonts w:ascii="Arial" w:hAnsi="Arial" w:cs="Arial"/>
                <w:color w:val="000000"/>
                <w:sz w:val="16"/>
                <w:szCs w:val="16"/>
              </w:rPr>
            </w:pPr>
            <w:r w:rsidRPr="00BA5D50">
              <w:rPr>
                <w:rFonts w:ascii="Arial" w:hAnsi="Arial" w:cs="Arial"/>
                <w:color w:val="000000"/>
                <w:sz w:val="16"/>
                <w:szCs w:val="16"/>
              </w:rPr>
              <w:t>3,300</w:t>
            </w:r>
          </w:p>
        </w:tc>
        <w:tc>
          <w:tcPr>
            <w:tcW w:w="743" w:type="dxa"/>
            <w:tcBorders>
              <w:top w:val="nil"/>
              <w:left w:val="nil"/>
              <w:bottom w:val="single" w:sz="4" w:space="0" w:color="293F5B"/>
              <w:right w:val="nil"/>
            </w:tcBorders>
            <w:shd w:val="clear" w:color="000000" w:fill="FFFFFF"/>
            <w:noWrap/>
            <w:vAlign w:val="center"/>
            <w:hideMark/>
          </w:tcPr>
          <w:p w14:paraId="5A078CF0" w14:textId="77777777" w:rsidR="00BA5D50" w:rsidRPr="00BA5D50" w:rsidRDefault="00BA5D50" w:rsidP="00BA5D50">
            <w:pPr>
              <w:spacing w:before="0" w:after="0" w:line="240" w:lineRule="auto"/>
              <w:jc w:val="right"/>
              <w:rPr>
                <w:rFonts w:ascii="Arial" w:hAnsi="Arial" w:cs="Arial"/>
                <w:color w:val="000000"/>
                <w:sz w:val="16"/>
                <w:szCs w:val="16"/>
              </w:rPr>
            </w:pPr>
            <w:r w:rsidRPr="00BA5D50">
              <w:rPr>
                <w:rFonts w:ascii="Arial" w:hAnsi="Arial" w:cs="Arial"/>
                <w:color w:val="000000"/>
                <w:sz w:val="16"/>
                <w:szCs w:val="16"/>
              </w:rPr>
              <w:t>3,187</w:t>
            </w:r>
          </w:p>
        </w:tc>
        <w:tc>
          <w:tcPr>
            <w:tcW w:w="743" w:type="dxa"/>
            <w:tcBorders>
              <w:top w:val="nil"/>
              <w:left w:val="nil"/>
              <w:bottom w:val="single" w:sz="4" w:space="0" w:color="293F5B"/>
              <w:right w:val="nil"/>
            </w:tcBorders>
            <w:shd w:val="clear" w:color="000000" w:fill="FFFFFF"/>
            <w:noWrap/>
            <w:vAlign w:val="center"/>
            <w:hideMark/>
          </w:tcPr>
          <w:p w14:paraId="6EB6A9E1" w14:textId="77777777" w:rsidR="00BA5D50" w:rsidRPr="00BA5D50" w:rsidRDefault="00BA5D50" w:rsidP="00BA5D50">
            <w:pPr>
              <w:spacing w:before="0" w:after="0" w:line="240" w:lineRule="auto"/>
              <w:jc w:val="right"/>
              <w:rPr>
                <w:rFonts w:ascii="Arial" w:hAnsi="Arial" w:cs="Arial"/>
                <w:color w:val="000000"/>
                <w:sz w:val="16"/>
                <w:szCs w:val="16"/>
              </w:rPr>
            </w:pPr>
            <w:r w:rsidRPr="00BA5D50">
              <w:rPr>
                <w:rFonts w:ascii="Arial" w:hAnsi="Arial" w:cs="Arial"/>
                <w:color w:val="000000"/>
                <w:sz w:val="16"/>
                <w:szCs w:val="16"/>
              </w:rPr>
              <w:t>3,151</w:t>
            </w:r>
          </w:p>
        </w:tc>
      </w:tr>
      <w:tr w:rsidR="00BA5D50" w:rsidRPr="00BA5D50" w14:paraId="4598FA73" w14:textId="77777777" w:rsidTr="00610633">
        <w:trPr>
          <w:trHeight w:val="225"/>
        </w:trPr>
        <w:tc>
          <w:tcPr>
            <w:tcW w:w="3118" w:type="dxa"/>
            <w:tcBorders>
              <w:top w:val="nil"/>
              <w:left w:val="nil"/>
              <w:bottom w:val="nil"/>
              <w:right w:val="nil"/>
            </w:tcBorders>
            <w:shd w:val="clear" w:color="000000" w:fill="FFFFFF"/>
            <w:noWrap/>
            <w:vAlign w:val="center"/>
            <w:hideMark/>
          </w:tcPr>
          <w:p w14:paraId="44AC32F6" w14:textId="77777777" w:rsidR="00BA5D50" w:rsidRPr="00BA5D50" w:rsidRDefault="00BA5D50" w:rsidP="00BA5D50">
            <w:pPr>
              <w:spacing w:before="0" w:after="0" w:line="240" w:lineRule="auto"/>
              <w:rPr>
                <w:rFonts w:ascii="Arial" w:hAnsi="Arial" w:cs="Arial"/>
                <w:b/>
                <w:bCs/>
                <w:color w:val="000000"/>
                <w:sz w:val="16"/>
                <w:szCs w:val="16"/>
              </w:rPr>
            </w:pPr>
            <w:r w:rsidRPr="00BA5D50">
              <w:rPr>
                <w:rFonts w:ascii="Arial" w:hAnsi="Arial" w:cs="Arial"/>
                <w:b/>
                <w:bCs/>
                <w:color w:val="000000"/>
                <w:sz w:val="16"/>
                <w:szCs w:val="16"/>
              </w:rPr>
              <w:t>Total other economic affairs</w:t>
            </w:r>
          </w:p>
        </w:tc>
        <w:tc>
          <w:tcPr>
            <w:tcW w:w="756" w:type="dxa"/>
            <w:tcBorders>
              <w:top w:val="single" w:sz="4" w:space="0" w:color="293F5B"/>
              <w:left w:val="nil"/>
              <w:bottom w:val="single" w:sz="4" w:space="0" w:color="293F5B"/>
              <w:right w:val="nil"/>
            </w:tcBorders>
            <w:shd w:val="clear" w:color="000000" w:fill="FFFFFF"/>
            <w:noWrap/>
            <w:vAlign w:val="center"/>
            <w:hideMark/>
          </w:tcPr>
          <w:p w14:paraId="1D2BEC4C" w14:textId="77777777" w:rsidR="00BA5D50" w:rsidRPr="00BA5D50" w:rsidRDefault="00BA5D50" w:rsidP="00BA5D50">
            <w:pPr>
              <w:spacing w:before="0" w:after="0" w:line="240" w:lineRule="auto"/>
              <w:jc w:val="right"/>
              <w:rPr>
                <w:rFonts w:ascii="Arial" w:hAnsi="Arial" w:cs="Arial"/>
                <w:b/>
                <w:bCs/>
                <w:color w:val="000000"/>
                <w:sz w:val="16"/>
                <w:szCs w:val="16"/>
              </w:rPr>
            </w:pPr>
            <w:r w:rsidRPr="00BA5D50">
              <w:rPr>
                <w:rFonts w:ascii="Arial" w:hAnsi="Arial" w:cs="Arial"/>
                <w:b/>
                <w:bCs/>
                <w:color w:val="000000"/>
                <w:sz w:val="16"/>
                <w:szCs w:val="16"/>
              </w:rPr>
              <w:t>14,399</w:t>
            </w:r>
          </w:p>
        </w:tc>
        <w:tc>
          <w:tcPr>
            <w:tcW w:w="76" w:type="dxa"/>
            <w:tcBorders>
              <w:top w:val="nil"/>
              <w:left w:val="nil"/>
              <w:bottom w:val="nil"/>
              <w:right w:val="nil"/>
            </w:tcBorders>
            <w:shd w:val="clear" w:color="000000" w:fill="FFFFFF"/>
            <w:noWrap/>
            <w:vAlign w:val="center"/>
            <w:hideMark/>
          </w:tcPr>
          <w:p w14:paraId="3914ECC9" w14:textId="77777777" w:rsidR="00BA5D50" w:rsidRPr="00BA5D50" w:rsidRDefault="00BA5D50" w:rsidP="00BA5D50">
            <w:pPr>
              <w:spacing w:before="0" w:after="0" w:line="240" w:lineRule="auto"/>
              <w:rPr>
                <w:rFonts w:ascii="Arial" w:hAnsi="Arial" w:cs="Arial"/>
                <w:b/>
                <w:bCs/>
                <w:color w:val="000000"/>
                <w:sz w:val="16"/>
                <w:szCs w:val="16"/>
              </w:rPr>
            </w:pPr>
            <w:r w:rsidRPr="00BA5D50">
              <w:rPr>
                <w:rFonts w:ascii="Arial" w:hAnsi="Arial" w:cs="Arial"/>
                <w:b/>
                <w:bCs/>
                <w:color w:val="000000"/>
                <w:sz w:val="16"/>
                <w:szCs w:val="16"/>
              </w:rPr>
              <w:t> </w:t>
            </w:r>
          </w:p>
        </w:tc>
        <w:tc>
          <w:tcPr>
            <w:tcW w:w="744" w:type="dxa"/>
            <w:tcBorders>
              <w:top w:val="single" w:sz="4" w:space="0" w:color="293F5B"/>
              <w:left w:val="nil"/>
              <w:bottom w:val="single" w:sz="4" w:space="0" w:color="293F5B"/>
              <w:right w:val="nil"/>
            </w:tcBorders>
            <w:shd w:val="clear" w:color="000000" w:fill="FFFFFF"/>
            <w:noWrap/>
            <w:vAlign w:val="center"/>
            <w:hideMark/>
          </w:tcPr>
          <w:p w14:paraId="72CCB84D" w14:textId="77777777" w:rsidR="00BA5D50" w:rsidRPr="00BA5D50" w:rsidRDefault="00BA5D50" w:rsidP="00BA5D50">
            <w:pPr>
              <w:spacing w:before="0" w:after="0" w:line="240" w:lineRule="auto"/>
              <w:jc w:val="right"/>
              <w:rPr>
                <w:rFonts w:ascii="Arial" w:hAnsi="Arial" w:cs="Arial"/>
                <w:b/>
                <w:bCs/>
                <w:color w:val="000000"/>
                <w:sz w:val="16"/>
                <w:szCs w:val="16"/>
              </w:rPr>
            </w:pPr>
            <w:r w:rsidRPr="00BA5D50">
              <w:rPr>
                <w:rFonts w:ascii="Arial" w:hAnsi="Arial" w:cs="Arial"/>
                <w:b/>
                <w:bCs/>
                <w:color w:val="000000"/>
                <w:sz w:val="16"/>
                <w:szCs w:val="16"/>
              </w:rPr>
              <w:t>14,011</w:t>
            </w:r>
          </w:p>
        </w:tc>
        <w:tc>
          <w:tcPr>
            <w:tcW w:w="743" w:type="dxa"/>
            <w:tcBorders>
              <w:top w:val="single" w:sz="4" w:space="0" w:color="293F5B"/>
              <w:left w:val="nil"/>
              <w:bottom w:val="single" w:sz="4" w:space="0" w:color="293F5B"/>
              <w:right w:val="nil"/>
            </w:tcBorders>
            <w:shd w:val="clear" w:color="000000" w:fill="E6F2FF"/>
            <w:noWrap/>
            <w:vAlign w:val="center"/>
            <w:hideMark/>
          </w:tcPr>
          <w:p w14:paraId="32C767A5" w14:textId="77777777" w:rsidR="00BA5D50" w:rsidRPr="00BA5D50" w:rsidRDefault="00BA5D50" w:rsidP="00BA5D50">
            <w:pPr>
              <w:spacing w:before="0" w:after="0" w:line="240" w:lineRule="auto"/>
              <w:jc w:val="right"/>
              <w:rPr>
                <w:rFonts w:ascii="Arial" w:hAnsi="Arial" w:cs="Arial"/>
                <w:b/>
                <w:bCs/>
                <w:color w:val="000000"/>
                <w:sz w:val="16"/>
                <w:szCs w:val="16"/>
              </w:rPr>
            </w:pPr>
            <w:r w:rsidRPr="00BA5D50">
              <w:rPr>
                <w:rFonts w:ascii="Arial" w:hAnsi="Arial" w:cs="Arial"/>
                <w:b/>
                <w:bCs/>
                <w:color w:val="000000"/>
                <w:sz w:val="16"/>
                <w:szCs w:val="16"/>
              </w:rPr>
              <w:t>13,386</w:t>
            </w:r>
          </w:p>
        </w:tc>
        <w:tc>
          <w:tcPr>
            <w:tcW w:w="743" w:type="dxa"/>
            <w:tcBorders>
              <w:top w:val="single" w:sz="4" w:space="0" w:color="293F5B"/>
              <w:left w:val="nil"/>
              <w:bottom w:val="single" w:sz="4" w:space="0" w:color="293F5B"/>
              <w:right w:val="nil"/>
            </w:tcBorders>
            <w:shd w:val="clear" w:color="000000" w:fill="FFFFFF"/>
            <w:noWrap/>
            <w:vAlign w:val="center"/>
            <w:hideMark/>
          </w:tcPr>
          <w:p w14:paraId="26E00095" w14:textId="77777777" w:rsidR="00BA5D50" w:rsidRPr="00BA5D50" w:rsidRDefault="00BA5D50" w:rsidP="00BA5D50">
            <w:pPr>
              <w:spacing w:before="0" w:after="0" w:line="240" w:lineRule="auto"/>
              <w:jc w:val="right"/>
              <w:rPr>
                <w:rFonts w:ascii="Arial" w:hAnsi="Arial" w:cs="Arial"/>
                <w:b/>
                <w:bCs/>
                <w:color w:val="000000"/>
                <w:sz w:val="16"/>
                <w:szCs w:val="16"/>
              </w:rPr>
            </w:pPr>
            <w:r w:rsidRPr="00BA5D50">
              <w:rPr>
                <w:rFonts w:ascii="Arial" w:hAnsi="Arial" w:cs="Arial"/>
                <w:b/>
                <w:bCs/>
                <w:color w:val="000000"/>
                <w:sz w:val="16"/>
                <w:szCs w:val="16"/>
              </w:rPr>
              <w:t>12,214</w:t>
            </w:r>
          </w:p>
        </w:tc>
        <w:tc>
          <w:tcPr>
            <w:tcW w:w="743" w:type="dxa"/>
            <w:tcBorders>
              <w:top w:val="single" w:sz="4" w:space="0" w:color="293F5B"/>
              <w:left w:val="nil"/>
              <w:bottom w:val="single" w:sz="4" w:space="0" w:color="293F5B"/>
              <w:right w:val="nil"/>
            </w:tcBorders>
            <w:shd w:val="clear" w:color="000000" w:fill="FFFFFF"/>
            <w:noWrap/>
            <w:vAlign w:val="center"/>
            <w:hideMark/>
          </w:tcPr>
          <w:p w14:paraId="7A830D39" w14:textId="77777777" w:rsidR="00BA5D50" w:rsidRPr="00BA5D50" w:rsidRDefault="00BA5D50" w:rsidP="00BA5D50">
            <w:pPr>
              <w:spacing w:before="0" w:after="0" w:line="240" w:lineRule="auto"/>
              <w:jc w:val="right"/>
              <w:rPr>
                <w:rFonts w:ascii="Arial" w:hAnsi="Arial" w:cs="Arial"/>
                <w:b/>
                <w:bCs/>
                <w:color w:val="000000"/>
                <w:sz w:val="16"/>
                <w:szCs w:val="16"/>
              </w:rPr>
            </w:pPr>
            <w:r w:rsidRPr="00BA5D50">
              <w:rPr>
                <w:rFonts w:ascii="Arial" w:hAnsi="Arial" w:cs="Arial"/>
                <w:b/>
                <w:bCs/>
                <w:color w:val="000000"/>
                <w:sz w:val="16"/>
                <w:szCs w:val="16"/>
              </w:rPr>
              <w:t>11,733</w:t>
            </w:r>
          </w:p>
        </w:tc>
        <w:tc>
          <w:tcPr>
            <w:tcW w:w="743" w:type="dxa"/>
            <w:tcBorders>
              <w:top w:val="single" w:sz="4" w:space="0" w:color="293F5B"/>
              <w:left w:val="nil"/>
              <w:bottom w:val="single" w:sz="4" w:space="0" w:color="293F5B"/>
              <w:right w:val="nil"/>
            </w:tcBorders>
            <w:shd w:val="clear" w:color="000000" w:fill="FFFFFF"/>
            <w:noWrap/>
            <w:vAlign w:val="center"/>
            <w:hideMark/>
          </w:tcPr>
          <w:p w14:paraId="109F2D49" w14:textId="77777777" w:rsidR="00BA5D50" w:rsidRPr="00BA5D50" w:rsidRDefault="00BA5D50" w:rsidP="00BA5D50">
            <w:pPr>
              <w:spacing w:before="0" w:after="0" w:line="240" w:lineRule="auto"/>
              <w:jc w:val="right"/>
              <w:rPr>
                <w:rFonts w:ascii="Arial" w:hAnsi="Arial" w:cs="Arial"/>
                <w:b/>
                <w:bCs/>
                <w:color w:val="000000"/>
                <w:sz w:val="16"/>
                <w:szCs w:val="16"/>
              </w:rPr>
            </w:pPr>
            <w:r w:rsidRPr="00BA5D50">
              <w:rPr>
                <w:rFonts w:ascii="Arial" w:hAnsi="Arial" w:cs="Arial"/>
                <w:b/>
                <w:bCs/>
                <w:color w:val="000000"/>
                <w:sz w:val="16"/>
                <w:szCs w:val="16"/>
              </w:rPr>
              <w:t>11,512</w:t>
            </w:r>
          </w:p>
        </w:tc>
      </w:tr>
      <w:tr w:rsidR="00BA5D50" w:rsidRPr="00BA5D50" w14:paraId="220D1D07" w14:textId="77777777" w:rsidTr="007C7AA6">
        <w:trPr>
          <w:trHeight w:val="60"/>
        </w:trPr>
        <w:tc>
          <w:tcPr>
            <w:tcW w:w="3118" w:type="dxa"/>
            <w:tcBorders>
              <w:top w:val="nil"/>
              <w:left w:val="nil"/>
              <w:bottom w:val="nil"/>
              <w:right w:val="nil"/>
            </w:tcBorders>
            <w:shd w:val="clear" w:color="000000" w:fill="FFFFFF"/>
            <w:noWrap/>
            <w:vAlign w:val="center"/>
            <w:hideMark/>
          </w:tcPr>
          <w:p w14:paraId="18CCD8B5" w14:textId="77777777" w:rsidR="00BA5D50" w:rsidRPr="00204B48" w:rsidRDefault="00BA5D50" w:rsidP="00BA5D50">
            <w:pPr>
              <w:spacing w:before="0" w:after="0" w:line="240" w:lineRule="auto"/>
              <w:rPr>
                <w:rFonts w:ascii="Arial" w:hAnsi="Arial" w:cs="Arial"/>
                <w:color w:val="000000"/>
                <w:sz w:val="4"/>
                <w:szCs w:val="4"/>
              </w:rPr>
            </w:pPr>
            <w:r w:rsidRPr="00204B48">
              <w:rPr>
                <w:rFonts w:ascii="Arial" w:hAnsi="Arial" w:cs="Arial"/>
                <w:color w:val="000000"/>
                <w:sz w:val="4"/>
                <w:szCs w:val="4"/>
              </w:rPr>
              <w:t> </w:t>
            </w:r>
          </w:p>
        </w:tc>
        <w:tc>
          <w:tcPr>
            <w:tcW w:w="756" w:type="dxa"/>
            <w:tcBorders>
              <w:top w:val="single" w:sz="4" w:space="0" w:color="293F5B"/>
              <w:left w:val="nil"/>
              <w:bottom w:val="nil"/>
              <w:right w:val="nil"/>
            </w:tcBorders>
            <w:shd w:val="clear" w:color="000000" w:fill="FFFFFF"/>
            <w:noWrap/>
            <w:vAlign w:val="center"/>
            <w:hideMark/>
          </w:tcPr>
          <w:p w14:paraId="05A263CF" w14:textId="77777777" w:rsidR="00BA5D50" w:rsidRPr="00204B48" w:rsidRDefault="00BA5D50" w:rsidP="00BA5D50">
            <w:pPr>
              <w:spacing w:before="0" w:after="0" w:line="240" w:lineRule="auto"/>
              <w:rPr>
                <w:rFonts w:ascii="Arial" w:hAnsi="Arial" w:cs="Arial"/>
                <w:color w:val="000000"/>
                <w:sz w:val="4"/>
                <w:szCs w:val="4"/>
              </w:rPr>
            </w:pPr>
            <w:r w:rsidRPr="00204B48">
              <w:rPr>
                <w:rFonts w:ascii="Arial" w:hAnsi="Arial" w:cs="Arial"/>
                <w:color w:val="000000"/>
                <w:sz w:val="4"/>
                <w:szCs w:val="4"/>
              </w:rPr>
              <w:t> </w:t>
            </w:r>
          </w:p>
        </w:tc>
        <w:tc>
          <w:tcPr>
            <w:tcW w:w="76" w:type="dxa"/>
            <w:tcBorders>
              <w:top w:val="nil"/>
              <w:left w:val="nil"/>
              <w:bottom w:val="nil"/>
              <w:right w:val="nil"/>
            </w:tcBorders>
            <w:shd w:val="clear" w:color="000000" w:fill="FFFFFF"/>
            <w:noWrap/>
            <w:vAlign w:val="center"/>
            <w:hideMark/>
          </w:tcPr>
          <w:p w14:paraId="41DBBDB0" w14:textId="77777777" w:rsidR="00BA5D50" w:rsidRPr="00204B48" w:rsidRDefault="00BA5D50" w:rsidP="00BA5D50">
            <w:pPr>
              <w:spacing w:before="0" w:after="0" w:line="240" w:lineRule="auto"/>
              <w:rPr>
                <w:rFonts w:ascii="Arial" w:hAnsi="Arial" w:cs="Arial"/>
                <w:color w:val="000000"/>
                <w:sz w:val="4"/>
                <w:szCs w:val="4"/>
              </w:rPr>
            </w:pPr>
            <w:r w:rsidRPr="00204B48">
              <w:rPr>
                <w:rFonts w:ascii="Arial" w:hAnsi="Arial" w:cs="Arial"/>
                <w:color w:val="000000"/>
                <w:sz w:val="4"/>
                <w:szCs w:val="4"/>
              </w:rPr>
              <w:t> </w:t>
            </w:r>
          </w:p>
        </w:tc>
        <w:tc>
          <w:tcPr>
            <w:tcW w:w="744" w:type="dxa"/>
            <w:tcBorders>
              <w:top w:val="single" w:sz="4" w:space="0" w:color="293F5B"/>
              <w:left w:val="nil"/>
              <w:bottom w:val="nil"/>
              <w:right w:val="nil"/>
            </w:tcBorders>
            <w:shd w:val="clear" w:color="000000" w:fill="FFFFFF"/>
            <w:noWrap/>
            <w:vAlign w:val="center"/>
            <w:hideMark/>
          </w:tcPr>
          <w:p w14:paraId="2608D956" w14:textId="77777777" w:rsidR="00BA5D50" w:rsidRPr="00204B48" w:rsidRDefault="00BA5D50" w:rsidP="00BA5D50">
            <w:pPr>
              <w:spacing w:before="0" w:after="0" w:line="240" w:lineRule="auto"/>
              <w:rPr>
                <w:rFonts w:ascii="Arial" w:hAnsi="Arial" w:cs="Arial"/>
                <w:color w:val="000000"/>
                <w:sz w:val="4"/>
                <w:szCs w:val="4"/>
              </w:rPr>
            </w:pPr>
            <w:r w:rsidRPr="00204B48">
              <w:rPr>
                <w:rFonts w:ascii="Arial" w:hAnsi="Arial" w:cs="Arial"/>
                <w:color w:val="000000"/>
                <w:sz w:val="4"/>
                <w:szCs w:val="4"/>
              </w:rPr>
              <w:t> </w:t>
            </w:r>
          </w:p>
        </w:tc>
        <w:tc>
          <w:tcPr>
            <w:tcW w:w="743" w:type="dxa"/>
            <w:tcBorders>
              <w:top w:val="single" w:sz="4" w:space="0" w:color="293F5B"/>
              <w:left w:val="nil"/>
              <w:bottom w:val="nil"/>
              <w:right w:val="nil"/>
            </w:tcBorders>
            <w:shd w:val="clear" w:color="000000" w:fill="E6F2FF"/>
            <w:noWrap/>
            <w:vAlign w:val="center"/>
            <w:hideMark/>
          </w:tcPr>
          <w:p w14:paraId="3C868E43" w14:textId="77777777" w:rsidR="00BA5D50" w:rsidRPr="00204B48" w:rsidRDefault="00BA5D50" w:rsidP="00BA5D50">
            <w:pPr>
              <w:spacing w:before="0" w:after="0" w:line="240" w:lineRule="auto"/>
              <w:rPr>
                <w:rFonts w:ascii="Arial" w:hAnsi="Arial" w:cs="Arial"/>
                <w:color w:val="000000"/>
                <w:sz w:val="4"/>
                <w:szCs w:val="4"/>
              </w:rPr>
            </w:pPr>
            <w:r w:rsidRPr="00204B48">
              <w:rPr>
                <w:rFonts w:ascii="Arial" w:hAnsi="Arial" w:cs="Arial"/>
                <w:color w:val="000000"/>
                <w:sz w:val="4"/>
                <w:szCs w:val="4"/>
              </w:rPr>
              <w:t> </w:t>
            </w:r>
          </w:p>
        </w:tc>
        <w:tc>
          <w:tcPr>
            <w:tcW w:w="743" w:type="dxa"/>
            <w:tcBorders>
              <w:top w:val="single" w:sz="4" w:space="0" w:color="293F5B"/>
              <w:left w:val="nil"/>
              <w:bottom w:val="nil"/>
              <w:right w:val="nil"/>
            </w:tcBorders>
            <w:shd w:val="clear" w:color="000000" w:fill="FFFFFF"/>
            <w:noWrap/>
            <w:vAlign w:val="center"/>
            <w:hideMark/>
          </w:tcPr>
          <w:p w14:paraId="110C67E6" w14:textId="77777777" w:rsidR="00BA5D50" w:rsidRPr="00204B48" w:rsidRDefault="00BA5D50" w:rsidP="00BA5D50">
            <w:pPr>
              <w:spacing w:before="0" w:after="0" w:line="240" w:lineRule="auto"/>
              <w:rPr>
                <w:rFonts w:ascii="Arial" w:hAnsi="Arial" w:cs="Arial"/>
                <w:color w:val="000000"/>
                <w:sz w:val="4"/>
                <w:szCs w:val="4"/>
              </w:rPr>
            </w:pPr>
            <w:r w:rsidRPr="00204B48">
              <w:rPr>
                <w:rFonts w:ascii="Arial" w:hAnsi="Arial" w:cs="Arial"/>
                <w:color w:val="000000"/>
                <w:sz w:val="4"/>
                <w:szCs w:val="4"/>
              </w:rPr>
              <w:t> </w:t>
            </w:r>
          </w:p>
        </w:tc>
        <w:tc>
          <w:tcPr>
            <w:tcW w:w="743" w:type="dxa"/>
            <w:tcBorders>
              <w:top w:val="single" w:sz="4" w:space="0" w:color="293F5B"/>
              <w:left w:val="nil"/>
              <w:bottom w:val="nil"/>
              <w:right w:val="nil"/>
            </w:tcBorders>
            <w:shd w:val="clear" w:color="000000" w:fill="FFFFFF"/>
            <w:noWrap/>
            <w:vAlign w:val="center"/>
            <w:hideMark/>
          </w:tcPr>
          <w:p w14:paraId="23FAA7F1" w14:textId="77777777" w:rsidR="00BA5D50" w:rsidRPr="00204B48" w:rsidRDefault="00BA5D50" w:rsidP="00BA5D50">
            <w:pPr>
              <w:spacing w:before="0" w:after="0" w:line="240" w:lineRule="auto"/>
              <w:rPr>
                <w:rFonts w:ascii="Arial" w:hAnsi="Arial" w:cs="Arial"/>
                <w:color w:val="000000"/>
                <w:sz w:val="4"/>
                <w:szCs w:val="4"/>
              </w:rPr>
            </w:pPr>
            <w:r w:rsidRPr="00204B48">
              <w:rPr>
                <w:rFonts w:ascii="Arial" w:hAnsi="Arial" w:cs="Arial"/>
                <w:color w:val="000000"/>
                <w:sz w:val="4"/>
                <w:szCs w:val="4"/>
              </w:rPr>
              <w:t> </w:t>
            </w:r>
          </w:p>
        </w:tc>
        <w:tc>
          <w:tcPr>
            <w:tcW w:w="743" w:type="dxa"/>
            <w:tcBorders>
              <w:top w:val="single" w:sz="4" w:space="0" w:color="293F5B"/>
              <w:left w:val="nil"/>
              <w:bottom w:val="nil"/>
              <w:right w:val="nil"/>
            </w:tcBorders>
            <w:shd w:val="clear" w:color="000000" w:fill="FFFFFF"/>
            <w:noWrap/>
            <w:vAlign w:val="center"/>
            <w:hideMark/>
          </w:tcPr>
          <w:p w14:paraId="620983AB" w14:textId="77777777" w:rsidR="00BA5D50" w:rsidRPr="00204B48" w:rsidRDefault="00BA5D50" w:rsidP="00BA5D50">
            <w:pPr>
              <w:spacing w:before="0" w:after="0" w:line="240" w:lineRule="auto"/>
              <w:rPr>
                <w:rFonts w:ascii="Arial" w:hAnsi="Arial" w:cs="Arial"/>
                <w:color w:val="000000"/>
                <w:sz w:val="4"/>
                <w:szCs w:val="4"/>
              </w:rPr>
            </w:pPr>
            <w:r w:rsidRPr="00204B48">
              <w:rPr>
                <w:rFonts w:ascii="Arial" w:hAnsi="Arial" w:cs="Arial"/>
                <w:color w:val="000000"/>
                <w:sz w:val="4"/>
                <w:szCs w:val="4"/>
              </w:rPr>
              <w:t> </w:t>
            </w:r>
          </w:p>
        </w:tc>
      </w:tr>
      <w:tr w:rsidR="00BA5D50" w:rsidRPr="00BA5D50" w14:paraId="4D08C5A4" w14:textId="77777777" w:rsidTr="00610633">
        <w:trPr>
          <w:trHeight w:val="225"/>
        </w:trPr>
        <w:tc>
          <w:tcPr>
            <w:tcW w:w="3118" w:type="dxa"/>
            <w:tcBorders>
              <w:top w:val="nil"/>
              <w:left w:val="nil"/>
              <w:bottom w:val="nil"/>
              <w:right w:val="nil"/>
            </w:tcBorders>
            <w:shd w:val="clear" w:color="000000" w:fill="FFFFFF"/>
            <w:noWrap/>
            <w:vAlign w:val="center"/>
            <w:hideMark/>
          </w:tcPr>
          <w:p w14:paraId="6C1F4A37" w14:textId="77777777" w:rsidR="00BA5D50" w:rsidRPr="00BA5D50" w:rsidRDefault="00BA5D50" w:rsidP="00BA5D50">
            <w:pPr>
              <w:spacing w:before="0" w:after="0" w:line="240" w:lineRule="auto"/>
              <w:rPr>
                <w:rFonts w:ascii="Arial" w:hAnsi="Arial" w:cs="Arial"/>
                <w:b/>
                <w:bCs/>
                <w:color w:val="000000"/>
                <w:sz w:val="16"/>
                <w:szCs w:val="16"/>
              </w:rPr>
            </w:pPr>
            <w:r w:rsidRPr="00BA5D50">
              <w:rPr>
                <w:rFonts w:ascii="Arial" w:hAnsi="Arial" w:cs="Arial"/>
                <w:b/>
                <w:bCs/>
                <w:color w:val="000000"/>
                <w:sz w:val="16"/>
                <w:szCs w:val="16"/>
              </w:rPr>
              <w:t>Other purposes</w:t>
            </w:r>
          </w:p>
        </w:tc>
        <w:tc>
          <w:tcPr>
            <w:tcW w:w="756" w:type="dxa"/>
            <w:tcBorders>
              <w:top w:val="nil"/>
              <w:left w:val="nil"/>
              <w:bottom w:val="nil"/>
              <w:right w:val="nil"/>
            </w:tcBorders>
            <w:shd w:val="clear" w:color="000000" w:fill="FFFFFF"/>
            <w:noWrap/>
            <w:vAlign w:val="center"/>
            <w:hideMark/>
          </w:tcPr>
          <w:p w14:paraId="076F146C" w14:textId="77777777" w:rsidR="00BA5D50" w:rsidRPr="00BA5D50" w:rsidRDefault="00BA5D50" w:rsidP="00BA5D50">
            <w:pPr>
              <w:spacing w:before="0" w:after="0" w:line="240" w:lineRule="auto"/>
              <w:rPr>
                <w:rFonts w:ascii="Arial" w:hAnsi="Arial" w:cs="Arial"/>
                <w:color w:val="000000"/>
                <w:sz w:val="16"/>
                <w:szCs w:val="16"/>
              </w:rPr>
            </w:pPr>
            <w:r w:rsidRPr="00BA5D50">
              <w:rPr>
                <w:rFonts w:ascii="Arial" w:hAnsi="Arial" w:cs="Arial"/>
                <w:color w:val="000000"/>
                <w:sz w:val="16"/>
                <w:szCs w:val="16"/>
              </w:rPr>
              <w:t> </w:t>
            </w:r>
          </w:p>
        </w:tc>
        <w:tc>
          <w:tcPr>
            <w:tcW w:w="76" w:type="dxa"/>
            <w:tcBorders>
              <w:top w:val="nil"/>
              <w:left w:val="nil"/>
              <w:bottom w:val="nil"/>
              <w:right w:val="nil"/>
            </w:tcBorders>
            <w:shd w:val="clear" w:color="000000" w:fill="FFFFFF"/>
            <w:noWrap/>
            <w:vAlign w:val="center"/>
            <w:hideMark/>
          </w:tcPr>
          <w:p w14:paraId="4B6F3133" w14:textId="77777777" w:rsidR="00BA5D50" w:rsidRPr="00BA5D50" w:rsidRDefault="00BA5D50" w:rsidP="00BA5D50">
            <w:pPr>
              <w:spacing w:before="0" w:after="0" w:line="240" w:lineRule="auto"/>
              <w:rPr>
                <w:rFonts w:ascii="Arial" w:hAnsi="Arial" w:cs="Arial"/>
                <w:color w:val="000000"/>
                <w:sz w:val="16"/>
                <w:szCs w:val="16"/>
              </w:rPr>
            </w:pPr>
            <w:r w:rsidRPr="00BA5D50">
              <w:rPr>
                <w:rFonts w:ascii="Arial" w:hAnsi="Arial" w:cs="Arial"/>
                <w:color w:val="000000"/>
                <w:sz w:val="16"/>
                <w:szCs w:val="16"/>
              </w:rPr>
              <w:t> </w:t>
            </w:r>
          </w:p>
        </w:tc>
        <w:tc>
          <w:tcPr>
            <w:tcW w:w="744" w:type="dxa"/>
            <w:tcBorders>
              <w:top w:val="nil"/>
              <w:left w:val="nil"/>
              <w:bottom w:val="nil"/>
              <w:right w:val="nil"/>
            </w:tcBorders>
            <w:shd w:val="clear" w:color="000000" w:fill="FFFFFF"/>
            <w:noWrap/>
            <w:vAlign w:val="center"/>
            <w:hideMark/>
          </w:tcPr>
          <w:p w14:paraId="03BF53B0" w14:textId="77777777" w:rsidR="00BA5D50" w:rsidRPr="00BA5D50" w:rsidRDefault="00BA5D50" w:rsidP="00BA5D50">
            <w:pPr>
              <w:spacing w:before="0" w:after="0" w:line="240" w:lineRule="auto"/>
              <w:rPr>
                <w:rFonts w:ascii="Arial" w:hAnsi="Arial" w:cs="Arial"/>
                <w:color w:val="000000"/>
                <w:sz w:val="16"/>
                <w:szCs w:val="16"/>
              </w:rPr>
            </w:pPr>
            <w:r w:rsidRPr="00BA5D50">
              <w:rPr>
                <w:rFonts w:ascii="Arial" w:hAnsi="Arial" w:cs="Arial"/>
                <w:color w:val="000000"/>
                <w:sz w:val="16"/>
                <w:szCs w:val="16"/>
              </w:rPr>
              <w:t> </w:t>
            </w:r>
          </w:p>
        </w:tc>
        <w:tc>
          <w:tcPr>
            <w:tcW w:w="743" w:type="dxa"/>
            <w:tcBorders>
              <w:top w:val="nil"/>
              <w:left w:val="nil"/>
              <w:bottom w:val="nil"/>
              <w:right w:val="nil"/>
            </w:tcBorders>
            <w:shd w:val="clear" w:color="000000" w:fill="E6F2FF"/>
            <w:noWrap/>
            <w:vAlign w:val="center"/>
            <w:hideMark/>
          </w:tcPr>
          <w:p w14:paraId="5DFA3877" w14:textId="77777777" w:rsidR="00BA5D50" w:rsidRPr="00BA5D50" w:rsidRDefault="00BA5D50" w:rsidP="00BA5D50">
            <w:pPr>
              <w:spacing w:before="0" w:after="0" w:line="240" w:lineRule="auto"/>
              <w:rPr>
                <w:rFonts w:ascii="Arial" w:hAnsi="Arial" w:cs="Arial"/>
                <w:color w:val="000000"/>
                <w:sz w:val="16"/>
                <w:szCs w:val="16"/>
              </w:rPr>
            </w:pPr>
            <w:r w:rsidRPr="00BA5D50">
              <w:rPr>
                <w:rFonts w:ascii="Arial" w:hAnsi="Arial" w:cs="Arial"/>
                <w:color w:val="000000"/>
                <w:sz w:val="16"/>
                <w:szCs w:val="16"/>
              </w:rPr>
              <w:t> </w:t>
            </w:r>
          </w:p>
        </w:tc>
        <w:tc>
          <w:tcPr>
            <w:tcW w:w="743" w:type="dxa"/>
            <w:tcBorders>
              <w:top w:val="nil"/>
              <w:left w:val="nil"/>
              <w:bottom w:val="nil"/>
              <w:right w:val="nil"/>
            </w:tcBorders>
            <w:shd w:val="clear" w:color="000000" w:fill="FFFFFF"/>
            <w:noWrap/>
            <w:vAlign w:val="center"/>
            <w:hideMark/>
          </w:tcPr>
          <w:p w14:paraId="6355098A" w14:textId="77777777" w:rsidR="00BA5D50" w:rsidRPr="00BA5D50" w:rsidRDefault="00BA5D50" w:rsidP="00BA5D50">
            <w:pPr>
              <w:spacing w:before="0" w:after="0" w:line="240" w:lineRule="auto"/>
              <w:rPr>
                <w:rFonts w:ascii="Arial" w:hAnsi="Arial" w:cs="Arial"/>
                <w:color w:val="000000"/>
                <w:sz w:val="16"/>
                <w:szCs w:val="16"/>
              </w:rPr>
            </w:pPr>
            <w:r w:rsidRPr="00BA5D50">
              <w:rPr>
                <w:rFonts w:ascii="Arial" w:hAnsi="Arial" w:cs="Arial"/>
                <w:color w:val="000000"/>
                <w:sz w:val="16"/>
                <w:szCs w:val="16"/>
              </w:rPr>
              <w:t> </w:t>
            </w:r>
          </w:p>
        </w:tc>
        <w:tc>
          <w:tcPr>
            <w:tcW w:w="743" w:type="dxa"/>
            <w:tcBorders>
              <w:top w:val="nil"/>
              <w:left w:val="nil"/>
              <w:bottom w:val="nil"/>
              <w:right w:val="nil"/>
            </w:tcBorders>
            <w:shd w:val="clear" w:color="000000" w:fill="FFFFFF"/>
            <w:noWrap/>
            <w:vAlign w:val="center"/>
            <w:hideMark/>
          </w:tcPr>
          <w:p w14:paraId="505BEAF1" w14:textId="77777777" w:rsidR="00BA5D50" w:rsidRPr="00BA5D50" w:rsidRDefault="00BA5D50" w:rsidP="00BA5D50">
            <w:pPr>
              <w:spacing w:before="0" w:after="0" w:line="240" w:lineRule="auto"/>
              <w:rPr>
                <w:rFonts w:ascii="Arial" w:hAnsi="Arial" w:cs="Arial"/>
                <w:color w:val="000000"/>
                <w:sz w:val="16"/>
                <w:szCs w:val="16"/>
              </w:rPr>
            </w:pPr>
            <w:r w:rsidRPr="00BA5D50">
              <w:rPr>
                <w:rFonts w:ascii="Arial" w:hAnsi="Arial" w:cs="Arial"/>
                <w:color w:val="000000"/>
                <w:sz w:val="16"/>
                <w:szCs w:val="16"/>
              </w:rPr>
              <w:t> </w:t>
            </w:r>
          </w:p>
        </w:tc>
        <w:tc>
          <w:tcPr>
            <w:tcW w:w="743" w:type="dxa"/>
            <w:tcBorders>
              <w:top w:val="nil"/>
              <w:left w:val="nil"/>
              <w:bottom w:val="nil"/>
              <w:right w:val="nil"/>
            </w:tcBorders>
            <w:shd w:val="clear" w:color="000000" w:fill="FFFFFF"/>
            <w:noWrap/>
            <w:vAlign w:val="center"/>
            <w:hideMark/>
          </w:tcPr>
          <w:p w14:paraId="71510A65" w14:textId="77777777" w:rsidR="00BA5D50" w:rsidRPr="00BA5D50" w:rsidRDefault="00BA5D50" w:rsidP="00BA5D50">
            <w:pPr>
              <w:spacing w:before="0" w:after="0" w:line="240" w:lineRule="auto"/>
              <w:rPr>
                <w:rFonts w:ascii="Arial" w:hAnsi="Arial" w:cs="Arial"/>
                <w:color w:val="000000"/>
                <w:sz w:val="16"/>
                <w:szCs w:val="16"/>
              </w:rPr>
            </w:pPr>
            <w:r w:rsidRPr="00BA5D50">
              <w:rPr>
                <w:rFonts w:ascii="Arial" w:hAnsi="Arial" w:cs="Arial"/>
                <w:color w:val="000000"/>
                <w:sz w:val="16"/>
                <w:szCs w:val="16"/>
              </w:rPr>
              <w:t> </w:t>
            </w:r>
          </w:p>
        </w:tc>
      </w:tr>
      <w:tr w:rsidR="00BA5D50" w:rsidRPr="00BA5D50" w14:paraId="5484FFD7" w14:textId="77777777" w:rsidTr="00610633">
        <w:trPr>
          <w:trHeight w:val="225"/>
        </w:trPr>
        <w:tc>
          <w:tcPr>
            <w:tcW w:w="3118" w:type="dxa"/>
            <w:tcBorders>
              <w:top w:val="nil"/>
              <w:left w:val="nil"/>
              <w:bottom w:val="nil"/>
              <w:right w:val="nil"/>
            </w:tcBorders>
            <w:shd w:val="clear" w:color="000000" w:fill="FFFFFF"/>
            <w:noWrap/>
            <w:vAlign w:val="center"/>
            <w:hideMark/>
          </w:tcPr>
          <w:p w14:paraId="649315A5" w14:textId="77777777" w:rsidR="00BA5D50" w:rsidRPr="00BA5D50" w:rsidRDefault="00BA5D50" w:rsidP="00BA5D50">
            <w:pPr>
              <w:spacing w:before="0" w:after="0" w:line="240" w:lineRule="auto"/>
              <w:ind w:firstLineChars="100" w:firstLine="160"/>
              <w:rPr>
                <w:rFonts w:ascii="Arial" w:hAnsi="Arial" w:cs="Arial"/>
                <w:color w:val="000000"/>
                <w:sz w:val="16"/>
                <w:szCs w:val="16"/>
              </w:rPr>
            </w:pPr>
            <w:r w:rsidRPr="00BA5D50">
              <w:rPr>
                <w:rFonts w:ascii="Arial" w:hAnsi="Arial" w:cs="Arial"/>
                <w:color w:val="000000"/>
                <w:sz w:val="16"/>
                <w:szCs w:val="16"/>
              </w:rPr>
              <w:t>Public debt interest</w:t>
            </w:r>
          </w:p>
        </w:tc>
        <w:tc>
          <w:tcPr>
            <w:tcW w:w="756" w:type="dxa"/>
            <w:tcBorders>
              <w:top w:val="nil"/>
              <w:left w:val="nil"/>
              <w:bottom w:val="nil"/>
              <w:right w:val="nil"/>
            </w:tcBorders>
            <w:shd w:val="clear" w:color="000000" w:fill="FFFFFF"/>
            <w:noWrap/>
            <w:vAlign w:val="center"/>
            <w:hideMark/>
          </w:tcPr>
          <w:p w14:paraId="79B23873" w14:textId="77777777" w:rsidR="00BA5D50" w:rsidRPr="00BA5D50" w:rsidRDefault="00BA5D50" w:rsidP="00BA5D50">
            <w:pPr>
              <w:spacing w:before="0" w:after="0" w:line="240" w:lineRule="auto"/>
              <w:jc w:val="right"/>
              <w:rPr>
                <w:rFonts w:ascii="Arial" w:hAnsi="Arial" w:cs="Arial"/>
                <w:sz w:val="16"/>
                <w:szCs w:val="16"/>
              </w:rPr>
            </w:pPr>
            <w:r w:rsidRPr="00BA5D50">
              <w:rPr>
                <w:rFonts w:ascii="Arial" w:hAnsi="Arial" w:cs="Arial"/>
                <w:sz w:val="16"/>
                <w:szCs w:val="16"/>
              </w:rPr>
              <w:t>22,242</w:t>
            </w:r>
          </w:p>
        </w:tc>
        <w:tc>
          <w:tcPr>
            <w:tcW w:w="76" w:type="dxa"/>
            <w:tcBorders>
              <w:top w:val="nil"/>
              <w:left w:val="nil"/>
              <w:bottom w:val="nil"/>
              <w:right w:val="nil"/>
            </w:tcBorders>
            <w:shd w:val="clear" w:color="000000" w:fill="FFFFFF"/>
            <w:noWrap/>
            <w:vAlign w:val="center"/>
            <w:hideMark/>
          </w:tcPr>
          <w:p w14:paraId="452C87FE" w14:textId="77777777" w:rsidR="00BA5D50" w:rsidRPr="00BA5D50" w:rsidRDefault="00BA5D50" w:rsidP="00BA5D50">
            <w:pPr>
              <w:spacing w:before="0" w:after="0" w:line="240" w:lineRule="auto"/>
              <w:rPr>
                <w:rFonts w:ascii="Arial" w:hAnsi="Arial" w:cs="Arial"/>
                <w:sz w:val="16"/>
                <w:szCs w:val="16"/>
              </w:rPr>
            </w:pPr>
            <w:r w:rsidRPr="00BA5D50">
              <w:rPr>
                <w:rFonts w:ascii="Arial" w:hAnsi="Arial" w:cs="Arial"/>
                <w:sz w:val="16"/>
                <w:szCs w:val="16"/>
              </w:rPr>
              <w:t> </w:t>
            </w:r>
          </w:p>
        </w:tc>
        <w:tc>
          <w:tcPr>
            <w:tcW w:w="744" w:type="dxa"/>
            <w:tcBorders>
              <w:top w:val="nil"/>
              <w:left w:val="nil"/>
              <w:bottom w:val="nil"/>
              <w:right w:val="nil"/>
            </w:tcBorders>
            <w:shd w:val="clear" w:color="000000" w:fill="FFFFFF"/>
            <w:noWrap/>
            <w:vAlign w:val="center"/>
            <w:hideMark/>
          </w:tcPr>
          <w:p w14:paraId="5869EA9F" w14:textId="77777777" w:rsidR="00BA5D50" w:rsidRPr="00BA5D50" w:rsidRDefault="00BA5D50" w:rsidP="00BA5D50">
            <w:pPr>
              <w:spacing w:before="0" w:after="0" w:line="240" w:lineRule="auto"/>
              <w:jc w:val="right"/>
              <w:rPr>
                <w:rFonts w:ascii="Arial" w:hAnsi="Arial" w:cs="Arial"/>
                <w:sz w:val="16"/>
                <w:szCs w:val="16"/>
              </w:rPr>
            </w:pPr>
            <w:r w:rsidRPr="00BA5D50">
              <w:rPr>
                <w:rFonts w:ascii="Arial" w:hAnsi="Arial" w:cs="Arial"/>
                <w:sz w:val="16"/>
                <w:szCs w:val="16"/>
              </w:rPr>
              <w:t>22,547</w:t>
            </w:r>
          </w:p>
        </w:tc>
        <w:tc>
          <w:tcPr>
            <w:tcW w:w="743" w:type="dxa"/>
            <w:tcBorders>
              <w:top w:val="nil"/>
              <w:left w:val="nil"/>
              <w:bottom w:val="nil"/>
              <w:right w:val="nil"/>
            </w:tcBorders>
            <w:shd w:val="clear" w:color="000000" w:fill="E6F2FF"/>
            <w:noWrap/>
            <w:vAlign w:val="center"/>
            <w:hideMark/>
          </w:tcPr>
          <w:p w14:paraId="725ABD4F" w14:textId="77777777" w:rsidR="00BA5D50" w:rsidRPr="00BA5D50" w:rsidRDefault="00BA5D50" w:rsidP="00BA5D50">
            <w:pPr>
              <w:spacing w:before="0" w:after="0" w:line="240" w:lineRule="auto"/>
              <w:jc w:val="right"/>
              <w:rPr>
                <w:rFonts w:ascii="Arial" w:hAnsi="Arial" w:cs="Arial"/>
                <w:sz w:val="16"/>
                <w:szCs w:val="16"/>
              </w:rPr>
            </w:pPr>
            <w:r w:rsidRPr="00BA5D50">
              <w:rPr>
                <w:rFonts w:ascii="Arial" w:hAnsi="Arial" w:cs="Arial"/>
                <w:sz w:val="16"/>
                <w:szCs w:val="16"/>
              </w:rPr>
              <w:t>24,107</w:t>
            </w:r>
          </w:p>
        </w:tc>
        <w:tc>
          <w:tcPr>
            <w:tcW w:w="743" w:type="dxa"/>
            <w:tcBorders>
              <w:top w:val="nil"/>
              <w:left w:val="nil"/>
              <w:bottom w:val="nil"/>
              <w:right w:val="nil"/>
            </w:tcBorders>
            <w:shd w:val="clear" w:color="000000" w:fill="FFFFFF"/>
            <w:noWrap/>
            <w:vAlign w:val="center"/>
            <w:hideMark/>
          </w:tcPr>
          <w:p w14:paraId="1E1D80F4" w14:textId="77777777" w:rsidR="00BA5D50" w:rsidRPr="00BA5D50" w:rsidRDefault="00BA5D50" w:rsidP="00BA5D50">
            <w:pPr>
              <w:spacing w:before="0" w:after="0" w:line="240" w:lineRule="auto"/>
              <w:jc w:val="right"/>
              <w:rPr>
                <w:rFonts w:ascii="Arial" w:hAnsi="Arial" w:cs="Arial"/>
                <w:sz w:val="16"/>
                <w:szCs w:val="16"/>
              </w:rPr>
            </w:pPr>
            <w:r w:rsidRPr="00BA5D50">
              <w:rPr>
                <w:rFonts w:ascii="Arial" w:hAnsi="Arial" w:cs="Arial"/>
                <w:sz w:val="16"/>
                <w:szCs w:val="16"/>
              </w:rPr>
              <w:t>28,269</w:t>
            </w:r>
          </w:p>
        </w:tc>
        <w:tc>
          <w:tcPr>
            <w:tcW w:w="743" w:type="dxa"/>
            <w:tcBorders>
              <w:top w:val="nil"/>
              <w:left w:val="nil"/>
              <w:bottom w:val="nil"/>
              <w:right w:val="nil"/>
            </w:tcBorders>
            <w:shd w:val="clear" w:color="000000" w:fill="FFFFFF"/>
            <w:noWrap/>
            <w:vAlign w:val="center"/>
            <w:hideMark/>
          </w:tcPr>
          <w:p w14:paraId="6CE8D0DA" w14:textId="77777777" w:rsidR="00BA5D50" w:rsidRPr="00BA5D50" w:rsidRDefault="00BA5D50" w:rsidP="00BA5D50">
            <w:pPr>
              <w:spacing w:before="0" w:after="0" w:line="240" w:lineRule="auto"/>
              <w:jc w:val="right"/>
              <w:rPr>
                <w:rFonts w:ascii="Arial" w:hAnsi="Arial" w:cs="Arial"/>
                <w:sz w:val="16"/>
                <w:szCs w:val="16"/>
              </w:rPr>
            </w:pPr>
            <w:r w:rsidRPr="00BA5D50">
              <w:rPr>
                <w:rFonts w:ascii="Arial" w:hAnsi="Arial" w:cs="Arial"/>
                <w:sz w:val="16"/>
                <w:szCs w:val="16"/>
              </w:rPr>
              <w:t>32,432</w:t>
            </w:r>
          </w:p>
        </w:tc>
        <w:tc>
          <w:tcPr>
            <w:tcW w:w="743" w:type="dxa"/>
            <w:tcBorders>
              <w:top w:val="nil"/>
              <w:left w:val="nil"/>
              <w:bottom w:val="nil"/>
              <w:right w:val="nil"/>
            </w:tcBorders>
            <w:shd w:val="clear" w:color="000000" w:fill="FFFFFF"/>
            <w:noWrap/>
            <w:vAlign w:val="center"/>
            <w:hideMark/>
          </w:tcPr>
          <w:p w14:paraId="3AA12E96" w14:textId="77777777" w:rsidR="00BA5D50" w:rsidRPr="00BA5D50" w:rsidRDefault="00BA5D50" w:rsidP="00BA5D50">
            <w:pPr>
              <w:spacing w:before="0" w:after="0" w:line="240" w:lineRule="auto"/>
              <w:jc w:val="right"/>
              <w:rPr>
                <w:rFonts w:ascii="Arial" w:hAnsi="Arial" w:cs="Arial"/>
                <w:sz w:val="16"/>
                <w:szCs w:val="16"/>
              </w:rPr>
            </w:pPr>
            <w:r w:rsidRPr="00BA5D50">
              <w:rPr>
                <w:rFonts w:ascii="Arial" w:hAnsi="Arial" w:cs="Arial"/>
                <w:sz w:val="16"/>
                <w:szCs w:val="16"/>
              </w:rPr>
              <w:t>35,744</w:t>
            </w:r>
          </w:p>
        </w:tc>
      </w:tr>
      <w:tr w:rsidR="00BA5D50" w:rsidRPr="00BA5D50" w14:paraId="7A02A606" w14:textId="77777777" w:rsidTr="00610633">
        <w:trPr>
          <w:trHeight w:val="225"/>
        </w:trPr>
        <w:tc>
          <w:tcPr>
            <w:tcW w:w="3118" w:type="dxa"/>
            <w:tcBorders>
              <w:top w:val="nil"/>
              <w:left w:val="nil"/>
              <w:bottom w:val="nil"/>
              <w:right w:val="nil"/>
            </w:tcBorders>
            <w:shd w:val="clear" w:color="000000" w:fill="FFFFFF"/>
            <w:noWrap/>
            <w:vAlign w:val="center"/>
            <w:hideMark/>
          </w:tcPr>
          <w:p w14:paraId="0D57C2A9" w14:textId="77777777" w:rsidR="00BA5D50" w:rsidRPr="00BA5D50" w:rsidRDefault="00BA5D50" w:rsidP="00BA5D50">
            <w:pPr>
              <w:spacing w:before="0" w:after="0" w:line="240" w:lineRule="auto"/>
              <w:ind w:firstLineChars="200" w:firstLine="320"/>
              <w:rPr>
                <w:rFonts w:ascii="Arial" w:hAnsi="Arial" w:cs="Arial"/>
                <w:i/>
                <w:iCs/>
                <w:sz w:val="16"/>
                <w:szCs w:val="16"/>
              </w:rPr>
            </w:pPr>
            <w:r w:rsidRPr="00BA5D50">
              <w:rPr>
                <w:rFonts w:ascii="Arial" w:hAnsi="Arial" w:cs="Arial"/>
                <w:i/>
                <w:iCs/>
                <w:sz w:val="16"/>
                <w:szCs w:val="16"/>
              </w:rPr>
              <w:t>Interest on Commonwealth</w:t>
            </w:r>
          </w:p>
        </w:tc>
        <w:tc>
          <w:tcPr>
            <w:tcW w:w="756" w:type="dxa"/>
            <w:tcBorders>
              <w:top w:val="nil"/>
              <w:left w:val="nil"/>
              <w:bottom w:val="nil"/>
              <w:right w:val="nil"/>
            </w:tcBorders>
            <w:shd w:val="clear" w:color="000000" w:fill="FFFFFF"/>
            <w:noWrap/>
            <w:vAlign w:val="center"/>
            <w:hideMark/>
          </w:tcPr>
          <w:p w14:paraId="7AD381EA" w14:textId="77777777" w:rsidR="00BA5D50" w:rsidRPr="00BA5D50" w:rsidRDefault="00BA5D50" w:rsidP="00BA5D50">
            <w:pPr>
              <w:spacing w:before="0" w:after="0" w:line="240" w:lineRule="auto"/>
              <w:rPr>
                <w:rFonts w:ascii="Arial" w:hAnsi="Arial" w:cs="Arial"/>
                <w:i/>
                <w:iCs/>
                <w:sz w:val="16"/>
                <w:szCs w:val="16"/>
              </w:rPr>
            </w:pPr>
            <w:r w:rsidRPr="00BA5D50">
              <w:rPr>
                <w:rFonts w:ascii="Arial" w:hAnsi="Arial" w:cs="Arial"/>
                <w:i/>
                <w:iCs/>
                <w:sz w:val="16"/>
                <w:szCs w:val="16"/>
              </w:rPr>
              <w:t> </w:t>
            </w:r>
          </w:p>
        </w:tc>
        <w:tc>
          <w:tcPr>
            <w:tcW w:w="76" w:type="dxa"/>
            <w:tcBorders>
              <w:top w:val="nil"/>
              <w:left w:val="nil"/>
              <w:bottom w:val="nil"/>
              <w:right w:val="nil"/>
            </w:tcBorders>
            <w:shd w:val="clear" w:color="000000" w:fill="FFFFFF"/>
            <w:noWrap/>
            <w:vAlign w:val="center"/>
            <w:hideMark/>
          </w:tcPr>
          <w:p w14:paraId="1F2BFAE0" w14:textId="77777777" w:rsidR="00BA5D50" w:rsidRPr="00BA5D50" w:rsidRDefault="00BA5D50" w:rsidP="00BA5D50">
            <w:pPr>
              <w:spacing w:before="0" w:after="0" w:line="240" w:lineRule="auto"/>
              <w:rPr>
                <w:rFonts w:ascii="Arial" w:hAnsi="Arial" w:cs="Arial"/>
                <w:i/>
                <w:iCs/>
                <w:sz w:val="16"/>
                <w:szCs w:val="16"/>
              </w:rPr>
            </w:pPr>
            <w:r w:rsidRPr="00BA5D50">
              <w:rPr>
                <w:rFonts w:ascii="Arial" w:hAnsi="Arial" w:cs="Arial"/>
                <w:i/>
                <w:iCs/>
                <w:sz w:val="16"/>
                <w:szCs w:val="16"/>
              </w:rPr>
              <w:t> </w:t>
            </w:r>
          </w:p>
        </w:tc>
        <w:tc>
          <w:tcPr>
            <w:tcW w:w="744" w:type="dxa"/>
            <w:tcBorders>
              <w:top w:val="nil"/>
              <w:left w:val="nil"/>
              <w:bottom w:val="nil"/>
              <w:right w:val="nil"/>
            </w:tcBorders>
            <w:shd w:val="clear" w:color="000000" w:fill="FFFFFF"/>
            <w:noWrap/>
            <w:vAlign w:val="center"/>
            <w:hideMark/>
          </w:tcPr>
          <w:p w14:paraId="7544296E" w14:textId="77777777" w:rsidR="00BA5D50" w:rsidRPr="00BA5D50" w:rsidRDefault="00BA5D50" w:rsidP="00BA5D50">
            <w:pPr>
              <w:spacing w:before="0" w:after="0" w:line="240" w:lineRule="auto"/>
              <w:rPr>
                <w:rFonts w:ascii="Arial" w:hAnsi="Arial" w:cs="Arial"/>
                <w:i/>
                <w:iCs/>
                <w:sz w:val="16"/>
                <w:szCs w:val="16"/>
              </w:rPr>
            </w:pPr>
            <w:r w:rsidRPr="00BA5D50">
              <w:rPr>
                <w:rFonts w:ascii="Arial" w:hAnsi="Arial" w:cs="Arial"/>
                <w:i/>
                <w:iCs/>
                <w:sz w:val="16"/>
                <w:szCs w:val="16"/>
              </w:rPr>
              <w:t> </w:t>
            </w:r>
          </w:p>
        </w:tc>
        <w:tc>
          <w:tcPr>
            <w:tcW w:w="743" w:type="dxa"/>
            <w:tcBorders>
              <w:top w:val="nil"/>
              <w:left w:val="nil"/>
              <w:bottom w:val="nil"/>
              <w:right w:val="nil"/>
            </w:tcBorders>
            <w:shd w:val="clear" w:color="000000" w:fill="E6F2FF"/>
            <w:noWrap/>
            <w:vAlign w:val="center"/>
            <w:hideMark/>
          </w:tcPr>
          <w:p w14:paraId="52F65ACB" w14:textId="77777777" w:rsidR="00BA5D50" w:rsidRPr="00BA5D50" w:rsidRDefault="00BA5D50" w:rsidP="00BA5D50">
            <w:pPr>
              <w:spacing w:before="0" w:after="0" w:line="240" w:lineRule="auto"/>
              <w:rPr>
                <w:rFonts w:ascii="Arial" w:hAnsi="Arial" w:cs="Arial"/>
                <w:i/>
                <w:iCs/>
                <w:sz w:val="16"/>
                <w:szCs w:val="16"/>
              </w:rPr>
            </w:pPr>
            <w:r w:rsidRPr="00BA5D50">
              <w:rPr>
                <w:rFonts w:ascii="Arial" w:hAnsi="Arial" w:cs="Arial"/>
                <w:i/>
                <w:iCs/>
                <w:sz w:val="16"/>
                <w:szCs w:val="16"/>
              </w:rPr>
              <w:t> </w:t>
            </w:r>
          </w:p>
        </w:tc>
        <w:tc>
          <w:tcPr>
            <w:tcW w:w="743" w:type="dxa"/>
            <w:tcBorders>
              <w:top w:val="nil"/>
              <w:left w:val="nil"/>
              <w:bottom w:val="nil"/>
              <w:right w:val="nil"/>
            </w:tcBorders>
            <w:shd w:val="clear" w:color="000000" w:fill="FFFFFF"/>
            <w:noWrap/>
            <w:vAlign w:val="center"/>
            <w:hideMark/>
          </w:tcPr>
          <w:p w14:paraId="50060512" w14:textId="77777777" w:rsidR="00BA5D50" w:rsidRPr="00BA5D50" w:rsidRDefault="00BA5D50" w:rsidP="00BA5D50">
            <w:pPr>
              <w:spacing w:before="0" w:after="0" w:line="240" w:lineRule="auto"/>
              <w:rPr>
                <w:rFonts w:ascii="Arial" w:hAnsi="Arial" w:cs="Arial"/>
                <w:i/>
                <w:iCs/>
                <w:sz w:val="16"/>
                <w:szCs w:val="16"/>
              </w:rPr>
            </w:pPr>
            <w:r w:rsidRPr="00BA5D50">
              <w:rPr>
                <w:rFonts w:ascii="Arial" w:hAnsi="Arial" w:cs="Arial"/>
                <w:i/>
                <w:iCs/>
                <w:sz w:val="16"/>
                <w:szCs w:val="16"/>
              </w:rPr>
              <w:t> </w:t>
            </w:r>
          </w:p>
        </w:tc>
        <w:tc>
          <w:tcPr>
            <w:tcW w:w="743" w:type="dxa"/>
            <w:tcBorders>
              <w:top w:val="nil"/>
              <w:left w:val="nil"/>
              <w:bottom w:val="nil"/>
              <w:right w:val="nil"/>
            </w:tcBorders>
            <w:shd w:val="clear" w:color="000000" w:fill="FFFFFF"/>
            <w:noWrap/>
            <w:vAlign w:val="center"/>
            <w:hideMark/>
          </w:tcPr>
          <w:p w14:paraId="11FD6FE3" w14:textId="77777777" w:rsidR="00BA5D50" w:rsidRPr="00BA5D50" w:rsidRDefault="00BA5D50" w:rsidP="00BA5D50">
            <w:pPr>
              <w:spacing w:before="0" w:after="0" w:line="240" w:lineRule="auto"/>
              <w:rPr>
                <w:rFonts w:ascii="Arial" w:hAnsi="Arial" w:cs="Arial"/>
                <w:i/>
                <w:iCs/>
                <w:sz w:val="16"/>
                <w:szCs w:val="16"/>
              </w:rPr>
            </w:pPr>
            <w:r w:rsidRPr="00BA5D50">
              <w:rPr>
                <w:rFonts w:ascii="Arial" w:hAnsi="Arial" w:cs="Arial"/>
                <w:i/>
                <w:iCs/>
                <w:sz w:val="16"/>
                <w:szCs w:val="16"/>
              </w:rPr>
              <w:t> </w:t>
            </w:r>
          </w:p>
        </w:tc>
        <w:tc>
          <w:tcPr>
            <w:tcW w:w="743" w:type="dxa"/>
            <w:tcBorders>
              <w:top w:val="nil"/>
              <w:left w:val="nil"/>
              <w:bottom w:val="nil"/>
              <w:right w:val="nil"/>
            </w:tcBorders>
            <w:shd w:val="clear" w:color="000000" w:fill="FFFFFF"/>
            <w:noWrap/>
            <w:vAlign w:val="center"/>
            <w:hideMark/>
          </w:tcPr>
          <w:p w14:paraId="42BA23F7" w14:textId="77777777" w:rsidR="00BA5D50" w:rsidRPr="00BA5D50" w:rsidRDefault="00BA5D50" w:rsidP="00BA5D50">
            <w:pPr>
              <w:spacing w:before="0" w:after="0" w:line="240" w:lineRule="auto"/>
              <w:rPr>
                <w:rFonts w:ascii="Arial" w:hAnsi="Arial" w:cs="Arial"/>
                <w:i/>
                <w:iCs/>
                <w:sz w:val="16"/>
                <w:szCs w:val="16"/>
              </w:rPr>
            </w:pPr>
            <w:r w:rsidRPr="00BA5D50">
              <w:rPr>
                <w:rFonts w:ascii="Arial" w:hAnsi="Arial" w:cs="Arial"/>
                <w:i/>
                <w:iCs/>
                <w:sz w:val="16"/>
                <w:szCs w:val="16"/>
              </w:rPr>
              <w:t> </w:t>
            </w:r>
          </w:p>
        </w:tc>
      </w:tr>
      <w:tr w:rsidR="00BA5D50" w:rsidRPr="00BA5D50" w14:paraId="097A57BD" w14:textId="77777777" w:rsidTr="00610633">
        <w:trPr>
          <w:trHeight w:val="225"/>
        </w:trPr>
        <w:tc>
          <w:tcPr>
            <w:tcW w:w="3118" w:type="dxa"/>
            <w:tcBorders>
              <w:top w:val="nil"/>
              <w:left w:val="nil"/>
              <w:bottom w:val="nil"/>
              <w:right w:val="nil"/>
            </w:tcBorders>
            <w:shd w:val="clear" w:color="000000" w:fill="FFFFFF"/>
            <w:noWrap/>
            <w:vAlign w:val="center"/>
            <w:hideMark/>
          </w:tcPr>
          <w:p w14:paraId="52A83894" w14:textId="77777777" w:rsidR="00BA5D50" w:rsidRPr="00BA5D50" w:rsidRDefault="00BA5D50" w:rsidP="00BA5D50">
            <w:pPr>
              <w:spacing w:before="0" w:after="0" w:line="240" w:lineRule="auto"/>
              <w:ind w:firstLineChars="300" w:firstLine="480"/>
              <w:rPr>
                <w:rFonts w:ascii="Arial" w:hAnsi="Arial" w:cs="Arial"/>
                <w:i/>
                <w:iCs/>
                <w:sz w:val="16"/>
                <w:szCs w:val="16"/>
              </w:rPr>
            </w:pPr>
            <w:r w:rsidRPr="00BA5D50">
              <w:rPr>
                <w:rFonts w:ascii="Arial" w:hAnsi="Arial" w:cs="Arial"/>
                <w:i/>
                <w:iCs/>
                <w:sz w:val="16"/>
                <w:szCs w:val="16"/>
              </w:rPr>
              <w:t>Government's behalf</w:t>
            </w:r>
          </w:p>
        </w:tc>
        <w:tc>
          <w:tcPr>
            <w:tcW w:w="756" w:type="dxa"/>
            <w:tcBorders>
              <w:top w:val="nil"/>
              <w:left w:val="nil"/>
              <w:bottom w:val="nil"/>
              <w:right w:val="nil"/>
            </w:tcBorders>
            <w:shd w:val="clear" w:color="000000" w:fill="FFFFFF"/>
            <w:noWrap/>
            <w:vAlign w:val="center"/>
            <w:hideMark/>
          </w:tcPr>
          <w:p w14:paraId="1A8F5E1C" w14:textId="77777777" w:rsidR="00BA5D50" w:rsidRPr="00BA5D50" w:rsidRDefault="00BA5D50" w:rsidP="00BA5D50">
            <w:pPr>
              <w:spacing w:before="0" w:after="0" w:line="240" w:lineRule="auto"/>
              <w:jc w:val="right"/>
              <w:rPr>
                <w:rFonts w:ascii="Arial" w:hAnsi="Arial" w:cs="Arial"/>
                <w:i/>
                <w:iCs/>
                <w:sz w:val="16"/>
                <w:szCs w:val="16"/>
              </w:rPr>
            </w:pPr>
            <w:r w:rsidRPr="00BA5D50">
              <w:rPr>
                <w:rFonts w:ascii="Arial" w:hAnsi="Arial" w:cs="Arial"/>
                <w:i/>
                <w:iCs/>
                <w:sz w:val="16"/>
                <w:szCs w:val="16"/>
              </w:rPr>
              <w:t>22,242</w:t>
            </w:r>
          </w:p>
        </w:tc>
        <w:tc>
          <w:tcPr>
            <w:tcW w:w="76" w:type="dxa"/>
            <w:tcBorders>
              <w:top w:val="nil"/>
              <w:left w:val="nil"/>
              <w:bottom w:val="nil"/>
              <w:right w:val="nil"/>
            </w:tcBorders>
            <w:shd w:val="clear" w:color="000000" w:fill="FFFFFF"/>
            <w:noWrap/>
            <w:vAlign w:val="center"/>
            <w:hideMark/>
          </w:tcPr>
          <w:p w14:paraId="091A1192" w14:textId="77777777" w:rsidR="00BA5D50" w:rsidRPr="00BA5D50" w:rsidRDefault="00BA5D50" w:rsidP="00BA5D50">
            <w:pPr>
              <w:spacing w:before="0" w:after="0" w:line="240" w:lineRule="auto"/>
              <w:rPr>
                <w:rFonts w:ascii="Arial" w:hAnsi="Arial" w:cs="Arial"/>
                <w:i/>
                <w:iCs/>
                <w:sz w:val="16"/>
                <w:szCs w:val="16"/>
              </w:rPr>
            </w:pPr>
            <w:r w:rsidRPr="00BA5D50">
              <w:rPr>
                <w:rFonts w:ascii="Arial" w:hAnsi="Arial" w:cs="Arial"/>
                <w:i/>
                <w:iCs/>
                <w:sz w:val="16"/>
                <w:szCs w:val="16"/>
              </w:rPr>
              <w:t> </w:t>
            </w:r>
          </w:p>
        </w:tc>
        <w:tc>
          <w:tcPr>
            <w:tcW w:w="744" w:type="dxa"/>
            <w:tcBorders>
              <w:top w:val="nil"/>
              <w:left w:val="nil"/>
              <w:bottom w:val="nil"/>
              <w:right w:val="nil"/>
            </w:tcBorders>
            <w:shd w:val="clear" w:color="000000" w:fill="FFFFFF"/>
            <w:noWrap/>
            <w:vAlign w:val="center"/>
            <w:hideMark/>
          </w:tcPr>
          <w:p w14:paraId="4820C6C2" w14:textId="77777777" w:rsidR="00BA5D50" w:rsidRPr="00BA5D50" w:rsidRDefault="00BA5D50" w:rsidP="00BA5D50">
            <w:pPr>
              <w:spacing w:before="0" w:after="0" w:line="240" w:lineRule="auto"/>
              <w:jc w:val="right"/>
              <w:rPr>
                <w:rFonts w:ascii="Arial" w:hAnsi="Arial" w:cs="Arial"/>
                <w:i/>
                <w:iCs/>
                <w:sz w:val="16"/>
                <w:szCs w:val="16"/>
              </w:rPr>
            </w:pPr>
            <w:r w:rsidRPr="00BA5D50">
              <w:rPr>
                <w:rFonts w:ascii="Arial" w:hAnsi="Arial" w:cs="Arial"/>
                <w:i/>
                <w:iCs/>
                <w:sz w:val="16"/>
                <w:szCs w:val="16"/>
              </w:rPr>
              <w:t>22,547</w:t>
            </w:r>
          </w:p>
        </w:tc>
        <w:tc>
          <w:tcPr>
            <w:tcW w:w="743" w:type="dxa"/>
            <w:tcBorders>
              <w:top w:val="nil"/>
              <w:left w:val="nil"/>
              <w:bottom w:val="nil"/>
              <w:right w:val="nil"/>
            </w:tcBorders>
            <w:shd w:val="clear" w:color="000000" w:fill="E6F2FF"/>
            <w:noWrap/>
            <w:vAlign w:val="center"/>
            <w:hideMark/>
          </w:tcPr>
          <w:p w14:paraId="2C75ED93" w14:textId="77777777" w:rsidR="00BA5D50" w:rsidRPr="00BA5D50" w:rsidRDefault="00BA5D50" w:rsidP="00BA5D50">
            <w:pPr>
              <w:spacing w:before="0" w:after="0" w:line="240" w:lineRule="auto"/>
              <w:jc w:val="right"/>
              <w:rPr>
                <w:rFonts w:ascii="Arial" w:hAnsi="Arial" w:cs="Arial"/>
                <w:i/>
                <w:iCs/>
                <w:sz w:val="16"/>
                <w:szCs w:val="16"/>
              </w:rPr>
            </w:pPr>
            <w:r w:rsidRPr="00BA5D50">
              <w:rPr>
                <w:rFonts w:ascii="Arial" w:hAnsi="Arial" w:cs="Arial"/>
                <w:i/>
                <w:iCs/>
                <w:sz w:val="16"/>
                <w:szCs w:val="16"/>
              </w:rPr>
              <w:t>24,107</w:t>
            </w:r>
          </w:p>
        </w:tc>
        <w:tc>
          <w:tcPr>
            <w:tcW w:w="743" w:type="dxa"/>
            <w:tcBorders>
              <w:top w:val="nil"/>
              <w:left w:val="nil"/>
              <w:bottom w:val="nil"/>
              <w:right w:val="nil"/>
            </w:tcBorders>
            <w:shd w:val="clear" w:color="000000" w:fill="FFFFFF"/>
            <w:noWrap/>
            <w:vAlign w:val="center"/>
            <w:hideMark/>
          </w:tcPr>
          <w:p w14:paraId="4327E5DC" w14:textId="77777777" w:rsidR="00BA5D50" w:rsidRPr="00BA5D50" w:rsidRDefault="00BA5D50" w:rsidP="00BA5D50">
            <w:pPr>
              <w:spacing w:before="0" w:after="0" w:line="240" w:lineRule="auto"/>
              <w:jc w:val="right"/>
              <w:rPr>
                <w:rFonts w:ascii="Arial" w:hAnsi="Arial" w:cs="Arial"/>
                <w:i/>
                <w:iCs/>
                <w:sz w:val="16"/>
                <w:szCs w:val="16"/>
              </w:rPr>
            </w:pPr>
            <w:r w:rsidRPr="00BA5D50">
              <w:rPr>
                <w:rFonts w:ascii="Arial" w:hAnsi="Arial" w:cs="Arial"/>
                <w:i/>
                <w:iCs/>
                <w:sz w:val="16"/>
                <w:szCs w:val="16"/>
              </w:rPr>
              <w:t>28,269</w:t>
            </w:r>
          </w:p>
        </w:tc>
        <w:tc>
          <w:tcPr>
            <w:tcW w:w="743" w:type="dxa"/>
            <w:tcBorders>
              <w:top w:val="nil"/>
              <w:left w:val="nil"/>
              <w:bottom w:val="nil"/>
              <w:right w:val="nil"/>
            </w:tcBorders>
            <w:shd w:val="clear" w:color="000000" w:fill="FFFFFF"/>
            <w:noWrap/>
            <w:vAlign w:val="center"/>
            <w:hideMark/>
          </w:tcPr>
          <w:p w14:paraId="6CAA115F" w14:textId="77777777" w:rsidR="00BA5D50" w:rsidRPr="00BA5D50" w:rsidRDefault="00BA5D50" w:rsidP="00BA5D50">
            <w:pPr>
              <w:spacing w:before="0" w:after="0" w:line="240" w:lineRule="auto"/>
              <w:jc w:val="right"/>
              <w:rPr>
                <w:rFonts w:ascii="Arial" w:hAnsi="Arial" w:cs="Arial"/>
                <w:i/>
                <w:iCs/>
                <w:sz w:val="16"/>
                <w:szCs w:val="16"/>
              </w:rPr>
            </w:pPr>
            <w:r w:rsidRPr="00BA5D50">
              <w:rPr>
                <w:rFonts w:ascii="Arial" w:hAnsi="Arial" w:cs="Arial"/>
                <w:i/>
                <w:iCs/>
                <w:sz w:val="16"/>
                <w:szCs w:val="16"/>
              </w:rPr>
              <w:t>32,432</w:t>
            </w:r>
          </w:p>
        </w:tc>
        <w:tc>
          <w:tcPr>
            <w:tcW w:w="743" w:type="dxa"/>
            <w:tcBorders>
              <w:top w:val="nil"/>
              <w:left w:val="nil"/>
              <w:bottom w:val="nil"/>
              <w:right w:val="nil"/>
            </w:tcBorders>
            <w:shd w:val="clear" w:color="000000" w:fill="FFFFFF"/>
            <w:noWrap/>
            <w:vAlign w:val="center"/>
            <w:hideMark/>
          </w:tcPr>
          <w:p w14:paraId="53694B4B" w14:textId="77777777" w:rsidR="00BA5D50" w:rsidRPr="00BA5D50" w:rsidRDefault="00BA5D50" w:rsidP="00BA5D50">
            <w:pPr>
              <w:spacing w:before="0" w:after="0" w:line="240" w:lineRule="auto"/>
              <w:jc w:val="right"/>
              <w:rPr>
                <w:rFonts w:ascii="Arial" w:hAnsi="Arial" w:cs="Arial"/>
                <w:i/>
                <w:iCs/>
                <w:sz w:val="16"/>
                <w:szCs w:val="16"/>
              </w:rPr>
            </w:pPr>
            <w:r w:rsidRPr="00BA5D50">
              <w:rPr>
                <w:rFonts w:ascii="Arial" w:hAnsi="Arial" w:cs="Arial"/>
                <w:i/>
                <w:iCs/>
                <w:sz w:val="16"/>
                <w:szCs w:val="16"/>
              </w:rPr>
              <w:t>35,744</w:t>
            </w:r>
          </w:p>
        </w:tc>
      </w:tr>
      <w:tr w:rsidR="00BA5D50" w:rsidRPr="00BA5D50" w14:paraId="304CFFE1" w14:textId="77777777" w:rsidTr="00610633">
        <w:trPr>
          <w:trHeight w:val="225"/>
        </w:trPr>
        <w:tc>
          <w:tcPr>
            <w:tcW w:w="3118" w:type="dxa"/>
            <w:tcBorders>
              <w:top w:val="nil"/>
              <w:left w:val="nil"/>
              <w:bottom w:val="nil"/>
              <w:right w:val="nil"/>
            </w:tcBorders>
            <w:shd w:val="clear" w:color="000000" w:fill="FFFFFF"/>
            <w:noWrap/>
            <w:vAlign w:val="center"/>
            <w:hideMark/>
          </w:tcPr>
          <w:p w14:paraId="358498D2" w14:textId="77777777" w:rsidR="00BA5D50" w:rsidRPr="00BA5D50" w:rsidRDefault="00BA5D50" w:rsidP="00BA5D50">
            <w:pPr>
              <w:spacing w:before="0" w:after="0" w:line="240" w:lineRule="auto"/>
              <w:ind w:firstLineChars="100" w:firstLine="160"/>
              <w:rPr>
                <w:rFonts w:ascii="Arial" w:hAnsi="Arial" w:cs="Arial"/>
                <w:color w:val="000000"/>
                <w:sz w:val="16"/>
                <w:szCs w:val="16"/>
              </w:rPr>
            </w:pPr>
            <w:r w:rsidRPr="00BA5D50">
              <w:rPr>
                <w:rFonts w:ascii="Arial" w:hAnsi="Arial" w:cs="Arial"/>
                <w:color w:val="000000"/>
                <w:sz w:val="16"/>
                <w:szCs w:val="16"/>
              </w:rPr>
              <w:t>Nominal superannuation interest</w:t>
            </w:r>
          </w:p>
        </w:tc>
        <w:tc>
          <w:tcPr>
            <w:tcW w:w="756" w:type="dxa"/>
            <w:tcBorders>
              <w:top w:val="nil"/>
              <w:left w:val="nil"/>
              <w:bottom w:val="nil"/>
              <w:right w:val="nil"/>
            </w:tcBorders>
            <w:shd w:val="clear" w:color="000000" w:fill="FFFFFF"/>
            <w:noWrap/>
            <w:vAlign w:val="center"/>
            <w:hideMark/>
          </w:tcPr>
          <w:p w14:paraId="3AE77BBE" w14:textId="77777777" w:rsidR="00BA5D50" w:rsidRPr="00BA5D50" w:rsidRDefault="00BA5D50" w:rsidP="00BA5D50">
            <w:pPr>
              <w:spacing w:before="0" w:after="0" w:line="240" w:lineRule="auto"/>
              <w:jc w:val="right"/>
              <w:rPr>
                <w:rFonts w:ascii="Arial" w:hAnsi="Arial" w:cs="Arial"/>
                <w:color w:val="000000"/>
                <w:sz w:val="16"/>
                <w:szCs w:val="16"/>
              </w:rPr>
            </w:pPr>
            <w:r w:rsidRPr="00BA5D50">
              <w:rPr>
                <w:rFonts w:ascii="Arial" w:hAnsi="Arial" w:cs="Arial"/>
                <w:color w:val="000000"/>
                <w:sz w:val="16"/>
                <w:szCs w:val="16"/>
              </w:rPr>
              <w:t>12,336</w:t>
            </w:r>
          </w:p>
        </w:tc>
        <w:tc>
          <w:tcPr>
            <w:tcW w:w="76" w:type="dxa"/>
            <w:tcBorders>
              <w:top w:val="nil"/>
              <w:left w:val="nil"/>
              <w:bottom w:val="nil"/>
              <w:right w:val="nil"/>
            </w:tcBorders>
            <w:shd w:val="clear" w:color="000000" w:fill="FFFFFF"/>
            <w:noWrap/>
            <w:vAlign w:val="center"/>
            <w:hideMark/>
          </w:tcPr>
          <w:p w14:paraId="5D82FE7D" w14:textId="77777777" w:rsidR="00BA5D50" w:rsidRPr="00BA5D50" w:rsidRDefault="00BA5D50" w:rsidP="00BA5D50">
            <w:pPr>
              <w:spacing w:before="0" w:after="0" w:line="240" w:lineRule="auto"/>
              <w:rPr>
                <w:rFonts w:ascii="Arial" w:hAnsi="Arial" w:cs="Arial"/>
                <w:color w:val="000000"/>
                <w:sz w:val="16"/>
                <w:szCs w:val="16"/>
              </w:rPr>
            </w:pPr>
            <w:r w:rsidRPr="00BA5D50">
              <w:rPr>
                <w:rFonts w:ascii="Arial" w:hAnsi="Arial" w:cs="Arial"/>
                <w:color w:val="000000"/>
                <w:sz w:val="16"/>
                <w:szCs w:val="16"/>
              </w:rPr>
              <w:t> </w:t>
            </w:r>
          </w:p>
        </w:tc>
        <w:tc>
          <w:tcPr>
            <w:tcW w:w="744" w:type="dxa"/>
            <w:tcBorders>
              <w:top w:val="nil"/>
              <w:left w:val="nil"/>
              <w:bottom w:val="nil"/>
              <w:right w:val="nil"/>
            </w:tcBorders>
            <w:shd w:val="clear" w:color="000000" w:fill="FFFFFF"/>
            <w:noWrap/>
            <w:vAlign w:val="center"/>
            <w:hideMark/>
          </w:tcPr>
          <w:p w14:paraId="0569F2C8" w14:textId="77777777" w:rsidR="00BA5D50" w:rsidRPr="00BA5D50" w:rsidRDefault="00BA5D50" w:rsidP="00BA5D50">
            <w:pPr>
              <w:spacing w:before="0" w:after="0" w:line="240" w:lineRule="auto"/>
              <w:jc w:val="right"/>
              <w:rPr>
                <w:rFonts w:ascii="Arial" w:hAnsi="Arial" w:cs="Arial"/>
                <w:color w:val="000000"/>
                <w:sz w:val="16"/>
                <w:szCs w:val="16"/>
              </w:rPr>
            </w:pPr>
            <w:r w:rsidRPr="00BA5D50">
              <w:rPr>
                <w:rFonts w:ascii="Arial" w:hAnsi="Arial" w:cs="Arial"/>
                <w:color w:val="000000"/>
                <w:sz w:val="16"/>
                <w:szCs w:val="16"/>
              </w:rPr>
              <w:t>13,374</w:t>
            </w:r>
          </w:p>
        </w:tc>
        <w:tc>
          <w:tcPr>
            <w:tcW w:w="743" w:type="dxa"/>
            <w:tcBorders>
              <w:top w:val="nil"/>
              <w:left w:val="nil"/>
              <w:bottom w:val="nil"/>
              <w:right w:val="nil"/>
            </w:tcBorders>
            <w:shd w:val="clear" w:color="000000" w:fill="E6F2FF"/>
            <w:noWrap/>
            <w:vAlign w:val="center"/>
            <w:hideMark/>
          </w:tcPr>
          <w:p w14:paraId="4C938F50" w14:textId="77777777" w:rsidR="00BA5D50" w:rsidRPr="00BA5D50" w:rsidRDefault="00BA5D50" w:rsidP="00BA5D50">
            <w:pPr>
              <w:spacing w:before="0" w:after="0" w:line="240" w:lineRule="auto"/>
              <w:jc w:val="right"/>
              <w:rPr>
                <w:rFonts w:ascii="Arial" w:hAnsi="Arial" w:cs="Arial"/>
                <w:color w:val="000000"/>
                <w:sz w:val="16"/>
                <w:szCs w:val="16"/>
              </w:rPr>
            </w:pPr>
            <w:r w:rsidRPr="00BA5D50">
              <w:rPr>
                <w:rFonts w:ascii="Arial" w:hAnsi="Arial" w:cs="Arial"/>
                <w:color w:val="000000"/>
                <w:sz w:val="16"/>
                <w:szCs w:val="16"/>
              </w:rPr>
              <w:t>14,620</w:t>
            </w:r>
          </w:p>
        </w:tc>
        <w:tc>
          <w:tcPr>
            <w:tcW w:w="743" w:type="dxa"/>
            <w:tcBorders>
              <w:top w:val="nil"/>
              <w:left w:val="nil"/>
              <w:bottom w:val="nil"/>
              <w:right w:val="nil"/>
            </w:tcBorders>
            <w:shd w:val="clear" w:color="000000" w:fill="FFFFFF"/>
            <w:noWrap/>
            <w:vAlign w:val="center"/>
            <w:hideMark/>
          </w:tcPr>
          <w:p w14:paraId="53EDD3CB" w14:textId="77777777" w:rsidR="00BA5D50" w:rsidRPr="00BA5D50" w:rsidRDefault="00BA5D50" w:rsidP="00BA5D50">
            <w:pPr>
              <w:spacing w:before="0" w:after="0" w:line="240" w:lineRule="auto"/>
              <w:jc w:val="right"/>
              <w:rPr>
                <w:rFonts w:ascii="Arial" w:hAnsi="Arial" w:cs="Arial"/>
                <w:color w:val="000000"/>
                <w:sz w:val="16"/>
                <w:szCs w:val="16"/>
              </w:rPr>
            </w:pPr>
            <w:r w:rsidRPr="00BA5D50">
              <w:rPr>
                <w:rFonts w:ascii="Arial" w:hAnsi="Arial" w:cs="Arial"/>
                <w:color w:val="000000"/>
                <w:sz w:val="16"/>
                <w:szCs w:val="16"/>
              </w:rPr>
              <w:t>15,126</w:t>
            </w:r>
          </w:p>
        </w:tc>
        <w:tc>
          <w:tcPr>
            <w:tcW w:w="743" w:type="dxa"/>
            <w:tcBorders>
              <w:top w:val="nil"/>
              <w:left w:val="nil"/>
              <w:bottom w:val="nil"/>
              <w:right w:val="nil"/>
            </w:tcBorders>
            <w:shd w:val="clear" w:color="000000" w:fill="FFFFFF"/>
            <w:noWrap/>
            <w:vAlign w:val="center"/>
            <w:hideMark/>
          </w:tcPr>
          <w:p w14:paraId="65E2E384" w14:textId="77777777" w:rsidR="00BA5D50" w:rsidRPr="00BA5D50" w:rsidRDefault="00BA5D50" w:rsidP="00BA5D50">
            <w:pPr>
              <w:spacing w:before="0" w:after="0" w:line="240" w:lineRule="auto"/>
              <w:jc w:val="right"/>
              <w:rPr>
                <w:rFonts w:ascii="Arial" w:hAnsi="Arial" w:cs="Arial"/>
                <w:color w:val="000000"/>
                <w:sz w:val="16"/>
                <w:szCs w:val="16"/>
              </w:rPr>
            </w:pPr>
            <w:r w:rsidRPr="00BA5D50">
              <w:rPr>
                <w:rFonts w:ascii="Arial" w:hAnsi="Arial" w:cs="Arial"/>
                <w:color w:val="000000"/>
                <w:sz w:val="16"/>
                <w:szCs w:val="16"/>
              </w:rPr>
              <w:t>15,610</w:t>
            </w:r>
          </w:p>
        </w:tc>
        <w:tc>
          <w:tcPr>
            <w:tcW w:w="743" w:type="dxa"/>
            <w:tcBorders>
              <w:top w:val="nil"/>
              <w:left w:val="nil"/>
              <w:bottom w:val="nil"/>
              <w:right w:val="nil"/>
            </w:tcBorders>
            <w:shd w:val="clear" w:color="000000" w:fill="FFFFFF"/>
            <w:noWrap/>
            <w:vAlign w:val="center"/>
            <w:hideMark/>
          </w:tcPr>
          <w:p w14:paraId="4C3F37D0" w14:textId="77777777" w:rsidR="00BA5D50" w:rsidRPr="00BA5D50" w:rsidRDefault="00BA5D50" w:rsidP="00BA5D50">
            <w:pPr>
              <w:spacing w:before="0" w:after="0" w:line="240" w:lineRule="auto"/>
              <w:jc w:val="right"/>
              <w:rPr>
                <w:rFonts w:ascii="Arial" w:hAnsi="Arial" w:cs="Arial"/>
                <w:color w:val="000000"/>
                <w:sz w:val="16"/>
                <w:szCs w:val="16"/>
              </w:rPr>
            </w:pPr>
            <w:r w:rsidRPr="00BA5D50">
              <w:rPr>
                <w:rFonts w:ascii="Arial" w:hAnsi="Arial" w:cs="Arial"/>
                <w:color w:val="000000"/>
                <w:sz w:val="16"/>
                <w:szCs w:val="16"/>
              </w:rPr>
              <w:t>16,054</w:t>
            </w:r>
          </w:p>
        </w:tc>
      </w:tr>
      <w:tr w:rsidR="00BA5D50" w:rsidRPr="00BA5D50" w14:paraId="362345E4" w14:textId="77777777" w:rsidTr="00610633">
        <w:trPr>
          <w:trHeight w:val="225"/>
        </w:trPr>
        <w:tc>
          <w:tcPr>
            <w:tcW w:w="3118" w:type="dxa"/>
            <w:tcBorders>
              <w:top w:val="nil"/>
              <w:left w:val="nil"/>
              <w:bottom w:val="nil"/>
              <w:right w:val="nil"/>
            </w:tcBorders>
            <w:shd w:val="clear" w:color="000000" w:fill="FFFFFF"/>
            <w:noWrap/>
            <w:vAlign w:val="center"/>
            <w:hideMark/>
          </w:tcPr>
          <w:p w14:paraId="150121FF" w14:textId="77777777" w:rsidR="00BA5D50" w:rsidRPr="00BA5D50" w:rsidRDefault="00BA5D50" w:rsidP="00BA5D50">
            <w:pPr>
              <w:spacing w:before="0" w:after="0" w:line="240" w:lineRule="auto"/>
              <w:ind w:firstLineChars="100" w:firstLine="160"/>
              <w:rPr>
                <w:rFonts w:ascii="Arial" w:hAnsi="Arial" w:cs="Arial"/>
                <w:color w:val="000000"/>
                <w:sz w:val="16"/>
                <w:szCs w:val="16"/>
              </w:rPr>
            </w:pPr>
            <w:r w:rsidRPr="00BA5D50">
              <w:rPr>
                <w:rFonts w:ascii="Arial" w:hAnsi="Arial" w:cs="Arial"/>
                <w:color w:val="000000"/>
                <w:sz w:val="16"/>
                <w:szCs w:val="16"/>
              </w:rPr>
              <w:t>General purpose inter-government</w:t>
            </w:r>
          </w:p>
        </w:tc>
        <w:tc>
          <w:tcPr>
            <w:tcW w:w="756" w:type="dxa"/>
            <w:tcBorders>
              <w:top w:val="nil"/>
              <w:left w:val="nil"/>
              <w:bottom w:val="nil"/>
              <w:right w:val="nil"/>
            </w:tcBorders>
            <w:shd w:val="clear" w:color="000000" w:fill="FFFFFF"/>
            <w:noWrap/>
            <w:vAlign w:val="center"/>
            <w:hideMark/>
          </w:tcPr>
          <w:p w14:paraId="67820382" w14:textId="77777777" w:rsidR="00BA5D50" w:rsidRPr="00BA5D50" w:rsidRDefault="00BA5D50" w:rsidP="00BA5D50">
            <w:pPr>
              <w:spacing w:before="0" w:after="0" w:line="240" w:lineRule="auto"/>
              <w:rPr>
                <w:rFonts w:ascii="Arial" w:hAnsi="Arial" w:cs="Arial"/>
                <w:sz w:val="16"/>
                <w:szCs w:val="16"/>
              </w:rPr>
            </w:pPr>
            <w:r w:rsidRPr="00BA5D50">
              <w:rPr>
                <w:rFonts w:ascii="Arial" w:hAnsi="Arial" w:cs="Arial"/>
                <w:sz w:val="16"/>
                <w:szCs w:val="16"/>
              </w:rPr>
              <w:t> </w:t>
            </w:r>
          </w:p>
        </w:tc>
        <w:tc>
          <w:tcPr>
            <w:tcW w:w="76" w:type="dxa"/>
            <w:tcBorders>
              <w:top w:val="nil"/>
              <w:left w:val="nil"/>
              <w:bottom w:val="nil"/>
              <w:right w:val="nil"/>
            </w:tcBorders>
            <w:shd w:val="clear" w:color="000000" w:fill="FFFFFF"/>
            <w:noWrap/>
            <w:vAlign w:val="center"/>
            <w:hideMark/>
          </w:tcPr>
          <w:p w14:paraId="01CD8432" w14:textId="77777777" w:rsidR="00BA5D50" w:rsidRPr="00BA5D50" w:rsidRDefault="00BA5D50" w:rsidP="00BA5D50">
            <w:pPr>
              <w:spacing w:before="0" w:after="0" w:line="240" w:lineRule="auto"/>
              <w:rPr>
                <w:rFonts w:ascii="Arial" w:hAnsi="Arial" w:cs="Arial"/>
                <w:sz w:val="16"/>
                <w:szCs w:val="16"/>
              </w:rPr>
            </w:pPr>
            <w:r w:rsidRPr="00BA5D50">
              <w:rPr>
                <w:rFonts w:ascii="Arial" w:hAnsi="Arial" w:cs="Arial"/>
                <w:sz w:val="16"/>
                <w:szCs w:val="16"/>
              </w:rPr>
              <w:t> </w:t>
            </w:r>
          </w:p>
        </w:tc>
        <w:tc>
          <w:tcPr>
            <w:tcW w:w="744" w:type="dxa"/>
            <w:tcBorders>
              <w:top w:val="nil"/>
              <w:left w:val="nil"/>
              <w:bottom w:val="nil"/>
              <w:right w:val="nil"/>
            </w:tcBorders>
            <w:shd w:val="clear" w:color="000000" w:fill="FFFFFF"/>
            <w:noWrap/>
            <w:vAlign w:val="center"/>
            <w:hideMark/>
          </w:tcPr>
          <w:p w14:paraId="44553034" w14:textId="77777777" w:rsidR="00BA5D50" w:rsidRPr="00BA5D50" w:rsidRDefault="00BA5D50" w:rsidP="00BA5D50">
            <w:pPr>
              <w:spacing w:before="0" w:after="0" w:line="240" w:lineRule="auto"/>
              <w:rPr>
                <w:rFonts w:ascii="Arial" w:hAnsi="Arial" w:cs="Arial"/>
                <w:sz w:val="16"/>
                <w:szCs w:val="16"/>
              </w:rPr>
            </w:pPr>
            <w:r w:rsidRPr="00BA5D50">
              <w:rPr>
                <w:rFonts w:ascii="Arial" w:hAnsi="Arial" w:cs="Arial"/>
                <w:sz w:val="16"/>
                <w:szCs w:val="16"/>
              </w:rPr>
              <w:t> </w:t>
            </w:r>
          </w:p>
        </w:tc>
        <w:tc>
          <w:tcPr>
            <w:tcW w:w="743" w:type="dxa"/>
            <w:tcBorders>
              <w:top w:val="nil"/>
              <w:left w:val="nil"/>
              <w:bottom w:val="nil"/>
              <w:right w:val="nil"/>
            </w:tcBorders>
            <w:shd w:val="clear" w:color="000000" w:fill="E6F2FF"/>
            <w:noWrap/>
            <w:vAlign w:val="center"/>
            <w:hideMark/>
          </w:tcPr>
          <w:p w14:paraId="13272405" w14:textId="77777777" w:rsidR="00BA5D50" w:rsidRPr="00BA5D50" w:rsidRDefault="00BA5D50" w:rsidP="00BA5D50">
            <w:pPr>
              <w:spacing w:before="0" w:after="0" w:line="240" w:lineRule="auto"/>
              <w:rPr>
                <w:rFonts w:ascii="Arial" w:hAnsi="Arial" w:cs="Arial"/>
                <w:sz w:val="16"/>
                <w:szCs w:val="16"/>
              </w:rPr>
            </w:pPr>
            <w:r w:rsidRPr="00BA5D50">
              <w:rPr>
                <w:rFonts w:ascii="Arial" w:hAnsi="Arial" w:cs="Arial"/>
                <w:sz w:val="16"/>
                <w:szCs w:val="16"/>
              </w:rPr>
              <w:t> </w:t>
            </w:r>
          </w:p>
        </w:tc>
        <w:tc>
          <w:tcPr>
            <w:tcW w:w="743" w:type="dxa"/>
            <w:tcBorders>
              <w:top w:val="nil"/>
              <w:left w:val="nil"/>
              <w:bottom w:val="nil"/>
              <w:right w:val="nil"/>
            </w:tcBorders>
            <w:shd w:val="clear" w:color="000000" w:fill="FFFFFF"/>
            <w:noWrap/>
            <w:vAlign w:val="center"/>
            <w:hideMark/>
          </w:tcPr>
          <w:p w14:paraId="5F9D9839" w14:textId="77777777" w:rsidR="00BA5D50" w:rsidRPr="00BA5D50" w:rsidRDefault="00BA5D50" w:rsidP="00BA5D50">
            <w:pPr>
              <w:spacing w:before="0" w:after="0" w:line="240" w:lineRule="auto"/>
              <w:rPr>
                <w:rFonts w:ascii="Arial" w:hAnsi="Arial" w:cs="Arial"/>
                <w:sz w:val="16"/>
                <w:szCs w:val="16"/>
              </w:rPr>
            </w:pPr>
            <w:r w:rsidRPr="00BA5D50">
              <w:rPr>
                <w:rFonts w:ascii="Arial" w:hAnsi="Arial" w:cs="Arial"/>
                <w:sz w:val="16"/>
                <w:szCs w:val="16"/>
              </w:rPr>
              <w:t> </w:t>
            </w:r>
          </w:p>
        </w:tc>
        <w:tc>
          <w:tcPr>
            <w:tcW w:w="743" w:type="dxa"/>
            <w:tcBorders>
              <w:top w:val="nil"/>
              <w:left w:val="nil"/>
              <w:bottom w:val="nil"/>
              <w:right w:val="nil"/>
            </w:tcBorders>
            <w:shd w:val="clear" w:color="000000" w:fill="FFFFFF"/>
            <w:noWrap/>
            <w:vAlign w:val="center"/>
            <w:hideMark/>
          </w:tcPr>
          <w:p w14:paraId="3BE5BCB1" w14:textId="77777777" w:rsidR="00BA5D50" w:rsidRPr="00BA5D50" w:rsidRDefault="00BA5D50" w:rsidP="00BA5D50">
            <w:pPr>
              <w:spacing w:before="0" w:after="0" w:line="240" w:lineRule="auto"/>
              <w:rPr>
                <w:rFonts w:ascii="Arial" w:hAnsi="Arial" w:cs="Arial"/>
                <w:sz w:val="16"/>
                <w:szCs w:val="16"/>
              </w:rPr>
            </w:pPr>
            <w:r w:rsidRPr="00BA5D50">
              <w:rPr>
                <w:rFonts w:ascii="Arial" w:hAnsi="Arial" w:cs="Arial"/>
                <w:sz w:val="16"/>
                <w:szCs w:val="16"/>
              </w:rPr>
              <w:t> </w:t>
            </w:r>
          </w:p>
        </w:tc>
        <w:tc>
          <w:tcPr>
            <w:tcW w:w="743" w:type="dxa"/>
            <w:tcBorders>
              <w:top w:val="nil"/>
              <w:left w:val="nil"/>
              <w:bottom w:val="nil"/>
              <w:right w:val="nil"/>
            </w:tcBorders>
            <w:shd w:val="clear" w:color="000000" w:fill="FFFFFF"/>
            <w:noWrap/>
            <w:vAlign w:val="center"/>
            <w:hideMark/>
          </w:tcPr>
          <w:p w14:paraId="7784A10C" w14:textId="77777777" w:rsidR="00BA5D50" w:rsidRPr="00BA5D50" w:rsidRDefault="00BA5D50" w:rsidP="00BA5D50">
            <w:pPr>
              <w:spacing w:before="0" w:after="0" w:line="240" w:lineRule="auto"/>
              <w:rPr>
                <w:rFonts w:ascii="Arial" w:hAnsi="Arial" w:cs="Arial"/>
                <w:sz w:val="16"/>
                <w:szCs w:val="16"/>
              </w:rPr>
            </w:pPr>
            <w:r w:rsidRPr="00BA5D50">
              <w:rPr>
                <w:rFonts w:ascii="Arial" w:hAnsi="Arial" w:cs="Arial"/>
                <w:sz w:val="16"/>
                <w:szCs w:val="16"/>
              </w:rPr>
              <w:t> </w:t>
            </w:r>
          </w:p>
        </w:tc>
      </w:tr>
      <w:tr w:rsidR="00BA5D50" w:rsidRPr="00BA5D50" w14:paraId="1C80A492" w14:textId="77777777" w:rsidTr="00610633">
        <w:trPr>
          <w:trHeight w:val="225"/>
        </w:trPr>
        <w:tc>
          <w:tcPr>
            <w:tcW w:w="3118" w:type="dxa"/>
            <w:tcBorders>
              <w:top w:val="nil"/>
              <w:left w:val="nil"/>
              <w:bottom w:val="nil"/>
              <w:right w:val="nil"/>
            </w:tcBorders>
            <w:shd w:val="clear" w:color="000000" w:fill="FFFFFF"/>
            <w:noWrap/>
            <w:vAlign w:val="center"/>
            <w:hideMark/>
          </w:tcPr>
          <w:p w14:paraId="023D117A" w14:textId="77777777" w:rsidR="00BA5D50" w:rsidRPr="00BA5D50" w:rsidRDefault="00BA5D50" w:rsidP="00BA5D50">
            <w:pPr>
              <w:spacing w:before="0" w:after="0" w:line="240" w:lineRule="auto"/>
              <w:ind w:firstLineChars="200" w:firstLine="320"/>
              <w:rPr>
                <w:rFonts w:ascii="Arial" w:hAnsi="Arial" w:cs="Arial"/>
                <w:sz w:val="16"/>
                <w:szCs w:val="16"/>
              </w:rPr>
            </w:pPr>
            <w:r w:rsidRPr="00BA5D50">
              <w:rPr>
                <w:rFonts w:ascii="Arial" w:hAnsi="Arial" w:cs="Arial"/>
                <w:sz w:val="16"/>
                <w:szCs w:val="16"/>
              </w:rPr>
              <w:t>transactions</w:t>
            </w:r>
          </w:p>
        </w:tc>
        <w:tc>
          <w:tcPr>
            <w:tcW w:w="756" w:type="dxa"/>
            <w:tcBorders>
              <w:top w:val="nil"/>
              <w:left w:val="nil"/>
              <w:bottom w:val="nil"/>
              <w:right w:val="nil"/>
            </w:tcBorders>
            <w:shd w:val="clear" w:color="000000" w:fill="FFFFFF"/>
            <w:noWrap/>
            <w:vAlign w:val="center"/>
            <w:hideMark/>
          </w:tcPr>
          <w:p w14:paraId="7BD41A08" w14:textId="77777777" w:rsidR="00BA5D50" w:rsidRPr="00BA5D50" w:rsidRDefault="00BA5D50" w:rsidP="00BA5D50">
            <w:pPr>
              <w:spacing w:before="0" w:after="0" w:line="240" w:lineRule="auto"/>
              <w:jc w:val="right"/>
              <w:rPr>
                <w:rFonts w:ascii="Arial" w:hAnsi="Arial" w:cs="Arial"/>
                <w:sz w:val="16"/>
                <w:szCs w:val="16"/>
              </w:rPr>
            </w:pPr>
            <w:r w:rsidRPr="00BA5D50">
              <w:rPr>
                <w:rFonts w:ascii="Arial" w:hAnsi="Arial" w:cs="Arial"/>
                <w:sz w:val="16"/>
                <w:szCs w:val="16"/>
              </w:rPr>
              <w:t>92,076</w:t>
            </w:r>
          </w:p>
        </w:tc>
        <w:tc>
          <w:tcPr>
            <w:tcW w:w="76" w:type="dxa"/>
            <w:tcBorders>
              <w:top w:val="nil"/>
              <w:left w:val="nil"/>
              <w:bottom w:val="nil"/>
              <w:right w:val="nil"/>
            </w:tcBorders>
            <w:shd w:val="clear" w:color="000000" w:fill="FFFFFF"/>
            <w:noWrap/>
            <w:vAlign w:val="center"/>
            <w:hideMark/>
          </w:tcPr>
          <w:p w14:paraId="12F7A544" w14:textId="77777777" w:rsidR="00BA5D50" w:rsidRPr="00BA5D50" w:rsidRDefault="00BA5D50" w:rsidP="00BA5D50">
            <w:pPr>
              <w:spacing w:before="0" w:after="0" w:line="240" w:lineRule="auto"/>
              <w:rPr>
                <w:rFonts w:ascii="Arial" w:hAnsi="Arial" w:cs="Arial"/>
                <w:sz w:val="16"/>
                <w:szCs w:val="16"/>
              </w:rPr>
            </w:pPr>
            <w:r w:rsidRPr="00BA5D50">
              <w:rPr>
                <w:rFonts w:ascii="Arial" w:hAnsi="Arial" w:cs="Arial"/>
                <w:sz w:val="16"/>
                <w:szCs w:val="16"/>
              </w:rPr>
              <w:t> </w:t>
            </w:r>
          </w:p>
        </w:tc>
        <w:tc>
          <w:tcPr>
            <w:tcW w:w="744" w:type="dxa"/>
            <w:tcBorders>
              <w:top w:val="nil"/>
              <w:left w:val="nil"/>
              <w:bottom w:val="nil"/>
              <w:right w:val="nil"/>
            </w:tcBorders>
            <w:shd w:val="clear" w:color="000000" w:fill="FFFFFF"/>
            <w:noWrap/>
            <w:vAlign w:val="center"/>
            <w:hideMark/>
          </w:tcPr>
          <w:p w14:paraId="418BCB97" w14:textId="77777777" w:rsidR="00BA5D50" w:rsidRPr="00BA5D50" w:rsidRDefault="00BA5D50" w:rsidP="00BA5D50">
            <w:pPr>
              <w:spacing w:before="0" w:after="0" w:line="240" w:lineRule="auto"/>
              <w:jc w:val="right"/>
              <w:rPr>
                <w:rFonts w:ascii="Arial" w:hAnsi="Arial" w:cs="Arial"/>
                <w:sz w:val="16"/>
                <w:szCs w:val="16"/>
              </w:rPr>
            </w:pPr>
            <w:r w:rsidRPr="00BA5D50">
              <w:rPr>
                <w:rFonts w:ascii="Arial" w:hAnsi="Arial" w:cs="Arial"/>
                <w:sz w:val="16"/>
                <w:szCs w:val="16"/>
              </w:rPr>
              <w:t>92,917</w:t>
            </w:r>
          </w:p>
        </w:tc>
        <w:tc>
          <w:tcPr>
            <w:tcW w:w="743" w:type="dxa"/>
            <w:tcBorders>
              <w:top w:val="nil"/>
              <w:left w:val="nil"/>
              <w:bottom w:val="nil"/>
              <w:right w:val="nil"/>
            </w:tcBorders>
            <w:shd w:val="clear" w:color="000000" w:fill="E6F2FF"/>
            <w:noWrap/>
            <w:vAlign w:val="center"/>
            <w:hideMark/>
          </w:tcPr>
          <w:p w14:paraId="2B0E27F0" w14:textId="77777777" w:rsidR="00BA5D50" w:rsidRPr="00BA5D50" w:rsidRDefault="00BA5D50" w:rsidP="00BA5D50">
            <w:pPr>
              <w:spacing w:before="0" w:after="0" w:line="240" w:lineRule="auto"/>
              <w:jc w:val="right"/>
              <w:rPr>
                <w:rFonts w:ascii="Arial" w:hAnsi="Arial" w:cs="Arial"/>
                <w:sz w:val="16"/>
                <w:szCs w:val="16"/>
              </w:rPr>
            </w:pPr>
            <w:r w:rsidRPr="00BA5D50">
              <w:rPr>
                <w:rFonts w:ascii="Arial" w:hAnsi="Arial" w:cs="Arial"/>
                <w:sz w:val="16"/>
                <w:szCs w:val="16"/>
              </w:rPr>
              <w:t>97,995</w:t>
            </w:r>
          </w:p>
        </w:tc>
        <w:tc>
          <w:tcPr>
            <w:tcW w:w="743" w:type="dxa"/>
            <w:tcBorders>
              <w:top w:val="nil"/>
              <w:left w:val="nil"/>
              <w:bottom w:val="nil"/>
              <w:right w:val="nil"/>
            </w:tcBorders>
            <w:shd w:val="clear" w:color="000000" w:fill="FFFFFF"/>
            <w:noWrap/>
            <w:vAlign w:val="center"/>
            <w:hideMark/>
          </w:tcPr>
          <w:p w14:paraId="591EF1FC" w14:textId="77777777" w:rsidR="00BA5D50" w:rsidRPr="00BA5D50" w:rsidRDefault="00BA5D50" w:rsidP="00BA5D50">
            <w:pPr>
              <w:spacing w:before="0" w:after="0" w:line="240" w:lineRule="auto"/>
              <w:jc w:val="right"/>
              <w:rPr>
                <w:rFonts w:ascii="Arial" w:hAnsi="Arial" w:cs="Arial"/>
                <w:sz w:val="16"/>
                <w:szCs w:val="16"/>
              </w:rPr>
            </w:pPr>
            <w:r w:rsidRPr="00BA5D50">
              <w:rPr>
                <w:rFonts w:ascii="Arial" w:hAnsi="Arial" w:cs="Arial"/>
                <w:sz w:val="16"/>
                <w:szCs w:val="16"/>
              </w:rPr>
              <w:t>102,937</w:t>
            </w:r>
          </w:p>
        </w:tc>
        <w:tc>
          <w:tcPr>
            <w:tcW w:w="743" w:type="dxa"/>
            <w:tcBorders>
              <w:top w:val="nil"/>
              <w:left w:val="nil"/>
              <w:bottom w:val="nil"/>
              <w:right w:val="nil"/>
            </w:tcBorders>
            <w:shd w:val="clear" w:color="000000" w:fill="FFFFFF"/>
            <w:noWrap/>
            <w:vAlign w:val="center"/>
            <w:hideMark/>
          </w:tcPr>
          <w:p w14:paraId="13363B8C" w14:textId="77777777" w:rsidR="00BA5D50" w:rsidRPr="00BA5D50" w:rsidRDefault="00BA5D50" w:rsidP="00BA5D50">
            <w:pPr>
              <w:spacing w:before="0" w:after="0" w:line="240" w:lineRule="auto"/>
              <w:jc w:val="right"/>
              <w:rPr>
                <w:rFonts w:ascii="Arial" w:hAnsi="Arial" w:cs="Arial"/>
                <w:sz w:val="16"/>
                <w:szCs w:val="16"/>
              </w:rPr>
            </w:pPr>
            <w:r w:rsidRPr="00BA5D50">
              <w:rPr>
                <w:rFonts w:ascii="Arial" w:hAnsi="Arial" w:cs="Arial"/>
                <w:sz w:val="16"/>
                <w:szCs w:val="16"/>
              </w:rPr>
              <w:t>108,329</w:t>
            </w:r>
          </w:p>
        </w:tc>
        <w:tc>
          <w:tcPr>
            <w:tcW w:w="743" w:type="dxa"/>
            <w:tcBorders>
              <w:top w:val="nil"/>
              <w:left w:val="nil"/>
              <w:bottom w:val="nil"/>
              <w:right w:val="nil"/>
            </w:tcBorders>
            <w:shd w:val="clear" w:color="000000" w:fill="FFFFFF"/>
            <w:noWrap/>
            <w:vAlign w:val="center"/>
            <w:hideMark/>
          </w:tcPr>
          <w:p w14:paraId="22972C06" w14:textId="77777777" w:rsidR="00BA5D50" w:rsidRPr="00BA5D50" w:rsidRDefault="00BA5D50" w:rsidP="00BA5D50">
            <w:pPr>
              <w:spacing w:before="0" w:after="0" w:line="240" w:lineRule="auto"/>
              <w:jc w:val="right"/>
              <w:rPr>
                <w:rFonts w:ascii="Arial" w:hAnsi="Arial" w:cs="Arial"/>
                <w:sz w:val="16"/>
                <w:szCs w:val="16"/>
              </w:rPr>
            </w:pPr>
            <w:r w:rsidRPr="00BA5D50">
              <w:rPr>
                <w:rFonts w:ascii="Arial" w:hAnsi="Arial" w:cs="Arial"/>
                <w:sz w:val="16"/>
                <w:szCs w:val="16"/>
              </w:rPr>
              <w:t>112,941</w:t>
            </w:r>
          </w:p>
        </w:tc>
      </w:tr>
      <w:tr w:rsidR="00BA5D50" w:rsidRPr="00BA5D50" w14:paraId="65D71A76" w14:textId="77777777" w:rsidTr="00610633">
        <w:trPr>
          <w:trHeight w:val="225"/>
        </w:trPr>
        <w:tc>
          <w:tcPr>
            <w:tcW w:w="3118" w:type="dxa"/>
            <w:tcBorders>
              <w:top w:val="nil"/>
              <w:left w:val="nil"/>
              <w:bottom w:val="nil"/>
              <w:right w:val="nil"/>
            </w:tcBorders>
            <w:shd w:val="clear" w:color="000000" w:fill="FFFFFF"/>
            <w:noWrap/>
            <w:vAlign w:val="center"/>
            <w:hideMark/>
          </w:tcPr>
          <w:p w14:paraId="0E3625F8" w14:textId="77777777" w:rsidR="00BA5D50" w:rsidRPr="00BA5D50" w:rsidRDefault="00BA5D50" w:rsidP="00BA5D50">
            <w:pPr>
              <w:spacing w:before="0" w:after="0" w:line="240" w:lineRule="auto"/>
              <w:ind w:firstLineChars="200" w:firstLine="320"/>
              <w:rPr>
                <w:rFonts w:ascii="Arial" w:hAnsi="Arial" w:cs="Arial"/>
                <w:i/>
                <w:iCs/>
                <w:sz w:val="16"/>
                <w:szCs w:val="16"/>
              </w:rPr>
            </w:pPr>
            <w:r w:rsidRPr="00BA5D50">
              <w:rPr>
                <w:rFonts w:ascii="Arial" w:hAnsi="Arial" w:cs="Arial"/>
                <w:i/>
                <w:iCs/>
                <w:sz w:val="16"/>
                <w:szCs w:val="16"/>
              </w:rPr>
              <w:t xml:space="preserve">General revenue assistance - </w:t>
            </w:r>
          </w:p>
        </w:tc>
        <w:tc>
          <w:tcPr>
            <w:tcW w:w="756" w:type="dxa"/>
            <w:tcBorders>
              <w:top w:val="nil"/>
              <w:left w:val="nil"/>
              <w:bottom w:val="nil"/>
              <w:right w:val="nil"/>
            </w:tcBorders>
            <w:shd w:val="clear" w:color="000000" w:fill="FFFFFF"/>
            <w:noWrap/>
            <w:vAlign w:val="center"/>
            <w:hideMark/>
          </w:tcPr>
          <w:p w14:paraId="4E5B6606" w14:textId="77777777" w:rsidR="00BA5D50" w:rsidRPr="00BA5D50" w:rsidRDefault="00BA5D50" w:rsidP="00BA5D50">
            <w:pPr>
              <w:spacing w:before="0" w:after="0" w:line="240" w:lineRule="auto"/>
              <w:rPr>
                <w:rFonts w:ascii="Arial" w:hAnsi="Arial" w:cs="Arial"/>
                <w:i/>
                <w:iCs/>
                <w:sz w:val="16"/>
                <w:szCs w:val="16"/>
              </w:rPr>
            </w:pPr>
            <w:r w:rsidRPr="00BA5D50">
              <w:rPr>
                <w:rFonts w:ascii="Arial" w:hAnsi="Arial" w:cs="Arial"/>
                <w:i/>
                <w:iCs/>
                <w:sz w:val="16"/>
                <w:szCs w:val="16"/>
              </w:rPr>
              <w:t> </w:t>
            </w:r>
          </w:p>
        </w:tc>
        <w:tc>
          <w:tcPr>
            <w:tcW w:w="76" w:type="dxa"/>
            <w:tcBorders>
              <w:top w:val="nil"/>
              <w:left w:val="nil"/>
              <w:bottom w:val="nil"/>
              <w:right w:val="nil"/>
            </w:tcBorders>
            <w:shd w:val="clear" w:color="000000" w:fill="FFFFFF"/>
            <w:noWrap/>
            <w:vAlign w:val="center"/>
            <w:hideMark/>
          </w:tcPr>
          <w:p w14:paraId="2365C03C" w14:textId="77777777" w:rsidR="00BA5D50" w:rsidRPr="00BA5D50" w:rsidRDefault="00BA5D50" w:rsidP="00BA5D50">
            <w:pPr>
              <w:spacing w:before="0" w:after="0" w:line="240" w:lineRule="auto"/>
              <w:rPr>
                <w:rFonts w:ascii="Arial" w:hAnsi="Arial" w:cs="Arial"/>
                <w:i/>
                <w:iCs/>
                <w:sz w:val="16"/>
                <w:szCs w:val="16"/>
              </w:rPr>
            </w:pPr>
            <w:r w:rsidRPr="00BA5D50">
              <w:rPr>
                <w:rFonts w:ascii="Arial" w:hAnsi="Arial" w:cs="Arial"/>
                <w:i/>
                <w:iCs/>
                <w:sz w:val="16"/>
                <w:szCs w:val="16"/>
              </w:rPr>
              <w:t> </w:t>
            </w:r>
          </w:p>
        </w:tc>
        <w:tc>
          <w:tcPr>
            <w:tcW w:w="744" w:type="dxa"/>
            <w:tcBorders>
              <w:top w:val="nil"/>
              <w:left w:val="nil"/>
              <w:bottom w:val="nil"/>
              <w:right w:val="nil"/>
            </w:tcBorders>
            <w:shd w:val="clear" w:color="000000" w:fill="FFFFFF"/>
            <w:noWrap/>
            <w:vAlign w:val="center"/>
            <w:hideMark/>
          </w:tcPr>
          <w:p w14:paraId="118C7F4A" w14:textId="77777777" w:rsidR="00BA5D50" w:rsidRPr="00BA5D50" w:rsidRDefault="00BA5D50" w:rsidP="00BA5D50">
            <w:pPr>
              <w:spacing w:before="0" w:after="0" w:line="240" w:lineRule="auto"/>
              <w:rPr>
                <w:rFonts w:ascii="Arial" w:hAnsi="Arial" w:cs="Arial"/>
                <w:i/>
                <w:iCs/>
                <w:sz w:val="16"/>
                <w:szCs w:val="16"/>
              </w:rPr>
            </w:pPr>
            <w:r w:rsidRPr="00BA5D50">
              <w:rPr>
                <w:rFonts w:ascii="Arial" w:hAnsi="Arial" w:cs="Arial"/>
                <w:i/>
                <w:iCs/>
                <w:sz w:val="16"/>
                <w:szCs w:val="16"/>
              </w:rPr>
              <w:t> </w:t>
            </w:r>
          </w:p>
        </w:tc>
        <w:tc>
          <w:tcPr>
            <w:tcW w:w="743" w:type="dxa"/>
            <w:tcBorders>
              <w:top w:val="nil"/>
              <w:left w:val="nil"/>
              <w:bottom w:val="nil"/>
              <w:right w:val="nil"/>
            </w:tcBorders>
            <w:shd w:val="clear" w:color="000000" w:fill="E6F2FF"/>
            <w:noWrap/>
            <w:vAlign w:val="center"/>
            <w:hideMark/>
          </w:tcPr>
          <w:p w14:paraId="55FBE3EB" w14:textId="77777777" w:rsidR="00BA5D50" w:rsidRPr="00BA5D50" w:rsidRDefault="00BA5D50" w:rsidP="00BA5D50">
            <w:pPr>
              <w:spacing w:before="0" w:after="0" w:line="240" w:lineRule="auto"/>
              <w:rPr>
                <w:rFonts w:ascii="Arial" w:hAnsi="Arial" w:cs="Arial"/>
                <w:i/>
                <w:iCs/>
                <w:sz w:val="16"/>
                <w:szCs w:val="16"/>
              </w:rPr>
            </w:pPr>
            <w:r w:rsidRPr="00BA5D50">
              <w:rPr>
                <w:rFonts w:ascii="Arial" w:hAnsi="Arial" w:cs="Arial"/>
                <w:i/>
                <w:iCs/>
                <w:sz w:val="16"/>
                <w:szCs w:val="16"/>
              </w:rPr>
              <w:t> </w:t>
            </w:r>
          </w:p>
        </w:tc>
        <w:tc>
          <w:tcPr>
            <w:tcW w:w="743" w:type="dxa"/>
            <w:tcBorders>
              <w:top w:val="nil"/>
              <w:left w:val="nil"/>
              <w:bottom w:val="nil"/>
              <w:right w:val="nil"/>
            </w:tcBorders>
            <w:shd w:val="clear" w:color="000000" w:fill="FFFFFF"/>
            <w:noWrap/>
            <w:vAlign w:val="center"/>
            <w:hideMark/>
          </w:tcPr>
          <w:p w14:paraId="3B638464" w14:textId="77777777" w:rsidR="00BA5D50" w:rsidRPr="00BA5D50" w:rsidRDefault="00BA5D50" w:rsidP="00BA5D50">
            <w:pPr>
              <w:spacing w:before="0" w:after="0" w:line="240" w:lineRule="auto"/>
              <w:rPr>
                <w:rFonts w:ascii="Arial" w:hAnsi="Arial" w:cs="Arial"/>
                <w:i/>
                <w:iCs/>
                <w:sz w:val="16"/>
                <w:szCs w:val="16"/>
              </w:rPr>
            </w:pPr>
            <w:r w:rsidRPr="00BA5D50">
              <w:rPr>
                <w:rFonts w:ascii="Arial" w:hAnsi="Arial" w:cs="Arial"/>
                <w:i/>
                <w:iCs/>
                <w:sz w:val="16"/>
                <w:szCs w:val="16"/>
              </w:rPr>
              <w:t> </w:t>
            </w:r>
          </w:p>
        </w:tc>
        <w:tc>
          <w:tcPr>
            <w:tcW w:w="743" w:type="dxa"/>
            <w:tcBorders>
              <w:top w:val="nil"/>
              <w:left w:val="nil"/>
              <w:bottom w:val="nil"/>
              <w:right w:val="nil"/>
            </w:tcBorders>
            <w:shd w:val="clear" w:color="000000" w:fill="FFFFFF"/>
            <w:noWrap/>
            <w:vAlign w:val="center"/>
            <w:hideMark/>
          </w:tcPr>
          <w:p w14:paraId="73DAB7E2" w14:textId="77777777" w:rsidR="00BA5D50" w:rsidRPr="00BA5D50" w:rsidRDefault="00BA5D50" w:rsidP="00BA5D50">
            <w:pPr>
              <w:spacing w:before="0" w:after="0" w:line="240" w:lineRule="auto"/>
              <w:rPr>
                <w:rFonts w:ascii="Arial" w:hAnsi="Arial" w:cs="Arial"/>
                <w:i/>
                <w:iCs/>
                <w:sz w:val="16"/>
                <w:szCs w:val="16"/>
              </w:rPr>
            </w:pPr>
            <w:r w:rsidRPr="00BA5D50">
              <w:rPr>
                <w:rFonts w:ascii="Arial" w:hAnsi="Arial" w:cs="Arial"/>
                <w:i/>
                <w:iCs/>
                <w:sz w:val="16"/>
                <w:szCs w:val="16"/>
              </w:rPr>
              <w:t> </w:t>
            </w:r>
          </w:p>
        </w:tc>
        <w:tc>
          <w:tcPr>
            <w:tcW w:w="743" w:type="dxa"/>
            <w:tcBorders>
              <w:top w:val="nil"/>
              <w:left w:val="nil"/>
              <w:bottom w:val="nil"/>
              <w:right w:val="nil"/>
            </w:tcBorders>
            <w:shd w:val="clear" w:color="000000" w:fill="FFFFFF"/>
            <w:noWrap/>
            <w:vAlign w:val="center"/>
            <w:hideMark/>
          </w:tcPr>
          <w:p w14:paraId="28CD44DA" w14:textId="77777777" w:rsidR="00BA5D50" w:rsidRPr="00BA5D50" w:rsidRDefault="00BA5D50" w:rsidP="00BA5D50">
            <w:pPr>
              <w:spacing w:before="0" w:after="0" w:line="240" w:lineRule="auto"/>
              <w:rPr>
                <w:rFonts w:ascii="Arial" w:hAnsi="Arial" w:cs="Arial"/>
                <w:i/>
                <w:iCs/>
                <w:sz w:val="16"/>
                <w:szCs w:val="16"/>
              </w:rPr>
            </w:pPr>
            <w:r w:rsidRPr="00BA5D50">
              <w:rPr>
                <w:rFonts w:ascii="Arial" w:hAnsi="Arial" w:cs="Arial"/>
                <w:i/>
                <w:iCs/>
                <w:sz w:val="16"/>
                <w:szCs w:val="16"/>
              </w:rPr>
              <w:t> </w:t>
            </w:r>
          </w:p>
        </w:tc>
      </w:tr>
      <w:tr w:rsidR="00BA5D50" w:rsidRPr="00BA5D50" w14:paraId="46E7A42D" w14:textId="77777777" w:rsidTr="00610633">
        <w:trPr>
          <w:trHeight w:val="225"/>
        </w:trPr>
        <w:tc>
          <w:tcPr>
            <w:tcW w:w="3118" w:type="dxa"/>
            <w:tcBorders>
              <w:top w:val="nil"/>
              <w:left w:val="nil"/>
              <w:bottom w:val="nil"/>
              <w:right w:val="nil"/>
            </w:tcBorders>
            <w:shd w:val="clear" w:color="000000" w:fill="FFFFFF"/>
            <w:noWrap/>
            <w:vAlign w:val="center"/>
            <w:hideMark/>
          </w:tcPr>
          <w:p w14:paraId="081F14B6" w14:textId="77777777" w:rsidR="00BA5D50" w:rsidRPr="00BA5D50" w:rsidRDefault="00BA5D50" w:rsidP="00BA5D50">
            <w:pPr>
              <w:spacing w:before="0" w:after="0" w:line="240" w:lineRule="auto"/>
              <w:ind w:firstLineChars="300" w:firstLine="480"/>
              <w:rPr>
                <w:rFonts w:ascii="Arial" w:hAnsi="Arial" w:cs="Arial"/>
                <w:i/>
                <w:iCs/>
                <w:sz w:val="16"/>
                <w:szCs w:val="16"/>
              </w:rPr>
            </w:pPr>
            <w:r w:rsidRPr="00BA5D50">
              <w:rPr>
                <w:rFonts w:ascii="Arial" w:hAnsi="Arial" w:cs="Arial"/>
                <w:i/>
                <w:iCs/>
                <w:sz w:val="16"/>
                <w:szCs w:val="16"/>
              </w:rPr>
              <w:t>states and territories</w:t>
            </w:r>
          </w:p>
        </w:tc>
        <w:tc>
          <w:tcPr>
            <w:tcW w:w="756" w:type="dxa"/>
            <w:tcBorders>
              <w:top w:val="nil"/>
              <w:left w:val="nil"/>
              <w:bottom w:val="nil"/>
              <w:right w:val="nil"/>
            </w:tcBorders>
            <w:shd w:val="clear" w:color="000000" w:fill="FFFFFF"/>
            <w:noWrap/>
            <w:vAlign w:val="center"/>
            <w:hideMark/>
          </w:tcPr>
          <w:p w14:paraId="2B6A368D" w14:textId="77777777" w:rsidR="00BA5D50" w:rsidRPr="00BA5D50" w:rsidRDefault="00BA5D50" w:rsidP="00BA5D50">
            <w:pPr>
              <w:spacing w:before="0" w:after="0" w:line="240" w:lineRule="auto"/>
              <w:jc w:val="right"/>
              <w:rPr>
                <w:rFonts w:ascii="Arial" w:hAnsi="Arial" w:cs="Arial"/>
                <w:i/>
                <w:iCs/>
                <w:sz w:val="16"/>
                <w:szCs w:val="16"/>
              </w:rPr>
            </w:pPr>
            <w:r w:rsidRPr="00BA5D50">
              <w:rPr>
                <w:rFonts w:ascii="Arial" w:hAnsi="Arial" w:cs="Arial"/>
                <w:i/>
                <w:iCs/>
                <w:sz w:val="16"/>
                <w:szCs w:val="16"/>
              </w:rPr>
              <w:t>87,618</w:t>
            </w:r>
          </w:p>
        </w:tc>
        <w:tc>
          <w:tcPr>
            <w:tcW w:w="76" w:type="dxa"/>
            <w:tcBorders>
              <w:top w:val="nil"/>
              <w:left w:val="nil"/>
              <w:bottom w:val="nil"/>
              <w:right w:val="nil"/>
            </w:tcBorders>
            <w:shd w:val="clear" w:color="000000" w:fill="FFFFFF"/>
            <w:noWrap/>
            <w:vAlign w:val="center"/>
            <w:hideMark/>
          </w:tcPr>
          <w:p w14:paraId="24BB8E0D" w14:textId="77777777" w:rsidR="00BA5D50" w:rsidRPr="00BA5D50" w:rsidRDefault="00BA5D50" w:rsidP="00BA5D50">
            <w:pPr>
              <w:spacing w:before="0" w:after="0" w:line="240" w:lineRule="auto"/>
              <w:rPr>
                <w:rFonts w:ascii="Arial" w:hAnsi="Arial" w:cs="Arial"/>
                <w:i/>
                <w:iCs/>
                <w:sz w:val="16"/>
                <w:szCs w:val="16"/>
              </w:rPr>
            </w:pPr>
            <w:r w:rsidRPr="00BA5D50">
              <w:rPr>
                <w:rFonts w:ascii="Arial" w:hAnsi="Arial" w:cs="Arial"/>
                <w:i/>
                <w:iCs/>
                <w:sz w:val="16"/>
                <w:szCs w:val="16"/>
              </w:rPr>
              <w:t> </w:t>
            </w:r>
          </w:p>
        </w:tc>
        <w:tc>
          <w:tcPr>
            <w:tcW w:w="744" w:type="dxa"/>
            <w:tcBorders>
              <w:top w:val="nil"/>
              <w:left w:val="nil"/>
              <w:bottom w:val="nil"/>
              <w:right w:val="nil"/>
            </w:tcBorders>
            <w:shd w:val="clear" w:color="000000" w:fill="FFFFFF"/>
            <w:noWrap/>
            <w:vAlign w:val="center"/>
            <w:hideMark/>
          </w:tcPr>
          <w:p w14:paraId="4A453F7F" w14:textId="77777777" w:rsidR="00BA5D50" w:rsidRPr="00BA5D50" w:rsidRDefault="00BA5D50" w:rsidP="00BA5D50">
            <w:pPr>
              <w:spacing w:before="0" w:after="0" w:line="240" w:lineRule="auto"/>
              <w:jc w:val="right"/>
              <w:rPr>
                <w:rFonts w:ascii="Arial" w:hAnsi="Arial" w:cs="Arial"/>
                <w:i/>
                <w:iCs/>
                <w:sz w:val="16"/>
                <w:szCs w:val="16"/>
              </w:rPr>
            </w:pPr>
            <w:r w:rsidRPr="00BA5D50">
              <w:rPr>
                <w:rFonts w:ascii="Arial" w:hAnsi="Arial" w:cs="Arial"/>
                <w:i/>
                <w:iCs/>
                <w:sz w:val="16"/>
                <w:szCs w:val="16"/>
              </w:rPr>
              <w:t>92,107</w:t>
            </w:r>
          </w:p>
        </w:tc>
        <w:tc>
          <w:tcPr>
            <w:tcW w:w="743" w:type="dxa"/>
            <w:tcBorders>
              <w:top w:val="nil"/>
              <w:left w:val="nil"/>
              <w:bottom w:val="nil"/>
              <w:right w:val="nil"/>
            </w:tcBorders>
            <w:shd w:val="clear" w:color="000000" w:fill="E6F2FF"/>
            <w:noWrap/>
            <w:vAlign w:val="center"/>
            <w:hideMark/>
          </w:tcPr>
          <w:p w14:paraId="5DA1BC82" w14:textId="77777777" w:rsidR="00BA5D50" w:rsidRPr="00BA5D50" w:rsidRDefault="00BA5D50" w:rsidP="00BA5D50">
            <w:pPr>
              <w:spacing w:before="0" w:after="0" w:line="240" w:lineRule="auto"/>
              <w:jc w:val="right"/>
              <w:rPr>
                <w:rFonts w:ascii="Arial" w:hAnsi="Arial" w:cs="Arial"/>
                <w:i/>
                <w:iCs/>
                <w:sz w:val="16"/>
                <w:szCs w:val="16"/>
              </w:rPr>
            </w:pPr>
            <w:r w:rsidRPr="00BA5D50">
              <w:rPr>
                <w:rFonts w:ascii="Arial" w:hAnsi="Arial" w:cs="Arial"/>
                <w:i/>
                <w:iCs/>
                <w:sz w:val="16"/>
                <w:szCs w:val="16"/>
              </w:rPr>
              <w:t>94,412</w:t>
            </w:r>
          </w:p>
        </w:tc>
        <w:tc>
          <w:tcPr>
            <w:tcW w:w="743" w:type="dxa"/>
            <w:tcBorders>
              <w:top w:val="nil"/>
              <w:left w:val="nil"/>
              <w:bottom w:val="nil"/>
              <w:right w:val="nil"/>
            </w:tcBorders>
            <w:shd w:val="clear" w:color="000000" w:fill="FFFFFF"/>
            <w:noWrap/>
            <w:vAlign w:val="center"/>
            <w:hideMark/>
          </w:tcPr>
          <w:p w14:paraId="20C9AB1C" w14:textId="77777777" w:rsidR="00BA5D50" w:rsidRPr="00BA5D50" w:rsidRDefault="00BA5D50" w:rsidP="00BA5D50">
            <w:pPr>
              <w:spacing w:before="0" w:after="0" w:line="240" w:lineRule="auto"/>
              <w:jc w:val="right"/>
              <w:rPr>
                <w:rFonts w:ascii="Arial" w:hAnsi="Arial" w:cs="Arial"/>
                <w:i/>
                <w:iCs/>
                <w:sz w:val="16"/>
                <w:szCs w:val="16"/>
              </w:rPr>
            </w:pPr>
            <w:r w:rsidRPr="00BA5D50">
              <w:rPr>
                <w:rFonts w:ascii="Arial" w:hAnsi="Arial" w:cs="Arial"/>
                <w:i/>
                <w:iCs/>
                <w:sz w:val="16"/>
                <w:szCs w:val="16"/>
              </w:rPr>
              <w:t>99,241</w:t>
            </w:r>
          </w:p>
        </w:tc>
        <w:tc>
          <w:tcPr>
            <w:tcW w:w="743" w:type="dxa"/>
            <w:tcBorders>
              <w:top w:val="nil"/>
              <w:left w:val="nil"/>
              <w:bottom w:val="nil"/>
              <w:right w:val="nil"/>
            </w:tcBorders>
            <w:shd w:val="clear" w:color="000000" w:fill="FFFFFF"/>
            <w:noWrap/>
            <w:vAlign w:val="center"/>
            <w:hideMark/>
          </w:tcPr>
          <w:p w14:paraId="73B60984" w14:textId="77777777" w:rsidR="00BA5D50" w:rsidRPr="00BA5D50" w:rsidRDefault="00BA5D50" w:rsidP="00BA5D50">
            <w:pPr>
              <w:spacing w:before="0" w:after="0" w:line="240" w:lineRule="auto"/>
              <w:jc w:val="right"/>
              <w:rPr>
                <w:rFonts w:ascii="Arial" w:hAnsi="Arial" w:cs="Arial"/>
                <w:i/>
                <w:iCs/>
                <w:sz w:val="16"/>
                <w:szCs w:val="16"/>
              </w:rPr>
            </w:pPr>
            <w:r w:rsidRPr="00BA5D50">
              <w:rPr>
                <w:rFonts w:ascii="Arial" w:hAnsi="Arial" w:cs="Arial"/>
                <w:i/>
                <w:iCs/>
                <w:sz w:val="16"/>
                <w:szCs w:val="16"/>
              </w:rPr>
              <w:t>104,771</w:t>
            </w:r>
          </w:p>
        </w:tc>
        <w:tc>
          <w:tcPr>
            <w:tcW w:w="743" w:type="dxa"/>
            <w:tcBorders>
              <w:top w:val="nil"/>
              <w:left w:val="nil"/>
              <w:bottom w:val="nil"/>
              <w:right w:val="nil"/>
            </w:tcBorders>
            <w:shd w:val="clear" w:color="000000" w:fill="FFFFFF"/>
            <w:noWrap/>
            <w:vAlign w:val="center"/>
            <w:hideMark/>
          </w:tcPr>
          <w:p w14:paraId="2997FD92" w14:textId="77777777" w:rsidR="00BA5D50" w:rsidRPr="00BA5D50" w:rsidRDefault="00BA5D50" w:rsidP="00BA5D50">
            <w:pPr>
              <w:spacing w:before="0" w:after="0" w:line="240" w:lineRule="auto"/>
              <w:jc w:val="right"/>
              <w:rPr>
                <w:rFonts w:ascii="Arial" w:hAnsi="Arial" w:cs="Arial"/>
                <w:i/>
                <w:iCs/>
                <w:sz w:val="16"/>
                <w:szCs w:val="16"/>
              </w:rPr>
            </w:pPr>
            <w:r w:rsidRPr="00BA5D50">
              <w:rPr>
                <w:rFonts w:ascii="Arial" w:hAnsi="Arial" w:cs="Arial"/>
                <w:i/>
                <w:iCs/>
                <w:sz w:val="16"/>
                <w:szCs w:val="16"/>
              </w:rPr>
              <w:t>109,243</w:t>
            </w:r>
          </w:p>
        </w:tc>
      </w:tr>
      <w:tr w:rsidR="00BA5D50" w:rsidRPr="00BA5D50" w14:paraId="72612370" w14:textId="77777777" w:rsidTr="00610633">
        <w:trPr>
          <w:trHeight w:val="225"/>
        </w:trPr>
        <w:tc>
          <w:tcPr>
            <w:tcW w:w="3118" w:type="dxa"/>
            <w:tcBorders>
              <w:top w:val="nil"/>
              <w:left w:val="nil"/>
              <w:bottom w:val="nil"/>
              <w:right w:val="nil"/>
            </w:tcBorders>
            <w:shd w:val="clear" w:color="000000" w:fill="FFFFFF"/>
            <w:noWrap/>
            <w:vAlign w:val="center"/>
            <w:hideMark/>
          </w:tcPr>
          <w:p w14:paraId="3F923FE5" w14:textId="77777777" w:rsidR="00BA5D50" w:rsidRPr="00BA5D50" w:rsidRDefault="00BA5D50" w:rsidP="00BA5D50">
            <w:pPr>
              <w:spacing w:before="0" w:after="0" w:line="240" w:lineRule="auto"/>
              <w:ind w:firstLineChars="200" w:firstLine="320"/>
              <w:rPr>
                <w:rFonts w:ascii="Arial" w:hAnsi="Arial" w:cs="Arial"/>
                <w:i/>
                <w:iCs/>
                <w:sz w:val="16"/>
                <w:szCs w:val="16"/>
              </w:rPr>
            </w:pPr>
            <w:r w:rsidRPr="00BA5D50">
              <w:rPr>
                <w:rFonts w:ascii="Arial" w:hAnsi="Arial" w:cs="Arial"/>
                <w:i/>
                <w:iCs/>
                <w:sz w:val="16"/>
                <w:szCs w:val="16"/>
              </w:rPr>
              <w:t>Local government assistance</w:t>
            </w:r>
          </w:p>
        </w:tc>
        <w:tc>
          <w:tcPr>
            <w:tcW w:w="756" w:type="dxa"/>
            <w:tcBorders>
              <w:top w:val="nil"/>
              <w:left w:val="nil"/>
              <w:bottom w:val="nil"/>
              <w:right w:val="nil"/>
            </w:tcBorders>
            <w:shd w:val="clear" w:color="000000" w:fill="FFFFFF"/>
            <w:noWrap/>
            <w:vAlign w:val="center"/>
            <w:hideMark/>
          </w:tcPr>
          <w:p w14:paraId="68A9FD18" w14:textId="77777777" w:rsidR="00BA5D50" w:rsidRPr="00BA5D50" w:rsidRDefault="00BA5D50" w:rsidP="00BA5D50">
            <w:pPr>
              <w:spacing w:before="0" w:after="0" w:line="240" w:lineRule="auto"/>
              <w:jc w:val="right"/>
              <w:rPr>
                <w:rFonts w:ascii="Arial" w:hAnsi="Arial" w:cs="Arial"/>
                <w:i/>
                <w:iCs/>
                <w:sz w:val="16"/>
                <w:szCs w:val="16"/>
              </w:rPr>
            </w:pPr>
            <w:r w:rsidRPr="00BA5D50">
              <w:rPr>
                <w:rFonts w:ascii="Arial" w:hAnsi="Arial" w:cs="Arial"/>
                <w:i/>
                <w:iCs/>
                <w:sz w:val="16"/>
                <w:szCs w:val="16"/>
              </w:rPr>
              <w:t>4,458</w:t>
            </w:r>
          </w:p>
        </w:tc>
        <w:tc>
          <w:tcPr>
            <w:tcW w:w="76" w:type="dxa"/>
            <w:tcBorders>
              <w:top w:val="nil"/>
              <w:left w:val="nil"/>
              <w:bottom w:val="nil"/>
              <w:right w:val="nil"/>
            </w:tcBorders>
            <w:shd w:val="clear" w:color="000000" w:fill="FFFFFF"/>
            <w:noWrap/>
            <w:vAlign w:val="center"/>
            <w:hideMark/>
          </w:tcPr>
          <w:p w14:paraId="5C5F77CE" w14:textId="77777777" w:rsidR="00BA5D50" w:rsidRPr="00BA5D50" w:rsidRDefault="00BA5D50" w:rsidP="00BA5D50">
            <w:pPr>
              <w:spacing w:before="0" w:after="0" w:line="240" w:lineRule="auto"/>
              <w:rPr>
                <w:rFonts w:ascii="Arial" w:hAnsi="Arial" w:cs="Arial"/>
                <w:i/>
                <w:iCs/>
                <w:sz w:val="16"/>
                <w:szCs w:val="16"/>
              </w:rPr>
            </w:pPr>
            <w:r w:rsidRPr="00BA5D50">
              <w:rPr>
                <w:rFonts w:ascii="Arial" w:hAnsi="Arial" w:cs="Arial"/>
                <w:i/>
                <w:iCs/>
                <w:sz w:val="16"/>
                <w:szCs w:val="16"/>
              </w:rPr>
              <w:t> </w:t>
            </w:r>
          </w:p>
        </w:tc>
        <w:tc>
          <w:tcPr>
            <w:tcW w:w="744" w:type="dxa"/>
            <w:tcBorders>
              <w:top w:val="nil"/>
              <w:left w:val="nil"/>
              <w:bottom w:val="nil"/>
              <w:right w:val="nil"/>
            </w:tcBorders>
            <w:shd w:val="clear" w:color="000000" w:fill="FFFFFF"/>
            <w:noWrap/>
            <w:vAlign w:val="center"/>
            <w:hideMark/>
          </w:tcPr>
          <w:p w14:paraId="5583FDDD" w14:textId="77777777" w:rsidR="00BA5D50" w:rsidRPr="00BA5D50" w:rsidRDefault="00BA5D50" w:rsidP="00BA5D50">
            <w:pPr>
              <w:spacing w:before="0" w:after="0" w:line="240" w:lineRule="auto"/>
              <w:jc w:val="right"/>
              <w:rPr>
                <w:rFonts w:ascii="Arial" w:hAnsi="Arial" w:cs="Arial"/>
                <w:i/>
                <w:iCs/>
                <w:sz w:val="16"/>
                <w:szCs w:val="16"/>
              </w:rPr>
            </w:pPr>
            <w:r w:rsidRPr="00BA5D50">
              <w:rPr>
                <w:rFonts w:ascii="Arial" w:hAnsi="Arial" w:cs="Arial"/>
                <w:i/>
                <w:iCs/>
                <w:sz w:val="16"/>
                <w:szCs w:val="16"/>
              </w:rPr>
              <w:t>810</w:t>
            </w:r>
          </w:p>
        </w:tc>
        <w:tc>
          <w:tcPr>
            <w:tcW w:w="743" w:type="dxa"/>
            <w:tcBorders>
              <w:top w:val="nil"/>
              <w:left w:val="nil"/>
              <w:bottom w:val="nil"/>
              <w:right w:val="nil"/>
            </w:tcBorders>
            <w:shd w:val="clear" w:color="000000" w:fill="E6F2FF"/>
            <w:noWrap/>
            <w:vAlign w:val="center"/>
            <w:hideMark/>
          </w:tcPr>
          <w:p w14:paraId="43AEF3EE" w14:textId="77777777" w:rsidR="00BA5D50" w:rsidRPr="00BA5D50" w:rsidRDefault="00BA5D50" w:rsidP="00BA5D50">
            <w:pPr>
              <w:spacing w:before="0" w:after="0" w:line="240" w:lineRule="auto"/>
              <w:jc w:val="right"/>
              <w:rPr>
                <w:rFonts w:ascii="Arial" w:hAnsi="Arial" w:cs="Arial"/>
                <w:i/>
                <w:iCs/>
                <w:sz w:val="16"/>
                <w:szCs w:val="16"/>
              </w:rPr>
            </w:pPr>
            <w:r w:rsidRPr="00BA5D50">
              <w:rPr>
                <w:rFonts w:ascii="Arial" w:hAnsi="Arial" w:cs="Arial"/>
                <w:i/>
                <w:iCs/>
                <w:sz w:val="16"/>
                <w:szCs w:val="16"/>
              </w:rPr>
              <w:t>3,583</w:t>
            </w:r>
          </w:p>
        </w:tc>
        <w:tc>
          <w:tcPr>
            <w:tcW w:w="743" w:type="dxa"/>
            <w:tcBorders>
              <w:top w:val="nil"/>
              <w:left w:val="nil"/>
              <w:bottom w:val="nil"/>
              <w:right w:val="nil"/>
            </w:tcBorders>
            <w:shd w:val="clear" w:color="000000" w:fill="FFFFFF"/>
            <w:noWrap/>
            <w:vAlign w:val="center"/>
            <w:hideMark/>
          </w:tcPr>
          <w:p w14:paraId="29D0D9D6" w14:textId="77777777" w:rsidR="00BA5D50" w:rsidRPr="00BA5D50" w:rsidRDefault="00BA5D50" w:rsidP="00BA5D50">
            <w:pPr>
              <w:spacing w:before="0" w:after="0" w:line="240" w:lineRule="auto"/>
              <w:jc w:val="right"/>
              <w:rPr>
                <w:rFonts w:ascii="Arial" w:hAnsi="Arial" w:cs="Arial"/>
                <w:i/>
                <w:iCs/>
                <w:sz w:val="16"/>
                <w:szCs w:val="16"/>
              </w:rPr>
            </w:pPr>
            <w:r w:rsidRPr="00BA5D50">
              <w:rPr>
                <w:rFonts w:ascii="Arial" w:hAnsi="Arial" w:cs="Arial"/>
                <w:i/>
                <w:iCs/>
                <w:sz w:val="16"/>
                <w:szCs w:val="16"/>
              </w:rPr>
              <w:t>3,696</w:t>
            </w:r>
          </w:p>
        </w:tc>
        <w:tc>
          <w:tcPr>
            <w:tcW w:w="743" w:type="dxa"/>
            <w:tcBorders>
              <w:top w:val="nil"/>
              <w:left w:val="nil"/>
              <w:bottom w:val="nil"/>
              <w:right w:val="nil"/>
            </w:tcBorders>
            <w:shd w:val="clear" w:color="000000" w:fill="FFFFFF"/>
            <w:noWrap/>
            <w:vAlign w:val="center"/>
            <w:hideMark/>
          </w:tcPr>
          <w:p w14:paraId="4C41C18E" w14:textId="77777777" w:rsidR="00BA5D50" w:rsidRPr="00BA5D50" w:rsidRDefault="00BA5D50" w:rsidP="00BA5D50">
            <w:pPr>
              <w:spacing w:before="0" w:after="0" w:line="240" w:lineRule="auto"/>
              <w:jc w:val="right"/>
              <w:rPr>
                <w:rFonts w:ascii="Arial" w:hAnsi="Arial" w:cs="Arial"/>
                <w:i/>
                <w:iCs/>
                <w:sz w:val="16"/>
                <w:szCs w:val="16"/>
              </w:rPr>
            </w:pPr>
            <w:r w:rsidRPr="00BA5D50">
              <w:rPr>
                <w:rFonts w:ascii="Arial" w:hAnsi="Arial" w:cs="Arial"/>
                <w:i/>
                <w:iCs/>
                <w:sz w:val="16"/>
                <w:szCs w:val="16"/>
              </w:rPr>
              <w:t>3,558</w:t>
            </w:r>
          </w:p>
        </w:tc>
        <w:tc>
          <w:tcPr>
            <w:tcW w:w="743" w:type="dxa"/>
            <w:tcBorders>
              <w:top w:val="nil"/>
              <w:left w:val="nil"/>
              <w:bottom w:val="nil"/>
              <w:right w:val="nil"/>
            </w:tcBorders>
            <w:shd w:val="clear" w:color="000000" w:fill="FFFFFF"/>
            <w:noWrap/>
            <w:vAlign w:val="center"/>
            <w:hideMark/>
          </w:tcPr>
          <w:p w14:paraId="11AB441F" w14:textId="77777777" w:rsidR="00BA5D50" w:rsidRPr="00BA5D50" w:rsidRDefault="00BA5D50" w:rsidP="00BA5D50">
            <w:pPr>
              <w:spacing w:before="0" w:after="0" w:line="240" w:lineRule="auto"/>
              <w:jc w:val="right"/>
              <w:rPr>
                <w:rFonts w:ascii="Arial" w:hAnsi="Arial" w:cs="Arial"/>
                <w:i/>
                <w:iCs/>
                <w:sz w:val="16"/>
                <w:szCs w:val="16"/>
              </w:rPr>
            </w:pPr>
            <w:r w:rsidRPr="00BA5D50">
              <w:rPr>
                <w:rFonts w:ascii="Arial" w:hAnsi="Arial" w:cs="Arial"/>
                <w:i/>
                <w:iCs/>
                <w:sz w:val="16"/>
                <w:szCs w:val="16"/>
              </w:rPr>
              <w:t>3,697</w:t>
            </w:r>
          </w:p>
        </w:tc>
      </w:tr>
      <w:tr w:rsidR="00BA5D50" w:rsidRPr="00BA5D50" w14:paraId="437AB8A6" w14:textId="77777777" w:rsidTr="005B013C">
        <w:trPr>
          <w:trHeight w:val="225"/>
        </w:trPr>
        <w:tc>
          <w:tcPr>
            <w:tcW w:w="3118" w:type="dxa"/>
            <w:tcBorders>
              <w:top w:val="nil"/>
              <w:left w:val="nil"/>
              <w:bottom w:val="nil"/>
              <w:right w:val="nil"/>
            </w:tcBorders>
            <w:shd w:val="clear" w:color="000000" w:fill="FFFFFF"/>
            <w:noWrap/>
            <w:vAlign w:val="center"/>
            <w:hideMark/>
          </w:tcPr>
          <w:p w14:paraId="13997926" w14:textId="77777777" w:rsidR="00BA5D50" w:rsidRPr="00BA5D50" w:rsidRDefault="00BA5D50" w:rsidP="00BA5D50">
            <w:pPr>
              <w:spacing w:before="0" w:after="0" w:line="240" w:lineRule="auto"/>
              <w:ind w:firstLineChars="100" w:firstLine="160"/>
              <w:rPr>
                <w:rFonts w:ascii="Arial" w:hAnsi="Arial" w:cs="Arial"/>
                <w:color w:val="000000"/>
                <w:sz w:val="16"/>
                <w:szCs w:val="16"/>
              </w:rPr>
            </w:pPr>
            <w:r w:rsidRPr="00BA5D50">
              <w:rPr>
                <w:rFonts w:ascii="Arial" w:hAnsi="Arial" w:cs="Arial"/>
                <w:color w:val="000000"/>
                <w:sz w:val="16"/>
                <w:szCs w:val="16"/>
              </w:rPr>
              <w:t>Natural disaster relief</w:t>
            </w:r>
          </w:p>
        </w:tc>
        <w:tc>
          <w:tcPr>
            <w:tcW w:w="756" w:type="dxa"/>
            <w:tcBorders>
              <w:top w:val="nil"/>
              <w:left w:val="nil"/>
              <w:bottom w:val="nil"/>
              <w:right w:val="nil"/>
            </w:tcBorders>
            <w:shd w:val="clear" w:color="000000" w:fill="FFFFFF"/>
            <w:noWrap/>
            <w:vAlign w:val="center"/>
            <w:hideMark/>
          </w:tcPr>
          <w:p w14:paraId="01C96B38" w14:textId="77777777" w:rsidR="00BA5D50" w:rsidRPr="00BA5D50" w:rsidRDefault="00BA5D50" w:rsidP="00BA5D50">
            <w:pPr>
              <w:spacing w:before="0" w:after="0" w:line="240" w:lineRule="auto"/>
              <w:jc w:val="right"/>
              <w:rPr>
                <w:rFonts w:ascii="Arial" w:hAnsi="Arial" w:cs="Arial"/>
                <w:color w:val="000000"/>
                <w:sz w:val="16"/>
                <w:szCs w:val="16"/>
              </w:rPr>
            </w:pPr>
            <w:r w:rsidRPr="00BA5D50">
              <w:rPr>
                <w:rFonts w:ascii="Arial" w:hAnsi="Arial" w:cs="Arial"/>
                <w:color w:val="000000"/>
                <w:sz w:val="16"/>
                <w:szCs w:val="16"/>
              </w:rPr>
              <w:t>3,600</w:t>
            </w:r>
          </w:p>
        </w:tc>
        <w:tc>
          <w:tcPr>
            <w:tcW w:w="76" w:type="dxa"/>
            <w:tcBorders>
              <w:top w:val="nil"/>
              <w:left w:val="nil"/>
              <w:right w:val="nil"/>
            </w:tcBorders>
            <w:shd w:val="clear" w:color="000000" w:fill="FFFFFF"/>
            <w:noWrap/>
            <w:vAlign w:val="center"/>
            <w:hideMark/>
          </w:tcPr>
          <w:p w14:paraId="2722F09A" w14:textId="77777777" w:rsidR="00BA5D50" w:rsidRPr="00BA5D50" w:rsidRDefault="00BA5D50" w:rsidP="00BA5D50">
            <w:pPr>
              <w:spacing w:before="0" w:after="0" w:line="240" w:lineRule="auto"/>
              <w:rPr>
                <w:rFonts w:ascii="Arial" w:hAnsi="Arial" w:cs="Arial"/>
                <w:color w:val="000000"/>
                <w:sz w:val="16"/>
                <w:szCs w:val="16"/>
              </w:rPr>
            </w:pPr>
            <w:r w:rsidRPr="00BA5D50">
              <w:rPr>
                <w:rFonts w:ascii="Arial" w:hAnsi="Arial" w:cs="Arial"/>
                <w:color w:val="000000"/>
                <w:sz w:val="16"/>
                <w:szCs w:val="16"/>
              </w:rPr>
              <w:t> </w:t>
            </w:r>
          </w:p>
        </w:tc>
        <w:tc>
          <w:tcPr>
            <w:tcW w:w="744" w:type="dxa"/>
            <w:tcBorders>
              <w:top w:val="nil"/>
              <w:left w:val="nil"/>
              <w:bottom w:val="nil"/>
              <w:right w:val="nil"/>
            </w:tcBorders>
            <w:shd w:val="clear" w:color="000000" w:fill="FFFFFF"/>
            <w:noWrap/>
            <w:vAlign w:val="center"/>
            <w:hideMark/>
          </w:tcPr>
          <w:p w14:paraId="027512B4" w14:textId="77777777" w:rsidR="00BA5D50" w:rsidRPr="00BA5D50" w:rsidRDefault="00BA5D50" w:rsidP="00BA5D50">
            <w:pPr>
              <w:spacing w:before="0" w:after="0" w:line="240" w:lineRule="auto"/>
              <w:jc w:val="right"/>
              <w:rPr>
                <w:rFonts w:ascii="Arial" w:hAnsi="Arial" w:cs="Arial"/>
                <w:color w:val="000000"/>
                <w:sz w:val="16"/>
                <w:szCs w:val="16"/>
              </w:rPr>
            </w:pPr>
            <w:r w:rsidRPr="00BA5D50">
              <w:rPr>
                <w:rFonts w:ascii="Arial" w:hAnsi="Arial" w:cs="Arial"/>
                <w:color w:val="000000"/>
                <w:sz w:val="16"/>
                <w:szCs w:val="16"/>
              </w:rPr>
              <w:t>1,392</w:t>
            </w:r>
          </w:p>
        </w:tc>
        <w:tc>
          <w:tcPr>
            <w:tcW w:w="743" w:type="dxa"/>
            <w:tcBorders>
              <w:top w:val="nil"/>
              <w:left w:val="nil"/>
              <w:bottom w:val="nil"/>
              <w:right w:val="nil"/>
            </w:tcBorders>
            <w:shd w:val="clear" w:color="000000" w:fill="E6F2FF"/>
            <w:noWrap/>
            <w:vAlign w:val="center"/>
            <w:hideMark/>
          </w:tcPr>
          <w:p w14:paraId="605B23D5" w14:textId="77777777" w:rsidR="00BA5D50" w:rsidRPr="00BA5D50" w:rsidRDefault="00BA5D50" w:rsidP="00BA5D50">
            <w:pPr>
              <w:spacing w:before="0" w:after="0" w:line="240" w:lineRule="auto"/>
              <w:jc w:val="right"/>
              <w:rPr>
                <w:rFonts w:ascii="Arial" w:hAnsi="Arial" w:cs="Arial"/>
                <w:color w:val="000000"/>
                <w:sz w:val="16"/>
                <w:szCs w:val="16"/>
              </w:rPr>
            </w:pPr>
            <w:r w:rsidRPr="00BA5D50">
              <w:rPr>
                <w:rFonts w:ascii="Arial" w:hAnsi="Arial" w:cs="Arial"/>
                <w:color w:val="000000"/>
                <w:sz w:val="16"/>
                <w:szCs w:val="16"/>
              </w:rPr>
              <w:t>921</w:t>
            </w:r>
          </w:p>
        </w:tc>
        <w:tc>
          <w:tcPr>
            <w:tcW w:w="743" w:type="dxa"/>
            <w:tcBorders>
              <w:top w:val="nil"/>
              <w:left w:val="nil"/>
              <w:bottom w:val="nil"/>
              <w:right w:val="nil"/>
            </w:tcBorders>
            <w:shd w:val="clear" w:color="000000" w:fill="FFFFFF"/>
            <w:noWrap/>
            <w:vAlign w:val="center"/>
            <w:hideMark/>
          </w:tcPr>
          <w:p w14:paraId="237A952C" w14:textId="77777777" w:rsidR="00BA5D50" w:rsidRPr="00BA5D50" w:rsidRDefault="00BA5D50" w:rsidP="00BA5D50">
            <w:pPr>
              <w:spacing w:before="0" w:after="0" w:line="240" w:lineRule="auto"/>
              <w:jc w:val="right"/>
              <w:rPr>
                <w:rFonts w:ascii="Arial" w:hAnsi="Arial" w:cs="Arial"/>
                <w:color w:val="000000"/>
                <w:sz w:val="16"/>
                <w:szCs w:val="16"/>
              </w:rPr>
            </w:pPr>
            <w:r w:rsidRPr="00BA5D50">
              <w:rPr>
                <w:rFonts w:ascii="Arial" w:hAnsi="Arial" w:cs="Arial"/>
                <w:color w:val="000000"/>
                <w:sz w:val="16"/>
                <w:szCs w:val="16"/>
              </w:rPr>
              <w:t>676</w:t>
            </w:r>
          </w:p>
        </w:tc>
        <w:tc>
          <w:tcPr>
            <w:tcW w:w="743" w:type="dxa"/>
            <w:tcBorders>
              <w:top w:val="nil"/>
              <w:left w:val="nil"/>
              <w:bottom w:val="nil"/>
              <w:right w:val="nil"/>
            </w:tcBorders>
            <w:shd w:val="clear" w:color="000000" w:fill="FFFFFF"/>
            <w:noWrap/>
            <w:vAlign w:val="center"/>
            <w:hideMark/>
          </w:tcPr>
          <w:p w14:paraId="30B98DF4" w14:textId="77777777" w:rsidR="00BA5D50" w:rsidRPr="00BA5D50" w:rsidRDefault="00BA5D50" w:rsidP="00BA5D50">
            <w:pPr>
              <w:spacing w:before="0" w:after="0" w:line="240" w:lineRule="auto"/>
              <w:jc w:val="right"/>
              <w:rPr>
                <w:rFonts w:ascii="Arial" w:hAnsi="Arial" w:cs="Arial"/>
                <w:color w:val="000000"/>
                <w:sz w:val="16"/>
                <w:szCs w:val="16"/>
              </w:rPr>
            </w:pPr>
            <w:r w:rsidRPr="00BA5D50">
              <w:rPr>
                <w:rFonts w:ascii="Arial" w:hAnsi="Arial" w:cs="Arial"/>
                <w:color w:val="000000"/>
                <w:sz w:val="16"/>
                <w:szCs w:val="16"/>
              </w:rPr>
              <w:t>408</w:t>
            </w:r>
          </w:p>
        </w:tc>
        <w:tc>
          <w:tcPr>
            <w:tcW w:w="743" w:type="dxa"/>
            <w:tcBorders>
              <w:top w:val="nil"/>
              <w:left w:val="nil"/>
              <w:bottom w:val="nil"/>
              <w:right w:val="nil"/>
            </w:tcBorders>
            <w:shd w:val="clear" w:color="000000" w:fill="FFFFFF"/>
            <w:noWrap/>
            <w:vAlign w:val="center"/>
            <w:hideMark/>
          </w:tcPr>
          <w:p w14:paraId="5987A2BB" w14:textId="77777777" w:rsidR="00BA5D50" w:rsidRPr="00BA5D50" w:rsidRDefault="00BA5D50" w:rsidP="00BA5D50">
            <w:pPr>
              <w:spacing w:before="0" w:after="0" w:line="240" w:lineRule="auto"/>
              <w:jc w:val="right"/>
              <w:rPr>
                <w:rFonts w:ascii="Arial" w:hAnsi="Arial" w:cs="Arial"/>
                <w:color w:val="000000"/>
                <w:sz w:val="16"/>
                <w:szCs w:val="16"/>
              </w:rPr>
            </w:pPr>
            <w:r w:rsidRPr="00BA5D50">
              <w:rPr>
                <w:rFonts w:ascii="Arial" w:hAnsi="Arial" w:cs="Arial"/>
                <w:color w:val="000000"/>
                <w:sz w:val="16"/>
                <w:szCs w:val="16"/>
              </w:rPr>
              <w:t>314</w:t>
            </w:r>
          </w:p>
        </w:tc>
      </w:tr>
      <w:tr w:rsidR="00BA5D50" w:rsidRPr="00BA5D50" w14:paraId="13E5A1F3" w14:textId="77777777" w:rsidTr="005B013C">
        <w:trPr>
          <w:trHeight w:val="225"/>
        </w:trPr>
        <w:tc>
          <w:tcPr>
            <w:tcW w:w="3118" w:type="dxa"/>
            <w:tcBorders>
              <w:top w:val="nil"/>
              <w:left w:val="nil"/>
              <w:bottom w:val="nil"/>
              <w:right w:val="nil"/>
            </w:tcBorders>
            <w:shd w:val="clear" w:color="000000" w:fill="FFFFFF"/>
            <w:noWrap/>
            <w:vAlign w:val="center"/>
            <w:hideMark/>
          </w:tcPr>
          <w:p w14:paraId="560A948A" w14:textId="77777777" w:rsidR="00BA5D50" w:rsidRPr="00BA5D50" w:rsidRDefault="00BA5D50" w:rsidP="00BA5D50">
            <w:pPr>
              <w:spacing w:before="0" w:after="0" w:line="240" w:lineRule="auto"/>
              <w:ind w:firstLineChars="100" w:firstLine="160"/>
              <w:rPr>
                <w:rFonts w:ascii="Arial" w:hAnsi="Arial" w:cs="Arial"/>
                <w:sz w:val="16"/>
                <w:szCs w:val="16"/>
              </w:rPr>
            </w:pPr>
            <w:r w:rsidRPr="00BA5D50">
              <w:rPr>
                <w:rFonts w:ascii="Arial" w:hAnsi="Arial" w:cs="Arial"/>
                <w:sz w:val="16"/>
                <w:szCs w:val="16"/>
              </w:rPr>
              <w:t>Contingency reserve</w:t>
            </w:r>
          </w:p>
        </w:tc>
        <w:tc>
          <w:tcPr>
            <w:tcW w:w="756" w:type="dxa"/>
            <w:tcBorders>
              <w:top w:val="nil"/>
              <w:left w:val="nil"/>
              <w:bottom w:val="single" w:sz="4" w:space="0" w:color="293F5B"/>
              <w:right w:val="nil"/>
            </w:tcBorders>
            <w:shd w:val="clear" w:color="000000" w:fill="FFFFFF"/>
            <w:noWrap/>
            <w:vAlign w:val="center"/>
            <w:hideMark/>
          </w:tcPr>
          <w:p w14:paraId="6EF162F9" w14:textId="77777777" w:rsidR="00BA5D50" w:rsidRPr="00BA5D50" w:rsidRDefault="00BA5D50" w:rsidP="00BA5D50">
            <w:pPr>
              <w:spacing w:before="0" w:after="0" w:line="240" w:lineRule="auto"/>
              <w:jc w:val="right"/>
              <w:rPr>
                <w:rFonts w:ascii="Arial" w:hAnsi="Arial" w:cs="Arial"/>
                <w:sz w:val="16"/>
                <w:szCs w:val="16"/>
              </w:rPr>
            </w:pPr>
            <w:r w:rsidRPr="00BA5D50">
              <w:rPr>
                <w:rFonts w:ascii="Arial" w:hAnsi="Arial" w:cs="Arial"/>
                <w:sz w:val="16"/>
                <w:szCs w:val="16"/>
              </w:rPr>
              <w:t>0</w:t>
            </w:r>
          </w:p>
        </w:tc>
        <w:tc>
          <w:tcPr>
            <w:tcW w:w="76" w:type="dxa"/>
            <w:tcBorders>
              <w:top w:val="nil"/>
              <w:left w:val="nil"/>
              <w:right w:val="nil"/>
            </w:tcBorders>
            <w:shd w:val="clear" w:color="000000" w:fill="FFFFFF"/>
            <w:noWrap/>
            <w:vAlign w:val="center"/>
            <w:hideMark/>
          </w:tcPr>
          <w:p w14:paraId="3D6ED96D" w14:textId="77777777" w:rsidR="00BA5D50" w:rsidRPr="00BA5D50" w:rsidRDefault="00BA5D50" w:rsidP="00BA5D50">
            <w:pPr>
              <w:spacing w:before="0" w:after="0" w:line="240" w:lineRule="auto"/>
              <w:rPr>
                <w:rFonts w:ascii="Arial" w:hAnsi="Arial" w:cs="Arial"/>
                <w:sz w:val="16"/>
                <w:szCs w:val="16"/>
              </w:rPr>
            </w:pPr>
            <w:r w:rsidRPr="00BA5D50">
              <w:rPr>
                <w:rFonts w:ascii="Arial" w:hAnsi="Arial" w:cs="Arial"/>
                <w:sz w:val="16"/>
                <w:szCs w:val="16"/>
              </w:rPr>
              <w:t> </w:t>
            </w:r>
          </w:p>
        </w:tc>
        <w:tc>
          <w:tcPr>
            <w:tcW w:w="744" w:type="dxa"/>
            <w:tcBorders>
              <w:top w:val="nil"/>
              <w:left w:val="nil"/>
              <w:bottom w:val="single" w:sz="4" w:space="0" w:color="293F5B"/>
              <w:right w:val="nil"/>
            </w:tcBorders>
            <w:shd w:val="clear" w:color="000000" w:fill="FFFFFF"/>
            <w:noWrap/>
            <w:vAlign w:val="center"/>
            <w:hideMark/>
          </w:tcPr>
          <w:p w14:paraId="609804E2" w14:textId="77777777" w:rsidR="00BA5D50" w:rsidRPr="00BA5D50" w:rsidRDefault="00BA5D50" w:rsidP="00BA5D50">
            <w:pPr>
              <w:spacing w:before="0" w:after="0" w:line="240" w:lineRule="auto"/>
              <w:jc w:val="right"/>
              <w:rPr>
                <w:rFonts w:ascii="Arial" w:hAnsi="Arial" w:cs="Arial"/>
                <w:sz w:val="16"/>
                <w:szCs w:val="16"/>
              </w:rPr>
            </w:pPr>
            <w:r w:rsidRPr="00BA5D50">
              <w:rPr>
                <w:rFonts w:ascii="Arial" w:hAnsi="Arial" w:cs="Arial"/>
                <w:sz w:val="16"/>
                <w:szCs w:val="16"/>
              </w:rPr>
              <w:t>2,200</w:t>
            </w:r>
          </w:p>
        </w:tc>
        <w:tc>
          <w:tcPr>
            <w:tcW w:w="743" w:type="dxa"/>
            <w:tcBorders>
              <w:top w:val="nil"/>
              <w:left w:val="nil"/>
              <w:bottom w:val="single" w:sz="4" w:space="0" w:color="293F5B"/>
              <w:right w:val="nil"/>
            </w:tcBorders>
            <w:shd w:val="clear" w:color="000000" w:fill="E6F2FF"/>
            <w:noWrap/>
            <w:vAlign w:val="center"/>
            <w:hideMark/>
          </w:tcPr>
          <w:p w14:paraId="43004D95" w14:textId="77777777" w:rsidR="00BA5D50" w:rsidRPr="00BA5D50" w:rsidRDefault="00BA5D50" w:rsidP="00BA5D50">
            <w:pPr>
              <w:spacing w:before="0" w:after="0" w:line="240" w:lineRule="auto"/>
              <w:jc w:val="right"/>
              <w:rPr>
                <w:rFonts w:ascii="Arial" w:hAnsi="Arial" w:cs="Arial"/>
                <w:sz w:val="16"/>
                <w:szCs w:val="16"/>
              </w:rPr>
            </w:pPr>
            <w:r w:rsidRPr="00BA5D50">
              <w:rPr>
                <w:rFonts w:ascii="Arial" w:hAnsi="Arial" w:cs="Arial"/>
                <w:sz w:val="16"/>
                <w:szCs w:val="16"/>
              </w:rPr>
              <w:t>167</w:t>
            </w:r>
          </w:p>
        </w:tc>
        <w:tc>
          <w:tcPr>
            <w:tcW w:w="743" w:type="dxa"/>
            <w:tcBorders>
              <w:top w:val="nil"/>
              <w:left w:val="nil"/>
              <w:bottom w:val="single" w:sz="4" w:space="0" w:color="293F5B"/>
              <w:right w:val="nil"/>
            </w:tcBorders>
            <w:shd w:val="clear" w:color="000000" w:fill="FFFFFF"/>
            <w:noWrap/>
            <w:vAlign w:val="center"/>
            <w:hideMark/>
          </w:tcPr>
          <w:p w14:paraId="7DAD3427" w14:textId="77777777" w:rsidR="00BA5D50" w:rsidRPr="00BA5D50" w:rsidRDefault="00BA5D50" w:rsidP="00BA5D50">
            <w:pPr>
              <w:spacing w:before="0" w:after="0" w:line="240" w:lineRule="auto"/>
              <w:jc w:val="right"/>
              <w:rPr>
                <w:rFonts w:ascii="Arial" w:hAnsi="Arial" w:cs="Arial"/>
                <w:sz w:val="16"/>
                <w:szCs w:val="16"/>
              </w:rPr>
            </w:pPr>
            <w:r w:rsidRPr="00BA5D50">
              <w:rPr>
                <w:rFonts w:ascii="Arial" w:hAnsi="Arial" w:cs="Arial"/>
                <w:sz w:val="16"/>
                <w:szCs w:val="16"/>
              </w:rPr>
              <w:t>14,674</w:t>
            </w:r>
          </w:p>
        </w:tc>
        <w:tc>
          <w:tcPr>
            <w:tcW w:w="743" w:type="dxa"/>
            <w:tcBorders>
              <w:top w:val="nil"/>
              <w:left w:val="nil"/>
              <w:bottom w:val="single" w:sz="4" w:space="0" w:color="293F5B"/>
              <w:right w:val="nil"/>
            </w:tcBorders>
            <w:shd w:val="clear" w:color="000000" w:fill="FFFFFF"/>
            <w:noWrap/>
            <w:vAlign w:val="center"/>
            <w:hideMark/>
          </w:tcPr>
          <w:p w14:paraId="78B6B300" w14:textId="77777777" w:rsidR="00BA5D50" w:rsidRPr="00BA5D50" w:rsidRDefault="00BA5D50" w:rsidP="00BA5D50">
            <w:pPr>
              <w:spacing w:before="0" w:after="0" w:line="240" w:lineRule="auto"/>
              <w:jc w:val="right"/>
              <w:rPr>
                <w:rFonts w:ascii="Arial" w:hAnsi="Arial" w:cs="Arial"/>
                <w:sz w:val="16"/>
                <w:szCs w:val="16"/>
              </w:rPr>
            </w:pPr>
            <w:r w:rsidRPr="00BA5D50">
              <w:rPr>
                <w:rFonts w:ascii="Arial" w:hAnsi="Arial" w:cs="Arial"/>
                <w:sz w:val="16"/>
                <w:szCs w:val="16"/>
              </w:rPr>
              <w:t>19,357</w:t>
            </w:r>
          </w:p>
        </w:tc>
        <w:tc>
          <w:tcPr>
            <w:tcW w:w="743" w:type="dxa"/>
            <w:tcBorders>
              <w:top w:val="nil"/>
              <w:left w:val="nil"/>
              <w:bottom w:val="single" w:sz="4" w:space="0" w:color="293F5B"/>
              <w:right w:val="nil"/>
            </w:tcBorders>
            <w:shd w:val="clear" w:color="000000" w:fill="FFFFFF"/>
            <w:noWrap/>
            <w:vAlign w:val="center"/>
            <w:hideMark/>
          </w:tcPr>
          <w:p w14:paraId="13FE0A81" w14:textId="77777777" w:rsidR="00BA5D50" w:rsidRPr="00BA5D50" w:rsidRDefault="00BA5D50" w:rsidP="00BA5D50">
            <w:pPr>
              <w:spacing w:before="0" w:after="0" w:line="240" w:lineRule="auto"/>
              <w:jc w:val="right"/>
              <w:rPr>
                <w:rFonts w:ascii="Arial" w:hAnsi="Arial" w:cs="Arial"/>
                <w:sz w:val="16"/>
                <w:szCs w:val="16"/>
              </w:rPr>
            </w:pPr>
            <w:r w:rsidRPr="00BA5D50">
              <w:rPr>
                <w:rFonts w:ascii="Arial" w:hAnsi="Arial" w:cs="Arial"/>
                <w:sz w:val="16"/>
                <w:szCs w:val="16"/>
              </w:rPr>
              <w:t>26,496</w:t>
            </w:r>
          </w:p>
        </w:tc>
      </w:tr>
      <w:tr w:rsidR="00BA5D50" w:rsidRPr="00BA5D50" w14:paraId="029AC446" w14:textId="77777777" w:rsidTr="005B013C">
        <w:trPr>
          <w:trHeight w:val="225"/>
        </w:trPr>
        <w:tc>
          <w:tcPr>
            <w:tcW w:w="3118" w:type="dxa"/>
            <w:tcBorders>
              <w:top w:val="nil"/>
              <w:left w:val="nil"/>
              <w:bottom w:val="nil"/>
              <w:right w:val="nil"/>
            </w:tcBorders>
            <w:shd w:val="clear" w:color="000000" w:fill="FFFFFF"/>
            <w:noWrap/>
            <w:vAlign w:val="center"/>
            <w:hideMark/>
          </w:tcPr>
          <w:p w14:paraId="6B82ABC2" w14:textId="77777777" w:rsidR="00BA5D50" w:rsidRPr="00BA5D50" w:rsidRDefault="00BA5D50" w:rsidP="00BA5D50">
            <w:pPr>
              <w:spacing w:before="0" w:after="0" w:line="240" w:lineRule="auto"/>
              <w:rPr>
                <w:rFonts w:ascii="Arial" w:hAnsi="Arial" w:cs="Arial"/>
                <w:b/>
                <w:bCs/>
                <w:color w:val="000000"/>
                <w:sz w:val="16"/>
                <w:szCs w:val="16"/>
              </w:rPr>
            </w:pPr>
            <w:r w:rsidRPr="00BA5D50">
              <w:rPr>
                <w:rFonts w:ascii="Arial" w:hAnsi="Arial" w:cs="Arial"/>
                <w:b/>
                <w:bCs/>
                <w:color w:val="000000"/>
                <w:sz w:val="16"/>
                <w:szCs w:val="16"/>
              </w:rPr>
              <w:t>Total other purposes</w:t>
            </w:r>
          </w:p>
        </w:tc>
        <w:tc>
          <w:tcPr>
            <w:tcW w:w="756" w:type="dxa"/>
            <w:tcBorders>
              <w:top w:val="single" w:sz="4" w:space="0" w:color="293F5B"/>
              <w:left w:val="nil"/>
              <w:bottom w:val="single" w:sz="4" w:space="0" w:color="293F5B"/>
              <w:right w:val="nil"/>
            </w:tcBorders>
            <w:shd w:val="clear" w:color="000000" w:fill="FFFFFF"/>
            <w:noWrap/>
            <w:vAlign w:val="center"/>
            <w:hideMark/>
          </w:tcPr>
          <w:p w14:paraId="0F04326E" w14:textId="77777777" w:rsidR="00BA5D50" w:rsidRPr="00BA5D50" w:rsidRDefault="00BA5D50" w:rsidP="00BA5D50">
            <w:pPr>
              <w:spacing w:before="0" w:after="0" w:line="240" w:lineRule="auto"/>
              <w:jc w:val="right"/>
              <w:rPr>
                <w:rFonts w:ascii="Arial" w:hAnsi="Arial" w:cs="Arial"/>
                <w:b/>
                <w:bCs/>
                <w:color w:val="000000"/>
                <w:sz w:val="16"/>
                <w:szCs w:val="16"/>
              </w:rPr>
            </w:pPr>
            <w:r w:rsidRPr="00BA5D50">
              <w:rPr>
                <w:rFonts w:ascii="Arial" w:hAnsi="Arial" w:cs="Arial"/>
                <w:b/>
                <w:bCs/>
                <w:color w:val="000000"/>
                <w:sz w:val="16"/>
                <w:szCs w:val="16"/>
              </w:rPr>
              <w:t>130,254</w:t>
            </w:r>
          </w:p>
        </w:tc>
        <w:tc>
          <w:tcPr>
            <w:tcW w:w="76" w:type="dxa"/>
            <w:tcBorders>
              <w:left w:val="nil"/>
              <w:bottom w:val="nil"/>
              <w:right w:val="nil"/>
            </w:tcBorders>
            <w:shd w:val="clear" w:color="000000" w:fill="FFFFFF"/>
            <w:noWrap/>
            <w:vAlign w:val="center"/>
            <w:hideMark/>
          </w:tcPr>
          <w:p w14:paraId="2F0F70AA" w14:textId="77777777" w:rsidR="00BA5D50" w:rsidRPr="00BA5D50" w:rsidRDefault="00BA5D50" w:rsidP="00BA5D50">
            <w:pPr>
              <w:spacing w:before="0" w:after="0" w:line="240" w:lineRule="auto"/>
              <w:rPr>
                <w:rFonts w:ascii="Arial" w:hAnsi="Arial" w:cs="Arial"/>
                <w:b/>
                <w:bCs/>
                <w:color w:val="000000"/>
                <w:sz w:val="16"/>
                <w:szCs w:val="16"/>
              </w:rPr>
            </w:pPr>
            <w:r w:rsidRPr="00BA5D50">
              <w:rPr>
                <w:rFonts w:ascii="Arial" w:hAnsi="Arial" w:cs="Arial"/>
                <w:b/>
                <w:bCs/>
                <w:color w:val="000000"/>
                <w:sz w:val="16"/>
                <w:szCs w:val="16"/>
              </w:rPr>
              <w:t> </w:t>
            </w:r>
          </w:p>
        </w:tc>
        <w:tc>
          <w:tcPr>
            <w:tcW w:w="744" w:type="dxa"/>
            <w:tcBorders>
              <w:top w:val="single" w:sz="4" w:space="0" w:color="293F5B"/>
              <w:left w:val="nil"/>
              <w:bottom w:val="single" w:sz="4" w:space="0" w:color="293F5B"/>
              <w:right w:val="nil"/>
            </w:tcBorders>
            <w:shd w:val="clear" w:color="000000" w:fill="FFFFFF"/>
            <w:noWrap/>
            <w:vAlign w:val="center"/>
            <w:hideMark/>
          </w:tcPr>
          <w:p w14:paraId="7E620744" w14:textId="77777777" w:rsidR="00BA5D50" w:rsidRPr="00BA5D50" w:rsidRDefault="00BA5D50" w:rsidP="00BA5D50">
            <w:pPr>
              <w:spacing w:before="0" w:after="0" w:line="240" w:lineRule="auto"/>
              <w:jc w:val="right"/>
              <w:rPr>
                <w:rFonts w:ascii="Arial" w:hAnsi="Arial" w:cs="Arial"/>
                <w:b/>
                <w:bCs/>
                <w:color w:val="000000"/>
                <w:sz w:val="16"/>
                <w:szCs w:val="16"/>
              </w:rPr>
            </w:pPr>
            <w:r w:rsidRPr="00BA5D50">
              <w:rPr>
                <w:rFonts w:ascii="Arial" w:hAnsi="Arial" w:cs="Arial"/>
                <w:b/>
                <w:bCs/>
                <w:color w:val="000000"/>
                <w:sz w:val="16"/>
                <w:szCs w:val="16"/>
              </w:rPr>
              <w:t>132,430</w:t>
            </w:r>
          </w:p>
        </w:tc>
        <w:tc>
          <w:tcPr>
            <w:tcW w:w="743" w:type="dxa"/>
            <w:tcBorders>
              <w:top w:val="single" w:sz="4" w:space="0" w:color="293F5B"/>
              <w:left w:val="nil"/>
              <w:bottom w:val="single" w:sz="4" w:space="0" w:color="293F5B"/>
              <w:right w:val="nil"/>
            </w:tcBorders>
            <w:shd w:val="clear" w:color="000000" w:fill="E6F2FF"/>
            <w:noWrap/>
            <w:vAlign w:val="center"/>
            <w:hideMark/>
          </w:tcPr>
          <w:p w14:paraId="11BDAFEC" w14:textId="77777777" w:rsidR="00BA5D50" w:rsidRPr="00BA5D50" w:rsidRDefault="00BA5D50" w:rsidP="00BA5D50">
            <w:pPr>
              <w:spacing w:before="0" w:after="0" w:line="240" w:lineRule="auto"/>
              <w:jc w:val="right"/>
              <w:rPr>
                <w:rFonts w:ascii="Arial" w:hAnsi="Arial" w:cs="Arial"/>
                <w:b/>
                <w:bCs/>
                <w:color w:val="000000"/>
                <w:sz w:val="16"/>
                <w:szCs w:val="16"/>
              </w:rPr>
            </w:pPr>
            <w:r w:rsidRPr="00BA5D50">
              <w:rPr>
                <w:rFonts w:ascii="Arial" w:hAnsi="Arial" w:cs="Arial"/>
                <w:b/>
                <w:bCs/>
                <w:color w:val="000000"/>
                <w:sz w:val="16"/>
                <w:szCs w:val="16"/>
              </w:rPr>
              <w:t>137,810</w:t>
            </w:r>
          </w:p>
        </w:tc>
        <w:tc>
          <w:tcPr>
            <w:tcW w:w="743" w:type="dxa"/>
            <w:tcBorders>
              <w:top w:val="single" w:sz="4" w:space="0" w:color="293F5B"/>
              <w:left w:val="nil"/>
              <w:bottom w:val="single" w:sz="4" w:space="0" w:color="293F5B"/>
              <w:right w:val="nil"/>
            </w:tcBorders>
            <w:shd w:val="clear" w:color="000000" w:fill="FFFFFF"/>
            <w:noWrap/>
            <w:vAlign w:val="center"/>
            <w:hideMark/>
          </w:tcPr>
          <w:p w14:paraId="351299B9" w14:textId="77777777" w:rsidR="00BA5D50" w:rsidRPr="00BA5D50" w:rsidRDefault="00BA5D50" w:rsidP="00BA5D50">
            <w:pPr>
              <w:spacing w:before="0" w:after="0" w:line="240" w:lineRule="auto"/>
              <w:jc w:val="right"/>
              <w:rPr>
                <w:rFonts w:ascii="Arial" w:hAnsi="Arial" w:cs="Arial"/>
                <w:b/>
                <w:bCs/>
                <w:color w:val="000000"/>
                <w:sz w:val="16"/>
                <w:szCs w:val="16"/>
              </w:rPr>
            </w:pPr>
            <w:r w:rsidRPr="00BA5D50">
              <w:rPr>
                <w:rFonts w:ascii="Arial" w:hAnsi="Arial" w:cs="Arial"/>
                <w:b/>
                <w:bCs/>
                <w:color w:val="000000"/>
                <w:sz w:val="16"/>
                <w:szCs w:val="16"/>
              </w:rPr>
              <w:t>161,683</w:t>
            </w:r>
          </w:p>
        </w:tc>
        <w:tc>
          <w:tcPr>
            <w:tcW w:w="743" w:type="dxa"/>
            <w:tcBorders>
              <w:top w:val="single" w:sz="4" w:space="0" w:color="293F5B"/>
              <w:left w:val="nil"/>
              <w:bottom w:val="single" w:sz="4" w:space="0" w:color="293F5B"/>
              <w:right w:val="nil"/>
            </w:tcBorders>
            <w:shd w:val="clear" w:color="000000" w:fill="FFFFFF"/>
            <w:noWrap/>
            <w:vAlign w:val="center"/>
            <w:hideMark/>
          </w:tcPr>
          <w:p w14:paraId="25A00F66" w14:textId="77777777" w:rsidR="00BA5D50" w:rsidRPr="00BA5D50" w:rsidRDefault="00BA5D50" w:rsidP="00BA5D50">
            <w:pPr>
              <w:spacing w:before="0" w:after="0" w:line="240" w:lineRule="auto"/>
              <w:jc w:val="right"/>
              <w:rPr>
                <w:rFonts w:ascii="Arial" w:hAnsi="Arial" w:cs="Arial"/>
                <w:b/>
                <w:bCs/>
                <w:color w:val="000000"/>
                <w:sz w:val="16"/>
                <w:szCs w:val="16"/>
              </w:rPr>
            </w:pPr>
            <w:r w:rsidRPr="00BA5D50">
              <w:rPr>
                <w:rFonts w:ascii="Arial" w:hAnsi="Arial" w:cs="Arial"/>
                <w:b/>
                <w:bCs/>
                <w:color w:val="000000"/>
                <w:sz w:val="16"/>
                <w:szCs w:val="16"/>
              </w:rPr>
              <w:t>176,135</w:t>
            </w:r>
          </w:p>
        </w:tc>
        <w:tc>
          <w:tcPr>
            <w:tcW w:w="743" w:type="dxa"/>
            <w:tcBorders>
              <w:top w:val="single" w:sz="4" w:space="0" w:color="293F5B"/>
              <w:left w:val="nil"/>
              <w:bottom w:val="single" w:sz="4" w:space="0" w:color="293F5B"/>
              <w:right w:val="nil"/>
            </w:tcBorders>
            <w:shd w:val="clear" w:color="000000" w:fill="FFFFFF"/>
            <w:noWrap/>
            <w:vAlign w:val="center"/>
            <w:hideMark/>
          </w:tcPr>
          <w:p w14:paraId="087B7095" w14:textId="77777777" w:rsidR="00BA5D50" w:rsidRPr="00BA5D50" w:rsidRDefault="00BA5D50" w:rsidP="00BA5D50">
            <w:pPr>
              <w:spacing w:before="0" w:after="0" w:line="240" w:lineRule="auto"/>
              <w:jc w:val="right"/>
              <w:rPr>
                <w:rFonts w:ascii="Arial" w:hAnsi="Arial" w:cs="Arial"/>
                <w:b/>
                <w:bCs/>
                <w:color w:val="000000"/>
                <w:sz w:val="16"/>
                <w:szCs w:val="16"/>
              </w:rPr>
            </w:pPr>
            <w:r w:rsidRPr="00BA5D50">
              <w:rPr>
                <w:rFonts w:ascii="Arial" w:hAnsi="Arial" w:cs="Arial"/>
                <w:b/>
                <w:bCs/>
                <w:color w:val="000000"/>
                <w:sz w:val="16"/>
                <w:szCs w:val="16"/>
              </w:rPr>
              <w:t>191,549</w:t>
            </w:r>
          </w:p>
        </w:tc>
      </w:tr>
      <w:tr w:rsidR="00BA5D50" w:rsidRPr="00BA5D50" w14:paraId="77D703D3" w14:textId="77777777" w:rsidTr="007C7AA6">
        <w:trPr>
          <w:trHeight w:val="60"/>
        </w:trPr>
        <w:tc>
          <w:tcPr>
            <w:tcW w:w="3118" w:type="dxa"/>
            <w:tcBorders>
              <w:top w:val="nil"/>
              <w:left w:val="nil"/>
              <w:bottom w:val="nil"/>
              <w:right w:val="nil"/>
            </w:tcBorders>
            <w:shd w:val="clear" w:color="000000" w:fill="FFFFFF"/>
            <w:noWrap/>
            <w:vAlign w:val="center"/>
            <w:hideMark/>
          </w:tcPr>
          <w:p w14:paraId="06685121" w14:textId="77777777" w:rsidR="00BA5D50" w:rsidRPr="00204B48" w:rsidRDefault="00BA5D50" w:rsidP="00BA5D50">
            <w:pPr>
              <w:spacing w:before="0" w:after="0" w:line="240" w:lineRule="auto"/>
              <w:rPr>
                <w:rFonts w:ascii="Arial" w:hAnsi="Arial" w:cs="Arial"/>
                <w:color w:val="000000"/>
                <w:sz w:val="4"/>
                <w:szCs w:val="4"/>
              </w:rPr>
            </w:pPr>
            <w:r w:rsidRPr="00204B48">
              <w:rPr>
                <w:rFonts w:ascii="Arial" w:hAnsi="Arial" w:cs="Arial"/>
                <w:color w:val="000000"/>
                <w:sz w:val="4"/>
                <w:szCs w:val="4"/>
              </w:rPr>
              <w:t> </w:t>
            </w:r>
          </w:p>
        </w:tc>
        <w:tc>
          <w:tcPr>
            <w:tcW w:w="756" w:type="dxa"/>
            <w:tcBorders>
              <w:top w:val="single" w:sz="4" w:space="0" w:color="293F5B"/>
              <w:left w:val="nil"/>
              <w:bottom w:val="nil"/>
              <w:right w:val="nil"/>
            </w:tcBorders>
            <w:shd w:val="clear" w:color="000000" w:fill="FFFFFF"/>
            <w:noWrap/>
            <w:vAlign w:val="center"/>
            <w:hideMark/>
          </w:tcPr>
          <w:p w14:paraId="6AFD0C18" w14:textId="77777777" w:rsidR="00BA5D50" w:rsidRPr="00204B48" w:rsidRDefault="00BA5D50" w:rsidP="00BA5D50">
            <w:pPr>
              <w:spacing w:before="0" w:after="0" w:line="240" w:lineRule="auto"/>
              <w:rPr>
                <w:rFonts w:ascii="Arial" w:hAnsi="Arial" w:cs="Arial"/>
                <w:b/>
                <w:color w:val="000000"/>
                <w:sz w:val="4"/>
                <w:szCs w:val="4"/>
              </w:rPr>
            </w:pPr>
            <w:r w:rsidRPr="00204B48">
              <w:rPr>
                <w:rFonts w:ascii="Arial" w:hAnsi="Arial" w:cs="Arial"/>
                <w:b/>
                <w:color w:val="000000"/>
                <w:sz w:val="4"/>
                <w:szCs w:val="4"/>
              </w:rPr>
              <w:t> </w:t>
            </w:r>
          </w:p>
        </w:tc>
        <w:tc>
          <w:tcPr>
            <w:tcW w:w="76" w:type="dxa"/>
            <w:tcBorders>
              <w:top w:val="nil"/>
              <w:left w:val="nil"/>
              <w:bottom w:val="nil"/>
              <w:right w:val="nil"/>
            </w:tcBorders>
            <w:shd w:val="clear" w:color="000000" w:fill="FFFFFF"/>
            <w:noWrap/>
            <w:vAlign w:val="center"/>
            <w:hideMark/>
          </w:tcPr>
          <w:p w14:paraId="08C5F2E4" w14:textId="77777777" w:rsidR="00BA5D50" w:rsidRPr="00204B48" w:rsidRDefault="00BA5D50" w:rsidP="00BA5D50">
            <w:pPr>
              <w:spacing w:before="0" w:after="0" w:line="240" w:lineRule="auto"/>
              <w:rPr>
                <w:rFonts w:ascii="Arial" w:hAnsi="Arial" w:cs="Arial"/>
                <w:b/>
                <w:color w:val="000000"/>
                <w:sz w:val="4"/>
                <w:szCs w:val="4"/>
              </w:rPr>
            </w:pPr>
            <w:r w:rsidRPr="00204B48">
              <w:rPr>
                <w:rFonts w:ascii="Arial" w:hAnsi="Arial" w:cs="Arial"/>
                <w:b/>
                <w:color w:val="000000"/>
                <w:sz w:val="4"/>
                <w:szCs w:val="4"/>
              </w:rPr>
              <w:t> </w:t>
            </w:r>
          </w:p>
        </w:tc>
        <w:tc>
          <w:tcPr>
            <w:tcW w:w="744" w:type="dxa"/>
            <w:tcBorders>
              <w:top w:val="single" w:sz="4" w:space="0" w:color="293F5B"/>
              <w:left w:val="nil"/>
              <w:bottom w:val="nil"/>
              <w:right w:val="nil"/>
            </w:tcBorders>
            <w:shd w:val="clear" w:color="000000" w:fill="FFFFFF"/>
            <w:noWrap/>
            <w:vAlign w:val="center"/>
            <w:hideMark/>
          </w:tcPr>
          <w:p w14:paraId="2D03DB0A" w14:textId="77777777" w:rsidR="00BA5D50" w:rsidRPr="00204B48" w:rsidRDefault="00BA5D50" w:rsidP="00BA5D50">
            <w:pPr>
              <w:spacing w:before="0" w:after="0" w:line="240" w:lineRule="auto"/>
              <w:rPr>
                <w:rFonts w:ascii="Arial" w:hAnsi="Arial" w:cs="Arial"/>
                <w:b/>
                <w:color w:val="000000"/>
                <w:sz w:val="4"/>
                <w:szCs w:val="4"/>
              </w:rPr>
            </w:pPr>
            <w:r w:rsidRPr="00204B48">
              <w:rPr>
                <w:rFonts w:ascii="Arial" w:hAnsi="Arial" w:cs="Arial"/>
                <w:b/>
                <w:color w:val="000000"/>
                <w:sz w:val="4"/>
                <w:szCs w:val="4"/>
              </w:rPr>
              <w:t> </w:t>
            </w:r>
          </w:p>
        </w:tc>
        <w:tc>
          <w:tcPr>
            <w:tcW w:w="743" w:type="dxa"/>
            <w:tcBorders>
              <w:top w:val="single" w:sz="4" w:space="0" w:color="293F5B"/>
              <w:left w:val="nil"/>
              <w:bottom w:val="nil"/>
              <w:right w:val="nil"/>
            </w:tcBorders>
            <w:shd w:val="clear" w:color="000000" w:fill="E6F2FF"/>
            <w:noWrap/>
            <w:vAlign w:val="center"/>
            <w:hideMark/>
          </w:tcPr>
          <w:p w14:paraId="07F6C9AE" w14:textId="77777777" w:rsidR="00BA5D50" w:rsidRPr="00204B48" w:rsidRDefault="00BA5D50" w:rsidP="00BA5D50">
            <w:pPr>
              <w:spacing w:before="0" w:after="0" w:line="240" w:lineRule="auto"/>
              <w:rPr>
                <w:rFonts w:ascii="Arial" w:hAnsi="Arial" w:cs="Arial"/>
                <w:b/>
                <w:color w:val="000000"/>
                <w:sz w:val="4"/>
                <w:szCs w:val="4"/>
              </w:rPr>
            </w:pPr>
            <w:r w:rsidRPr="00204B48">
              <w:rPr>
                <w:rFonts w:ascii="Arial" w:hAnsi="Arial" w:cs="Arial"/>
                <w:b/>
                <w:color w:val="000000"/>
                <w:sz w:val="4"/>
                <w:szCs w:val="4"/>
              </w:rPr>
              <w:t> </w:t>
            </w:r>
          </w:p>
        </w:tc>
        <w:tc>
          <w:tcPr>
            <w:tcW w:w="743" w:type="dxa"/>
            <w:tcBorders>
              <w:top w:val="single" w:sz="4" w:space="0" w:color="293F5B"/>
              <w:left w:val="nil"/>
              <w:bottom w:val="nil"/>
              <w:right w:val="nil"/>
            </w:tcBorders>
            <w:shd w:val="clear" w:color="000000" w:fill="FFFFFF"/>
            <w:noWrap/>
            <w:vAlign w:val="center"/>
            <w:hideMark/>
          </w:tcPr>
          <w:p w14:paraId="21A3D0C9" w14:textId="77777777" w:rsidR="00BA5D50" w:rsidRPr="00204B48" w:rsidRDefault="00BA5D50" w:rsidP="00BA5D50">
            <w:pPr>
              <w:spacing w:before="0" w:after="0" w:line="240" w:lineRule="auto"/>
              <w:rPr>
                <w:rFonts w:ascii="Arial" w:hAnsi="Arial" w:cs="Arial"/>
                <w:b/>
                <w:color w:val="000000"/>
                <w:sz w:val="4"/>
                <w:szCs w:val="4"/>
              </w:rPr>
            </w:pPr>
            <w:r w:rsidRPr="00204B48">
              <w:rPr>
                <w:rFonts w:ascii="Arial" w:hAnsi="Arial" w:cs="Arial"/>
                <w:b/>
                <w:color w:val="000000"/>
                <w:sz w:val="4"/>
                <w:szCs w:val="4"/>
              </w:rPr>
              <w:t> </w:t>
            </w:r>
          </w:p>
        </w:tc>
        <w:tc>
          <w:tcPr>
            <w:tcW w:w="743" w:type="dxa"/>
            <w:tcBorders>
              <w:top w:val="single" w:sz="4" w:space="0" w:color="293F5B"/>
              <w:left w:val="nil"/>
              <w:bottom w:val="nil"/>
              <w:right w:val="nil"/>
            </w:tcBorders>
            <w:shd w:val="clear" w:color="000000" w:fill="FFFFFF"/>
            <w:noWrap/>
            <w:vAlign w:val="center"/>
            <w:hideMark/>
          </w:tcPr>
          <w:p w14:paraId="248D67D1" w14:textId="77777777" w:rsidR="00BA5D50" w:rsidRPr="00204B48" w:rsidRDefault="00BA5D50" w:rsidP="00BA5D50">
            <w:pPr>
              <w:spacing w:before="0" w:after="0" w:line="240" w:lineRule="auto"/>
              <w:rPr>
                <w:rFonts w:ascii="Arial" w:hAnsi="Arial" w:cs="Arial"/>
                <w:b/>
                <w:color w:val="000000"/>
                <w:sz w:val="4"/>
                <w:szCs w:val="4"/>
              </w:rPr>
            </w:pPr>
            <w:r w:rsidRPr="00204B48">
              <w:rPr>
                <w:rFonts w:ascii="Arial" w:hAnsi="Arial" w:cs="Arial"/>
                <w:b/>
                <w:color w:val="000000"/>
                <w:sz w:val="4"/>
                <w:szCs w:val="4"/>
              </w:rPr>
              <w:t> </w:t>
            </w:r>
          </w:p>
        </w:tc>
        <w:tc>
          <w:tcPr>
            <w:tcW w:w="743" w:type="dxa"/>
            <w:tcBorders>
              <w:top w:val="single" w:sz="4" w:space="0" w:color="293F5B"/>
              <w:left w:val="nil"/>
              <w:bottom w:val="nil"/>
              <w:right w:val="nil"/>
            </w:tcBorders>
            <w:shd w:val="clear" w:color="000000" w:fill="FFFFFF"/>
            <w:noWrap/>
            <w:vAlign w:val="center"/>
            <w:hideMark/>
          </w:tcPr>
          <w:p w14:paraId="5FD48AA0" w14:textId="77777777" w:rsidR="00BA5D50" w:rsidRPr="00204B48" w:rsidRDefault="00BA5D50" w:rsidP="00BA5D50">
            <w:pPr>
              <w:spacing w:before="0" w:after="0" w:line="240" w:lineRule="auto"/>
              <w:rPr>
                <w:rFonts w:ascii="Arial" w:hAnsi="Arial" w:cs="Arial"/>
                <w:b/>
                <w:color w:val="000000"/>
                <w:sz w:val="4"/>
                <w:szCs w:val="4"/>
              </w:rPr>
            </w:pPr>
            <w:r w:rsidRPr="00204B48">
              <w:rPr>
                <w:rFonts w:ascii="Arial" w:hAnsi="Arial" w:cs="Arial"/>
                <w:b/>
                <w:color w:val="000000"/>
                <w:sz w:val="4"/>
                <w:szCs w:val="4"/>
              </w:rPr>
              <w:t> </w:t>
            </w:r>
          </w:p>
        </w:tc>
      </w:tr>
      <w:tr w:rsidR="00BA5D50" w:rsidRPr="00BA5D50" w14:paraId="12E28729" w14:textId="77777777" w:rsidTr="00610633">
        <w:trPr>
          <w:trHeight w:val="225"/>
        </w:trPr>
        <w:tc>
          <w:tcPr>
            <w:tcW w:w="3118" w:type="dxa"/>
            <w:tcBorders>
              <w:top w:val="nil"/>
              <w:left w:val="nil"/>
              <w:bottom w:val="single" w:sz="4" w:space="0" w:color="293F5B"/>
              <w:right w:val="nil"/>
            </w:tcBorders>
            <w:shd w:val="clear" w:color="000000" w:fill="FFFFFF"/>
            <w:noWrap/>
            <w:vAlign w:val="center"/>
            <w:hideMark/>
          </w:tcPr>
          <w:p w14:paraId="0EBA9E7B" w14:textId="77777777" w:rsidR="00BA5D50" w:rsidRPr="00BA5D50" w:rsidRDefault="00BA5D50" w:rsidP="00BA5D50">
            <w:pPr>
              <w:spacing w:before="0" w:after="0" w:line="240" w:lineRule="auto"/>
              <w:rPr>
                <w:rFonts w:ascii="Arial" w:hAnsi="Arial" w:cs="Arial"/>
                <w:b/>
                <w:bCs/>
                <w:color w:val="000000"/>
                <w:sz w:val="16"/>
                <w:szCs w:val="16"/>
              </w:rPr>
            </w:pPr>
            <w:r w:rsidRPr="00BA5D50">
              <w:rPr>
                <w:rFonts w:ascii="Arial" w:hAnsi="Arial" w:cs="Arial"/>
                <w:b/>
                <w:bCs/>
                <w:color w:val="000000"/>
                <w:sz w:val="16"/>
                <w:szCs w:val="16"/>
              </w:rPr>
              <w:t>Total expenses</w:t>
            </w:r>
          </w:p>
        </w:tc>
        <w:tc>
          <w:tcPr>
            <w:tcW w:w="756" w:type="dxa"/>
            <w:tcBorders>
              <w:top w:val="nil"/>
              <w:left w:val="nil"/>
              <w:bottom w:val="single" w:sz="4" w:space="0" w:color="293F5B"/>
              <w:right w:val="nil"/>
            </w:tcBorders>
            <w:shd w:val="clear" w:color="000000" w:fill="FFFFFF"/>
            <w:noWrap/>
            <w:vAlign w:val="center"/>
            <w:hideMark/>
          </w:tcPr>
          <w:p w14:paraId="285E8CA8" w14:textId="77777777" w:rsidR="00BA5D50" w:rsidRPr="00BA5D50" w:rsidRDefault="00BA5D50" w:rsidP="00BA5D50">
            <w:pPr>
              <w:spacing w:before="0" w:after="0" w:line="240" w:lineRule="auto"/>
              <w:jc w:val="right"/>
              <w:rPr>
                <w:rFonts w:ascii="Arial" w:hAnsi="Arial" w:cs="Arial"/>
                <w:b/>
                <w:bCs/>
                <w:color w:val="000000"/>
                <w:sz w:val="16"/>
                <w:szCs w:val="16"/>
              </w:rPr>
            </w:pPr>
            <w:r w:rsidRPr="00BA5D50">
              <w:rPr>
                <w:rFonts w:ascii="Arial" w:hAnsi="Arial" w:cs="Arial"/>
                <w:b/>
                <w:bCs/>
                <w:color w:val="000000"/>
                <w:sz w:val="16"/>
                <w:szCs w:val="16"/>
              </w:rPr>
              <w:t>637,025</w:t>
            </w:r>
          </w:p>
        </w:tc>
        <w:tc>
          <w:tcPr>
            <w:tcW w:w="76" w:type="dxa"/>
            <w:tcBorders>
              <w:top w:val="nil"/>
              <w:left w:val="nil"/>
              <w:bottom w:val="single" w:sz="4" w:space="0" w:color="293F5B"/>
              <w:right w:val="nil"/>
            </w:tcBorders>
            <w:shd w:val="clear" w:color="000000" w:fill="FFFFFF"/>
            <w:noWrap/>
            <w:vAlign w:val="center"/>
            <w:hideMark/>
          </w:tcPr>
          <w:p w14:paraId="4E46D6CE" w14:textId="77777777" w:rsidR="00BA5D50" w:rsidRPr="00BA5D50" w:rsidRDefault="00BA5D50" w:rsidP="00BA5D50">
            <w:pPr>
              <w:spacing w:before="0" w:after="0" w:line="240" w:lineRule="auto"/>
              <w:rPr>
                <w:rFonts w:ascii="Arial" w:hAnsi="Arial" w:cs="Arial"/>
                <w:b/>
                <w:bCs/>
                <w:color w:val="000000"/>
                <w:sz w:val="16"/>
                <w:szCs w:val="16"/>
              </w:rPr>
            </w:pPr>
            <w:r w:rsidRPr="00BA5D50">
              <w:rPr>
                <w:rFonts w:ascii="Arial" w:hAnsi="Arial" w:cs="Arial"/>
                <w:b/>
                <w:bCs/>
                <w:color w:val="000000"/>
                <w:sz w:val="16"/>
                <w:szCs w:val="16"/>
              </w:rPr>
              <w:t> </w:t>
            </w:r>
          </w:p>
        </w:tc>
        <w:tc>
          <w:tcPr>
            <w:tcW w:w="744" w:type="dxa"/>
            <w:tcBorders>
              <w:top w:val="nil"/>
              <w:left w:val="nil"/>
              <w:bottom w:val="single" w:sz="4" w:space="0" w:color="293F5B"/>
              <w:right w:val="nil"/>
            </w:tcBorders>
            <w:shd w:val="clear" w:color="000000" w:fill="FFFFFF"/>
            <w:noWrap/>
            <w:vAlign w:val="center"/>
            <w:hideMark/>
          </w:tcPr>
          <w:p w14:paraId="0EAB8B82" w14:textId="77777777" w:rsidR="00BA5D50" w:rsidRPr="00BA5D50" w:rsidRDefault="00BA5D50" w:rsidP="00BA5D50">
            <w:pPr>
              <w:spacing w:before="0" w:after="0" w:line="240" w:lineRule="auto"/>
              <w:jc w:val="right"/>
              <w:rPr>
                <w:rFonts w:ascii="Arial" w:hAnsi="Arial" w:cs="Arial"/>
                <w:b/>
                <w:bCs/>
                <w:color w:val="000000"/>
                <w:sz w:val="16"/>
                <w:szCs w:val="16"/>
              </w:rPr>
            </w:pPr>
            <w:r w:rsidRPr="00BA5D50">
              <w:rPr>
                <w:rFonts w:ascii="Arial" w:hAnsi="Arial" w:cs="Arial"/>
                <w:b/>
                <w:bCs/>
                <w:color w:val="000000"/>
                <w:sz w:val="16"/>
                <w:szCs w:val="16"/>
              </w:rPr>
              <w:t>691,070</w:t>
            </w:r>
          </w:p>
        </w:tc>
        <w:tc>
          <w:tcPr>
            <w:tcW w:w="743" w:type="dxa"/>
            <w:tcBorders>
              <w:top w:val="nil"/>
              <w:left w:val="nil"/>
              <w:bottom w:val="single" w:sz="4" w:space="0" w:color="293F5B"/>
              <w:right w:val="nil"/>
            </w:tcBorders>
            <w:shd w:val="clear" w:color="000000" w:fill="E6F2FF"/>
            <w:noWrap/>
            <w:vAlign w:val="center"/>
            <w:hideMark/>
          </w:tcPr>
          <w:p w14:paraId="6613B891" w14:textId="77777777" w:rsidR="00BA5D50" w:rsidRPr="00BA5D50" w:rsidRDefault="00BA5D50" w:rsidP="00BA5D50">
            <w:pPr>
              <w:spacing w:before="0" w:after="0" w:line="240" w:lineRule="auto"/>
              <w:jc w:val="right"/>
              <w:rPr>
                <w:rFonts w:ascii="Arial" w:hAnsi="Arial" w:cs="Arial"/>
                <w:b/>
                <w:bCs/>
                <w:color w:val="000000"/>
                <w:sz w:val="16"/>
                <w:szCs w:val="16"/>
              </w:rPr>
            </w:pPr>
            <w:r w:rsidRPr="00BA5D50">
              <w:rPr>
                <w:rFonts w:ascii="Arial" w:hAnsi="Arial" w:cs="Arial"/>
                <w:b/>
                <w:bCs/>
                <w:color w:val="000000"/>
                <w:sz w:val="16"/>
                <w:szCs w:val="16"/>
              </w:rPr>
              <w:t>734,518</w:t>
            </w:r>
          </w:p>
        </w:tc>
        <w:tc>
          <w:tcPr>
            <w:tcW w:w="743" w:type="dxa"/>
            <w:tcBorders>
              <w:top w:val="nil"/>
              <w:left w:val="nil"/>
              <w:bottom w:val="single" w:sz="4" w:space="0" w:color="293F5B"/>
              <w:right w:val="nil"/>
            </w:tcBorders>
            <w:shd w:val="clear" w:color="000000" w:fill="FFFFFF"/>
            <w:noWrap/>
            <w:vAlign w:val="center"/>
            <w:hideMark/>
          </w:tcPr>
          <w:p w14:paraId="1D9C7150" w14:textId="77777777" w:rsidR="00BA5D50" w:rsidRPr="00BA5D50" w:rsidRDefault="00BA5D50" w:rsidP="00BA5D50">
            <w:pPr>
              <w:spacing w:before="0" w:after="0" w:line="240" w:lineRule="auto"/>
              <w:jc w:val="right"/>
              <w:rPr>
                <w:rFonts w:ascii="Arial" w:hAnsi="Arial" w:cs="Arial"/>
                <w:b/>
                <w:bCs/>
                <w:color w:val="000000"/>
                <w:sz w:val="16"/>
                <w:szCs w:val="16"/>
              </w:rPr>
            </w:pPr>
            <w:r w:rsidRPr="00BA5D50">
              <w:rPr>
                <w:rFonts w:ascii="Arial" w:hAnsi="Arial" w:cs="Arial"/>
                <w:b/>
                <w:bCs/>
                <w:color w:val="000000"/>
                <w:sz w:val="16"/>
                <w:szCs w:val="16"/>
              </w:rPr>
              <w:t>767,290</w:t>
            </w:r>
          </w:p>
        </w:tc>
        <w:tc>
          <w:tcPr>
            <w:tcW w:w="743" w:type="dxa"/>
            <w:tcBorders>
              <w:top w:val="nil"/>
              <w:left w:val="nil"/>
              <w:bottom w:val="single" w:sz="4" w:space="0" w:color="293F5B"/>
              <w:right w:val="nil"/>
            </w:tcBorders>
            <w:shd w:val="clear" w:color="000000" w:fill="FFFFFF"/>
            <w:noWrap/>
            <w:vAlign w:val="center"/>
            <w:hideMark/>
          </w:tcPr>
          <w:p w14:paraId="15B3CD5A" w14:textId="77777777" w:rsidR="00BA5D50" w:rsidRPr="00BA5D50" w:rsidRDefault="00BA5D50" w:rsidP="00BA5D50">
            <w:pPr>
              <w:spacing w:before="0" w:after="0" w:line="240" w:lineRule="auto"/>
              <w:jc w:val="right"/>
              <w:rPr>
                <w:rFonts w:ascii="Arial" w:hAnsi="Arial" w:cs="Arial"/>
                <w:b/>
                <w:bCs/>
                <w:color w:val="000000"/>
                <w:sz w:val="16"/>
                <w:szCs w:val="16"/>
              </w:rPr>
            </w:pPr>
            <w:r w:rsidRPr="00BA5D50">
              <w:rPr>
                <w:rFonts w:ascii="Arial" w:hAnsi="Arial" w:cs="Arial"/>
                <w:b/>
                <w:bCs/>
                <w:color w:val="000000"/>
                <w:sz w:val="16"/>
                <w:szCs w:val="16"/>
              </w:rPr>
              <w:t>793,765</w:t>
            </w:r>
          </w:p>
        </w:tc>
        <w:tc>
          <w:tcPr>
            <w:tcW w:w="743" w:type="dxa"/>
            <w:tcBorders>
              <w:top w:val="nil"/>
              <w:left w:val="nil"/>
              <w:bottom w:val="single" w:sz="4" w:space="0" w:color="293F5B"/>
              <w:right w:val="nil"/>
            </w:tcBorders>
            <w:shd w:val="clear" w:color="000000" w:fill="FFFFFF"/>
            <w:noWrap/>
            <w:vAlign w:val="center"/>
            <w:hideMark/>
          </w:tcPr>
          <w:p w14:paraId="2DD9AD85" w14:textId="77777777" w:rsidR="00BA5D50" w:rsidRPr="00BA5D50" w:rsidRDefault="00BA5D50" w:rsidP="00BA5D50">
            <w:pPr>
              <w:spacing w:before="0" w:after="0" w:line="240" w:lineRule="auto"/>
              <w:jc w:val="right"/>
              <w:rPr>
                <w:rFonts w:ascii="Arial" w:hAnsi="Arial" w:cs="Arial"/>
                <w:b/>
                <w:bCs/>
                <w:color w:val="000000"/>
                <w:sz w:val="16"/>
                <w:szCs w:val="16"/>
              </w:rPr>
            </w:pPr>
            <w:r w:rsidRPr="00BA5D50">
              <w:rPr>
                <w:rFonts w:ascii="Arial" w:hAnsi="Arial" w:cs="Arial"/>
                <w:b/>
                <w:bCs/>
                <w:color w:val="000000"/>
                <w:sz w:val="16"/>
                <w:szCs w:val="16"/>
              </w:rPr>
              <w:t>829,755</w:t>
            </w:r>
          </w:p>
        </w:tc>
      </w:tr>
    </w:tbl>
    <w:p w14:paraId="194D4A44" w14:textId="2FD62647" w:rsidR="004C4B96" w:rsidRDefault="004C4B96" w:rsidP="00E87DDC">
      <w:pPr>
        <w:pStyle w:val="ChartandTableFootnoteAlpha"/>
        <w:numPr>
          <w:ilvl w:val="0"/>
          <w:numId w:val="32"/>
        </w:numPr>
      </w:pPr>
      <w:r w:rsidRPr="000177D7">
        <w:t>The hospital services sub</w:t>
      </w:r>
      <w:r w:rsidR="008D4F6B">
        <w:noBreakHyphen/>
      </w:r>
      <w:r w:rsidRPr="000177D7">
        <w:t>function predominantly reflects Commonwealth funding to the states and territories for veterans</w:t>
      </w:r>
      <w:r w:rsidR="008D4F6B">
        <w:t>’</w:t>
      </w:r>
      <w:r w:rsidRPr="000177D7">
        <w:t xml:space="preserve"> hospital services.</w:t>
      </w:r>
    </w:p>
    <w:p w14:paraId="79CB2513" w14:textId="77777777" w:rsidR="00BA3D2B" w:rsidRPr="00233251" w:rsidRDefault="00BA3D2B" w:rsidP="00E4724E">
      <w:pPr>
        <w:pStyle w:val="TableLine"/>
      </w:pPr>
    </w:p>
    <w:sectPr w:rsidR="00BA3D2B" w:rsidRPr="00233251" w:rsidSect="00C42D6E">
      <w:headerReference w:type="even" r:id="rId24"/>
      <w:headerReference w:type="default" r:id="rId25"/>
      <w:footerReference w:type="even" r:id="rId26"/>
      <w:footerReference w:type="default" r:id="rId27"/>
      <w:headerReference w:type="first" r:id="rId28"/>
      <w:footerReference w:type="first" r:id="rId29"/>
      <w:type w:val="oddPage"/>
      <w:pgSz w:w="11906" w:h="16838" w:code="9"/>
      <w:pgMar w:top="2835" w:right="2098" w:bottom="2466" w:left="2098" w:header="1814" w:footer="18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583D8" w14:textId="77777777" w:rsidR="00F849DB" w:rsidRDefault="00F849DB" w:rsidP="00E40261">
      <w:pPr>
        <w:spacing w:after="0" w:line="240" w:lineRule="auto"/>
      </w:pPr>
      <w:r>
        <w:separator/>
      </w:r>
    </w:p>
  </w:endnote>
  <w:endnote w:type="continuationSeparator" w:id="0">
    <w:p w14:paraId="361B518B" w14:textId="77777777" w:rsidR="00F849DB" w:rsidRDefault="00F849DB" w:rsidP="00E40261">
      <w:pPr>
        <w:spacing w:after="0" w:line="240" w:lineRule="auto"/>
      </w:pPr>
      <w:r>
        <w:continuationSeparator/>
      </w:r>
    </w:p>
  </w:endnote>
  <w:endnote w:type="continuationNotice" w:id="1">
    <w:p w14:paraId="0A66CF8F" w14:textId="77777777" w:rsidR="00F849DB" w:rsidRDefault="00F849D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Bold">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bold)">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0CA70" w14:textId="7A3A8655" w:rsidR="003D18DA" w:rsidRDefault="00CC21DD" w:rsidP="00CC21DD">
    <w:pPr>
      <w:pStyle w:val="FooterEven"/>
    </w:pPr>
    <w:r w:rsidRPr="00B3705D">
      <w:rPr>
        <w:b/>
      </w:rPr>
      <w:t xml:space="preserve">Page </w:t>
    </w:r>
    <w:r w:rsidRPr="00B3705D">
      <w:rPr>
        <w:b/>
        <w:bCs/>
      </w:rPr>
      <w:fldChar w:fldCharType="begin"/>
    </w:r>
    <w:r w:rsidRPr="00B3705D">
      <w:rPr>
        <w:b/>
      </w:rPr>
      <w:instrText xml:space="preserve"> PAGE  \* Arabic  \* MERGEFORMAT </w:instrText>
    </w:r>
    <w:r w:rsidRPr="00B3705D">
      <w:rPr>
        <w:b/>
        <w:bCs/>
      </w:rPr>
      <w:fldChar w:fldCharType="separate"/>
    </w:r>
    <w:r>
      <w:rPr>
        <w:b/>
        <w:bCs/>
      </w:rPr>
      <w:t>6</w:t>
    </w:r>
    <w:r w:rsidRPr="00B3705D">
      <w:rPr>
        <w:b/>
        <w:bCs/>
      </w:rPr>
      <w:fldChar w:fldCharType="end"/>
    </w:r>
    <w:r w:rsidRPr="00B3705D">
      <w:t xml:space="preserve">  |  </w:t>
    </w:r>
    <w:r w:rsidR="007528E4">
      <w:fldChar w:fldCharType="begin"/>
    </w:r>
    <w:r w:rsidR="007528E4">
      <w:instrText xml:space="preserve"> SUBJECT   \* MERGEFORMAT </w:instrText>
    </w:r>
    <w:r w:rsidR="007528E4">
      <w:fldChar w:fldCharType="separate"/>
    </w:r>
    <w:r w:rsidR="00AB2EDC">
      <w:t>Statement 6: Expenses and Net Capital Investment</w:t>
    </w:r>
    <w:r w:rsidR="007528E4">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9F11A" w14:textId="62D93DEA" w:rsidR="0018598F" w:rsidRDefault="0018598F">
    <w:pPr>
      <w:pStyle w:val="Footer"/>
    </w:pPr>
    <w:r>
      <w:rPr>
        <w:noProof/>
      </w:rPr>
      <mc:AlternateContent>
        <mc:Choice Requires="wps">
          <w:drawing>
            <wp:anchor distT="0" distB="0" distL="114300" distR="114300" simplePos="0" relativeHeight="251658249" behindDoc="0" locked="1" layoutInCell="0" allowOverlap="1" wp14:anchorId="43292EE5" wp14:editId="7BEF2AC4">
              <wp:simplePos x="0" y="0"/>
              <wp:positionH relativeFrom="margin">
                <wp:align>center</wp:align>
              </wp:positionH>
              <wp:positionV relativeFrom="bottomMargin">
                <wp:align>center</wp:align>
              </wp:positionV>
              <wp:extent cx="1891665" cy="250190"/>
              <wp:effectExtent l="0" t="0" r="0" b="0"/>
              <wp:wrapNone/>
              <wp:docPr id="1155604325" name="Text Box 1155604325"/>
              <wp:cNvGraphicFramePr/>
              <a:graphic xmlns:a="http://schemas.openxmlformats.org/drawingml/2006/main">
                <a:graphicData uri="http://schemas.microsoft.com/office/word/2010/wordprocessingShape">
                  <wps:wsp>
                    <wps:cNvSpPr txBox="1"/>
                    <wps:spPr>
                      <a:xfrm>
                        <a:off x="0" y="0"/>
                        <a:ext cx="1891665" cy="2501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BF44009" w14:textId="62247B70" w:rsidR="0018598F" w:rsidRPr="0018598F" w:rsidRDefault="0018598F" w:rsidP="0018598F">
                          <w:pPr>
                            <w:spacing w:before="0" w:after="0"/>
                            <w:jc w:val="center"/>
                            <w:rPr>
                              <w:rFonts w:ascii="Arial" w:hAnsi="Arial" w:cs="Arial"/>
                              <w:b/>
                              <w:color w:val="FF0000"/>
                              <w:sz w:val="24"/>
                            </w:rPr>
                          </w:pPr>
                          <w:r w:rsidRPr="0018598F">
                            <w:rPr>
                              <w:rFonts w:ascii="Arial" w:hAnsi="Arial" w:cs="Arial"/>
                              <w:b/>
                              <w:color w:val="FF0000"/>
                              <w:sz w:val="24"/>
                            </w:rPr>
                            <w:fldChar w:fldCharType="begin"/>
                          </w:r>
                          <w:r w:rsidRPr="0018598F">
                            <w:rPr>
                              <w:rFonts w:ascii="Arial" w:hAnsi="Arial" w:cs="Arial"/>
                              <w:b/>
                              <w:color w:val="FF0000"/>
                              <w:sz w:val="24"/>
                            </w:rPr>
                            <w:instrText xml:space="preserve"> DOCPROPERTY PM_ProtectiveMarkingValue_Footer \* MERGEFORMAT </w:instrText>
                          </w:r>
                          <w:r w:rsidRPr="0018598F">
                            <w:rPr>
                              <w:rFonts w:ascii="Arial" w:hAnsi="Arial" w:cs="Arial"/>
                              <w:b/>
                              <w:color w:val="FF0000"/>
                              <w:sz w:val="24"/>
                            </w:rPr>
                            <w:fldChar w:fldCharType="separate"/>
                          </w:r>
                          <w:r w:rsidR="00AB2EDC">
                            <w:rPr>
                              <w:rFonts w:ascii="Arial" w:hAnsi="Arial" w:cs="Arial"/>
                              <w:b/>
                              <w:color w:val="FF0000"/>
                              <w:sz w:val="24"/>
                            </w:rPr>
                            <w:t>PROTECTED//CABINET</w:t>
                          </w:r>
                          <w:r w:rsidRPr="0018598F">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oel="http://schemas.microsoft.com/office/2019/extlst">
          <w:pict>
            <v:shapetype w14:anchorId="43292EE5" id="_x0000_t202" coordsize="21600,21600" o:spt="202" path="m,l,21600r21600,l21600,xe">
              <v:stroke joinstyle="miter"/>
              <v:path gradientshapeok="t" o:connecttype="rect"/>
            </v:shapetype>
            <v:shape id="Text Box 1155604325" o:spid="_x0000_s1027" type="#_x0000_t202" style="position:absolute;left:0;text-align:left;margin-left:0;margin-top:0;width:148.95pt;height:19.7pt;z-index:251658249;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" o:allowincell="f" filled="f" stroked="f" strokeweight=".5pt">
              <v:textbox style="mso-fit-shape-to-text:t">
                <w:txbxContent>
                  <w:p w14:paraId="6BF44009" w14:textId="62247B70" w:rsidR="0018598F" w:rsidRPr="0018598F" w:rsidRDefault="0018598F" w:rsidP="0018598F">
                    <w:pPr>
                      <w:spacing w:before="0" w:after="0"/>
                      <w:jc w:val="center"/>
                      <w:rPr>
                        <w:rFonts w:ascii="Arial" w:hAnsi="Arial" w:cs="Arial"/>
                        <w:b/>
                        <w:color w:val="FF0000"/>
                        <w:sz w:val="24"/>
                      </w:rPr>
                    </w:pPr>
                    <w:r w:rsidRPr="0018598F">
                      <w:rPr>
                        <w:rFonts w:ascii="Arial" w:hAnsi="Arial" w:cs="Arial"/>
                        <w:b/>
                        <w:color w:val="FF0000"/>
                        <w:sz w:val="24"/>
                      </w:rPr>
                      <w:fldChar w:fldCharType="begin"/>
                    </w:r>
                    <w:r w:rsidRPr="0018598F">
                      <w:rPr>
                        <w:rFonts w:ascii="Arial" w:hAnsi="Arial" w:cs="Arial"/>
                        <w:b/>
                        <w:color w:val="FF0000"/>
                        <w:sz w:val="24"/>
                      </w:rPr>
                      <w:instrText xml:space="preserve"> DOCPROPERTY PM_ProtectiveMarkingValue_Footer \* MERGEFORMAT </w:instrText>
                    </w:r>
                    <w:r w:rsidRPr="0018598F">
                      <w:rPr>
                        <w:rFonts w:ascii="Arial" w:hAnsi="Arial" w:cs="Arial"/>
                        <w:b/>
                        <w:color w:val="FF0000"/>
                        <w:sz w:val="24"/>
                      </w:rPr>
                      <w:fldChar w:fldCharType="separate"/>
                    </w:r>
                    <w:r w:rsidR="00AB2EDC">
                      <w:rPr>
                        <w:rFonts w:ascii="Arial" w:hAnsi="Arial" w:cs="Arial"/>
                        <w:b/>
                        <w:color w:val="FF0000"/>
                        <w:sz w:val="24"/>
                      </w:rPr>
                      <w:t>PROTECTED//CABINET</w:t>
                    </w:r>
                    <w:r w:rsidRPr="0018598F">
                      <w:rPr>
                        <w:rFonts w:ascii="Arial" w:hAnsi="Arial" w:cs="Arial"/>
                        <w:b/>
                        <w:color w:val="FF0000"/>
                        <w:sz w:val="24"/>
                      </w:rPr>
                      <w:fldChar w:fldCharType="end"/>
                    </w:r>
                  </w:p>
                </w:txbxContent>
              </v:textbox>
              <w10:wrap anchorx="margin" anchory="margin"/>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A4C5E" w14:textId="6C4A7718" w:rsidR="003D18DA" w:rsidRDefault="007528E4" w:rsidP="00CC21DD">
    <w:pPr>
      <w:pStyle w:val="FooterOdd"/>
    </w:pPr>
    <w:r>
      <w:fldChar w:fldCharType="begin"/>
    </w:r>
    <w:r>
      <w:instrText xml:space="preserve"> SUBJECT   \* MERGEFORMAT </w:instrText>
    </w:r>
    <w:r>
      <w:fldChar w:fldCharType="separate"/>
    </w:r>
    <w:r w:rsidR="00AB2EDC">
      <w:t>Statement 6: Expenses and Net Capital Investment</w:t>
    </w:r>
    <w:r>
      <w:fldChar w:fldCharType="end"/>
    </w:r>
    <w:r w:rsidR="00CC21DD" w:rsidRPr="00B3705D">
      <w:t xml:space="preserve">  |  </w:t>
    </w:r>
    <w:r w:rsidR="00CC21DD" w:rsidRPr="00B3705D">
      <w:rPr>
        <w:b/>
        <w:bCs/>
      </w:rPr>
      <w:t xml:space="preserve">Page </w:t>
    </w:r>
    <w:r w:rsidR="00CC21DD" w:rsidRPr="00B3705D">
      <w:rPr>
        <w:b/>
        <w:bCs/>
      </w:rPr>
      <w:fldChar w:fldCharType="begin"/>
    </w:r>
    <w:r w:rsidR="00CC21DD" w:rsidRPr="00B3705D">
      <w:rPr>
        <w:b/>
        <w:bCs/>
      </w:rPr>
      <w:instrText xml:space="preserve"> PAGE  \* Arabic  \* MERGEFORMAT </w:instrText>
    </w:r>
    <w:r w:rsidR="00CC21DD" w:rsidRPr="00B3705D">
      <w:rPr>
        <w:b/>
        <w:bCs/>
      </w:rPr>
      <w:fldChar w:fldCharType="separate"/>
    </w:r>
    <w:r w:rsidR="00CC21DD">
      <w:rPr>
        <w:b/>
        <w:bCs/>
      </w:rPr>
      <w:t>1</w:t>
    </w:r>
    <w:r w:rsidR="00CC21DD" w:rsidRPr="00B3705D">
      <w:rPr>
        <w:b/>
        <w:bCs/>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387DA" w14:textId="512D8FC3" w:rsidR="00ED485A" w:rsidRDefault="0018598F" w:rsidP="00360947">
    <w:pPr>
      <w:pStyle w:val="FooterEven"/>
    </w:pPr>
    <w:r>
      <w:rPr>
        <w:b/>
        <w:noProof/>
      </w:rPr>
      <mc:AlternateContent>
        <mc:Choice Requires="wps">
          <w:drawing>
            <wp:anchor distT="0" distB="0" distL="114300" distR="114300" simplePos="0" relativeHeight="251658257" behindDoc="0" locked="1" layoutInCell="0" allowOverlap="1" wp14:anchorId="6C5A68A4" wp14:editId="1D74EAE5">
              <wp:simplePos x="0" y="0"/>
              <wp:positionH relativeFrom="margin">
                <wp:align>center</wp:align>
              </wp:positionH>
              <wp:positionV relativeFrom="bottomMargin">
                <wp:align>center</wp:align>
              </wp:positionV>
              <wp:extent cx="1891665" cy="250190"/>
              <wp:effectExtent l="0" t="0" r="0" b="0"/>
              <wp:wrapNone/>
              <wp:docPr id="2053229067" name="Text Box 2053229067"/>
              <wp:cNvGraphicFramePr/>
              <a:graphic xmlns:a="http://schemas.openxmlformats.org/drawingml/2006/main">
                <a:graphicData uri="http://schemas.microsoft.com/office/word/2010/wordprocessingShape">
                  <wps:wsp>
                    <wps:cNvSpPr txBox="1"/>
                    <wps:spPr>
                      <a:xfrm>
                        <a:off x="0" y="0"/>
                        <a:ext cx="1891665" cy="2501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7E80F30" w14:textId="096FAF3D" w:rsidR="0018598F" w:rsidRPr="0018598F" w:rsidRDefault="0018598F" w:rsidP="0018598F">
                          <w:pPr>
                            <w:spacing w:before="0" w:after="0"/>
                            <w:jc w:val="center"/>
                            <w:rPr>
                              <w:rFonts w:ascii="Arial" w:hAnsi="Arial" w:cs="Arial"/>
                              <w:b/>
                              <w:color w:val="FF0000"/>
                              <w:sz w:val="24"/>
                            </w:rPr>
                          </w:pPr>
                          <w:r w:rsidRPr="0018598F">
                            <w:rPr>
                              <w:rFonts w:ascii="Arial" w:hAnsi="Arial" w:cs="Arial"/>
                              <w:b/>
                              <w:color w:val="FF0000"/>
                              <w:sz w:val="24"/>
                            </w:rPr>
                            <w:fldChar w:fldCharType="begin"/>
                          </w:r>
                          <w:r w:rsidRPr="0018598F">
                            <w:rPr>
                              <w:rFonts w:ascii="Arial" w:hAnsi="Arial" w:cs="Arial"/>
                              <w:b/>
                              <w:color w:val="FF0000"/>
                              <w:sz w:val="24"/>
                            </w:rPr>
                            <w:instrText xml:space="preserve"> DOCPROPERTY PM_ProtectiveMarkingValue_Footer \* MERGEFORMAT </w:instrText>
                          </w:r>
                          <w:r w:rsidRPr="0018598F">
                            <w:rPr>
                              <w:rFonts w:ascii="Arial" w:hAnsi="Arial" w:cs="Arial"/>
                              <w:b/>
                              <w:color w:val="FF0000"/>
                              <w:sz w:val="24"/>
                            </w:rPr>
                            <w:fldChar w:fldCharType="separate"/>
                          </w:r>
                          <w:r w:rsidR="00AB2EDC">
                            <w:rPr>
                              <w:rFonts w:ascii="Arial" w:hAnsi="Arial" w:cs="Arial"/>
                              <w:b/>
                              <w:color w:val="FF0000"/>
                              <w:sz w:val="24"/>
                            </w:rPr>
                            <w:t>PROTECTED//CABINET</w:t>
                          </w:r>
                          <w:r w:rsidRPr="0018598F">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oel="http://schemas.microsoft.com/office/2019/extlst">
          <w:pict>
            <v:shapetype w14:anchorId="6C5A68A4" id="_x0000_t202" coordsize="21600,21600" o:spt="202" path="m,l,21600r21600,l21600,xe">
              <v:stroke joinstyle="miter"/>
              <v:path gradientshapeok="t" o:connecttype="rect"/>
            </v:shapetype>
            <v:shape id="Text Box 2053229067" o:spid="_x0000_s1030" type="#_x0000_t202" style="position:absolute;margin-left:0;margin-top:0;width:148.95pt;height:19.7pt;z-index:251658257;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" o:allowincell="f" filled="f" stroked="f" strokeweight=".5pt">
              <v:textbox style="mso-fit-shape-to-text:t">
                <w:txbxContent>
                  <w:p w14:paraId="17E80F30" w14:textId="096FAF3D" w:rsidR="0018598F" w:rsidRPr="0018598F" w:rsidRDefault="0018598F" w:rsidP="0018598F">
                    <w:pPr>
                      <w:spacing w:before="0" w:after="0"/>
                      <w:jc w:val="center"/>
                      <w:rPr>
                        <w:rFonts w:ascii="Arial" w:hAnsi="Arial" w:cs="Arial"/>
                        <w:b/>
                        <w:color w:val="FF0000"/>
                        <w:sz w:val="24"/>
                      </w:rPr>
                    </w:pPr>
                    <w:r w:rsidRPr="0018598F">
                      <w:rPr>
                        <w:rFonts w:ascii="Arial" w:hAnsi="Arial" w:cs="Arial"/>
                        <w:b/>
                        <w:color w:val="FF0000"/>
                        <w:sz w:val="24"/>
                      </w:rPr>
                      <w:fldChar w:fldCharType="begin"/>
                    </w:r>
                    <w:r w:rsidRPr="0018598F">
                      <w:rPr>
                        <w:rFonts w:ascii="Arial" w:hAnsi="Arial" w:cs="Arial"/>
                        <w:b/>
                        <w:color w:val="FF0000"/>
                        <w:sz w:val="24"/>
                      </w:rPr>
                      <w:instrText xml:space="preserve"> DOCPROPERTY PM_ProtectiveMarkingValue_Footer \* MERGEFORMAT </w:instrText>
                    </w:r>
                    <w:r w:rsidRPr="0018598F">
                      <w:rPr>
                        <w:rFonts w:ascii="Arial" w:hAnsi="Arial" w:cs="Arial"/>
                        <w:b/>
                        <w:color w:val="FF0000"/>
                        <w:sz w:val="24"/>
                      </w:rPr>
                      <w:fldChar w:fldCharType="separate"/>
                    </w:r>
                    <w:r w:rsidR="00AB2EDC">
                      <w:rPr>
                        <w:rFonts w:ascii="Arial" w:hAnsi="Arial" w:cs="Arial"/>
                        <w:b/>
                        <w:color w:val="FF0000"/>
                        <w:sz w:val="24"/>
                      </w:rPr>
                      <w:t>PROTECTED//CABINET</w:t>
                    </w:r>
                    <w:r w:rsidRPr="0018598F">
                      <w:rPr>
                        <w:rFonts w:ascii="Arial" w:hAnsi="Arial" w:cs="Arial"/>
                        <w:b/>
                        <w:color w:val="FF0000"/>
                        <w:sz w:val="24"/>
                      </w:rPr>
                      <w:fldChar w:fldCharType="end"/>
                    </w:r>
                  </w:p>
                </w:txbxContent>
              </v:textbox>
              <w10:wrap anchorx="margin" anchory="margin"/>
              <w10:anchorlock/>
            </v:shape>
          </w:pict>
        </mc:Fallback>
      </mc:AlternateContent>
    </w:r>
    <w:r w:rsidR="00ED485A" w:rsidRPr="00B3705D">
      <w:rPr>
        <w:b/>
      </w:rPr>
      <w:t xml:space="preserve">Page </w:t>
    </w:r>
    <w:r w:rsidR="00ED485A" w:rsidRPr="00B3705D">
      <w:rPr>
        <w:b/>
        <w:bCs/>
      </w:rPr>
      <w:fldChar w:fldCharType="begin"/>
    </w:r>
    <w:r w:rsidR="00ED485A" w:rsidRPr="00B3705D">
      <w:rPr>
        <w:b/>
      </w:rPr>
      <w:instrText xml:space="preserve"> PAGE  \* Arabic  \* MERGEFORMAT </w:instrText>
    </w:r>
    <w:r w:rsidR="00ED485A" w:rsidRPr="00B3705D">
      <w:rPr>
        <w:b/>
        <w:bCs/>
      </w:rPr>
      <w:fldChar w:fldCharType="separate"/>
    </w:r>
    <w:r w:rsidR="00ED485A">
      <w:rPr>
        <w:b/>
        <w:bCs/>
      </w:rPr>
      <w:t>6</w:t>
    </w:r>
    <w:r w:rsidR="00ED485A" w:rsidRPr="00B3705D">
      <w:rPr>
        <w:b/>
        <w:bCs/>
      </w:rPr>
      <w:fldChar w:fldCharType="end"/>
    </w:r>
    <w:r w:rsidR="00ED485A" w:rsidRPr="00B3705D">
      <w:t xml:space="preserve">  |  </w:t>
    </w:r>
    <w:r w:rsidR="007528E4">
      <w:fldChar w:fldCharType="begin"/>
    </w:r>
    <w:r w:rsidR="007528E4">
      <w:instrText xml:space="preserve"> SUBJECT   \* MERGEFORMAT </w:instrText>
    </w:r>
    <w:r w:rsidR="007528E4">
      <w:fldChar w:fldCharType="separate"/>
    </w:r>
    <w:r w:rsidR="00AB2EDC">
      <w:t>Statement 6: Expenses and Net Capital Investment</w:t>
    </w:r>
    <w:r w:rsidR="007528E4">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041FB" w14:textId="49CCA65D" w:rsidR="00ED485A" w:rsidRDefault="0018598F" w:rsidP="002A6A16">
    <w:pPr>
      <w:pStyle w:val="FooterOdd"/>
    </w:pPr>
    <w:r>
      <w:rPr>
        <w:noProof/>
      </w:rPr>
      <mc:AlternateContent>
        <mc:Choice Requires="wps">
          <w:drawing>
            <wp:anchor distT="0" distB="0" distL="114300" distR="114300" simplePos="0" relativeHeight="251658255" behindDoc="0" locked="1" layoutInCell="0" allowOverlap="1" wp14:anchorId="5458DE21" wp14:editId="6550D928">
              <wp:simplePos x="0" y="0"/>
              <wp:positionH relativeFrom="margin">
                <wp:align>center</wp:align>
              </wp:positionH>
              <wp:positionV relativeFrom="bottomMargin">
                <wp:align>center</wp:align>
              </wp:positionV>
              <wp:extent cx="1891665" cy="250190"/>
              <wp:effectExtent l="0" t="0" r="0" b="0"/>
              <wp:wrapNone/>
              <wp:docPr id="1030878939" name="Text Box 1030878939"/>
              <wp:cNvGraphicFramePr/>
              <a:graphic xmlns:a="http://schemas.openxmlformats.org/drawingml/2006/main">
                <a:graphicData uri="http://schemas.microsoft.com/office/word/2010/wordprocessingShape">
                  <wps:wsp>
                    <wps:cNvSpPr txBox="1"/>
                    <wps:spPr>
                      <a:xfrm>
                        <a:off x="0" y="0"/>
                        <a:ext cx="1891665" cy="2501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7C520C" w14:textId="1C385408" w:rsidR="0018598F" w:rsidRPr="0018598F" w:rsidRDefault="0018598F" w:rsidP="0018598F">
                          <w:pPr>
                            <w:spacing w:before="0" w:after="0"/>
                            <w:jc w:val="center"/>
                            <w:rPr>
                              <w:rFonts w:ascii="Arial" w:hAnsi="Arial" w:cs="Arial"/>
                              <w:b/>
                              <w:color w:val="FF0000"/>
                              <w:sz w:val="24"/>
                            </w:rPr>
                          </w:pPr>
                          <w:r w:rsidRPr="0018598F">
                            <w:rPr>
                              <w:rFonts w:ascii="Arial" w:hAnsi="Arial" w:cs="Arial"/>
                              <w:b/>
                              <w:color w:val="FF0000"/>
                              <w:sz w:val="24"/>
                            </w:rPr>
                            <w:fldChar w:fldCharType="begin"/>
                          </w:r>
                          <w:r w:rsidRPr="0018598F">
                            <w:rPr>
                              <w:rFonts w:ascii="Arial" w:hAnsi="Arial" w:cs="Arial"/>
                              <w:b/>
                              <w:color w:val="FF0000"/>
                              <w:sz w:val="24"/>
                            </w:rPr>
                            <w:instrText xml:space="preserve"> DOCPROPERTY PM_ProtectiveMarkingValue_Footer \* MERGEFORMAT </w:instrText>
                          </w:r>
                          <w:r w:rsidRPr="0018598F">
                            <w:rPr>
                              <w:rFonts w:ascii="Arial" w:hAnsi="Arial" w:cs="Arial"/>
                              <w:b/>
                              <w:color w:val="FF0000"/>
                              <w:sz w:val="24"/>
                            </w:rPr>
                            <w:fldChar w:fldCharType="separate"/>
                          </w:r>
                          <w:r w:rsidR="00AB2EDC">
                            <w:rPr>
                              <w:rFonts w:ascii="Arial" w:hAnsi="Arial" w:cs="Arial"/>
                              <w:b/>
                              <w:color w:val="FF0000"/>
                              <w:sz w:val="24"/>
                            </w:rPr>
                            <w:t>PROTECTED//CABINET</w:t>
                          </w:r>
                          <w:r w:rsidRPr="0018598F">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oel="http://schemas.microsoft.com/office/2019/extlst">
          <w:pict>
            <v:shapetype w14:anchorId="5458DE21" id="_x0000_t202" coordsize="21600,21600" o:spt="202" path="m,l,21600r21600,l21600,xe">
              <v:stroke joinstyle="miter"/>
              <v:path gradientshapeok="t" o:connecttype="rect"/>
            </v:shapetype>
            <v:shape id="Text Box 1030878939" o:spid="_x0000_s1031" type="#_x0000_t202" style="position:absolute;left:0;text-align:left;margin-left:0;margin-top:0;width:148.95pt;height:19.7pt;z-index:251658255;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" o:allowincell="f" filled="f" stroked="f" strokeweight=".5pt">
              <v:textbox style="mso-fit-shape-to-text:t">
                <w:txbxContent>
                  <w:p w14:paraId="7C7C520C" w14:textId="1C385408" w:rsidR="0018598F" w:rsidRPr="0018598F" w:rsidRDefault="0018598F" w:rsidP="0018598F">
                    <w:pPr>
                      <w:spacing w:before="0" w:after="0"/>
                      <w:jc w:val="center"/>
                      <w:rPr>
                        <w:rFonts w:ascii="Arial" w:hAnsi="Arial" w:cs="Arial"/>
                        <w:b/>
                        <w:color w:val="FF0000"/>
                        <w:sz w:val="24"/>
                      </w:rPr>
                    </w:pPr>
                    <w:r w:rsidRPr="0018598F">
                      <w:rPr>
                        <w:rFonts w:ascii="Arial" w:hAnsi="Arial" w:cs="Arial"/>
                        <w:b/>
                        <w:color w:val="FF0000"/>
                        <w:sz w:val="24"/>
                      </w:rPr>
                      <w:fldChar w:fldCharType="begin"/>
                    </w:r>
                    <w:r w:rsidRPr="0018598F">
                      <w:rPr>
                        <w:rFonts w:ascii="Arial" w:hAnsi="Arial" w:cs="Arial"/>
                        <w:b/>
                        <w:color w:val="FF0000"/>
                        <w:sz w:val="24"/>
                      </w:rPr>
                      <w:instrText xml:space="preserve"> DOCPROPERTY PM_ProtectiveMarkingValue_Footer \* MERGEFORMAT </w:instrText>
                    </w:r>
                    <w:r w:rsidRPr="0018598F">
                      <w:rPr>
                        <w:rFonts w:ascii="Arial" w:hAnsi="Arial" w:cs="Arial"/>
                        <w:b/>
                        <w:color w:val="FF0000"/>
                        <w:sz w:val="24"/>
                      </w:rPr>
                      <w:fldChar w:fldCharType="separate"/>
                    </w:r>
                    <w:r w:rsidR="00AB2EDC">
                      <w:rPr>
                        <w:rFonts w:ascii="Arial" w:hAnsi="Arial" w:cs="Arial"/>
                        <w:b/>
                        <w:color w:val="FF0000"/>
                        <w:sz w:val="24"/>
                      </w:rPr>
                      <w:t>PROTECTED//CABINET</w:t>
                    </w:r>
                    <w:r w:rsidRPr="0018598F">
                      <w:rPr>
                        <w:rFonts w:ascii="Arial" w:hAnsi="Arial" w:cs="Arial"/>
                        <w:b/>
                        <w:color w:val="FF0000"/>
                        <w:sz w:val="24"/>
                      </w:rPr>
                      <w:fldChar w:fldCharType="end"/>
                    </w:r>
                  </w:p>
                </w:txbxContent>
              </v:textbox>
              <w10:wrap anchorx="margin" anchory="margin"/>
              <w10:anchorlock/>
            </v:shape>
          </w:pict>
        </mc:Fallback>
      </mc:AlternateContent>
    </w:r>
    <w:r w:rsidR="007528E4">
      <w:fldChar w:fldCharType="begin"/>
    </w:r>
    <w:r w:rsidR="007528E4">
      <w:instrText xml:space="preserve"> SUBJECT   \* MERGEFORMAT </w:instrText>
    </w:r>
    <w:r w:rsidR="007528E4">
      <w:fldChar w:fldCharType="separate"/>
    </w:r>
    <w:r w:rsidR="00AB2EDC">
      <w:t>Statement 6: Expenses and Net Capital Investment</w:t>
    </w:r>
    <w:r w:rsidR="007528E4">
      <w:fldChar w:fldCharType="end"/>
    </w:r>
    <w:r w:rsidR="00ED485A" w:rsidRPr="00B3705D">
      <w:t xml:space="preserve">  |  </w:t>
    </w:r>
    <w:r w:rsidR="00ED485A" w:rsidRPr="00B3705D">
      <w:rPr>
        <w:b/>
        <w:bCs/>
      </w:rPr>
      <w:t xml:space="preserve">Page </w:t>
    </w:r>
    <w:r w:rsidR="00ED485A" w:rsidRPr="00B3705D">
      <w:rPr>
        <w:b/>
        <w:bCs/>
      </w:rPr>
      <w:fldChar w:fldCharType="begin"/>
    </w:r>
    <w:r w:rsidR="00ED485A" w:rsidRPr="00B3705D">
      <w:rPr>
        <w:b/>
        <w:bCs/>
      </w:rPr>
      <w:instrText xml:space="preserve"> PAGE  \* Arabic  \* MERGEFORMAT </w:instrText>
    </w:r>
    <w:r w:rsidR="00ED485A" w:rsidRPr="00B3705D">
      <w:rPr>
        <w:b/>
        <w:bCs/>
      </w:rPr>
      <w:fldChar w:fldCharType="separate"/>
    </w:r>
    <w:r w:rsidR="00ED485A">
      <w:rPr>
        <w:b/>
        <w:bCs/>
      </w:rPr>
      <w:t>1</w:t>
    </w:r>
    <w:r w:rsidR="00ED485A" w:rsidRPr="00B3705D">
      <w:rPr>
        <w:b/>
        <w:bCs/>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B234D" w14:textId="5081E054" w:rsidR="00ED485A" w:rsidRPr="00611E60" w:rsidRDefault="007528E4" w:rsidP="004D50EC">
    <w:pPr>
      <w:pStyle w:val="FooterOdd"/>
    </w:pPr>
    <w:r>
      <w:fldChar w:fldCharType="begin"/>
    </w:r>
    <w:r>
      <w:instrText xml:space="preserve"> SUBJECT   \* MERGEFORMAT </w:instrText>
    </w:r>
    <w:r>
      <w:fldChar w:fldCharType="separate"/>
    </w:r>
    <w:r w:rsidR="00AB2EDC">
      <w:t>Statement 6: Expenses and Net Capital Investment</w:t>
    </w:r>
    <w:r>
      <w:fldChar w:fldCharType="end"/>
    </w:r>
    <w:r w:rsidR="004D50EC" w:rsidRPr="00B3705D">
      <w:t xml:space="preserve">  |  </w:t>
    </w:r>
    <w:r w:rsidR="004D50EC" w:rsidRPr="00B3705D">
      <w:rPr>
        <w:b/>
        <w:bCs/>
      </w:rPr>
      <w:t xml:space="preserve">Page </w:t>
    </w:r>
    <w:r w:rsidR="004D50EC" w:rsidRPr="00B3705D">
      <w:rPr>
        <w:b/>
        <w:bCs/>
      </w:rPr>
      <w:fldChar w:fldCharType="begin"/>
    </w:r>
    <w:r w:rsidR="004D50EC" w:rsidRPr="00B3705D">
      <w:rPr>
        <w:b/>
        <w:bCs/>
      </w:rPr>
      <w:instrText xml:space="preserve"> PAGE  \* Arabic  \* MERGEFORMAT </w:instrText>
    </w:r>
    <w:r w:rsidR="004D50EC" w:rsidRPr="00B3705D">
      <w:rPr>
        <w:b/>
        <w:bCs/>
      </w:rPr>
      <w:fldChar w:fldCharType="separate"/>
    </w:r>
    <w:r w:rsidR="004D50EC">
      <w:rPr>
        <w:b/>
        <w:bCs/>
      </w:rPr>
      <w:t>1</w:t>
    </w:r>
    <w:r w:rsidR="004D50EC" w:rsidRPr="00B3705D">
      <w:rPr>
        <w:b/>
        <w:bCs/>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61349" w14:textId="2A75AD94" w:rsidR="00FB5DDD" w:rsidRPr="00611E60" w:rsidRDefault="0014057B" w:rsidP="0014057B">
    <w:pPr>
      <w:pStyle w:val="FooterEven"/>
    </w:pPr>
    <w:r w:rsidRPr="00B3705D">
      <w:rPr>
        <w:b/>
      </w:rPr>
      <w:t xml:space="preserve">Page </w:t>
    </w:r>
    <w:r w:rsidRPr="00B3705D">
      <w:rPr>
        <w:b/>
        <w:bCs/>
      </w:rPr>
      <w:fldChar w:fldCharType="begin"/>
    </w:r>
    <w:r w:rsidRPr="00B3705D">
      <w:rPr>
        <w:b/>
      </w:rPr>
      <w:instrText xml:space="preserve"> PAGE  \* Arabic  \* MERGEFORMAT </w:instrText>
    </w:r>
    <w:r w:rsidRPr="00B3705D">
      <w:rPr>
        <w:b/>
        <w:bCs/>
      </w:rPr>
      <w:fldChar w:fldCharType="separate"/>
    </w:r>
    <w:r>
      <w:rPr>
        <w:b/>
        <w:bCs/>
      </w:rPr>
      <w:t>6</w:t>
    </w:r>
    <w:r w:rsidRPr="00B3705D">
      <w:rPr>
        <w:b/>
        <w:bCs/>
      </w:rPr>
      <w:fldChar w:fldCharType="end"/>
    </w:r>
    <w:r w:rsidRPr="00B3705D">
      <w:t xml:space="preserve">  |  </w:t>
    </w:r>
    <w:r w:rsidR="007528E4">
      <w:fldChar w:fldCharType="begin"/>
    </w:r>
    <w:r w:rsidR="007528E4">
      <w:instrText xml:space="preserve"> SUBJECT   \* MERGEFORMAT </w:instrText>
    </w:r>
    <w:r w:rsidR="007528E4">
      <w:fldChar w:fldCharType="separate"/>
    </w:r>
    <w:r w:rsidR="00AB2EDC">
      <w:t>Statement 6: Expenses and Net Capital Investment</w:t>
    </w:r>
    <w:r w:rsidR="007528E4">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E8AB2" w14:textId="71DAA4F0" w:rsidR="00FB5DDD" w:rsidRPr="00611E60" w:rsidRDefault="007528E4" w:rsidP="002D3EE6">
    <w:pPr>
      <w:pStyle w:val="FooterOdd"/>
    </w:pPr>
    <w:r>
      <w:fldChar w:fldCharType="begin"/>
    </w:r>
    <w:r>
      <w:instrText xml:space="preserve"> SUBJECT   \* MERGEFORMAT </w:instrText>
    </w:r>
    <w:r>
      <w:fldChar w:fldCharType="separate"/>
    </w:r>
    <w:r w:rsidR="00AB2EDC">
      <w:t>Statement 6: Expenses and Net Capital Investment</w:t>
    </w:r>
    <w:r>
      <w:fldChar w:fldCharType="end"/>
    </w:r>
    <w:r w:rsidR="002D3EE6" w:rsidRPr="00B3705D">
      <w:t xml:space="preserve">  |  </w:t>
    </w:r>
    <w:r w:rsidR="002D3EE6" w:rsidRPr="00B3705D">
      <w:rPr>
        <w:b/>
        <w:bCs/>
      </w:rPr>
      <w:t xml:space="preserve">Page </w:t>
    </w:r>
    <w:r w:rsidR="002D3EE6" w:rsidRPr="00B3705D">
      <w:rPr>
        <w:b/>
        <w:bCs/>
      </w:rPr>
      <w:fldChar w:fldCharType="begin"/>
    </w:r>
    <w:r w:rsidR="002D3EE6" w:rsidRPr="00B3705D">
      <w:rPr>
        <w:b/>
        <w:bCs/>
      </w:rPr>
      <w:instrText xml:space="preserve"> PAGE  \* Arabic  \* MERGEFORMAT </w:instrText>
    </w:r>
    <w:r w:rsidR="002D3EE6" w:rsidRPr="00B3705D">
      <w:rPr>
        <w:b/>
        <w:bCs/>
      </w:rPr>
      <w:fldChar w:fldCharType="separate"/>
    </w:r>
    <w:r w:rsidR="002D3EE6">
      <w:rPr>
        <w:b/>
        <w:bCs/>
      </w:rPr>
      <w:t>1</w:t>
    </w:r>
    <w:r w:rsidR="002D3EE6" w:rsidRPr="00B3705D">
      <w:rPr>
        <w:b/>
        <w:bCs/>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E098B" w14:textId="6AB61F70" w:rsidR="00FB5DDD" w:rsidRPr="00611E60" w:rsidRDefault="007528E4" w:rsidP="004D50EC">
    <w:pPr>
      <w:pStyle w:val="FooterOdd"/>
    </w:pPr>
    <w:r>
      <w:fldChar w:fldCharType="begin"/>
    </w:r>
    <w:r>
      <w:instrText xml:space="preserve"> SUBJECT   \* MERGEFORMAT </w:instrText>
    </w:r>
    <w:r>
      <w:fldChar w:fldCharType="separate"/>
    </w:r>
    <w:r w:rsidR="00AB2EDC">
      <w:t>Statement 6: Expenses and Net Capital Investment</w:t>
    </w:r>
    <w:r>
      <w:fldChar w:fldCharType="end"/>
    </w:r>
    <w:r w:rsidR="004D50EC" w:rsidRPr="00B3705D">
      <w:t xml:space="preserve">  |  </w:t>
    </w:r>
    <w:r w:rsidR="004D50EC" w:rsidRPr="00B3705D">
      <w:rPr>
        <w:b/>
        <w:bCs/>
      </w:rPr>
      <w:t xml:space="preserve">Page </w:t>
    </w:r>
    <w:r w:rsidR="004D50EC" w:rsidRPr="00B3705D">
      <w:rPr>
        <w:b/>
        <w:bCs/>
      </w:rPr>
      <w:fldChar w:fldCharType="begin"/>
    </w:r>
    <w:r w:rsidR="004D50EC" w:rsidRPr="00B3705D">
      <w:rPr>
        <w:b/>
        <w:bCs/>
      </w:rPr>
      <w:instrText xml:space="preserve"> PAGE  \* Arabic  \* MERGEFORMAT </w:instrText>
    </w:r>
    <w:r w:rsidR="004D50EC" w:rsidRPr="00B3705D">
      <w:rPr>
        <w:b/>
        <w:bCs/>
      </w:rPr>
      <w:fldChar w:fldCharType="separate"/>
    </w:r>
    <w:r w:rsidR="004D50EC">
      <w:rPr>
        <w:b/>
        <w:bCs/>
      </w:rPr>
      <w:t>1</w:t>
    </w:r>
    <w:r w:rsidR="004D50EC" w:rsidRPr="00B3705D">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DBAD3" w14:textId="77777777" w:rsidR="00F849DB" w:rsidRPr="003C1CA4" w:rsidRDefault="00F849DB" w:rsidP="00EB6597">
      <w:pPr>
        <w:spacing w:after="0" w:line="240" w:lineRule="auto"/>
        <w:ind w:right="8277"/>
        <w:rPr>
          <w:rFonts w:asciiTheme="majorHAnsi" w:hAnsiTheme="majorHAnsi"/>
          <w:color w:val="E1E3E6" w:themeColor="background2" w:themeTint="33"/>
        </w:rPr>
      </w:pPr>
      <w:r w:rsidRPr="003C1CA4">
        <w:rPr>
          <w:rFonts w:asciiTheme="majorHAnsi" w:hAnsiTheme="majorHAnsi"/>
          <w:color w:val="E1E3E6" w:themeColor="background2" w:themeTint="33"/>
        </w:rPr>
        <w:t>—</w:t>
      </w:r>
    </w:p>
  </w:footnote>
  <w:footnote w:type="continuationSeparator" w:id="0">
    <w:p w14:paraId="2E8F11F9" w14:textId="77777777" w:rsidR="00F849DB" w:rsidRDefault="00F849DB" w:rsidP="00E40261">
      <w:pPr>
        <w:spacing w:after="0" w:line="240" w:lineRule="auto"/>
      </w:pPr>
      <w:r>
        <w:continuationSeparator/>
      </w:r>
    </w:p>
  </w:footnote>
  <w:footnote w:type="continuationNotice" w:id="1">
    <w:p w14:paraId="473600E8" w14:textId="77777777" w:rsidR="00F849DB" w:rsidRDefault="00F849DB">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3F912" w14:textId="58EAF00A" w:rsidR="003D18DA" w:rsidRDefault="00DF7C39">
    <w:pPr>
      <w:pStyle w:val="Header"/>
    </w:pPr>
    <w:r>
      <w:rPr>
        <w:noProof/>
      </w:rPr>
      <w:drawing>
        <wp:anchor distT="0" distB="0" distL="114300" distR="114300" simplePos="0" relativeHeight="251658241" behindDoc="1" locked="0" layoutInCell="1" allowOverlap="1" wp14:anchorId="762BBBFD" wp14:editId="0AA5C0D5">
          <wp:simplePos x="1332411" y="1149531"/>
          <wp:positionH relativeFrom="column">
            <wp:align>center</wp:align>
          </wp:positionH>
          <wp:positionV relativeFrom="page">
            <wp:align>center</wp:align>
          </wp:positionV>
          <wp:extent cx="7557523" cy="10688400"/>
          <wp:effectExtent l="0" t="0" r="5715" b="0"/>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flipH="1">
                    <a:off x="0" y="0"/>
                    <a:ext cx="7557523" cy="106884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20585" w14:textId="7624A6B9" w:rsidR="0018598F" w:rsidRDefault="0018598F">
    <w:pPr>
      <w:pStyle w:val="Header"/>
    </w:pPr>
    <w:r>
      <w:rPr>
        <w:noProof/>
      </w:rPr>
      <mc:AlternateContent>
        <mc:Choice Requires="wps">
          <w:drawing>
            <wp:anchor distT="0" distB="0" distL="114300" distR="114300" simplePos="0" relativeHeight="251658246" behindDoc="0" locked="1" layoutInCell="0" allowOverlap="1" wp14:anchorId="771D0A67" wp14:editId="32F76DBF">
              <wp:simplePos x="0" y="0"/>
              <wp:positionH relativeFrom="margin">
                <wp:align>center</wp:align>
              </wp:positionH>
              <wp:positionV relativeFrom="topMargin">
                <wp:align>center</wp:align>
              </wp:positionV>
              <wp:extent cx="1891665" cy="250190"/>
              <wp:effectExtent l="0" t="0" r="0" b="0"/>
              <wp:wrapNone/>
              <wp:docPr id="1929559655" name="Text Box 1929559655"/>
              <wp:cNvGraphicFramePr/>
              <a:graphic xmlns:a="http://schemas.openxmlformats.org/drawingml/2006/main">
                <a:graphicData uri="http://schemas.microsoft.com/office/word/2010/wordprocessingShape">
                  <wps:wsp>
                    <wps:cNvSpPr txBox="1"/>
                    <wps:spPr>
                      <a:xfrm>
                        <a:off x="0" y="0"/>
                        <a:ext cx="1891665" cy="2501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56FB47" w14:textId="3C44E186" w:rsidR="0018598F" w:rsidRPr="0018598F" w:rsidRDefault="0018598F" w:rsidP="0018598F">
                          <w:pPr>
                            <w:spacing w:before="0" w:after="0"/>
                            <w:jc w:val="center"/>
                            <w:rPr>
                              <w:rFonts w:ascii="Arial" w:hAnsi="Arial" w:cs="Arial"/>
                              <w:b/>
                              <w:color w:val="FF0000"/>
                              <w:sz w:val="24"/>
                            </w:rPr>
                          </w:pPr>
                          <w:r w:rsidRPr="0018598F">
                            <w:rPr>
                              <w:rFonts w:ascii="Arial" w:hAnsi="Arial" w:cs="Arial"/>
                              <w:b/>
                              <w:color w:val="FF0000"/>
                              <w:sz w:val="24"/>
                            </w:rPr>
                            <w:fldChar w:fldCharType="begin"/>
                          </w:r>
                          <w:r w:rsidRPr="0018598F">
                            <w:rPr>
                              <w:rFonts w:ascii="Arial" w:hAnsi="Arial" w:cs="Arial"/>
                              <w:b/>
                              <w:color w:val="FF0000"/>
                              <w:sz w:val="24"/>
                            </w:rPr>
                            <w:instrText xml:space="preserve"> DOCPROPERTY PM_ProtectiveMarkingValue_Header \* MERGEFORMAT </w:instrText>
                          </w:r>
                          <w:r w:rsidRPr="0018598F">
                            <w:rPr>
                              <w:rFonts w:ascii="Arial" w:hAnsi="Arial" w:cs="Arial"/>
                              <w:b/>
                              <w:color w:val="FF0000"/>
                              <w:sz w:val="24"/>
                            </w:rPr>
                            <w:fldChar w:fldCharType="separate"/>
                          </w:r>
                          <w:r w:rsidR="00AB2EDC">
                            <w:rPr>
                              <w:rFonts w:ascii="Arial" w:hAnsi="Arial" w:cs="Arial"/>
                              <w:b/>
                              <w:color w:val="FF0000"/>
                              <w:sz w:val="24"/>
                            </w:rPr>
                            <w:t>PROTECTED//CABINET</w:t>
                          </w:r>
                          <w:r w:rsidRPr="0018598F">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oel="http://schemas.microsoft.com/office/2019/extlst">
          <w:pict>
            <v:shapetype w14:anchorId="771D0A67" id="_x0000_t202" coordsize="21600,21600" o:spt="202" path="m,l,21600r21600,l21600,xe">
              <v:stroke joinstyle="miter"/>
              <v:path gradientshapeok="t" o:connecttype="rect"/>
            </v:shapetype>
            <v:shape id="Text Box 1929559655" o:spid="_x0000_s1026" type="#_x0000_t202" style="position:absolute;margin-left:0;margin-top:0;width:148.95pt;height:19.7pt;z-index:251658246;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" o:allowincell="f" filled="f" stroked="f" strokeweight=".5pt">
              <v:textbox style="mso-fit-shape-to-text:t">
                <w:txbxContent>
                  <w:p w14:paraId="0156FB47" w14:textId="3C44E186" w:rsidR="0018598F" w:rsidRPr="0018598F" w:rsidRDefault="0018598F" w:rsidP="0018598F">
                    <w:pPr>
                      <w:spacing w:before="0" w:after="0"/>
                      <w:jc w:val="center"/>
                      <w:rPr>
                        <w:rFonts w:ascii="Arial" w:hAnsi="Arial" w:cs="Arial"/>
                        <w:b/>
                        <w:color w:val="FF0000"/>
                        <w:sz w:val="24"/>
                      </w:rPr>
                    </w:pPr>
                    <w:r w:rsidRPr="0018598F">
                      <w:rPr>
                        <w:rFonts w:ascii="Arial" w:hAnsi="Arial" w:cs="Arial"/>
                        <w:b/>
                        <w:color w:val="FF0000"/>
                        <w:sz w:val="24"/>
                      </w:rPr>
                      <w:fldChar w:fldCharType="begin"/>
                    </w:r>
                    <w:r w:rsidRPr="0018598F">
                      <w:rPr>
                        <w:rFonts w:ascii="Arial" w:hAnsi="Arial" w:cs="Arial"/>
                        <w:b/>
                        <w:color w:val="FF0000"/>
                        <w:sz w:val="24"/>
                      </w:rPr>
                      <w:instrText xml:space="preserve"> DOCPROPERTY PM_ProtectiveMarkingValue_Header \* MERGEFORMAT </w:instrText>
                    </w:r>
                    <w:r w:rsidRPr="0018598F">
                      <w:rPr>
                        <w:rFonts w:ascii="Arial" w:hAnsi="Arial" w:cs="Arial"/>
                        <w:b/>
                        <w:color w:val="FF0000"/>
                        <w:sz w:val="24"/>
                      </w:rPr>
                      <w:fldChar w:fldCharType="separate"/>
                    </w:r>
                    <w:r w:rsidR="00AB2EDC">
                      <w:rPr>
                        <w:rFonts w:ascii="Arial" w:hAnsi="Arial" w:cs="Arial"/>
                        <w:b/>
                        <w:color w:val="FF0000"/>
                        <w:sz w:val="24"/>
                      </w:rPr>
                      <w:t>PROTECTED//CABINET</w:t>
                    </w:r>
                    <w:r w:rsidRPr="0018598F">
                      <w:rPr>
                        <w:rFonts w:ascii="Arial" w:hAnsi="Arial" w:cs="Arial"/>
                        <w:b/>
                        <w:color w:val="FF0000"/>
                        <w:sz w:val="24"/>
                      </w:rPr>
                      <w:fldChar w:fldCharType="end"/>
                    </w:r>
                  </w:p>
                </w:txbxContent>
              </v:textbox>
              <w10:wrap anchorx="margin" anchory="margin"/>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D2297" w14:textId="4CD68FFF" w:rsidR="003D18DA" w:rsidRDefault="003D18DA">
    <w:pPr>
      <w:pStyle w:val="Header"/>
    </w:pPr>
    <w:r>
      <w:rPr>
        <w:noProof/>
      </w:rPr>
      <w:drawing>
        <wp:anchor distT="0" distB="0" distL="114300" distR="114300" simplePos="0" relativeHeight="251658240" behindDoc="1" locked="0" layoutInCell="1" allowOverlap="1" wp14:anchorId="3E9503AD" wp14:editId="2E3B3ABF">
          <wp:simplePos x="0" y="0"/>
          <wp:positionH relativeFrom="column">
            <wp:align>center</wp:align>
          </wp:positionH>
          <wp:positionV relativeFrom="page">
            <wp:align>center</wp:align>
          </wp:positionV>
          <wp:extent cx="7557523" cy="10688400"/>
          <wp:effectExtent l="0" t="0" r="5715" b="0"/>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7523" cy="106884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tblGrid>
    <w:tr w:rsidR="00ED485A" w14:paraId="02B853A2" w14:textId="77777777" w:rsidTr="004433F7">
      <w:trPr>
        <w:trHeight w:hRule="exact" w:val="340"/>
      </w:trPr>
      <w:tc>
        <w:tcPr>
          <w:tcW w:w="7797" w:type="dxa"/>
        </w:tcPr>
        <w:p w14:paraId="3F498677" w14:textId="2F75FDEE" w:rsidR="00ED485A" w:rsidRPr="008C56E1" w:rsidRDefault="0018598F" w:rsidP="008C56E1">
          <w:pPr>
            <w:pStyle w:val="HeaderEven"/>
          </w:pPr>
          <w:r>
            <w:rPr>
              <w:noProof/>
              <w:position w:val="-8"/>
            </w:rPr>
            <mc:AlternateContent>
              <mc:Choice Requires="wps">
                <w:drawing>
                  <wp:anchor distT="0" distB="0" distL="114300" distR="114300" simplePos="0" relativeHeight="251658254" behindDoc="0" locked="1" layoutInCell="0" allowOverlap="1" wp14:anchorId="6770D49A" wp14:editId="38ECF06F">
                    <wp:simplePos x="0" y="0"/>
                    <wp:positionH relativeFrom="margin">
                      <wp:align>center</wp:align>
                    </wp:positionH>
                    <wp:positionV relativeFrom="topMargin">
                      <wp:align>center</wp:align>
                    </wp:positionV>
                    <wp:extent cx="1891665" cy="250190"/>
                    <wp:effectExtent l="0" t="0" r="0" b="0"/>
                    <wp:wrapNone/>
                    <wp:docPr id="396044645" name="Text Box 396044645"/>
                    <wp:cNvGraphicFramePr/>
                    <a:graphic xmlns:a="http://schemas.openxmlformats.org/drawingml/2006/main">
                      <a:graphicData uri="http://schemas.microsoft.com/office/word/2010/wordprocessingShape">
                        <wps:wsp>
                          <wps:cNvSpPr txBox="1"/>
                          <wps:spPr>
                            <a:xfrm>
                              <a:off x="0" y="0"/>
                              <a:ext cx="1891665" cy="2501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C995DBA" w14:textId="20F69097" w:rsidR="0018598F" w:rsidRPr="0018598F" w:rsidRDefault="0018598F" w:rsidP="0018598F">
                                <w:pPr>
                                  <w:spacing w:before="0" w:after="0"/>
                                  <w:jc w:val="center"/>
                                  <w:rPr>
                                    <w:rFonts w:ascii="Arial" w:hAnsi="Arial" w:cs="Arial"/>
                                    <w:b/>
                                    <w:color w:val="FF0000"/>
                                    <w:sz w:val="24"/>
                                  </w:rPr>
                                </w:pPr>
                                <w:r w:rsidRPr="0018598F">
                                  <w:rPr>
                                    <w:rFonts w:ascii="Arial" w:hAnsi="Arial" w:cs="Arial"/>
                                    <w:b/>
                                    <w:color w:val="FF0000"/>
                                    <w:sz w:val="24"/>
                                  </w:rPr>
                                  <w:fldChar w:fldCharType="begin"/>
                                </w:r>
                                <w:r w:rsidRPr="0018598F">
                                  <w:rPr>
                                    <w:rFonts w:ascii="Arial" w:hAnsi="Arial" w:cs="Arial"/>
                                    <w:b/>
                                    <w:color w:val="FF0000"/>
                                    <w:sz w:val="24"/>
                                  </w:rPr>
                                  <w:instrText xml:space="preserve"> DOCPROPERTY PM_ProtectiveMarkingValue_Header \* MERGEFORMAT </w:instrText>
                                </w:r>
                                <w:r w:rsidRPr="0018598F">
                                  <w:rPr>
                                    <w:rFonts w:ascii="Arial" w:hAnsi="Arial" w:cs="Arial"/>
                                    <w:b/>
                                    <w:color w:val="FF0000"/>
                                    <w:sz w:val="24"/>
                                  </w:rPr>
                                  <w:fldChar w:fldCharType="separate"/>
                                </w:r>
                                <w:r w:rsidR="00AB2EDC">
                                  <w:rPr>
                                    <w:rFonts w:ascii="Arial" w:hAnsi="Arial" w:cs="Arial"/>
                                    <w:b/>
                                    <w:color w:val="FF0000"/>
                                    <w:sz w:val="24"/>
                                  </w:rPr>
                                  <w:t>PROTECTED//CABINET</w:t>
                                </w:r>
                                <w:r w:rsidRPr="0018598F">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oel="http://schemas.microsoft.com/office/2019/extlst">
                <w:pict>
                  <v:shapetype w14:anchorId="6770D49A" id="_x0000_t202" coordsize="21600,21600" o:spt="202" path="m,l,21600r21600,l21600,xe">
                    <v:stroke joinstyle="miter"/>
                    <v:path gradientshapeok="t" o:connecttype="rect"/>
                  </v:shapetype>
                  <v:shape id="Text Box 396044645" o:spid="_x0000_s1028" type="#_x0000_t202" style="position:absolute;margin-left:0;margin-top:0;width:148.95pt;height:19.7pt;z-index:251658254;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" o:allowincell="f" filled="f" stroked="f" strokeweight=".5pt">
                    <v:textbox style="mso-fit-shape-to-text:t">
                      <w:txbxContent>
                        <w:p w14:paraId="3C995DBA" w14:textId="20F69097" w:rsidR="0018598F" w:rsidRPr="0018598F" w:rsidRDefault="0018598F" w:rsidP="0018598F">
                          <w:pPr>
                            <w:spacing w:before="0" w:after="0"/>
                            <w:jc w:val="center"/>
                            <w:rPr>
                              <w:rFonts w:ascii="Arial" w:hAnsi="Arial" w:cs="Arial"/>
                              <w:b/>
                              <w:color w:val="FF0000"/>
                              <w:sz w:val="24"/>
                            </w:rPr>
                          </w:pPr>
                          <w:r w:rsidRPr="0018598F">
                            <w:rPr>
                              <w:rFonts w:ascii="Arial" w:hAnsi="Arial" w:cs="Arial"/>
                              <w:b/>
                              <w:color w:val="FF0000"/>
                              <w:sz w:val="24"/>
                            </w:rPr>
                            <w:fldChar w:fldCharType="begin"/>
                          </w:r>
                          <w:r w:rsidRPr="0018598F">
                            <w:rPr>
                              <w:rFonts w:ascii="Arial" w:hAnsi="Arial" w:cs="Arial"/>
                              <w:b/>
                              <w:color w:val="FF0000"/>
                              <w:sz w:val="24"/>
                            </w:rPr>
                            <w:instrText xml:space="preserve"> DOCPROPERTY PM_ProtectiveMarkingValue_Header \* MERGEFORMAT </w:instrText>
                          </w:r>
                          <w:r w:rsidRPr="0018598F">
                            <w:rPr>
                              <w:rFonts w:ascii="Arial" w:hAnsi="Arial" w:cs="Arial"/>
                              <w:b/>
                              <w:color w:val="FF0000"/>
                              <w:sz w:val="24"/>
                            </w:rPr>
                            <w:fldChar w:fldCharType="separate"/>
                          </w:r>
                          <w:r w:rsidR="00AB2EDC">
                            <w:rPr>
                              <w:rFonts w:ascii="Arial" w:hAnsi="Arial" w:cs="Arial"/>
                              <w:b/>
                              <w:color w:val="FF0000"/>
                              <w:sz w:val="24"/>
                            </w:rPr>
                            <w:t>PROTECTED//CABINET</w:t>
                          </w:r>
                          <w:r w:rsidRPr="0018598F">
                            <w:rPr>
                              <w:rFonts w:ascii="Arial" w:hAnsi="Arial" w:cs="Arial"/>
                              <w:b/>
                              <w:color w:val="FF0000"/>
                              <w:sz w:val="24"/>
                            </w:rPr>
                            <w:fldChar w:fldCharType="end"/>
                          </w:r>
                        </w:p>
                      </w:txbxContent>
                    </v:textbox>
                    <w10:wrap anchorx="margin" anchory="margin"/>
                    <w10:anchorlock/>
                  </v:shape>
                </w:pict>
              </mc:Fallback>
            </mc:AlternateContent>
          </w:r>
          <w:r w:rsidR="00ED485A" w:rsidRPr="008C56E1">
            <w:rPr>
              <w:noProof/>
              <w:position w:val="-8"/>
            </w:rPr>
            <w:drawing>
              <wp:inline distT="0" distB="0" distL="0" distR="0" wp14:anchorId="396A2E0C" wp14:editId="397565F1">
                <wp:extent cx="878400" cy="198000"/>
                <wp:effectExtent l="0" t="0" r="0" b="0"/>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78400" cy="198000"/>
                        </a:xfrm>
                        <a:prstGeom prst="rect">
                          <a:avLst/>
                        </a:prstGeom>
                      </pic:spPr>
                    </pic:pic>
                  </a:graphicData>
                </a:graphic>
              </wp:inline>
            </w:drawing>
          </w:r>
          <w:r w:rsidR="00ED485A" w:rsidRPr="008C56E1">
            <w:t xml:space="preserve">  |  </w:t>
          </w:r>
          <w:r w:rsidR="007528E4">
            <w:fldChar w:fldCharType="begin"/>
          </w:r>
          <w:r w:rsidR="007528E4">
            <w:instrText xml:space="preserve"> TITLE   \* MERGEFORMAT </w:instrText>
          </w:r>
          <w:r w:rsidR="007528E4">
            <w:fldChar w:fldCharType="separate"/>
          </w:r>
          <w:r w:rsidR="00AB2EDC">
            <w:t>Budget Paper No. 1</w:t>
          </w:r>
          <w:r w:rsidR="007528E4">
            <w:fldChar w:fldCharType="end"/>
          </w:r>
        </w:p>
      </w:tc>
    </w:tr>
  </w:tbl>
  <w:p w14:paraId="746D1D81" w14:textId="4D56D96E" w:rsidR="00ED485A" w:rsidRPr="00AA5439" w:rsidRDefault="00ED485A" w:rsidP="004433F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ED485A" w14:paraId="21D30033" w14:textId="77777777" w:rsidTr="004433F7">
      <w:trPr>
        <w:trHeight w:hRule="exact" w:val="340"/>
      </w:trPr>
      <w:tc>
        <w:tcPr>
          <w:tcW w:w="7797" w:type="dxa"/>
          <w:vAlign w:val="center"/>
        </w:tcPr>
        <w:p w14:paraId="5AC3BA68" w14:textId="4EBA974E" w:rsidR="00ED485A" w:rsidRDefault="0018598F" w:rsidP="000635BE">
          <w:pPr>
            <w:pStyle w:val="HeaderOdd"/>
          </w:pPr>
          <w:r>
            <w:rPr>
              <w:noProof/>
            </w:rPr>
            <mc:AlternateContent>
              <mc:Choice Requires="wps">
                <w:drawing>
                  <wp:anchor distT="0" distB="0" distL="114300" distR="114300" simplePos="0" relativeHeight="251658252" behindDoc="0" locked="1" layoutInCell="0" allowOverlap="1" wp14:anchorId="77BAACA5" wp14:editId="431A323A">
                    <wp:simplePos x="0" y="0"/>
                    <wp:positionH relativeFrom="margin">
                      <wp:align>center</wp:align>
                    </wp:positionH>
                    <wp:positionV relativeFrom="topMargin">
                      <wp:align>center</wp:align>
                    </wp:positionV>
                    <wp:extent cx="1891665" cy="250190"/>
                    <wp:effectExtent l="0" t="0" r="0" b="0"/>
                    <wp:wrapNone/>
                    <wp:docPr id="1847914145" name="Text Box 1847914145"/>
                    <wp:cNvGraphicFramePr/>
                    <a:graphic xmlns:a="http://schemas.openxmlformats.org/drawingml/2006/main">
                      <a:graphicData uri="http://schemas.microsoft.com/office/word/2010/wordprocessingShape">
                        <wps:wsp>
                          <wps:cNvSpPr txBox="1"/>
                          <wps:spPr>
                            <a:xfrm>
                              <a:off x="0" y="0"/>
                              <a:ext cx="1891665" cy="2501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C6243D2" w14:textId="1410EBB8" w:rsidR="0018598F" w:rsidRPr="0018598F" w:rsidRDefault="0018598F" w:rsidP="0018598F">
                                <w:pPr>
                                  <w:spacing w:before="0" w:after="0"/>
                                  <w:jc w:val="center"/>
                                  <w:rPr>
                                    <w:rFonts w:ascii="Arial" w:hAnsi="Arial" w:cs="Arial"/>
                                    <w:b/>
                                    <w:color w:val="FF0000"/>
                                    <w:sz w:val="24"/>
                                  </w:rPr>
                                </w:pPr>
                                <w:r w:rsidRPr="0018598F">
                                  <w:rPr>
                                    <w:rFonts w:ascii="Arial" w:hAnsi="Arial" w:cs="Arial"/>
                                    <w:b/>
                                    <w:color w:val="FF0000"/>
                                    <w:sz w:val="24"/>
                                  </w:rPr>
                                  <w:fldChar w:fldCharType="begin"/>
                                </w:r>
                                <w:r w:rsidRPr="0018598F">
                                  <w:rPr>
                                    <w:rFonts w:ascii="Arial" w:hAnsi="Arial" w:cs="Arial"/>
                                    <w:b/>
                                    <w:color w:val="FF0000"/>
                                    <w:sz w:val="24"/>
                                  </w:rPr>
                                  <w:instrText xml:space="preserve"> DOCPROPERTY PM_ProtectiveMarkingValue_Header \* MERGEFORMAT </w:instrText>
                                </w:r>
                                <w:r w:rsidRPr="0018598F">
                                  <w:rPr>
                                    <w:rFonts w:ascii="Arial" w:hAnsi="Arial" w:cs="Arial"/>
                                    <w:b/>
                                    <w:color w:val="FF0000"/>
                                    <w:sz w:val="24"/>
                                  </w:rPr>
                                  <w:fldChar w:fldCharType="separate"/>
                                </w:r>
                                <w:r w:rsidR="00AB2EDC">
                                  <w:rPr>
                                    <w:rFonts w:ascii="Arial" w:hAnsi="Arial" w:cs="Arial"/>
                                    <w:b/>
                                    <w:color w:val="FF0000"/>
                                    <w:sz w:val="24"/>
                                  </w:rPr>
                                  <w:t>PROTECTED//CABINET</w:t>
                                </w:r>
                                <w:r w:rsidRPr="0018598F">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oel="http://schemas.microsoft.com/office/2019/extlst">
                <w:pict>
                  <v:shapetype w14:anchorId="77BAACA5" id="_x0000_t202" coordsize="21600,21600" o:spt="202" path="m,l,21600r21600,l21600,xe">
                    <v:stroke joinstyle="miter"/>
                    <v:path gradientshapeok="t" o:connecttype="rect"/>
                  </v:shapetype>
                  <v:shape id="Text Box 1847914145" o:spid="_x0000_s1029" type="#_x0000_t202" style="position:absolute;left:0;text-align:left;margin-left:0;margin-top:0;width:148.95pt;height:19.7pt;z-index:251658252;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" o:allowincell="f" filled="f" stroked="f" strokeweight=".5pt">
                    <v:textbox style="mso-fit-shape-to-text:t">
                      <w:txbxContent>
                        <w:p w14:paraId="0C6243D2" w14:textId="1410EBB8" w:rsidR="0018598F" w:rsidRPr="0018598F" w:rsidRDefault="0018598F" w:rsidP="0018598F">
                          <w:pPr>
                            <w:spacing w:before="0" w:after="0"/>
                            <w:jc w:val="center"/>
                            <w:rPr>
                              <w:rFonts w:ascii="Arial" w:hAnsi="Arial" w:cs="Arial"/>
                              <w:b/>
                              <w:color w:val="FF0000"/>
                              <w:sz w:val="24"/>
                            </w:rPr>
                          </w:pPr>
                          <w:r w:rsidRPr="0018598F">
                            <w:rPr>
                              <w:rFonts w:ascii="Arial" w:hAnsi="Arial" w:cs="Arial"/>
                              <w:b/>
                              <w:color w:val="FF0000"/>
                              <w:sz w:val="24"/>
                            </w:rPr>
                            <w:fldChar w:fldCharType="begin"/>
                          </w:r>
                          <w:r w:rsidRPr="0018598F">
                            <w:rPr>
                              <w:rFonts w:ascii="Arial" w:hAnsi="Arial" w:cs="Arial"/>
                              <w:b/>
                              <w:color w:val="FF0000"/>
                              <w:sz w:val="24"/>
                            </w:rPr>
                            <w:instrText xml:space="preserve"> DOCPROPERTY PM_ProtectiveMarkingValue_Header \* MERGEFORMAT </w:instrText>
                          </w:r>
                          <w:r w:rsidRPr="0018598F">
                            <w:rPr>
                              <w:rFonts w:ascii="Arial" w:hAnsi="Arial" w:cs="Arial"/>
                              <w:b/>
                              <w:color w:val="FF0000"/>
                              <w:sz w:val="24"/>
                            </w:rPr>
                            <w:fldChar w:fldCharType="separate"/>
                          </w:r>
                          <w:r w:rsidR="00AB2EDC">
                            <w:rPr>
                              <w:rFonts w:ascii="Arial" w:hAnsi="Arial" w:cs="Arial"/>
                              <w:b/>
                              <w:color w:val="FF0000"/>
                              <w:sz w:val="24"/>
                            </w:rPr>
                            <w:t>PROTECTED//CABINET</w:t>
                          </w:r>
                          <w:r w:rsidRPr="0018598F">
                            <w:rPr>
                              <w:rFonts w:ascii="Arial" w:hAnsi="Arial" w:cs="Arial"/>
                              <w:b/>
                              <w:color w:val="FF0000"/>
                              <w:sz w:val="24"/>
                            </w:rPr>
                            <w:fldChar w:fldCharType="end"/>
                          </w:r>
                        </w:p>
                      </w:txbxContent>
                    </v:textbox>
                    <w10:wrap anchorx="margin" anchory="margin"/>
                    <w10:anchorlock/>
                  </v:shape>
                </w:pict>
              </mc:Fallback>
            </mc:AlternateContent>
          </w:r>
          <w:r w:rsidR="007528E4">
            <w:fldChar w:fldCharType="begin"/>
          </w:r>
          <w:r w:rsidR="007528E4">
            <w:instrText xml:space="preserve"> TITLE   \* MERGEFORMAT </w:instrText>
          </w:r>
          <w:r w:rsidR="007528E4">
            <w:fldChar w:fldCharType="separate"/>
          </w:r>
          <w:r w:rsidR="00AB2EDC">
            <w:t>Budget Paper No. 1</w:t>
          </w:r>
          <w:r w:rsidR="007528E4">
            <w:fldChar w:fldCharType="end"/>
          </w:r>
          <w:r w:rsidR="00ED485A">
            <w:t xml:space="preserve">  |  </w:t>
          </w:r>
          <w:r w:rsidR="00ED485A" w:rsidRPr="00D47C6E">
            <w:rPr>
              <w:noProof/>
              <w:position w:val="-6"/>
            </w:rPr>
            <w:drawing>
              <wp:inline distT="0" distB="0" distL="0" distR="0" wp14:anchorId="34499AF5" wp14:editId="06CA774F">
                <wp:extent cx="860400" cy="144000"/>
                <wp:effectExtent l="0" t="0" r="0" b="8890"/>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7" name="Picture 21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60400" cy="144000"/>
                        </a:xfrm>
                        <a:prstGeom prst="rect">
                          <a:avLst/>
                        </a:prstGeom>
                      </pic:spPr>
                    </pic:pic>
                  </a:graphicData>
                </a:graphic>
              </wp:inline>
            </w:drawing>
          </w:r>
        </w:p>
      </w:tc>
    </w:tr>
  </w:tbl>
  <w:p w14:paraId="36BB64E4" w14:textId="30171D41" w:rsidR="00ED485A" w:rsidRPr="004779EC" w:rsidRDefault="00ED485A" w:rsidP="004433F7">
    <w:pPr>
      <w:pStyle w:val="HeaderOdd"/>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58AE8" w14:textId="72B48327" w:rsidR="00ED485A" w:rsidRDefault="00B22DA6">
    <w:pPr>
      <w:pStyle w:val="Header"/>
      <w:rPr>
        <w:sz w:val="2"/>
        <w:szCs w:val="2"/>
      </w:rPr>
    </w:pPr>
    <w:r>
      <w:rPr>
        <w:noProof/>
        <w:sz w:val="2"/>
        <w:szCs w:val="2"/>
      </w:rPr>
      <w:drawing>
        <wp:anchor distT="0" distB="0" distL="114300" distR="114300" simplePos="0" relativeHeight="251658242" behindDoc="1" locked="1" layoutInCell="1" allowOverlap="1" wp14:anchorId="74C4C0D3" wp14:editId="6CD7A214">
          <wp:simplePos x="1332411" y="1149531"/>
          <wp:positionH relativeFrom="page">
            <wp:align>center</wp:align>
          </wp:positionH>
          <wp:positionV relativeFrom="page">
            <wp:align>center</wp:align>
          </wp:positionV>
          <wp:extent cx="7557135" cy="10688320"/>
          <wp:effectExtent l="0" t="0" r="5715" b="0"/>
          <wp:wrapNone/>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7523" cy="10688400"/>
                  </a:xfrm>
                  <a:prstGeom prst="rect">
                    <a:avLst/>
                  </a:prstGeom>
                  <a:noFill/>
                </pic:spPr>
              </pic:pic>
            </a:graphicData>
          </a:graphic>
          <wp14:sizeRelH relativeFrom="margin">
            <wp14:pctWidth>0</wp14:pctWidth>
          </wp14:sizeRelH>
          <wp14:sizeRelV relativeFrom="margin">
            <wp14:pctHeight>0</wp14:pctHeight>
          </wp14:sizeRelV>
        </wp:anchor>
      </w:drawing>
    </w:r>
  </w:p>
  <w:p w14:paraId="3F7EE343" w14:textId="77777777" w:rsidR="00ED485A" w:rsidRDefault="00ED485A">
    <w:pPr>
      <w:pStyle w:val="Header"/>
      <w:rPr>
        <w:sz w:val="2"/>
        <w:szCs w:val="2"/>
      </w:rPr>
    </w:pPr>
  </w:p>
  <w:p w14:paraId="01E15A49" w14:textId="77777777" w:rsidR="00ED485A" w:rsidRPr="005B2F30" w:rsidRDefault="00ED485A">
    <w:pPr>
      <w:pStyle w:val="Header"/>
      <w:rPr>
        <w:sz w:val="2"/>
        <w:szCs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tblGrid>
    <w:tr w:rsidR="00FB5DDD" w14:paraId="6E650BAD" w14:textId="77777777" w:rsidTr="004433F7">
      <w:trPr>
        <w:trHeight w:hRule="exact" w:val="340"/>
      </w:trPr>
      <w:tc>
        <w:tcPr>
          <w:tcW w:w="7797" w:type="dxa"/>
        </w:tcPr>
        <w:p w14:paraId="4681EDB1" w14:textId="13124947" w:rsidR="00FB5DDD" w:rsidRPr="00AA5439" w:rsidRDefault="00FB5DDD" w:rsidP="00AA5439">
          <w:pPr>
            <w:pStyle w:val="HeaderEven"/>
            <w:rPr>
              <w:sz w:val="2"/>
              <w:szCs w:val="2"/>
            </w:rPr>
          </w:pPr>
        </w:p>
        <w:p w14:paraId="01888BBA" w14:textId="75DD5BDC" w:rsidR="00FB5DDD" w:rsidRPr="008C56E1" w:rsidRDefault="00FB5DDD" w:rsidP="00F60EA1">
          <w:pPr>
            <w:pStyle w:val="HeaderEven"/>
          </w:pPr>
          <w:r w:rsidRPr="008C56E1">
            <w:rPr>
              <w:noProof/>
              <w:position w:val="-8"/>
            </w:rPr>
            <w:drawing>
              <wp:inline distT="0" distB="0" distL="0" distR="0" wp14:anchorId="6ABC6081" wp14:editId="55148551">
                <wp:extent cx="874979" cy="198000"/>
                <wp:effectExtent l="0" t="0" r="1905" b="0"/>
                <wp:docPr id="75" name="Picture 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Picture 7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74979" cy="198000"/>
                        </a:xfrm>
                        <a:prstGeom prst="rect">
                          <a:avLst/>
                        </a:prstGeom>
                      </pic:spPr>
                    </pic:pic>
                  </a:graphicData>
                </a:graphic>
              </wp:inline>
            </w:drawing>
          </w:r>
          <w:r w:rsidRPr="008C56E1">
            <w:t xml:space="preserve">  |  </w:t>
          </w:r>
          <w:r w:rsidR="007528E4">
            <w:fldChar w:fldCharType="begin"/>
          </w:r>
          <w:r w:rsidR="007528E4">
            <w:instrText xml:space="preserve"> TITLE   \* MERGEFORMAT </w:instrText>
          </w:r>
          <w:r w:rsidR="007528E4">
            <w:fldChar w:fldCharType="separate"/>
          </w:r>
          <w:r w:rsidR="00AB2EDC">
            <w:t>Budget Paper No. 1</w:t>
          </w:r>
          <w:r w:rsidR="007528E4">
            <w:fldChar w:fldCharType="end"/>
          </w:r>
        </w:p>
      </w:tc>
    </w:tr>
  </w:tbl>
  <w:p w14:paraId="357DD307" w14:textId="07AFF905" w:rsidR="00FB5DDD" w:rsidRPr="00AA5439" w:rsidRDefault="000815D4" w:rsidP="00AA5439">
    <w:pPr>
      <w:pStyle w:val="HeaderEven"/>
      <w:rPr>
        <w:sz w:val="2"/>
        <w:szCs w:val="4"/>
      </w:rPr>
    </w:pPr>
    <w:r>
      <w:rPr>
        <w:noProof/>
        <w:sz w:val="2"/>
        <w:szCs w:val="2"/>
      </w:rPr>
      <w:drawing>
        <wp:anchor distT="0" distB="0" distL="114300" distR="114300" simplePos="0" relativeHeight="251658244" behindDoc="1" locked="1" layoutInCell="1" allowOverlap="1" wp14:anchorId="06225BCD" wp14:editId="693C2349">
          <wp:simplePos x="0" y="0"/>
          <wp:positionH relativeFrom="page">
            <wp:align>center</wp:align>
          </wp:positionH>
          <wp:positionV relativeFrom="page">
            <wp:align>center</wp:align>
          </wp:positionV>
          <wp:extent cx="7557135" cy="10688320"/>
          <wp:effectExtent l="0" t="0" r="5715" b="0"/>
          <wp:wrapNone/>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flipH="1">
                    <a:off x="0" y="0"/>
                    <a:ext cx="7557523" cy="10688400"/>
                  </a:xfrm>
                  <a:prstGeom prst="rect">
                    <a:avLst/>
                  </a:prstGeom>
                  <a:noFill/>
                </pic:spPr>
              </pic:pic>
            </a:graphicData>
          </a:graphic>
          <wp14:sizeRelH relativeFrom="margin">
            <wp14:pctWidth>0</wp14:pctWidth>
          </wp14:sizeRelH>
          <wp14:sizeRelV relativeFrom="margin">
            <wp14:pctHeight>0</wp14:pctHeight>
          </wp14:sizeRelV>
        </wp:anchor>
      </w:drawing>
    </w:r>
  </w:p>
  <w:p w14:paraId="37157734" w14:textId="0DCB8209" w:rsidR="00FB5DDD" w:rsidRPr="007703C7" w:rsidRDefault="00FB5DDD" w:rsidP="007703C7">
    <w:pPr>
      <w:pStyle w:val="Header"/>
      <w:rPr>
        <w:sz w:val="2"/>
        <w:szCs w:val="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tblGrid>
    <w:tr w:rsidR="00261621" w14:paraId="56B6F2CF" w14:textId="77777777" w:rsidTr="004433F7">
      <w:trPr>
        <w:trHeight w:hRule="exact" w:val="340"/>
      </w:trPr>
      <w:tc>
        <w:tcPr>
          <w:tcW w:w="7797" w:type="dxa"/>
          <w:tcMar>
            <w:left w:w="108" w:type="dxa"/>
            <w:right w:w="108" w:type="dxa"/>
          </w:tcMar>
        </w:tcPr>
        <w:p w14:paraId="63D5792E" w14:textId="3A4CDDF8" w:rsidR="00FB5DDD" w:rsidRPr="000635BE" w:rsidRDefault="00FB5DDD" w:rsidP="000635BE">
          <w:pPr>
            <w:pStyle w:val="HeaderOdd"/>
            <w:rPr>
              <w:sz w:val="2"/>
              <w:szCs w:val="4"/>
            </w:rPr>
          </w:pPr>
        </w:p>
        <w:p w14:paraId="4DD74676" w14:textId="29CF6587" w:rsidR="00261621" w:rsidRPr="00D13BF9" w:rsidRDefault="007528E4" w:rsidP="00D13BF9">
          <w:pPr>
            <w:pStyle w:val="HeaderOdd"/>
          </w:pPr>
          <w:r>
            <w:fldChar w:fldCharType="begin"/>
          </w:r>
          <w:r>
            <w:instrText xml:space="preserve"> TITLE   \* MERGEFORMAT </w:instrText>
          </w:r>
          <w:r>
            <w:fldChar w:fldCharType="separate"/>
          </w:r>
          <w:r w:rsidR="00AB2EDC">
            <w:t>Budget Paper No. 1</w:t>
          </w:r>
          <w:r>
            <w:fldChar w:fldCharType="end"/>
          </w:r>
          <w:r w:rsidR="00261621" w:rsidRPr="00D13BF9">
            <w:t xml:space="preserve">  |  </w:t>
          </w:r>
          <w:r w:rsidR="00261621" w:rsidRPr="00C9389A">
            <w:rPr>
              <w:noProof/>
              <w:position w:val="-8"/>
            </w:rPr>
            <w:drawing>
              <wp:inline distT="0" distB="0" distL="0" distR="0" wp14:anchorId="438DD627" wp14:editId="0F4B6486">
                <wp:extent cx="878400" cy="198000"/>
                <wp:effectExtent l="0" t="0" r="0" b="0"/>
                <wp:docPr id="71" name="Picture 7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Picture 7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78400" cy="198000"/>
                        </a:xfrm>
                        <a:prstGeom prst="rect">
                          <a:avLst/>
                        </a:prstGeom>
                      </pic:spPr>
                    </pic:pic>
                  </a:graphicData>
                </a:graphic>
              </wp:inline>
            </w:drawing>
          </w:r>
        </w:p>
      </w:tc>
    </w:tr>
  </w:tbl>
  <w:p w14:paraId="7482746C" w14:textId="078342EC" w:rsidR="00FB5DDD" w:rsidRPr="00AA5439" w:rsidRDefault="00391AFF" w:rsidP="00AA5439">
    <w:pPr>
      <w:pStyle w:val="Header"/>
      <w:rPr>
        <w:sz w:val="2"/>
        <w:szCs w:val="2"/>
      </w:rPr>
    </w:pPr>
    <w:r>
      <w:rPr>
        <w:noProof/>
        <w:sz w:val="2"/>
        <w:szCs w:val="4"/>
      </w:rPr>
      <w:drawing>
        <wp:anchor distT="0" distB="0" distL="114300" distR="114300" simplePos="0" relativeHeight="251658245" behindDoc="1" locked="1" layoutInCell="1" allowOverlap="1" wp14:anchorId="68FF9FD8" wp14:editId="1F8CC3CB">
          <wp:simplePos x="0" y="0"/>
          <wp:positionH relativeFrom="page">
            <wp:align>center</wp:align>
          </wp:positionH>
          <wp:positionV relativeFrom="page">
            <wp:align>center</wp:align>
          </wp:positionV>
          <wp:extent cx="7559675" cy="10691495"/>
          <wp:effectExtent l="0" t="0" r="3175" b="0"/>
          <wp:wrapNone/>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7560000" cy="10691902"/>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539F9" w14:textId="14D1D607" w:rsidR="00FB5DDD" w:rsidRDefault="009943B6">
    <w:pPr>
      <w:pStyle w:val="Header"/>
      <w:rPr>
        <w:sz w:val="2"/>
        <w:szCs w:val="2"/>
      </w:rPr>
    </w:pPr>
    <w:r>
      <w:rPr>
        <w:noProof/>
        <w:sz w:val="2"/>
        <w:szCs w:val="2"/>
      </w:rPr>
      <w:drawing>
        <wp:anchor distT="0" distB="0" distL="114300" distR="114300" simplePos="0" relativeHeight="251658243" behindDoc="1" locked="1" layoutInCell="1" allowOverlap="1" wp14:anchorId="057ADC78" wp14:editId="19AAD440">
          <wp:simplePos x="1332411" y="1149531"/>
          <wp:positionH relativeFrom="page">
            <wp:align>center</wp:align>
          </wp:positionH>
          <wp:positionV relativeFrom="page">
            <wp:align>center</wp:align>
          </wp:positionV>
          <wp:extent cx="7557135" cy="10688320"/>
          <wp:effectExtent l="0" t="0" r="5715" b="0"/>
          <wp:wrapNone/>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7523" cy="10688400"/>
                  </a:xfrm>
                  <a:prstGeom prst="rect">
                    <a:avLst/>
                  </a:prstGeom>
                  <a:noFill/>
                </pic:spPr>
              </pic:pic>
            </a:graphicData>
          </a:graphic>
          <wp14:sizeRelH relativeFrom="margin">
            <wp14:pctWidth>0</wp14:pctWidth>
          </wp14:sizeRelH>
          <wp14:sizeRelV relativeFrom="margin">
            <wp14:pctHeight>0</wp14:pctHeight>
          </wp14:sizeRelV>
        </wp:anchor>
      </w:drawing>
    </w:r>
  </w:p>
  <w:p w14:paraId="2D1DDBC7" w14:textId="77777777" w:rsidR="00FB5DDD" w:rsidRDefault="00FB5DDD">
    <w:pPr>
      <w:pStyle w:val="Header"/>
      <w:rPr>
        <w:sz w:val="2"/>
        <w:szCs w:val="2"/>
      </w:rPr>
    </w:pPr>
  </w:p>
  <w:p w14:paraId="0ED73EB5" w14:textId="73231FE6" w:rsidR="00FB5DDD" w:rsidRPr="005B2F30" w:rsidRDefault="00FB5DDD">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BA4A8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4E7D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6BC0EA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074B4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821A4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860DD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4F2C7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4A2E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16B0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47C75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C42909"/>
    <w:multiLevelType w:val="multilevel"/>
    <w:tmpl w:val="9828D65A"/>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1" w15:restartNumberingAfterBreak="0">
    <w:nsid w:val="10757CBC"/>
    <w:multiLevelType w:val="singleLevel"/>
    <w:tmpl w:val="103C53FC"/>
    <w:name w:val="Box Bullet List"/>
    <w:lvl w:ilvl="0">
      <w:start w:val="1"/>
      <w:numFmt w:val="bullet"/>
      <w:lvlRestart w:val="0"/>
      <w:pStyle w:val="BoxBullet"/>
      <w:lvlText w:val="•"/>
      <w:lvlJc w:val="left"/>
      <w:pPr>
        <w:tabs>
          <w:tab w:val="num" w:pos="283"/>
        </w:tabs>
        <w:ind w:left="283" w:hanging="283"/>
      </w:pPr>
      <w:rPr>
        <w:rFonts w:ascii="Times New Roman" w:hAnsi="Times New Roman" w:cs="Times New Roman"/>
        <w:b w:val="0"/>
        <w:i w:val="0"/>
      </w:rPr>
    </w:lvl>
  </w:abstractNum>
  <w:abstractNum w:abstractNumId="12" w15:restartNumberingAfterBreak="0">
    <w:nsid w:val="1647577F"/>
    <w:multiLevelType w:val="multilevel"/>
    <w:tmpl w:val="794240C4"/>
    <w:lvl w:ilvl="0">
      <w:start w:val="1"/>
      <w:numFmt w:val="lowerLetter"/>
      <w:pStyle w:val="ChartandTableFootnoteAlpha"/>
      <w:lvlText w:val="%1)"/>
      <w:lvlJc w:val="left"/>
      <w:pPr>
        <w:ind w:left="284" w:hanging="284"/>
      </w:pPr>
      <w:rPr>
        <w:rFonts w:hint="default"/>
        <w:b w:val="0"/>
        <w:i w:val="0"/>
        <w:color w:val="000000"/>
        <w:sz w:val="16"/>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3" w15:restartNumberingAfterBreak="0">
    <w:nsid w:val="2F062D5F"/>
    <w:multiLevelType w:val="singleLevel"/>
    <w:tmpl w:val="C64E315A"/>
    <w:lvl w:ilvl="0">
      <w:start w:val="1"/>
      <w:numFmt w:val="lowerLetter"/>
      <w:lvlText w:val="%1)"/>
      <w:lvlJc w:val="left"/>
      <w:pPr>
        <w:ind w:left="360" w:hanging="360"/>
      </w:pPr>
      <w:rPr>
        <w:b w:val="0"/>
        <w:i w:val="0"/>
        <w:color w:val="000000"/>
        <w:sz w:val="16"/>
      </w:rPr>
    </w:lvl>
  </w:abstractNum>
  <w:abstractNum w:abstractNumId="14"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15" w15:restartNumberingAfterBreak="0">
    <w:nsid w:val="5D4F65AC"/>
    <w:multiLevelType w:val="hybridMultilevel"/>
    <w:tmpl w:val="7ACEAFA2"/>
    <w:lvl w:ilvl="0" w:tplc="5EF66F18">
      <w:start w:val="1"/>
      <w:numFmt w:val="bullet"/>
      <w:lvlText w:val=""/>
      <w:lvlJc w:val="left"/>
      <w:pPr>
        <w:ind w:left="720" w:hanging="360"/>
      </w:pPr>
      <w:rPr>
        <w:rFonts w:ascii="Symbol" w:hAnsi="Symbol"/>
      </w:rPr>
    </w:lvl>
    <w:lvl w:ilvl="1" w:tplc="84D8E10C">
      <w:start w:val="1"/>
      <w:numFmt w:val="bullet"/>
      <w:lvlText w:val=""/>
      <w:lvlJc w:val="left"/>
      <w:pPr>
        <w:ind w:left="720" w:hanging="360"/>
      </w:pPr>
      <w:rPr>
        <w:rFonts w:ascii="Symbol" w:hAnsi="Symbol"/>
      </w:rPr>
    </w:lvl>
    <w:lvl w:ilvl="2" w:tplc="1FE26DF8">
      <w:start w:val="1"/>
      <w:numFmt w:val="bullet"/>
      <w:lvlText w:val=""/>
      <w:lvlJc w:val="left"/>
      <w:pPr>
        <w:ind w:left="720" w:hanging="360"/>
      </w:pPr>
      <w:rPr>
        <w:rFonts w:ascii="Symbol" w:hAnsi="Symbol"/>
      </w:rPr>
    </w:lvl>
    <w:lvl w:ilvl="3" w:tplc="58701702">
      <w:start w:val="1"/>
      <w:numFmt w:val="bullet"/>
      <w:lvlText w:val=""/>
      <w:lvlJc w:val="left"/>
      <w:pPr>
        <w:ind w:left="720" w:hanging="360"/>
      </w:pPr>
      <w:rPr>
        <w:rFonts w:ascii="Symbol" w:hAnsi="Symbol"/>
      </w:rPr>
    </w:lvl>
    <w:lvl w:ilvl="4" w:tplc="FCD4E028">
      <w:start w:val="1"/>
      <w:numFmt w:val="bullet"/>
      <w:lvlText w:val=""/>
      <w:lvlJc w:val="left"/>
      <w:pPr>
        <w:ind w:left="720" w:hanging="360"/>
      </w:pPr>
      <w:rPr>
        <w:rFonts w:ascii="Symbol" w:hAnsi="Symbol"/>
      </w:rPr>
    </w:lvl>
    <w:lvl w:ilvl="5" w:tplc="19C4CCCA">
      <w:start w:val="1"/>
      <w:numFmt w:val="bullet"/>
      <w:lvlText w:val=""/>
      <w:lvlJc w:val="left"/>
      <w:pPr>
        <w:ind w:left="720" w:hanging="360"/>
      </w:pPr>
      <w:rPr>
        <w:rFonts w:ascii="Symbol" w:hAnsi="Symbol"/>
      </w:rPr>
    </w:lvl>
    <w:lvl w:ilvl="6" w:tplc="16284382">
      <w:start w:val="1"/>
      <w:numFmt w:val="bullet"/>
      <w:lvlText w:val=""/>
      <w:lvlJc w:val="left"/>
      <w:pPr>
        <w:ind w:left="720" w:hanging="360"/>
      </w:pPr>
      <w:rPr>
        <w:rFonts w:ascii="Symbol" w:hAnsi="Symbol"/>
      </w:rPr>
    </w:lvl>
    <w:lvl w:ilvl="7" w:tplc="3412DE32">
      <w:start w:val="1"/>
      <w:numFmt w:val="bullet"/>
      <w:lvlText w:val=""/>
      <w:lvlJc w:val="left"/>
      <w:pPr>
        <w:ind w:left="720" w:hanging="360"/>
      </w:pPr>
      <w:rPr>
        <w:rFonts w:ascii="Symbol" w:hAnsi="Symbol"/>
      </w:rPr>
    </w:lvl>
    <w:lvl w:ilvl="8" w:tplc="E02237C4">
      <w:start w:val="1"/>
      <w:numFmt w:val="bullet"/>
      <w:lvlText w:val=""/>
      <w:lvlJc w:val="left"/>
      <w:pPr>
        <w:ind w:left="720" w:hanging="360"/>
      </w:pPr>
      <w:rPr>
        <w:rFonts w:ascii="Symbol" w:hAnsi="Symbol"/>
      </w:rPr>
    </w:lvl>
  </w:abstractNum>
  <w:abstractNum w:abstractNumId="16" w15:restartNumberingAfterBreak="0">
    <w:nsid w:val="68EA3959"/>
    <w:multiLevelType w:val="multilevel"/>
    <w:tmpl w:val="BA54A7CC"/>
    <w:lvl w:ilvl="0">
      <w:start w:val="1"/>
      <w:numFmt w:val="lowerLetter"/>
      <w:lvlRestart w:val="0"/>
      <w:lvlText w:val="(%1)"/>
      <w:lvlJc w:val="left"/>
      <w:pPr>
        <w:tabs>
          <w:tab w:val="num" w:pos="284"/>
        </w:tabs>
        <w:ind w:left="284" w:hanging="284"/>
      </w:pPr>
      <w:rPr>
        <w:rFonts w:cs="Times New Roman"/>
        <w:b w:val="0"/>
        <w:bCs w:val="0"/>
        <w:i w:val="0"/>
        <w:iCs w:val="0"/>
        <w:caps w:val="0"/>
        <w:smallCaps w:val="0"/>
        <w:strike w:val="0"/>
        <w:dstrike w:val="0"/>
        <w:noProof w:val="0"/>
        <w:vanish w:val="0"/>
        <w:spacing w:val="0"/>
        <w:kern w:val="0"/>
        <w:position w:val="0"/>
        <w:u w:val="none"/>
        <w:vertAlign w:val="baseline"/>
        <w:em w:val="none"/>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7" w15:restartNumberingAfterBreak="0">
    <w:nsid w:val="7A653829"/>
    <w:multiLevelType w:val="hybridMultilevel"/>
    <w:tmpl w:val="8CAC4666"/>
    <w:lvl w:ilvl="0" w:tplc="10AA8772">
      <w:start w:val="1"/>
      <w:numFmt w:val="decimal"/>
      <w:lvlText w:val="%1."/>
      <w:lvlJc w:val="left"/>
      <w:pPr>
        <w:ind w:left="1440" w:hanging="360"/>
      </w:pPr>
    </w:lvl>
    <w:lvl w:ilvl="1" w:tplc="936293D2">
      <w:start w:val="1"/>
      <w:numFmt w:val="decimal"/>
      <w:lvlText w:val="%2."/>
      <w:lvlJc w:val="left"/>
      <w:pPr>
        <w:ind w:left="1440" w:hanging="360"/>
      </w:pPr>
    </w:lvl>
    <w:lvl w:ilvl="2" w:tplc="8B081680">
      <w:start w:val="1"/>
      <w:numFmt w:val="decimal"/>
      <w:lvlText w:val="%3."/>
      <w:lvlJc w:val="left"/>
      <w:pPr>
        <w:ind w:left="1440" w:hanging="360"/>
      </w:pPr>
    </w:lvl>
    <w:lvl w:ilvl="3" w:tplc="B192DC0E">
      <w:start w:val="1"/>
      <w:numFmt w:val="decimal"/>
      <w:lvlText w:val="%4."/>
      <w:lvlJc w:val="left"/>
      <w:pPr>
        <w:ind w:left="1440" w:hanging="360"/>
      </w:pPr>
    </w:lvl>
    <w:lvl w:ilvl="4" w:tplc="C5A0136E">
      <w:start w:val="1"/>
      <w:numFmt w:val="decimal"/>
      <w:lvlText w:val="%5."/>
      <w:lvlJc w:val="left"/>
      <w:pPr>
        <w:ind w:left="1440" w:hanging="360"/>
      </w:pPr>
    </w:lvl>
    <w:lvl w:ilvl="5" w:tplc="A2CCECB4">
      <w:start w:val="1"/>
      <w:numFmt w:val="decimal"/>
      <w:lvlText w:val="%6."/>
      <w:lvlJc w:val="left"/>
      <w:pPr>
        <w:ind w:left="1440" w:hanging="360"/>
      </w:pPr>
    </w:lvl>
    <w:lvl w:ilvl="6" w:tplc="5C688154">
      <w:start w:val="1"/>
      <w:numFmt w:val="decimal"/>
      <w:lvlText w:val="%7."/>
      <w:lvlJc w:val="left"/>
      <w:pPr>
        <w:ind w:left="1440" w:hanging="360"/>
      </w:pPr>
    </w:lvl>
    <w:lvl w:ilvl="7" w:tplc="F84405F2">
      <w:start w:val="1"/>
      <w:numFmt w:val="decimal"/>
      <w:lvlText w:val="%8."/>
      <w:lvlJc w:val="left"/>
      <w:pPr>
        <w:ind w:left="1440" w:hanging="360"/>
      </w:pPr>
    </w:lvl>
    <w:lvl w:ilvl="8" w:tplc="7944ACCA">
      <w:start w:val="1"/>
      <w:numFmt w:val="decimal"/>
      <w:lvlText w:val="%9."/>
      <w:lvlJc w:val="left"/>
      <w:pPr>
        <w:ind w:left="1440" w:hanging="360"/>
      </w:pPr>
    </w:lvl>
  </w:abstractNum>
  <w:num w:numId="1">
    <w:abstractNumId w:val="14"/>
  </w:num>
  <w:num w:numId="2">
    <w:abstractNumId w:val="11"/>
  </w:num>
  <w:num w:numId="3">
    <w:abstractNumId w:val="10"/>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num>
  <w:num w:numId="34">
    <w:abstractNumId w:val="17"/>
  </w:num>
  <w:num w:numId="35">
    <w:abstractNumId w:val="12"/>
  </w:num>
  <w:num w:numId="36">
    <w:abstractNumId w:val="16"/>
  </w:num>
  <w:num w:numId="37">
    <w:abstractNumId w:val="9"/>
  </w:num>
  <w:num w:numId="38">
    <w:abstractNumId w:val="7"/>
  </w:num>
  <w:num w:numId="39">
    <w:abstractNumId w:val="6"/>
  </w:num>
  <w:num w:numId="40">
    <w:abstractNumId w:val="5"/>
  </w:num>
  <w:num w:numId="41">
    <w:abstractNumId w:val="4"/>
  </w:num>
  <w:num w:numId="42">
    <w:abstractNumId w:val="8"/>
  </w:num>
  <w:num w:numId="43">
    <w:abstractNumId w:val="3"/>
  </w:num>
  <w:num w:numId="44">
    <w:abstractNumId w:val="2"/>
  </w:num>
  <w:num w:numId="45">
    <w:abstractNumId w:val="1"/>
  </w:num>
  <w:num w:numId="46">
    <w:abstractNumId w:val="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attachedTemplate r:id="rId1"/>
  <w:stylePaneSortMethod w:val="0000"/>
  <w:documentProtection w:edit="comments" w:enforcement="0"/>
  <w:defaultTabStop w:val="720"/>
  <w:evenAndOddHeaders/>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ecurityClassificationInHeader" w:val="False"/>
  </w:docVars>
  <w:rsids>
    <w:rsidRoot w:val="00ED485A"/>
    <w:rsid w:val="000004EA"/>
    <w:rsid w:val="00000F82"/>
    <w:rsid w:val="00002DB4"/>
    <w:rsid w:val="00003656"/>
    <w:rsid w:val="000036E0"/>
    <w:rsid w:val="000039F5"/>
    <w:rsid w:val="000073FA"/>
    <w:rsid w:val="0000786B"/>
    <w:rsid w:val="00010EC4"/>
    <w:rsid w:val="000112BB"/>
    <w:rsid w:val="00011DBB"/>
    <w:rsid w:val="00011DBC"/>
    <w:rsid w:val="0001209B"/>
    <w:rsid w:val="0001234B"/>
    <w:rsid w:val="0001261C"/>
    <w:rsid w:val="00013EA8"/>
    <w:rsid w:val="00014A64"/>
    <w:rsid w:val="00015603"/>
    <w:rsid w:val="00016CD0"/>
    <w:rsid w:val="00020412"/>
    <w:rsid w:val="00021B05"/>
    <w:rsid w:val="00023184"/>
    <w:rsid w:val="000232E4"/>
    <w:rsid w:val="00023B14"/>
    <w:rsid w:val="00024BA4"/>
    <w:rsid w:val="00035D8D"/>
    <w:rsid w:val="000361E2"/>
    <w:rsid w:val="00036A48"/>
    <w:rsid w:val="00036AE7"/>
    <w:rsid w:val="00036BA4"/>
    <w:rsid w:val="000373CE"/>
    <w:rsid w:val="00037645"/>
    <w:rsid w:val="00040BC6"/>
    <w:rsid w:val="00041AFE"/>
    <w:rsid w:val="00041C95"/>
    <w:rsid w:val="00041CC3"/>
    <w:rsid w:val="00042D2D"/>
    <w:rsid w:val="000451DE"/>
    <w:rsid w:val="0004548D"/>
    <w:rsid w:val="0004553C"/>
    <w:rsid w:val="00045903"/>
    <w:rsid w:val="00046A8F"/>
    <w:rsid w:val="00046B00"/>
    <w:rsid w:val="00053790"/>
    <w:rsid w:val="000544A1"/>
    <w:rsid w:val="000546EB"/>
    <w:rsid w:val="000554EC"/>
    <w:rsid w:val="00055FB5"/>
    <w:rsid w:val="000569FF"/>
    <w:rsid w:val="0005709D"/>
    <w:rsid w:val="000579DA"/>
    <w:rsid w:val="00057ACC"/>
    <w:rsid w:val="00057E84"/>
    <w:rsid w:val="0006080E"/>
    <w:rsid w:val="000622DA"/>
    <w:rsid w:val="00062C15"/>
    <w:rsid w:val="00062D85"/>
    <w:rsid w:val="00062DFA"/>
    <w:rsid w:val="000635BE"/>
    <w:rsid w:val="000655D5"/>
    <w:rsid w:val="0006653D"/>
    <w:rsid w:val="00066B80"/>
    <w:rsid w:val="0006714C"/>
    <w:rsid w:val="00067ADE"/>
    <w:rsid w:val="00067B44"/>
    <w:rsid w:val="00067D6E"/>
    <w:rsid w:val="00071179"/>
    <w:rsid w:val="0007176B"/>
    <w:rsid w:val="00071786"/>
    <w:rsid w:val="00071AC3"/>
    <w:rsid w:val="00071F95"/>
    <w:rsid w:val="00071FC3"/>
    <w:rsid w:val="000724CD"/>
    <w:rsid w:val="00072C53"/>
    <w:rsid w:val="00072E52"/>
    <w:rsid w:val="000742BB"/>
    <w:rsid w:val="00075C04"/>
    <w:rsid w:val="000767B6"/>
    <w:rsid w:val="00077670"/>
    <w:rsid w:val="00077E62"/>
    <w:rsid w:val="000811A8"/>
    <w:rsid w:val="0008126C"/>
    <w:rsid w:val="00081272"/>
    <w:rsid w:val="000815D4"/>
    <w:rsid w:val="000819EC"/>
    <w:rsid w:val="000824C3"/>
    <w:rsid w:val="0008315B"/>
    <w:rsid w:val="000831E0"/>
    <w:rsid w:val="0008399A"/>
    <w:rsid w:val="0008597F"/>
    <w:rsid w:val="00085B29"/>
    <w:rsid w:val="00085E2E"/>
    <w:rsid w:val="00086CF8"/>
    <w:rsid w:val="00087354"/>
    <w:rsid w:val="00087CDC"/>
    <w:rsid w:val="00092914"/>
    <w:rsid w:val="00092C2E"/>
    <w:rsid w:val="00093B06"/>
    <w:rsid w:val="00095420"/>
    <w:rsid w:val="00095756"/>
    <w:rsid w:val="000A1679"/>
    <w:rsid w:val="000A2B7B"/>
    <w:rsid w:val="000A2C0D"/>
    <w:rsid w:val="000A32FF"/>
    <w:rsid w:val="000A3C09"/>
    <w:rsid w:val="000A4A72"/>
    <w:rsid w:val="000A5642"/>
    <w:rsid w:val="000A6B4B"/>
    <w:rsid w:val="000A71A8"/>
    <w:rsid w:val="000B02EB"/>
    <w:rsid w:val="000B0E6D"/>
    <w:rsid w:val="000B1A13"/>
    <w:rsid w:val="000B1B6D"/>
    <w:rsid w:val="000B243D"/>
    <w:rsid w:val="000B34D2"/>
    <w:rsid w:val="000B38A8"/>
    <w:rsid w:val="000B4B81"/>
    <w:rsid w:val="000B4F23"/>
    <w:rsid w:val="000B687A"/>
    <w:rsid w:val="000B79D3"/>
    <w:rsid w:val="000C1C21"/>
    <w:rsid w:val="000C2510"/>
    <w:rsid w:val="000C2B9C"/>
    <w:rsid w:val="000C2BAC"/>
    <w:rsid w:val="000C6E92"/>
    <w:rsid w:val="000C77B8"/>
    <w:rsid w:val="000D03C0"/>
    <w:rsid w:val="000D060F"/>
    <w:rsid w:val="000D0E61"/>
    <w:rsid w:val="000D2E51"/>
    <w:rsid w:val="000D56A5"/>
    <w:rsid w:val="000D6EAF"/>
    <w:rsid w:val="000D78F4"/>
    <w:rsid w:val="000E105B"/>
    <w:rsid w:val="000E149B"/>
    <w:rsid w:val="000E21DA"/>
    <w:rsid w:val="000E4B16"/>
    <w:rsid w:val="000E54FE"/>
    <w:rsid w:val="000E5587"/>
    <w:rsid w:val="000E6440"/>
    <w:rsid w:val="000E741B"/>
    <w:rsid w:val="000F1EAA"/>
    <w:rsid w:val="000F3163"/>
    <w:rsid w:val="000F3DF8"/>
    <w:rsid w:val="000F510D"/>
    <w:rsid w:val="000F52FD"/>
    <w:rsid w:val="000F5485"/>
    <w:rsid w:val="000F5C5F"/>
    <w:rsid w:val="000F6361"/>
    <w:rsid w:val="000F690C"/>
    <w:rsid w:val="000F6AA1"/>
    <w:rsid w:val="000F75A9"/>
    <w:rsid w:val="00100C3E"/>
    <w:rsid w:val="00101494"/>
    <w:rsid w:val="00101960"/>
    <w:rsid w:val="001025E2"/>
    <w:rsid w:val="00102787"/>
    <w:rsid w:val="001031EF"/>
    <w:rsid w:val="001033AB"/>
    <w:rsid w:val="0010393A"/>
    <w:rsid w:val="00103C2C"/>
    <w:rsid w:val="00103F65"/>
    <w:rsid w:val="00105CC4"/>
    <w:rsid w:val="001067A6"/>
    <w:rsid w:val="00110E6A"/>
    <w:rsid w:val="0011175D"/>
    <w:rsid w:val="00111989"/>
    <w:rsid w:val="00112119"/>
    <w:rsid w:val="0011312B"/>
    <w:rsid w:val="00115F1E"/>
    <w:rsid w:val="0011658D"/>
    <w:rsid w:val="00116919"/>
    <w:rsid w:val="00116D45"/>
    <w:rsid w:val="00117AB2"/>
    <w:rsid w:val="001208D6"/>
    <w:rsid w:val="00121D1F"/>
    <w:rsid w:val="00122FA7"/>
    <w:rsid w:val="00123018"/>
    <w:rsid w:val="0012386B"/>
    <w:rsid w:val="00124769"/>
    <w:rsid w:val="00124D28"/>
    <w:rsid w:val="001253CA"/>
    <w:rsid w:val="001262D0"/>
    <w:rsid w:val="00126424"/>
    <w:rsid w:val="001269B2"/>
    <w:rsid w:val="0013000B"/>
    <w:rsid w:val="001301F6"/>
    <w:rsid w:val="0013228D"/>
    <w:rsid w:val="00132FFD"/>
    <w:rsid w:val="0013373C"/>
    <w:rsid w:val="0013423E"/>
    <w:rsid w:val="00134421"/>
    <w:rsid w:val="00136201"/>
    <w:rsid w:val="001367CF"/>
    <w:rsid w:val="0014057B"/>
    <w:rsid w:val="00141218"/>
    <w:rsid w:val="0014375F"/>
    <w:rsid w:val="0014443E"/>
    <w:rsid w:val="00146566"/>
    <w:rsid w:val="001472CA"/>
    <w:rsid w:val="0015056F"/>
    <w:rsid w:val="00150B7F"/>
    <w:rsid w:val="0015181E"/>
    <w:rsid w:val="00152348"/>
    <w:rsid w:val="00152C72"/>
    <w:rsid w:val="00153268"/>
    <w:rsid w:val="0015426A"/>
    <w:rsid w:val="001559AA"/>
    <w:rsid w:val="00155BD8"/>
    <w:rsid w:val="0015633E"/>
    <w:rsid w:val="00156571"/>
    <w:rsid w:val="00157131"/>
    <w:rsid w:val="00157BD6"/>
    <w:rsid w:val="0016027E"/>
    <w:rsid w:val="00160928"/>
    <w:rsid w:val="00160EAF"/>
    <w:rsid w:val="0016326B"/>
    <w:rsid w:val="00163303"/>
    <w:rsid w:val="0016358D"/>
    <w:rsid w:val="00163E0B"/>
    <w:rsid w:val="00163F31"/>
    <w:rsid w:val="00166049"/>
    <w:rsid w:val="00166B29"/>
    <w:rsid w:val="0017001A"/>
    <w:rsid w:val="00170164"/>
    <w:rsid w:val="0017080B"/>
    <w:rsid w:val="00170882"/>
    <w:rsid w:val="00171BD8"/>
    <w:rsid w:val="001722BE"/>
    <w:rsid w:val="00172771"/>
    <w:rsid w:val="00172CFE"/>
    <w:rsid w:val="00173108"/>
    <w:rsid w:val="0017333F"/>
    <w:rsid w:val="00173B85"/>
    <w:rsid w:val="00173D67"/>
    <w:rsid w:val="00174299"/>
    <w:rsid w:val="0017568A"/>
    <w:rsid w:val="00176C9E"/>
    <w:rsid w:val="00177F7E"/>
    <w:rsid w:val="00180280"/>
    <w:rsid w:val="00180F06"/>
    <w:rsid w:val="0018168E"/>
    <w:rsid w:val="001818EC"/>
    <w:rsid w:val="001827FA"/>
    <w:rsid w:val="00182803"/>
    <w:rsid w:val="00182A41"/>
    <w:rsid w:val="00182E15"/>
    <w:rsid w:val="001835B5"/>
    <w:rsid w:val="00185601"/>
    <w:rsid w:val="0018598F"/>
    <w:rsid w:val="00186B00"/>
    <w:rsid w:val="00187504"/>
    <w:rsid w:val="001900CC"/>
    <w:rsid w:val="00190AE2"/>
    <w:rsid w:val="0019115B"/>
    <w:rsid w:val="0019152B"/>
    <w:rsid w:val="00191FFD"/>
    <w:rsid w:val="00194799"/>
    <w:rsid w:val="00194B72"/>
    <w:rsid w:val="00195F0B"/>
    <w:rsid w:val="001970E6"/>
    <w:rsid w:val="0019750E"/>
    <w:rsid w:val="001A06A8"/>
    <w:rsid w:val="001A0B8F"/>
    <w:rsid w:val="001A3D6D"/>
    <w:rsid w:val="001A4EF1"/>
    <w:rsid w:val="001A5A92"/>
    <w:rsid w:val="001A619A"/>
    <w:rsid w:val="001A68E4"/>
    <w:rsid w:val="001A6A4E"/>
    <w:rsid w:val="001A7712"/>
    <w:rsid w:val="001B0C72"/>
    <w:rsid w:val="001B1307"/>
    <w:rsid w:val="001B28CA"/>
    <w:rsid w:val="001B5F7F"/>
    <w:rsid w:val="001C0107"/>
    <w:rsid w:val="001C0424"/>
    <w:rsid w:val="001C063C"/>
    <w:rsid w:val="001C080E"/>
    <w:rsid w:val="001C0D27"/>
    <w:rsid w:val="001C1D2D"/>
    <w:rsid w:val="001C251E"/>
    <w:rsid w:val="001C29BA"/>
    <w:rsid w:val="001C32C7"/>
    <w:rsid w:val="001C3FE4"/>
    <w:rsid w:val="001C4944"/>
    <w:rsid w:val="001C5E21"/>
    <w:rsid w:val="001C72AC"/>
    <w:rsid w:val="001C7A6B"/>
    <w:rsid w:val="001C7B6C"/>
    <w:rsid w:val="001D1430"/>
    <w:rsid w:val="001D156B"/>
    <w:rsid w:val="001D33D6"/>
    <w:rsid w:val="001D34B5"/>
    <w:rsid w:val="001D3C8E"/>
    <w:rsid w:val="001D4140"/>
    <w:rsid w:val="001D436E"/>
    <w:rsid w:val="001D5083"/>
    <w:rsid w:val="001D5EC0"/>
    <w:rsid w:val="001D7273"/>
    <w:rsid w:val="001D7E2F"/>
    <w:rsid w:val="001E0CB1"/>
    <w:rsid w:val="001E1279"/>
    <w:rsid w:val="001E2314"/>
    <w:rsid w:val="001E29AE"/>
    <w:rsid w:val="001E2ED9"/>
    <w:rsid w:val="001E402B"/>
    <w:rsid w:val="001E558A"/>
    <w:rsid w:val="001E5FFB"/>
    <w:rsid w:val="001E69F6"/>
    <w:rsid w:val="001E6CC1"/>
    <w:rsid w:val="001E6FD3"/>
    <w:rsid w:val="001E769A"/>
    <w:rsid w:val="001E7CE6"/>
    <w:rsid w:val="001E7E84"/>
    <w:rsid w:val="001F0173"/>
    <w:rsid w:val="001F073D"/>
    <w:rsid w:val="001F08E1"/>
    <w:rsid w:val="001F090D"/>
    <w:rsid w:val="001F0AEA"/>
    <w:rsid w:val="001F1EA9"/>
    <w:rsid w:val="001F261A"/>
    <w:rsid w:val="001F34C2"/>
    <w:rsid w:val="001F6728"/>
    <w:rsid w:val="001F7192"/>
    <w:rsid w:val="001F7425"/>
    <w:rsid w:val="00200499"/>
    <w:rsid w:val="0020164B"/>
    <w:rsid w:val="00202C36"/>
    <w:rsid w:val="00203C56"/>
    <w:rsid w:val="00203F46"/>
    <w:rsid w:val="0020478F"/>
    <w:rsid w:val="00204B48"/>
    <w:rsid w:val="00204EED"/>
    <w:rsid w:val="00205DF4"/>
    <w:rsid w:val="002063ED"/>
    <w:rsid w:val="002066EE"/>
    <w:rsid w:val="00206A05"/>
    <w:rsid w:val="00206B88"/>
    <w:rsid w:val="0020778E"/>
    <w:rsid w:val="00207FEC"/>
    <w:rsid w:val="0021003E"/>
    <w:rsid w:val="002121D5"/>
    <w:rsid w:val="00212216"/>
    <w:rsid w:val="00212532"/>
    <w:rsid w:val="0021281D"/>
    <w:rsid w:val="00213A56"/>
    <w:rsid w:val="00216542"/>
    <w:rsid w:val="0021712A"/>
    <w:rsid w:val="00217673"/>
    <w:rsid w:val="0021773A"/>
    <w:rsid w:val="00221D99"/>
    <w:rsid w:val="002228FD"/>
    <w:rsid w:val="00223205"/>
    <w:rsid w:val="002238D5"/>
    <w:rsid w:val="002262EF"/>
    <w:rsid w:val="002272AC"/>
    <w:rsid w:val="00227F8A"/>
    <w:rsid w:val="00230077"/>
    <w:rsid w:val="0023069E"/>
    <w:rsid w:val="002306BE"/>
    <w:rsid w:val="002311AF"/>
    <w:rsid w:val="00231E65"/>
    <w:rsid w:val="002337D1"/>
    <w:rsid w:val="00234168"/>
    <w:rsid w:val="00235EF0"/>
    <w:rsid w:val="00236ADD"/>
    <w:rsid w:val="00236E34"/>
    <w:rsid w:val="00237F04"/>
    <w:rsid w:val="0024054A"/>
    <w:rsid w:val="00240E70"/>
    <w:rsid w:val="00242359"/>
    <w:rsid w:val="00242462"/>
    <w:rsid w:val="00242479"/>
    <w:rsid w:val="00242E0A"/>
    <w:rsid w:val="002435F8"/>
    <w:rsid w:val="00244382"/>
    <w:rsid w:val="0024438D"/>
    <w:rsid w:val="002445ED"/>
    <w:rsid w:val="0024521A"/>
    <w:rsid w:val="002457CD"/>
    <w:rsid w:val="00245B76"/>
    <w:rsid w:val="00245E70"/>
    <w:rsid w:val="002464C0"/>
    <w:rsid w:val="0024683E"/>
    <w:rsid w:val="002474ED"/>
    <w:rsid w:val="002478C4"/>
    <w:rsid w:val="00247E7C"/>
    <w:rsid w:val="00250208"/>
    <w:rsid w:val="00253063"/>
    <w:rsid w:val="002536C9"/>
    <w:rsid w:val="00256F5F"/>
    <w:rsid w:val="00257651"/>
    <w:rsid w:val="00257972"/>
    <w:rsid w:val="00260596"/>
    <w:rsid w:val="00260AF2"/>
    <w:rsid w:val="00261621"/>
    <w:rsid w:val="0026203E"/>
    <w:rsid w:val="002634E3"/>
    <w:rsid w:val="00264514"/>
    <w:rsid w:val="00264A35"/>
    <w:rsid w:val="00265165"/>
    <w:rsid w:val="002651E3"/>
    <w:rsid w:val="00267200"/>
    <w:rsid w:val="00267E10"/>
    <w:rsid w:val="00270252"/>
    <w:rsid w:val="00270A60"/>
    <w:rsid w:val="00271E92"/>
    <w:rsid w:val="00272A06"/>
    <w:rsid w:val="0027569E"/>
    <w:rsid w:val="00275B1F"/>
    <w:rsid w:val="00275DAC"/>
    <w:rsid w:val="00276780"/>
    <w:rsid w:val="002768D7"/>
    <w:rsid w:val="00277D1B"/>
    <w:rsid w:val="00280DE5"/>
    <w:rsid w:val="00280EC7"/>
    <w:rsid w:val="00281716"/>
    <w:rsid w:val="00282527"/>
    <w:rsid w:val="0028360C"/>
    <w:rsid w:val="002839F4"/>
    <w:rsid w:val="00283DFC"/>
    <w:rsid w:val="00284E98"/>
    <w:rsid w:val="00285AA6"/>
    <w:rsid w:val="00285ADA"/>
    <w:rsid w:val="00286116"/>
    <w:rsid w:val="00286B6A"/>
    <w:rsid w:val="0028735E"/>
    <w:rsid w:val="002874F3"/>
    <w:rsid w:val="00290F20"/>
    <w:rsid w:val="00293461"/>
    <w:rsid w:val="00293F14"/>
    <w:rsid w:val="00293FE1"/>
    <w:rsid w:val="00294332"/>
    <w:rsid w:val="002946B0"/>
    <w:rsid w:val="00294A89"/>
    <w:rsid w:val="00294C99"/>
    <w:rsid w:val="00294FBF"/>
    <w:rsid w:val="002954DB"/>
    <w:rsid w:val="0029576C"/>
    <w:rsid w:val="00295832"/>
    <w:rsid w:val="00295918"/>
    <w:rsid w:val="00296248"/>
    <w:rsid w:val="002A0090"/>
    <w:rsid w:val="002A0CBB"/>
    <w:rsid w:val="002A1151"/>
    <w:rsid w:val="002A1775"/>
    <w:rsid w:val="002A2796"/>
    <w:rsid w:val="002A2D10"/>
    <w:rsid w:val="002A4C09"/>
    <w:rsid w:val="002A5B5A"/>
    <w:rsid w:val="002A65EE"/>
    <w:rsid w:val="002A670B"/>
    <w:rsid w:val="002A68B0"/>
    <w:rsid w:val="002A6A16"/>
    <w:rsid w:val="002A7815"/>
    <w:rsid w:val="002B0FD7"/>
    <w:rsid w:val="002B1118"/>
    <w:rsid w:val="002B243F"/>
    <w:rsid w:val="002B2804"/>
    <w:rsid w:val="002B2B72"/>
    <w:rsid w:val="002B2F5E"/>
    <w:rsid w:val="002B383F"/>
    <w:rsid w:val="002B38E2"/>
    <w:rsid w:val="002B4F1B"/>
    <w:rsid w:val="002B6106"/>
    <w:rsid w:val="002B6436"/>
    <w:rsid w:val="002C01A8"/>
    <w:rsid w:val="002C1031"/>
    <w:rsid w:val="002C121A"/>
    <w:rsid w:val="002C2097"/>
    <w:rsid w:val="002C3193"/>
    <w:rsid w:val="002C382B"/>
    <w:rsid w:val="002C3DEB"/>
    <w:rsid w:val="002C5241"/>
    <w:rsid w:val="002C596C"/>
    <w:rsid w:val="002C6018"/>
    <w:rsid w:val="002C6845"/>
    <w:rsid w:val="002D158E"/>
    <w:rsid w:val="002D197A"/>
    <w:rsid w:val="002D1BC7"/>
    <w:rsid w:val="002D3EE6"/>
    <w:rsid w:val="002D456E"/>
    <w:rsid w:val="002D4FCF"/>
    <w:rsid w:val="002D54A8"/>
    <w:rsid w:val="002D7332"/>
    <w:rsid w:val="002D789E"/>
    <w:rsid w:val="002E19D5"/>
    <w:rsid w:val="002E1E0A"/>
    <w:rsid w:val="002E2A78"/>
    <w:rsid w:val="002E2AC3"/>
    <w:rsid w:val="002E50B3"/>
    <w:rsid w:val="002E54BF"/>
    <w:rsid w:val="002E638A"/>
    <w:rsid w:val="002E6E3E"/>
    <w:rsid w:val="002E7A69"/>
    <w:rsid w:val="002E7B71"/>
    <w:rsid w:val="002F1359"/>
    <w:rsid w:val="002F170C"/>
    <w:rsid w:val="002F1756"/>
    <w:rsid w:val="002F2AE0"/>
    <w:rsid w:val="002F3EC3"/>
    <w:rsid w:val="002F40F3"/>
    <w:rsid w:val="002F601C"/>
    <w:rsid w:val="002F606C"/>
    <w:rsid w:val="002F64B7"/>
    <w:rsid w:val="002F760F"/>
    <w:rsid w:val="00300C94"/>
    <w:rsid w:val="00302081"/>
    <w:rsid w:val="00302DC5"/>
    <w:rsid w:val="00304994"/>
    <w:rsid w:val="00304A77"/>
    <w:rsid w:val="00305105"/>
    <w:rsid w:val="00305283"/>
    <w:rsid w:val="00306723"/>
    <w:rsid w:val="0031001B"/>
    <w:rsid w:val="00310358"/>
    <w:rsid w:val="00310588"/>
    <w:rsid w:val="003114A4"/>
    <w:rsid w:val="0031157D"/>
    <w:rsid w:val="0031177E"/>
    <w:rsid w:val="00312AC6"/>
    <w:rsid w:val="00312D4E"/>
    <w:rsid w:val="00313073"/>
    <w:rsid w:val="003130C2"/>
    <w:rsid w:val="00313202"/>
    <w:rsid w:val="00313233"/>
    <w:rsid w:val="0031448B"/>
    <w:rsid w:val="003147C4"/>
    <w:rsid w:val="00314D06"/>
    <w:rsid w:val="0031615C"/>
    <w:rsid w:val="003163A3"/>
    <w:rsid w:val="00317D83"/>
    <w:rsid w:val="00320E1A"/>
    <w:rsid w:val="00321371"/>
    <w:rsid w:val="003216DC"/>
    <w:rsid w:val="00324EF3"/>
    <w:rsid w:val="003259C4"/>
    <w:rsid w:val="00326268"/>
    <w:rsid w:val="00326A2C"/>
    <w:rsid w:val="00326C14"/>
    <w:rsid w:val="00327742"/>
    <w:rsid w:val="003303B0"/>
    <w:rsid w:val="0033122F"/>
    <w:rsid w:val="00331B2F"/>
    <w:rsid w:val="00331E75"/>
    <w:rsid w:val="00332269"/>
    <w:rsid w:val="0033271D"/>
    <w:rsid w:val="0033447C"/>
    <w:rsid w:val="003351F1"/>
    <w:rsid w:val="00336644"/>
    <w:rsid w:val="00336925"/>
    <w:rsid w:val="0033737E"/>
    <w:rsid w:val="00337632"/>
    <w:rsid w:val="00340A89"/>
    <w:rsid w:val="003421CD"/>
    <w:rsid w:val="00342B90"/>
    <w:rsid w:val="0034399B"/>
    <w:rsid w:val="00343F03"/>
    <w:rsid w:val="003447C0"/>
    <w:rsid w:val="003451F5"/>
    <w:rsid w:val="00345A6A"/>
    <w:rsid w:val="003464A1"/>
    <w:rsid w:val="003464E9"/>
    <w:rsid w:val="003478ED"/>
    <w:rsid w:val="003506C0"/>
    <w:rsid w:val="00351406"/>
    <w:rsid w:val="00351B00"/>
    <w:rsid w:val="00352238"/>
    <w:rsid w:val="00352909"/>
    <w:rsid w:val="00353A2D"/>
    <w:rsid w:val="00354459"/>
    <w:rsid w:val="00354B71"/>
    <w:rsid w:val="0035513B"/>
    <w:rsid w:val="0035661C"/>
    <w:rsid w:val="0035691C"/>
    <w:rsid w:val="003574C2"/>
    <w:rsid w:val="0035767F"/>
    <w:rsid w:val="003606D2"/>
    <w:rsid w:val="00360947"/>
    <w:rsid w:val="00360AF5"/>
    <w:rsid w:val="00360DBC"/>
    <w:rsid w:val="00362471"/>
    <w:rsid w:val="00362A8A"/>
    <w:rsid w:val="00363056"/>
    <w:rsid w:val="003640A3"/>
    <w:rsid w:val="00364B61"/>
    <w:rsid w:val="00365344"/>
    <w:rsid w:val="00366B22"/>
    <w:rsid w:val="00366BD1"/>
    <w:rsid w:val="00366D08"/>
    <w:rsid w:val="00366E2C"/>
    <w:rsid w:val="00370237"/>
    <w:rsid w:val="0037123F"/>
    <w:rsid w:val="00371BCC"/>
    <w:rsid w:val="00372962"/>
    <w:rsid w:val="0037336A"/>
    <w:rsid w:val="00373FDC"/>
    <w:rsid w:val="00374B58"/>
    <w:rsid w:val="00374F75"/>
    <w:rsid w:val="00375008"/>
    <w:rsid w:val="00376330"/>
    <w:rsid w:val="00377120"/>
    <w:rsid w:val="00377927"/>
    <w:rsid w:val="00377B56"/>
    <w:rsid w:val="00380035"/>
    <w:rsid w:val="00380867"/>
    <w:rsid w:val="00380BB4"/>
    <w:rsid w:val="00381703"/>
    <w:rsid w:val="00381D29"/>
    <w:rsid w:val="00381DFC"/>
    <w:rsid w:val="00382E3D"/>
    <w:rsid w:val="003850C3"/>
    <w:rsid w:val="003860AE"/>
    <w:rsid w:val="003873C6"/>
    <w:rsid w:val="00390316"/>
    <w:rsid w:val="00390D35"/>
    <w:rsid w:val="00390F01"/>
    <w:rsid w:val="00391238"/>
    <w:rsid w:val="00391430"/>
    <w:rsid w:val="00391AFF"/>
    <w:rsid w:val="00391E20"/>
    <w:rsid w:val="00394B74"/>
    <w:rsid w:val="00395A2A"/>
    <w:rsid w:val="00395F67"/>
    <w:rsid w:val="00396E68"/>
    <w:rsid w:val="003A08E9"/>
    <w:rsid w:val="003A0D4E"/>
    <w:rsid w:val="003A177C"/>
    <w:rsid w:val="003A2E54"/>
    <w:rsid w:val="003A3196"/>
    <w:rsid w:val="003A39BE"/>
    <w:rsid w:val="003A3AC2"/>
    <w:rsid w:val="003A3C15"/>
    <w:rsid w:val="003A45EE"/>
    <w:rsid w:val="003A6684"/>
    <w:rsid w:val="003A6C4A"/>
    <w:rsid w:val="003B3670"/>
    <w:rsid w:val="003B37F5"/>
    <w:rsid w:val="003B5E32"/>
    <w:rsid w:val="003B6707"/>
    <w:rsid w:val="003B6D0E"/>
    <w:rsid w:val="003B7ECC"/>
    <w:rsid w:val="003C0F2B"/>
    <w:rsid w:val="003C1107"/>
    <w:rsid w:val="003C1580"/>
    <w:rsid w:val="003C1CA4"/>
    <w:rsid w:val="003C28C9"/>
    <w:rsid w:val="003C3EE6"/>
    <w:rsid w:val="003C6464"/>
    <w:rsid w:val="003C6AC0"/>
    <w:rsid w:val="003D0A79"/>
    <w:rsid w:val="003D0B83"/>
    <w:rsid w:val="003D142B"/>
    <w:rsid w:val="003D17C3"/>
    <w:rsid w:val="003D17D1"/>
    <w:rsid w:val="003D18DA"/>
    <w:rsid w:val="003D1B0E"/>
    <w:rsid w:val="003D475C"/>
    <w:rsid w:val="003D51E3"/>
    <w:rsid w:val="003D6E26"/>
    <w:rsid w:val="003D6F99"/>
    <w:rsid w:val="003E0796"/>
    <w:rsid w:val="003E0875"/>
    <w:rsid w:val="003E17B1"/>
    <w:rsid w:val="003E1DDB"/>
    <w:rsid w:val="003E48F1"/>
    <w:rsid w:val="003E4DFE"/>
    <w:rsid w:val="003E551D"/>
    <w:rsid w:val="003E7938"/>
    <w:rsid w:val="003E7A2E"/>
    <w:rsid w:val="003F010B"/>
    <w:rsid w:val="003F112A"/>
    <w:rsid w:val="003F126D"/>
    <w:rsid w:val="003F2916"/>
    <w:rsid w:val="003F29E3"/>
    <w:rsid w:val="003F2E6F"/>
    <w:rsid w:val="003F42F4"/>
    <w:rsid w:val="003F4F57"/>
    <w:rsid w:val="003F6288"/>
    <w:rsid w:val="003F643A"/>
    <w:rsid w:val="00401C36"/>
    <w:rsid w:val="00402A3F"/>
    <w:rsid w:val="004033E9"/>
    <w:rsid w:val="0040377F"/>
    <w:rsid w:val="00403CB5"/>
    <w:rsid w:val="004043DD"/>
    <w:rsid w:val="004046D1"/>
    <w:rsid w:val="00404A45"/>
    <w:rsid w:val="0040523C"/>
    <w:rsid w:val="00410AC2"/>
    <w:rsid w:val="00411591"/>
    <w:rsid w:val="004115BE"/>
    <w:rsid w:val="004117C9"/>
    <w:rsid w:val="00411A52"/>
    <w:rsid w:val="00414BBA"/>
    <w:rsid w:val="00414D61"/>
    <w:rsid w:val="00414E35"/>
    <w:rsid w:val="0041612D"/>
    <w:rsid w:val="00417E66"/>
    <w:rsid w:val="004203A6"/>
    <w:rsid w:val="00421A56"/>
    <w:rsid w:val="004233DE"/>
    <w:rsid w:val="004233F3"/>
    <w:rsid w:val="004246C2"/>
    <w:rsid w:val="00424EBE"/>
    <w:rsid w:val="004268FC"/>
    <w:rsid w:val="00426D0A"/>
    <w:rsid w:val="00426DBE"/>
    <w:rsid w:val="00431691"/>
    <w:rsid w:val="004322EF"/>
    <w:rsid w:val="00432686"/>
    <w:rsid w:val="004351B4"/>
    <w:rsid w:val="00437DB1"/>
    <w:rsid w:val="00437FC4"/>
    <w:rsid w:val="00440DA7"/>
    <w:rsid w:val="004414CD"/>
    <w:rsid w:val="004421F7"/>
    <w:rsid w:val="00442AF1"/>
    <w:rsid w:val="00443282"/>
    <w:rsid w:val="004433F7"/>
    <w:rsid w:val="00443732"/>
    <w:rsid w:val="004444F0"/>
    <w:rsid w:val="00444BA0"/>
    <w:rsid w:val="00444F21"/>
    <w:rsid w:val="00445B58"/>
    <w:rsid w:val="00446EC2"/>
    <w:rsid w:val="00447294"/>
    <w:rsid w:val="00447E2C"/>
    <w:rsid w:val="00450502"/>
    <w:rsid w:val="0045097A"/>
    <w:rsid w:val="00450B96"/>
    <w:rsid w:val="00451613"/>
    <w:rsid w:val="00452072"/>
    <w:rsid w:val="00453976"/>
    <w:rsid w:val="00454257"/>
    <w:rsid w:val="00454612"/>
    <w:rsid w:val="0045522E"/>
    <w:rsid w:val="00460643"/>
    <w:rsid w:val="004609E3"/>
    <w:rsid w:val="00460EC2"/>
    <w:rsid w:val="00461D5B"/>
    <w:rsid w:val="00462ECA"/>
    <w:rsid w:val="004632B9"/>
    <w:rsid w:val="0046377B"/>
    <w:rsid w:val="0046391C"/>
    <w:rsid w:val="004651E3"/>
    <w:rsid w:val="00466145"/>
    <w:rsid w:val="0046779C"/>
    <w:rsid w:val="004717ED"/>
    <w:rsid w:val="00472649"/>
    <w:rsid w:val="00473F6D"/>
    <w:rsid w:val="00474491"/>
    <w:rsid w:val="00475481"/>
    <w:rsid w:val="00475514"/>
    <w:rsid w:val="00475A17"/>
    <w:rsid w:val="00477616"/>
    <w:rsid w:val="004778D4"/>
    <w:rsid w:val="00480E3D"/>
    <w:rsid w:val="00481725"/>
    <w:rsid w:val="00483B9E"/>
    <w:rsid w:val="00483D01"/>
    <w:rsid w:val="00484BC9"/>
    <w:rsid w:val="00485390"/>
    <w:rsid w:val="0048563A"/>
    <w:rsid w:val="00485A22"/>
    <w:rsid w:val="00487F03"/>
    <w:rsid w:val="00490CA3"/>
    <w:rsid w:val="00493DE5"/>
    <w:rsid w:val="00494135"/>
    <w:rsid w:val="004942D6"/>
    <w:rsid w:val="00495597"/>
    <w:rsid w:val="00495B38"/>
    <w:rsid w:val="004A0035"/>
    <w:rsid w:val="004A0F7B"/>
    <w:rsid w:val="004A17A3"/>
    <w:rsid w:val="004A3505"/>
    <w:rsid w:val="004A4F74"/>
    <w:rsid w:val="004A59F3"/>
    <w:rsid w:val="004A6317"/>
    <w:rsid w:val="004B027C"/>
    <w:rsid w:val="004B18A7"/>
    <w:rsid w:val="004B1BD0"/>
    <w:rsid w:val="004B50CC"/>
    <w:rsid w:val="004B5693"/>
    <w:rsid w:val="004B7123"/>
    <w:rsid w:val="004B7504"/>
    <w:rsid w:val="004B7FD9"/>
    <w:rsid w:val="004C0163"/>
    <w:rsid w:val="004C1949"/>
    <w:rsid w:val="004C1D39"/>
    <w:rsid w:val="004C2112"/>
    <w:rsid w:val="004C32EA"/>
    <w:rsid w:val="004C35F6"/>
    <w:rsid w:val="004C3D94"/>
    <w:rsid w:val="004C3F27"/>
    <w:rsid w:val="004C4B96"/>
    <w:rsid w:val="004C5527"/>
    <w:rsid w:val="004C58A7"/>
    <w:rsid w:val="004C5C79"/>
    <w:rsid w:val="004C67B4"/>
    <w:rsid w:val="004C7558"/>
    <w:rsid w:val="004D0A43"/>
    <w:rsid w:val="004D1728"/>
    <w:rsid w:val="004D1E46"/>
    <w:rsid w:val="004D24BF"/>
    <w:rsid w:val="004D50EC"/>
    <w:rsid w:val="004D52FF"/>
    <w:rsid w:val="004D54FE"/>
    <w:rsid w:val="004D697C"/>
    <w:rsid w:val="004D7593"/>
    <w:rsid w:val="004D7C06"/>
    <w:rsid w:val="004E06DC"/>
    <w:rsid w:val="004E0DC3"/>
    <w:rsid w:val="004E1C16"/>
    <w:rsid w:val="004E2184"/>
    <w:rsid w:val="004E2D52"/>
    <w:rsid w:val="004E330F"/>
    <w:rsid w:val="004E3839"/>
    <w:rsid w:val="004E3E93"/>
    <w:rsid w:val="004E435E"/>
    <w:rsid w:val="004E4D06"/>
    <w:rsid w:val="004E4D6B"/>
    <w:rsid w:val="004E58D1"/>
    <w:rsid w:val="004E62D4"/>
    <w:rsid w:val="004F1AAE"/>
    <w:rsid w:val="004F3246"/>
    <w:rsid w:val="004F3F39"/>
    <w:rsid w:val="004F3FD9"/>
    <w:rsid w:val="004F4EB9"/>
    <w:rsid w:val="004F5A33"/>
    <w:rsid w:val="004F60DD"/>
    <w:rsid w:val="004F6908"/>
    <w:rsid w:val="004F74EF"/>
    <w:rsid w:val="00501395"/>
    <w:rsid w:val="005013AD"/>
    <w:rsid w:val="00503355"/>
    <w:rsid w:val="0050376F"/>
    <w:rsid w:val="0050447C"/>
    <w:rsid w:val="00504D29"/>
    <w:rsid w:val="005051B2"/>
    <w:rsid w:val="00505B54"/>
    <w:rsid w:val="00510D66"/>
    <w:rsid w:val="00511137"/>
    <w:rsid w:val="005111BC"/>
    <w:rsid w:val="00512237"/>
    <w:rsid w:val="00513FCE"/>
    <w:rsid w:val="00514456"/>
    <w:rsid w:val="00515026"/>
    <w:rsid w:val="005151D9"/>
    <w:rsid w:val="00516679"/>
    <w:rsid w:val="00522B3C"/>
    <w:rsid w:val="00524601"/>
    <w:rsid w:val="00527AF7"/>
    <w:rsid w:val="005305DB"/>
    <w:rsid w:val="00530D57"/>
    <w:rsid w:val="005316B4"/>
    <w:rsid w:val="00531CBC"/>
    <w:rsid w:val="00531FD6"/>
    <w:rsid w:val="00532259"/>
    <w:rsid w:val="0053283F"/>
    <w:rsid w:val="00532AD4"/>
    <w:rsid w:val="00533671"/>
    <w:rsid w:val="00534B88"/>
    <w:rsid w:val="0053545C"/>
    <w:rsid w:val="0053628F"/>
    <w:rsid w:val="00537CCB"/>
    <w:rsid w:val="00540E43"/>
    <w:rsid w:val="00541058"/>
    <w:rsid w:val="0054148F"/>
    <w:rsid w:val="00541925"/>
    <w:rsid w:val="00541C9A"/>
    <w:rsid w:val="0054256C"/>
    <w:rsid w:val="0054275D"/>
    <w:rsid w:val="00542889"/>
    <w:rsid w:val="00544039"/>
    <w:rsid w:val="00545137"/>
    <w:rsid w:val="005464FE"/>
    <w:rsid w:val="0054677F"/>
    <w:rsid w:val="005467D1"/>
    <w:rsid w:val="00546937"/>
    <w:rsid w:val="00546D29"/>
    <w:rsid w:val="005476BD"/>
    <w:rsid w:val="005509F7"/>
    <w:rsid w:val="005519D2"/>
    <w:rsid w:val="00551E91"/>
    <w:rsid w:val="005531D8"/>
    <w:rsid w:val="00553D30"/>
    <w:rsid w:val="005541BD"/>
    <w:rsid w:val="00555DA2"/>
    <w:rsid w:val="005563A9"/>
    <w:rsid w:val="00557272"/>
    <w:rsid w:val="00560478"/>
    <w:rsid w:val="00560EDA"/>
    <w:rsid w:val="00561796"/>
    <w:rsid w:val="00562348"/>
    <w:rsid w:val="00562CBA"/>
    <w:rsid w:val="00562E14"/>
    <w:rsid w:val="005642C7"/>
    <w:rsid w:val="00564980"/>
    <w:rsid w:val="00565D0C"/>
    <w:rsid w:val="005664D3"/>
    <w:rsid w:val="00566F94"/>
    <w:rsid w:val="0057167C"/>
    <w:rsid w:val="0057171E"/>
    <w:rsid w:val="00573073"/>
    <w:rsid w:val="005734A9"/>
    <w:rsid w:val="005738C7"/>
    <w:rsid w:val="0057396B"/>
    <w:rsid w:val="00573DB3"/>
    <w:rsid w:val="00575F27"/>
    <w:rsid w:val="00577149"/>
    <w:rsid w:val="00580067"/>
    <w:rsid w:val="0058100B"/>
    <w:rsid w:val="00581488"/>
    <w:rsid w:val="00581969"/>
    <w:rsid w:val="00583554"/>
    <w:rsid w:val="0058358C"/>
    <w:rsid w:val="0058384E"/>
    <w:rsid w:val="00584036"/>
    <w:rsid w:val="00584BCF"/>
    <w:rsid w:val="0058544D"/>
    <w:rsid w:val="00586B40"/>
    <w:rsid w:val="0058717E"/>
    <w:rsid w:val="005901C6"/>
    <w:rsid w:val="0059172B"/>
    <w:rsid w:val="00591AAB"/>
    <w:rsid w:val="005923CC"/>
    <w:rsid w:val="00592A18"/>
    <w:rsid w:val="005931C8"/>
    <w:rsid w:val="00593A33"/>
    <w:rsid w:val="00594FF5"/>
    <w:rsid w:val="00595813"/>
    <w:rsid w:val="005960B0"/>
    <w:rsid w:val="00596B1D"/>
    <w:rsid w:val="005A094C"/>
    <w:rsid w:val="005A11EF"/>
    <w:rsid w:val="005A1C55"/>
    <w:rsid w:val="005A2942"/>
    <w:rsid w:val="005A331D"/>
    <w:rsid w:val="005A3926"/>
    <w:rsid w:val="005A43A4"/>
    <w:rsid w:val="005A578B"/>
    <w:rsid w:val="005A693A"/>
    <w:rsid w:val="005A6F5F"/>
    <w:rsid w:val="005A7C77"/>
    <w:rsid w:val="005A7CFD"/>
    <w:rsid w:val="005B012E"/>
    <w:rsid w:val="005B013C"/>
    <w:rsid w:val="005B1383"/>
    <w:rsid w:val="005B1E29"/>
    <w:rsid w:val="005B22AD"/>
    <w:rsid w:val="005B2D87"/>
    <w:rsid w:val="005B2F30"/>
    <w:rsid w:val="005B2F96"/>
    <w:rsid w:val="005B3010"/>
    <w:rsid w:val="005B34EF"/>
    <w:rsid w:val="005B380D"/>
    <w:rsid w:val="005B472F"/>
    <w:rsid w:val="005B4CBE"/>
    <w:rsid w:val="005B4EBD"/>
    <w:rsid w:val="005B6225"/>
    <w:rsid w:val="005B6653"/>
    <w:rsid w:val="005B721F"/>
    <w:rsid w:val="005C0DC1"/>
    <w:rsid w:val="005C0DD6"/>
    <w:rsid w:val="005C1146"/>
    <w:rsid w:val="005C1A9C"/>
    <w:rsid w:val="005C2912"/>
    <w:rsid w:val="005C2995"/>
    <w:rsid w:val="005C37A1"/>
    <w:rsid w:val="005C3FBB"/>
    <w:rsid w:val="005C4755"/>
    <w:rsid w:val="005C63E7"/>
    <w:rsid w:val="005C78C9"/>
    <w:rsid w:val="005C7D7B"/>
    <w:rsid w:val="005D06D8"/>
    <w:rsid w:val="005D0A0C"/>
    <w:rsid w:val="005D1433"/>
    <w:rsid w:val="005D23CB"/>
    <w:rsid w:val="005D2B94"/>
    <w:rsid w:val="005D4EF5"/>
    <w:rsid w:val="005D6ADA"/>
    <w:rsid w:val="005E00DF"/>
    <w:rsid w:val="005E1861"/>
    <w:rsid w:val="005E232C"/>
    <w:rsid w:val="005E2AB7"/>
    <w:rsid w:val="005E2F52"/>
    <w:rsid w:val="005E33A6"/>
    <w:rsid w:val="005E4F73"/>
    <w:rsid w:val="005E4F85"/>
    <w:rsid w:val="005E5367"/>
    <w:rsid w:val="005E5BF0"/>
    <w:rsid w:val="005E7712"/>
    <w:rsid w:val="005E792C"/>
    <w:rsid w:val="005F0037"/>
    <w:rsid w:val="005F03D9"/>
    <w:rsid w:val="005F0A5F"/>
    <w:rsid w:val="005F1E53"/>
    <w:rsid w:val="005F2378"/>
    <w:rsid w:val="005F307C"/>
    <w:rsid w:val="005F340E"/>
    <w:rsid w:val="005F4BD2"/>
    <w:rsid w:val="005F4DA2"/>
    <w:rsid w:val="005F5028"/>
    <w:rsid w:val="005F538F"/>
    <w:rsid w:val="005F5875"/>
    <w:rsid w:val="005F6162"/>
    <w:rsid w:val="005F6391"/>
    <w:rsid w:val="005F6A7E"/>
    <w:rsid w:val="005F7A06"/>
    <w:rsid w:val="005F7B49"/>
    <w:rsid w:val="005F7B4F"/>
    <w:rsid w:val="005F7EC3"/>
    <w:rsid w:val="005F7FD7"/>
    <w:rsid w:val="00600202"/>
    <w:rsid w:val="0060059F"/>
    <w:rsid w:val="00600F3B"/>
    <w:rsid w:val="006012F4"/>
    <w:rsid w:val="006020B3"/>
    <w:rsid w:val="00602FF3"/>
    <w:rsid w:val="0060305C"/>
    <w:rsid w:val="00603726"/>
    <w:rsid w:val="00603CB7"/>
    <w:rsid w:val="00603CC0"/>
    <w:rsid w:val="00603DEC"/>
    <w:rsid w:val="00604F83"/>
    <w:rsid w:val="00605B9B"/>
    <w:rsid w:val="006079AA"/>
    <w:rsid w:val="00610633"/>
    <w:rsid w:val="00611E60"/>
    <w:rsid w:val="00612D77"/>
    <w:rsid w:val="00614554"/>
    <w:rsid w:val="00614FC4"/>
    <w:rsid w:val="00616388"/>
    <w:rsid w:val="00616DA2"/>
    <w:rsid w:val="00617B2B"/>
    <w:rsid w:val="006203F7"/>
    <w:rsid w:val="0062048B"/>
    <w:rsid w:val="006206F4"/>
    <w:rsid w:val="00620B78"/>
    <w:rsid w:val="006213BC"/>
    <w:rsid w:val="00622C4E"/>
    <w:rsid w:val="00622CDB"/>
    <w:rsid w:val="00624C99"/>
    <w:rsid w:val="0062709C"/>
    <w:rsid w:val="006277D4"/>
    <w:rsid w:val="00627F38"/>
    <w:rsid w:val="0063258F"/>
    <w:rsid w:val="006332C0"/>
    <w:rsid w:val="006405B3"/>
    <w:rsid w:val="00641FE1"/>
    <w:rsid w:val="0064259A"/>
    <w:rsid w:val="00642853"/>
    <w:rsid w:val="006429DC"/>
    <w:rsid w:val="00642B30"/>
    <w:rsid w:val="00646767"/>
    <w:rsid w:val="00651F73"/>
    <w:rsid w:val="00652FE6"/>
    <w:rsid w:val="00653BEB"/>
    <w:rsid w:val="00653D2B"/>
    <w:rsid w:val="006564B1"/>
    <w:rsid w:val="006568AA"/>
    <w:rsid w:val="0065740D"/>
    <w:rsid w:val="0066081B"/>
    <w:rsid w:val="00662434"/>
    <w:rsid w:val="00664F1B"/>
    <w:rsid w:val="00665E2F"/>
    <w:rsid w:val="00665EA9"/>
    <w:rsid w:val="00667560"/>
    <w:rsid w:val="00671247"/>
    <w:rsid w:val="00672193"/>
    <w:rsid w:val="0067379A"/>
    <w:rsid w:val="0067402F"/>
    <w:rsid w:val="00675B10"/>
    <w:rsid w:val="0067775B"/>
    <w:rsid w:val="00677EBB"/>
    <w:rsid w:val="006805CE"/>
    <w:rsid w:val="00680768"/>
    <w:rsid w:val="00682D05"/>
    <w:rsid w:val="00682E9B"/>
    <w:rsid w:val="006839E3"/>
    <w:rsid w:val="00683F1C"/>
    <w:rsid w:val="006852D7"/>
    <w:rsid w:val="0069026F"/>
    <w:rsid w:val="00690317"/>
    <w:rsid w:val="00690D5E"/>
    <w:rsid w:val="00690DA5"/>
    <w:rsid w:val="00691C34"/>
    <w:rsid w:val="00692105"/>
    <w:rsid w:val="00692306"/>
    <w:rsid w:val="00692BED"/>
    <w:rsid w:val="0069311D"/>
    <w:rsid w:val="00693876"/>
    <w:rsid w:val="00693E09"/>
    <w:rsid w:val="00695775"/>
    <w:rsid w:val="00695805"/>
    <w:rsid w:val="0069711C"/>
    <w:rsid w:val="00697FC3"/>
    <w:rsid w:val="006A04A2"/>
    <w:rsid w:val="006A1354"/>
    <w:rsid w:val="006A2702"/>
    <w:rsid w:val="006A2709"/>
    <w:rsid w:val="006A2AA9"/>
    <w:rsid w:val="006A52B4"/>
    <w:rsid w:val="006A609D"/>
    <w:rsid w:val="006A7607"/>
    <w:rsid w:val="006B106A"/>
    <w:rsid w:val="006B34DF"/>
    <w:rsid w:val="006B434B"/>
    <w:rsid w:val="006B465F"/>
    <w:rsid w:val="006B4EA1"/>
    <w:rsid w:val="006B6684"/>
    <w:rsid w:val="006B700F"/>
    <w:rsid w:val="006B744D"/>
    <w:rsid w:val="006B7B84"/>
    <w:rsid w:val="006C1494"/>
    <w:rsid w:val="006C1527"/>
    <w:rsid w:val="006C3969"/>
    <w:rsid w:val="006C3BC3"/>
    <w:rsid w:val="006C3C3E"/>
    <w:rsid w:val="006C3DF9"/>
    <w:rsid w:val="006C3E1F"/>
    <w:rsid w:val="006C46DF"/>
    <w:rsid w:val="006C4809"/>
    <w:rsid w:val="006C4A90"/>
    <w:rsid w:val="006C5274"/>
    <w:rsid w:val="006C6360"/>
    <w:rsid w:val="006D0933"/>
    <w:rsid w:val="006D15DF"/>
    <w:rsid w:val="006D3067"/>
    <w:rsid w:val="006D35B6"/>
    <w:rsid w:val="006D414C"/>
    <w:rsid w:val="006D433E"/>
    <w:rsid w:val="006D45D2"/>
    <w:rsid w:val="006D4A4D"/>
    <w:rsid w:val="006D4D01"/>
    <w:rsid w:val="006D575A"/>
    <w:rsid w:val="006D6A79"/>
    <w:rsid w:val="006D7D7D"/>
    <w:rsid w:val="006E2B80"/>
    <w:rsid w:val="006E317A"/>
    <w:rsid w:val="006E4D2F"/>
    <w:rsid w:val="006E4DAE"/>
    <w:rsid w:val="006E5B78"/>
    <w:rsid w:val="006E5E41"/>
    <w:rsid w:val="006E6D19"/>
    <w:rsid w:val="006E781C"/>
    <w:rsid w:val="006E7878"/>
    <w:rsid w:val="006E7B67"/>
    <w:rsid w:val="006E7F1E"/>
    <w:rsid w:val="006E7F46"/>
    <w:rsid w:val="006F0453"/>
    <w:rsid w:val="006F0A39"/>
    <w:rsid w:val="006F0F2D"/>
    <w:rsid w:val="006F1360"/>
    <w:rsid w:val="006F139E"/>
    <w:rsid w:val="006F1661"/>
    <w:rsid w:val="006F1ED1"/>
    <w:rsid w:val="006F28A9"/>
    <w:rsid w:val="006F377F"/>
    <w:rsid w:val="006F3C84"/>
    <w:rsid w:val="006F7C94"/>
    <w:rsid w:val="00700D46"/>
    <w:rsid w:val="00702304"/>
    <w:rsid w:val="00703B6E"/>
    <w:rsid w:val="00704CBB"/>
    <w:rsid w:val="0070560F"/>
    <w:rsid w:val="0070634F"/>
    <w:rsid w:val="00710AC4"/>
    <w:rsid w:val="00710E00"/>
    <w:rsid w:val="00711589"/>
    <w:rsid w:val="0071178C"/>
    <w:rsid w:val="007117C1"/>
    <w:rsid w:val="00713323"/>
    <w:rsid w:val="00713B0C"/>
    <w:rsid w:val="00713C81"/>
    <w:rsid w:val="007165B7"/>
    <w:rsid w:val="007168E1"/>
    <w:rsid w:val="00716D99"/>
    <w:rsid w:val="00717343"/>
    <w:rsid w:val="00717D91"/>
    <w:rsid w:val="00721E9F"/>
    <w:rsid w:val="00722C45"/>
    <w:rsid w:val="0072449F"/>
    <w:rsid w:val="00725081"/>
    <w:rsid w:val="00730156"/>
    <w:rsid w:val="0073161C"/>
    <w:rsid w:val="007329A5"/>
    <w:rsid w:val="00733193"/>
    <w:rsid w:val="00735AE2"/>
    <w:rsid w:val="00735BCD"/>
    <w:rsid w:val="00736A9D"/>
    <w:rsid w:val="00737B3E"/>
    <w:rsid w:val="00737CB1"/>
    <w:rsid w:val="007415E8"/>
    <w:rsid w:val="00742A91"/>
    <w:rsid w:val="00744711"/>
    <w:rsid w:val="0074527D"/>
    <w:rsid w:val="007452F0"/>
    <w:rsid w:val="0074694A"/>
    <w:rsid w:val="007473DA"/>
    <w:rsid w:val="00747459"/>
    <w:rsid w:val="0074747A"/>
    <w:rsid w:val="007479D8"/>
    <w:rsid w:val="00751BA6"/>
    <w:rsid w:val="007527D0"/>
    <w:rsid w:val="0075289A"/>
    <w:rsid w:val="007528E4"/>
    <w:rsid w:val="00752B7D"/>
    <w:rsid w:val="007548BD"/>
    <w:rsid w:val="00754CF2"/>
    <w:rsid w:val="00755E12"/>
    <w:rsid w:val="00755F34"/>
    <w:rsid w:val="00756EC1"/>
    <w:rsid w:val="0076069C"/>
    <w:rsid w:val="00761229"/>
    <w:rsid w:val="007621D0"/>
    <w:rsid w:val="00763B41"/>
    <w:rsid w:val="00763C6B"/>
    <w:rsid w:val="00763DB7"/>
    <w:rsid w:val="007650F7"/>
    <w:rsid w:val="00765C9D"/>
    <w:rsid w:val="00766B10"/>
    <w:rsid w:val="00766B84"/>
    <w:rsid w:val="00767669"/>
    <w:rsid w:val="00767A95"/>
    <w:rsid w:val="00767D72"/>
    <w:rsid w:val="00767ED2"/>
    <w:rsid w:val="007703C7"/>
    <w:rsid w:val="00771283"/>
    <w:rsid w:val="00772B1C"/>
    <w:rsid w:val="00773992"/>
    <w:rsid w:val="00773BA5"/>
    <w:rsid w:val="007740C0"/>
    <w:rsid w:val="0077445A"/>
    <w:rsid w:val="00774EDC"/>
    <w:rsid w:val="007751C2"/>
    <w:rsid w:val="007755D0"/>
    <w:rsid w:val="007806EC"/>
    <w:rsid w:val="00781532"/>
    <w:rsid w:val="007815F4"/>
    <w:rsid w:val="007823D9"/>
    <w:rsid w:val="00784080"/>
    <w:rsid w:val="00785C85"/>
    <w:rsid w:val="00786088"/>
    <w:rsid w:val="00786726"/>
    <w:rsid w:val="007870AA"/>
    <w:rsid w:val="007872D1"/>
    <w:rsid w:val="00787DEE"/>
    <w:rsid w:val="00791275"/>
    <w:rsid w:val="007913DD"/>
    <w:rsid w:val="0079283A"/>
    <w:rsid w:val="00792F0C"/>
    <w:rsid w:val="007932B1"/>
    <w:rsid w:val="0079336D"/>
    <w:rsid w:val="00794362"/>
    <w:rsid w:val="007950B4"/>
    <w:rsid w:val="00795409"/>
    <w:rsid w:val="007965EC"/>
    <w:rsid w:val="00796BBF"/>
    <w:rsid w:val="00797ABF"/>
    <w:rsid w:val="007A059C"/>
    <w:rsid w:val="007A0734"/>
    <w:rsid w:val="007A0A95"/>
    <w:rsid w:val="007A148F"/>
    <w:rsid w:val="007A1587"/>
    <w:rsid w:val="007A40F1"/>
    <w:rsid w:val="007A4794"/>
    <w:rsid w:val="007A4CA0"/>
    <w:rsid w:val="007A56B5"/>
    <w:rsid w:val="007A5F69"/>
    <w:rsid w:val="007A645C"/>
    <w:rsid w:val="007A6F53"/>
    <w:rsid w:val="007B07FD"/>
    <w:rsid w:val="007B179A"/>
    <w:rsid w:val="007B2289"/>
    <w:rsid w:val="007B53C7"/>
    <w:rsid w:val="007B6CFB"/>
    <w:rsid w:val="007C00A0"/>
    <w:rsid w:val="007C032E"/>
    <w:rsid w:val="007C191B"/>
    <w:rsid w:val="007C29D8"/>
    <w:rsid w:val="007C37A6"/>
    <w:rsid w:val="007C3A2A"/>
    <w:rsid w:val="007C3E13"/>
    <w:rsid w:val="007C3E8A"/>
    <w:rsid w:val="007C4434"/>
    <w:rsid w:val="007C55E9"/>
    <w:rsid w:val="007C713F"/>
    <w:rsid w:val="007C75A4"/>
    <w:rsid w:val="007C7AA6"/>
    <w:rsid w:val="007D07C8"/>
    <w:rsid w:val="007D0D4C"/>
    <w:rsid w:val="007D0F35"/>
    <w:rsid w:val="007D3B75"/>
    <w:rsid w:val="007D41EF"/>
    <w:rsid w:val="007D4736"/>
    <w:rsid w:val="007D58BD"/>
    <w:rsid w:val="007D5AEF"/>
    <w:rsid w:val="007D61D9"/>
    <w:rsid w:val="007D6BB6"/>
    <w:rsid w:val="007D6DFB"/>
    <w:rsid w:val="007D7259"/>
    <w:rsid w:val="007E2730"/>
    <w:rsid w:val="007E2B32"/>
    <w:rsid w:val="007E4640"/>
    <w:rsid w:val="007E64B3"/>
    <w:rsid w:val="007E6D54"/>
    <w:rsid w:val="007E7F24"/>
    <w:rsid w:val="007F074D"/>
    <w:rsid w:val="007F1DF5"/>
    <w:rsid w:val="007F3C10"/>
    <w:rsid w:val="007F3EE9"/>
    <w:rsid w:val="007F40A8"/>
    <w:rsid w:val="007F4A21"/>
    <w:rsid w:val="007F4D15"/>
    <w:rsid w:val="007F58A7"/>
    <w:rsid w:val="007F6E26"/>
    <w:rsid w:val="007F6FA8"/>
    <w:rsid w:val="007F7AF4"/>
    <w:rsid w:val="0080235D"/>
    <w:rsid w:val="00802CB8"/>
    <w:rsid w:val="008035DC"/>
    <w:rsid w:val="00803884"/>
    <w:rsid w:val="00803918"/>
    <w:rsid w:val="0080554C"/>
    <w:rsid w:val="00805BD8"/>
    <w:rsid w:val="008066E8"/>
    <w:rsid w:val="008075E0"/>
    <w:rsid w:val="00807D4E"/>
    <w:rsid w:val="00810627"/>
    <w:rsid w:val="00810BF1"/>
    <w:rsid w:val="0081123A"/>
    <w:rsid w:val="00811795"/>
    <w:rsid w:val="0081215D"/>
    <w:rsid w:val="00812826"/>
    <w:rsid w:val="00813779"/>
    <w:rsid w:val="00814C74"/>
    <w:rsid w:val="00814DFF"/>
    <w:rsid w:val="00814EC4"/>
    <w:rsid w:val="0081546B"/>
    <w:rsid w:val="00815BFB"/>
    <w:rsid w:val="00816B97"/>
    <w:rsid w:val="00817978"/>
    <w:rsid w:val="00820A43"/>
    <w:rsid w:val="008215A8"/>
    <w:rsid w:val="00823047"/>
    <w:rsid w:val="008232A8"/>
    <w:rsid w:val="0082475A"/>
    <w:rsid w:val="00824B39"/>
    <w:rsid w:val="00824E07"/>
    <w:rsid w:val="008253FB"/>
    <w:rsid w:val="00825D50"/>
    <w:rsid w:val="0082780C"/>
    <w:rsid w:val="008325F5"/>
    <w:rsid w:val="0083290A"/>
    <w:rsid w:val="008348CB"/>
    <w:rsid w:val="0083505F"/>
    <w:rsid w:val="008356C2"/>
    <w:rsid w:val="0083701D"/>
    <w:rsid w:val="00840C33"/>
    <w:rsid w:val="00841581"/>
    <w:rsid w:val="008429AA"/>
    <w:rsid w:val="008429C7"/>
    <w:rsid w:val="00843729"/>
    <w:rsid w:val="008464C2"/>
    <w:rsid w:val="00846919"/>
    <w:rsid w:val="00847FD8"/>
    <w:rsid w:val="00852FDA"/>
    <w:rsid w:val="008560CD"/>
    <w:rsid w:val="00856202"/>
    <w:rsid w:val="008563E3"/>
    <w:rsid w:val="0085737E"/>
    <w:rsid w:val="0086418F"/>
    <w:rsid w:val="00867308"/>
    <w:rsid w:val="0087049E"/>
    <w:rsid w:val="00871A48"/>
    <w:rsid w:val="00871F84"/>
    <w:rsid w:val="00872202"/>
    <w:rsid w:val="008750E2"/>
    <w:rsid w:val="00875214"/>
    <w:rsid w:val="0087530F"/>
    <w:rsid w:val="008764A5"/>
    <w:rsid w:val="0087657A"/>
    <w:rsid w:val="008770B4"/>
    <w:rsid w:val="00877C12"/>
    <w:rsid w:val="00877CF3"/>
    <w:rsid w:val="00880065"/>
    <w:rsid w:val="00880824"/>
    <w:rsid w:val="008816E3"/>
    <w:rsid w:val="00881D4F"/>
    <w:rsid w:val="00881D59"/>
    <w:rsid w:val="00882011"/>
    <w:rsid w:val="0088257B"/>
    <w:rsid w:val="00885096"/>
    <w:rsid w:val="00885620"/>
    <w:rsid w:val="008864A1"/>
    <w:rsid w:val="00886774"/>
    <w:rsid w:val="00887669"/>
    <w:rsid w:val="00887A44"/>
    <w:rsid w:val="00890EFE"/>
    <w:rsid w:val="0089134E"/>
    <w:rsid w:val="0089241D"/>
    <w:rsid w:val="00892D7F"/>
    <w:rsid w:val="008937F3"/>
    <w:rsid w:val="00893FB0"/>
    <w:rsid w:val="0089781C"/>
    <w:rsid w:val="008A0255"/>
    <w:rsid w:val="008A14BA"/>
    <w:rsid w:val="008A2219"/>
    <w:rsid w:val="008A242F"/>
    <w:rsid w:val="008A3173"/>
    <w:rsid w:val="008A3299"/>
    <w:rsid w:val="008A4422"/>
    <w:rsid w:val="008A476A"/>
    <w:rsid w:val="008A47D9"/>
    <w:rsid w:val="008A521E"/>
    <w:rsid w:val="008A66AE"/>
    <w:rsid w:val="008A7FB2"/>
    <w:rsid w:val="008B044F"/>
    <w:rsid w:val="008B0FD3"/>
    <w:rsid w:val="008B3198"/>
    <w:rsid w:val="008B353F"/>
    <w:rsid w:val="008B41E4"/>
    <w:rsid w:val="008B51FE"/>
    <w:rsid w:val="008B54BC"/>
    <w:rsid w:val="008B5B71"/>
    <w:rsid w:val="008B6103"/>
    <w:rsid w:val="008C06C8"/>
    <w:rsid w:val="008C0F70"/>
    <w:rsid w:val="008C1A4D"/>
    <w:rsid w:val="008C2AAD"/>
    <w:rsid w:val="008C4EAA"/>
    <w:rsid w:val="008C532E"/>
    <w:rsid w:val="008C56E1"/>
    <w:rsid w:val="008C6E0A"/>
    <w:rsid w:val="008C6F2E"/>
    <w:rsid w:val="008D0231"/>
    <w:rsid w:val="008D2A16"/>
    <w:rsid w:val="008D2F32"/>
    <w:rsid w:val="008D31EA"/>
    <w:rsid w:val="008D3CA1"/>
    <w:rsid w:val="008D3EF8"/>
    <w:rsid w:val="008D447A"/>
    <w:rsid w:val="008D45DE"/>
    <w:rsid w:val="008D4F6B"/>
    <w:rsid w:val="008D557B"/>
    <w:rsid w:val="008D617E"/>
    <w:rsid w:val="008D642A"/>
    <w:rsid w:val="008D71E5"/>
    <w:rsid w:val="008D7AA4"/>
    <w:rsid w:val="008D7BAA"/>
    <w:rsid w:val="008D7E4A"/>
    <w:rsid w:val="008E063F"/>
    <w:rsid w:val="008E07B0"/>
    <w:rsid w:val="008E0C20"/>
    <w:rsid w:val="008E3650"/>
    <w:rsid w:val="008E3CAE"/>
    <w:rsid w:val="008E4D45"/>
    <w:rsid w:val="008E70B5"/>
    <w:rsid w:val="008E7225"/>
    <w:rsid w:val="008F0A91"/>
    <w:rsid w:val="008F0D8C"/>
    <w:rsid w:val="008F320A"/>
    <w:rsid w:val="008F55F8"/>
    <w:rsid w:val="008F5974"/>
    <w:rsid w:val="008F6ACB"/>
    <w:rsid w:val="008F6F9D"/>
    <w:rsid w:val="00901450"/>
    <w:rsid w:val="00902745"/>
    <w:rsid w:val="009033AA"/>
    <w:rsid w:val="00904AEF"/>
    <w:rsid w:val="00904C0C"/>
    <w:rsid w:val="0090500F"/>
    <w:rsid w:val="009052B2"/>
    <w:rsid w:val="00905C7D"/>
    <w:rsid w:val="00906749"/>
    <w:rsid w:val="00906AF5"/>
    <w:rsid w:val="009075E6"/>
    <w:rsid w:val="00910D97"/>
    <w:rsid w:val="00913ADB"/>
    <w:rsid w:val="00913DA4"/>
    <w:rsid w:val="00914785"/>
    <w:rsid w:val="00915A9C"/>
    <w:rsid w:val="00921359"/>
    <w:rsid w:val="00922429"/>
    <w:rsid w:val="00922AEF"/>
    <w:rsid w:val="00923264"/>
    <w:rsid w:val="0092332B"/>
    <w:rsid w:val="0092351F"/>
    <w:rsid w:val="00924B76"/>
    <w:rsid w:val="009252ED"/>
    <w:rsid w:val="0092538B"/>
    <w:rsid w:val="00925F28"/>
    <w:rsid w:val="0092694D"/>
    <w:rsid w:val="009269A6"/>
    <w:rsid w:val="00927B8B"/>
    <w:rsid w:val="00930FAB"/>
    <w:rsid w:val="0093178E"/>
    <w:rsid w:val="009317BE"/>
    <w:rsid w:val="00931C28"/>
    <w:rsid w:val="00931C7B"/>
    <w:rsid w:val="00932C49"/>
    <w:rsid w:val="009331B9"/>
    <w:rsid w:val="0093363A"/>
    <w:rsid w:val="00933A5D"/>
    <w:rsid w:val="009345C5"/>
    <w:rsid w:val="00934B59"/>
    <w:rsid w:val="00934FCE"/>
    <w:rsid w:val="0093561F"/>
    <w:rsid w:val="00935DF6"/>
    <w:rsid w:val="0093601F"/>
    <w:rsid w:val="00936761"/>
    <w:rsid w:val="009369EA"/>
    <w:rsid w:val="0094155C"/>
    <w:rsid w:val="0094220C"/>
    <w:rsid w:val="00942B0D"/>
    <w:rsid w:val="00942F4F"/>
    <w:rsid w:val="00943201"/>
    <w:rsid w:val="0094345F"/>
    <w:rsid w:val="00943872"/>
    <w:rsid w:val="00943C8B"/>
    <w:rsid w:val="00945898"/>
    <w:rsid w:val="00945C08"/>
    <w:rsid w:val="00945C29"/>
    <w:rsid w:val="00945DDF"/>
    <w:rsid w:val="00946441"/>
    <w:rsid w:val="0095091B"/>
    <w:rsid w:val="00950B1F"/>
    <w:rsid w:val="00951A97"/>
    <w:rsid w:val="00951D9A"/>
    <w:rsid w:val="0095269D"/>
    <w:rsid w:val="009526DA"/>
    <w:rsid w:val="009529E0"/>
    <w:rsid w:val="009546A2"/>
    <w:rsid w:val="00954C29"/>
    <w:rsid w:val="009553BA"/>
    <w:rsid w:val="009566EC"/>
    <w:rsid w:val="00957B9D"/>
    <w:rsid w:val="00957EF8"/>
    <w:rsid w:val="0096005A"/>
    <w:rsid w:val="009604DD"/>
    <w:rsid w:val="00960DBA"/>
    <w:rsid w:val="00961412"/>
    <w:rsid w:val="0096293A"/>
    <w:rsid w:val="009645A7"/>
    <w:rsid w:val="009656E0"/>
    <w:rsid w:val="0096699B"/>
    <w:rsid w:val="00967372"/>
    <w:rsid w:val="00971FC6"/>
    <w:rsid w:val="009734AB"/>
    <w:rsid w:val="00975416"/>
    <w:rsid w:val="00975CF4"/>
    <w:rsid w:val="009768AE"/>
    <w:rsid w:val="00980222"/>
    <w:rsid w:val="009802AB"/>
    <w:rsid w:val="009804F5"/>
    <w:rsid w:val="009808DD"/>
    <w:rsid w:val="00980FE2"/>
    <w:rsid w:val="00981A3C"/>
    <w:rsid w:val="0098343D"/>
    <w:rsid w:val="00983A83"/>
    <w:rsid w:val="00984331"/>
    <w:rsid w:val="0098629D"/>
    <w:rsid w:val="00986BDE"/>
    <w:rsid w:val="009900E1"/>
    <w:rsid w:val="00990CC3"/>
    <w:rsid w:val="00991A5D"/>
    <w:rsid w:val="00991C53"/>
    <w:rsid w:val="00992E9B"/>
    <w:rsid w:val="00993343"/>
    <w:rsid w:val="0099362B"/>
    <w:rsid w:val="009937D4"/>
    <w:rsid w:val="009942AC"/>
    <w:rsid w:val="009943B6"/>
    <w:rsid w:val="00994F96"/>
    <w:rsid w:val="0099597F"/>
    <w:rsid w:val="00995BF7"/>
    <w:rsid w:val="00996664"/>
    <w:rsid w:val="00997029"/>
    <w:rsid w:val="00997CF7"/>
    <w:rsid w:val="009A0357"/>
    <w:rsid w:val="009A03D0"/>
    <w:rsid w:val="009A18B4"/>
    <w:rsid w:val="009A2308"/>
    <w:rsid w:val="009A2458"/>
    <w:rsid w:val="009A27D3"/>
    <w:rsid w:val="009A2B1F"/>
    <w:rsid w:val="009A46B8"/>
    <w:rsid w:val="009A5172"/>
    <w:rsid w:val="009A553C"/>
    <w:rsid w:val="009A7DCC"/>
    <w:rsid w:val="009B020B"/>
    <w:rsid w:val="009B2CFA"/>
    <w:rsid w:val="009B3763"/>
    <w:rsid w:val="009B4545"/>
    <w:rsid w:val="009B4A28"/>
    <w:rsid w:val="009B5E0F"/>
    <w:rsid w:val="009B7470"/>
    <w:rsid w:val="009C0748"/>
    <w:rsid w:val="009C3273"/>
    <w:rsid w:val="009C34CD"/>
    <w:rsid w:val="009C37E9"/>
    <w:rsid w:val="009C3A40"/>
    <w:rsid w:val="009C4905"/>
    <w:rsid w:val="009C5DA3"/>
    <w:rsid w:val="009C6806"/>
    <w:rsid w:val="009C6843"/>
    <w:rsid w:val="009C6BF5"/>
    <w:rsid w:val="009C76A8"/>
    <w:rsid w:val="009D12C1"/>
    <w:rsid w:val="009D22AE"/>
    <w:rsid w:val="009D2982"/>
    <w:rsid w:val="009D30C1"/>
    <w:rsid w:val="009D382A"/>
    <w:rsid w:val="009D3907"/>
    <w:rsid w:val="009D3EE8"/>
    <w:rsid w:val="009D44CF"/>
    <w:rsid w:val="009D46F2"/>
    <w:rsid w:val="009D4775"/>
    <w:rsid w:val="009D4BB9"/>
    <w:rsid w:val="009D6CFD"/>
    <w:rsid w:val="009D7163"/>
    <w:rsid w:val="009D74DF"/>
    <w:rsid w:val="009D7662"/>
    <w:rsid w:val="009D7C23"/>
    <w:rsid w:val="009E05DC"/>
    <w:rsid w:val="009E15C5"/>
    <w:rsid w:val="009E2B69"/>
    <w:rsid w:val="009E332B"/>
    <w:rsid w:val="009E5677"/>
    <w:rsid w:val="009E5DBD"/>
    <w:rsid w:val="009E61B8"/>
    <w:rsid w:val="009E766A"/>
    <w:rsid w:val="009F143A"/>
    <w:rsid w:val="009F1931"/>
    <w:rsid w:val="009F2958"/>
    <w:rsid w:val="009F381D"/>
    <w:rsid w:val="009F3E09"/>
    <w:rsid w:val="009F3EE8"/>
    <w:rsid w:val="009F4D67"/>
    <w:rsid w:val="009F67DD"/>
    <w:rsid w:val="009F6C8A"/>
    <w:rsid w:val="00A00458"/>
    <w:rsid w:val="00A004F0"/>
    <w:rsid w:val="00A009D5"/>
    <w:rsid w:val="00A00BEE"/>
    <w:rsid w:val="00A01E13"/>
    <w:rsid w:val="00A02427"/>
    <w:rsid w:val="00A03170"/>
    <w:rsid w:val="00A03840"/>
    <w:rsid w:val="00A04475"/>
    <w:rsid w:val="00A044CF"/>
    <w:rsid w:val="00A050BF"/>
    <w:rsid w:val="00A05A85"/>
    <w:rsid w:val="00A05E3C"/>
    <w:rsid w:val="00A06CEF"/>
    <w:rsid w:val="00A073D9"/>
    <w:rsid w:val="00A10E47"/>
    <w:rsid w:val="00A11F5D"/>
    <w:rsid w:val="00A127F7"/>
    <w:rsid w:val="00A12B77"/>
    <w:rsid w:val="00A1338C"/>
    <w:rsid w:val="00A13AC8"/>
    <w:rsid w:val="00A14C76"/>
    <w:rsid w:val="00A14DD4"/>
    <w:rsid w:val="00A169DD"/>
    <w:rsid w:val="00A16B11"/>
    <w:rsid w:val="00A175D1"/>
    <w:rsid w:val="00A21BFD"/>
    <w:rsid w:val="00A22D2A"/>
    <w:rsid w:val="00A2380D"/>
    <w:rsid w:val="00A245D4"/>
    <w:rsid w:val="00A24DA3"/>
    <w:rsid w:val="00A254FB"/>
    <w:rsid w:val="00A25FA4"/>
    <w:rsid w:val="00A26245"/>
    <w:rsid w:val="00A267BA"/>
    <w:rsid w:val="00A268AC"/>
    <w:rsid w:val="00A275DE"/>
    <w:rsid w:val="00A27919"/>
    <w:rsid w:val="00A31BEB"/>
    <w:rsid w:val="00A32DD8"/>
    <w:rsid w:val="00A334B5"/>
    <w:rsid w:val="00A3436F"/>
    <w:rsid w:val="00A344FF"/>
    <w:rsid w:val="00A3464D"/>
    <w:rsid w:val="00A3479E"/>
    <w:rsid w:val="00A36880"/>
    <w:rsid w:val="00A37947"/>
    <w:rsid w:val="00A37D23"/>
    <w:rsid w:val="00A40D69"/>
    <w:rsid w:val="00A43418"/>
    <w:rsid w:val="00A4389A"/>
    <w:rsid w:val="00A44619"/>
    <w:rsid w:val="00A44A0C"/>
    <w:rsid w:val="00A47752"/>
    <w:rsid w:val="00A52AFA"/>
    <w:rsid w:val="00A52FB0"/>
    <w:rsid w:val="00A53B05"/>
    <w:rsid w:val="00A54CC2"/>
    <w:rsid w:val="00A554A0"/>
    <w:rsid w:val="00A55C7F"/>
    <w:rsid w:val="00A610AD"/>
    <w:rsid w:val="00A6139E"/>
    <w:rsid w:val="00A61BF9"/>
    <w:rsid w:val="00A62344"/>
    <w:rsid w:val="00A63B0C"/>
    <w:rsid w:val="00A64105"/>
    <w:rsid w:val="00A6441F"/>
    <w:rsid w:val="00A65518"/>
    <w:rsid w:val="00A65DA0"/>
    <w:rsid w:val="00A6612D"/>
    <w:rsid w:val="00A66B11"/>
    <w:rsid w:val="00A66B68"/>
    <w:rsid w:val="00A66E69"/>
    <w:rsid w:val="00A678B5"/>
    <w:rsid w:val="00A678E8"/>
    <w:rsid w:val="00A679C2"/>
    <w:rsid w:val="00A67AD3"/>
    <w:rsid w:val="00A71617"/>
    <w:rsid w:val="00A72983"/>
    <w:rsid w:val="00A73595"/>
    <w:rsid w:val="00A74225"/>
    <w:rsid w:val="00A75C12"/>
    <w:rsid w:val="00A76364"/>
    <w:rsid w:val="00A766E4"/>
    <w:rsid w:val="00A80400"/>
    <w:rsid w:val="00A819BF"/>
    <w:rsid w:val="00A82A9D"/>
    <w:rsid w:val="00A82FF1"/>
    <w:rsid w:val="00A83BD3"/>
    <w:rsid w:val="00A84D49"/>
    <w:rsid w:val="00A85845"/>
    <w:rsid w:val="00A87063"/>
    <w:rsid w:val="00A8746D"/>
    <w:rsid w:val="00A903B8"/>
    <w:rsid w:val="00A90E56"/>
    <w:rsid w:val="00A930C2"/>
    <w:rsid w:val="00A93376"/>
    <w:rsid w:val="00A93C6F"/>
    <w:rsid w:val="00A93D22"/>
    <w:rsid w:val="00A94161"/>
    <w:rsid w:val="00A948EA"/>
    <w:rsid w:val="00A9519D"/>
    <w:rsid w:val="00A956E5"/>
    <w:rsid w:val="00A9609A"/>
    <w:rsid w:val="00A96D33"/>
    <w:rsid w:val="00AA01CA"/>
    <w:rsid w:val="00AA0344"/>
    <w:rsid w:val="00AA10D2"/>
    <w:rsid w:val="00AA1474"/>
    <w:rsid w:val="00AA2D70"/>
    <w:rsid w:val="00AA2FAE"/>
    <w:rsid w:val="00AA3ABB"/>
    <w:rsid w:val="00AA4CF2"/>
    <w:rsid w:val="00AA51E3"/>
    <w:rsid w:val="00AA5439"/>
    <w:rsid w:val="00AA626D"/>
    <w:rsid w:val="00AA62FA"/>
    <w:rsid w:val="00AA699C"/>
    <w:rsid w:val="00AA71F1"/>
    <w:rsid w:val="00AA78AF"/>
    <w:rsid w:val="00AA7FE9"/>
    <w:rsid w:val="00AB05D3"/>
    <w:rsid w:val="00AB0F55"/>
    <w:rsid w:val="00AB1720"/>
    <w:rsid w:val="00AB17BD"/>
    <w:rsid w:val="00AB2EDC"/>
    <w:rsid w:val="00AB4C83"/>
    <w:rsid w:val="00AB5E51"/>
    <w:rsid w:val="00AB63E5"/>
    <w:rsid w:val="00AB670A"/>
    <w:rsid w:val="00AB75F1"/>
    <w:rsid w:val="00AB7B83"/>
    <w:rsid w:val="00AC0048"/>
    <w:rsid w:val="00AC0260"/>
    <w:rsid w:val="00AC0393"/>
    <w:rsid w:val="00AC03AF"/>
    <w:rsid w:val="00AC17F8"/>
    <w:rsid w:val="00AC26DC"/>
    <w:rsid w:val="00AC2C97"/>
    <w:rsid w:val="00AC2FED"/>
    <w:rsid w:val="00AC424A"/>
    <w:rsid w:val="00AC4DAC"/>
    <w:rsid w:val="00AC51DA"/>
    <w:rsid w:val="00AC574F"/>
    <w:rsid w:val="00AC59E6"/>
    <w:rsid w:val="00AC646B"/>
    <w:rsid w:val="00AD0CAB"/>
    <w:rsid w:val="00AD0FD9"/>
    <w:rsid w:val="00AD1FC2"/>
    <w:rsid w:val="00AD2F9F"/>
    <w:rsid w:val="00AD44A1"/>
    <w:rsid w:val="00AD45DE"/>
    <w:rsid w:val="00AD6376"/>
    <w:rsid w:val="00AD66B0"/>
    <w:rsid w:val="00AD68DA"/>
    <w:rsid w:val="00AD782E"/>
    <w:rsid w:val="00AE1821"/>
    <w:rsid w:val="00AE31CE"/>
    <w:rsid w:val="00AE3736"/>
    <w:rsid w:val="00AE39EF"/>
    <w:rsid w:val="00AE450F"/>
    <w:rsid w:val="00AE6FFE"/>
    <w:rsid w:val="00AF0507"/>
    <w:rsid w:val="00AF0D31"/>
    <w:rsid w:val="00AF0EC5"/>
    <w:rsid w:val="00AF2E28"/>
    <w:rsid w:val="00AF3A1C"/>
    <w:rsid w:val="00AF506D"/>
    <w:rsid w:val="00AF66CE"/>
    <w:rsid w:val="00AF690D"/>
    <w:rsid w:val="00B00660"/>
    <w:rsid w:val="00B00CCB"/>
    <w:rsid w:val="00B00EDB"/>
    <w:rsid w:val="00B02BBB"/>
    <w:rsid w:val="00B02CC1"/>
    <w:rsid w:val="00B051A6"/>
    <w:rsid w:val="00B070DD"/>
    <w:rsid w:val="00B111E6"/>
    <w:rsid w:val="00B1384D"/>
    <w:rsid w:val="00B140ED"/>
    <w:rsid w:val="00B14FF5"/>
    <w:rsid w:val="00B154D6"/>
    <w:rsid w:val="00B17756"/>
    <w:rsid w:val="00B2054C"/>
    <w:rsid w:val="00B22DA6"/>
    <w:rsid w:val="00B239F8"/>
    <w:rsid w:val="00B23E44"/>
    <w:rsid w:val="00B26C0C"/>
    <w:rsid w:val="00B26DF3"/>
    <w:rsid w:val="00B26E40"/>
    <w:rsid w:val="00B26F4B"/>
    <w:rsid w:val="00B274E4"/>
    <w:rsid w:val="00B27E71"/>
    <w:rsid w:val="00B30286"/>
    <w:rsid w:val="00B31B15"/>
    <w:rsid w:val="00B328BD"/>
    <w:rsid w:val="00B3392E"/>
    <w:rsid w:val="00B33E06"/>
    <w:rsid w:val="00B34FC5"/>
    <w:rsid w:val="00B35B24"/>
    <w:rsid w:val="00B35E5A"/>
    <w:rsid w:val="00B362A1"/>
    <w:rsid w:val="00B367AE"/>
    <w:rsid w:val="00B36E03"/>
    <w:rsid w:val="00B372B1"/>
    <w:rsid w:val="00B378CD"/>
    <w:rsid w:val="00B44BF6"/>
    <w:rsid w:val="00B46645"/>
    <w:rsid w:val="00B47216"/>
    <w:rsid w:val="00B50833"/>
    <w:rsid w:val="00B50910"/>
    <w:rsid w:val="00B51FA7"/>
    <w:rsid w:val="00B52254"/>
    <w:rsid w:val="00B5318E"/>
    <w:rsid w:val="00B5326C"/>
    <w:rsid w:val="00B53660"/>
    <w:rsid w:val="00B53B86"/>
    <w:rsid w:val="00B53C15"/>
    <w:rsid w:val="00B5442A"/>
    <w:rsid w:val="00B567A5"/>
    <w:rsid w:val="00B609A6"/>
    <w:rsid w:val="00B61C9F"/>
    <w:rsid w:val="00B61FD5"/>
    <w:rsid w:val="00B62ED2"/>
    <w:rsid w:val="00B63369"/>
    <w:rsid w:val="00B6373E"/>
    <w:rsid w:val="00B64B88"/>
    <w:rsid w:val="00B64BD4"/>
    <w:rsid w:val="00B67562"/>
    <w:rsid w:val="00B70F88"/>
    <w:rsid w:val="00B7104F"/>
    <w:rsid w:val="00B72336"/>
    <w:rsid w:val="00B72CA9"/>
    <w:rsid w:val="00B742E3"/>
    <w:rsid w:val="00B74517"/>
    <w:rsid w:val="00B74779"/>
    <w:rsid w:val="00B75873"/>
    <w:rsid w:val="00B7619A"/>
    <w:rsid w:val="00B76600"/>
    <w:rsid w:val="00B76608"/>
    <w:rsid w:val="00B77927"/>
    <w:rsid w:val="00B77D54"/>
    <w:rsid w:val="00B80E76"/>
    <w:rsid w:val="00B815BA"/>
    <w:rsid w:val="00B81C32"/>
    <w:rsid w:val="00B81D42"/>
    <w:rsid w:val="00B84C9C"/>
    <w:rsid w:val="00B86814"/>
    <w:rsid w:val="00B8682B"/>
    <w:rsid w:val="00B86BEC"/>
    <w:rsid w:val="00B87350"/>
    <w:rsid w:val="00B90094"/>
    <w:rsid w:val="00B9094D"/>
    <w:rsid w:val="00B91AED"/>
    <w:rsid w:val="00B924F7"/>
    <w:rsid w:val="00B93E08"/>
    <w:rsid w:val="00B94EC1"/>
    <w:rsid w:val="00B965A6"/>
    <w:rsid w:val="00B96636"/>
    <w:rsid w:val="00B96A23"/>
    <w:rsid w:val="00BA028B"/>
    <w:rsid w:val="00BA02D3"/>
    <w:rsid w:val="00BA043B"/>
    <w:rsid w:val="00BA14BA"/>
    <w:rsid w:val="00BA17D8"/>
    <w:rsid w:val="00BA2730"/>
    <w:rsid w:val="00BA2B08"/>
    <w:rsid w:val="00BA3D2B"/>
    <w:rsid w:val="00BA4116"/>
    <w:rsid w:val="00BA469A"/>
    <w:rsid w:val="00BA47AD"/>
    <w:rsid w:val="00BA480D"/>
    <w:rsid w:val="00BA491D"/>
    <w:rsid w:val="00BA4A86"/>
    <w:rsid w:val="00BA5AF6"/>
    <w:rsid w:val="00BA5C26"/>
    <w:rsid w:val="00BA5D50"/>
    <w:rsid w:val="00BA6280"/>
    <w:rsid w:val="00BA7246"/>
    <w:rsid w:val="00BB06D1"/>
    <w:rsid w:val="00BB16F3"/>
    <w:rsid w:val="00BB1BF9"/>
    <w:rsid w:val="00BB207D"/>
    <w:rsid w:val="00BB21C5"/>
    <w:rsid w:val="00BB3020"/>
    <w:rsid w:val="00BB3062"/>
    <w:rsid w:val="00BB3D08"/>
    <w:rsid w:val="00BB52EC"/>
    <w:rsid w:val="00BB6321"/>
    <w:rsid w:val="00BB67E0"/>
    <w:rsid w:val="00BB6BB5"/>
    <w:rsid w:val="00BB6E7A"/>
    <w:rsid w:val="00BB7361"/>
    <w:rsid w:val="00BB782A"/>
    <w:rsid w:val="00BB7A24"/>
    <w:rsid w:val="00BB7E3D"/>
    <w:rsid w:val="00BC0126"/>
    <w:rsid w:val="00BC032F"/>
    <w:rsid w:val="00BC1425"/>
    <w:rsid w:val="00BC14CB"/>
    <w:rsid w:val="00BC1B29"/>
    <w:rsid w:val="00BC1D68"/>
    <w:rsid w:val="00BC4E72"/>
    <w:rsid w:val="00BC719D"/>
    <w:rsid w:val="00BC72B1"/>
    <w:rsid w:val="00BC7718"/>
    <w:rsid w:val="00BD15BA"/>
    <w:rsid w:val="00BD1B08"/>
    <w:rsid w:val="00BD1CD3"/>
    <w:rsid w:val="00BD1ECF"/>
    <w:rsid w:val="00BD2C07"/>
    <w:rsid w:val="00BD403E"/>
    <w:rsid w:val="00BD49C4"/>
    <w:rsid w:val="00BD7897"/>
    <w:rsid w:val="00BD7DC6"/>
    <w:rsid w:val="00BE0A39"/>
    <w:rsid w:val="00BE13B5"/>
    <w:rsid w:val="00BE1D06"/>
    <w:rsid w:val="00BE2420"/>
    <w:rsid w:val="00BE2599"/>
    <w:rsid w:val="00BE2A22"/>
    <w:rsid w:val="00BE3526"/>
    <w:rsid w:val="00BE3794"/>
    <w:rsid w:val="00BE4B9F"/>
    <w:rsid w:val="00BE53D1"/>
    <w:rsid w:val="00BE5D74"/>
    <w:rsid w:val="00BE6043"/>
    <w:rsid w:val="00BE60B3"/>
    <w:rsid w:val="00BE6BBB"/>
    <w:rsid w:val="00BE712B"/>
    <w:rsid w:val="00BF14BA"/>
    <w:rsid w:val="00BF1806"/>
    <w:rsid w:val="00BF1E57"/>
    <w:rsid w:val="00BF24B0"/>
    <w:rsid w:val="00BF28D5"/>
    <w:rsid w:val="00BF2AB1"/>
    <w:rsid w:val="00BF30D8"/>
    <w:rsid w:val="00BF3FAC"/>
    <w:rsid w:val="00BF4657"/>
    <w:rsid w:val="00BF5E88"/>
    <w:rsid w:val="00BF5FE3"/>
    <w:rsid w:val="00BF6B06"/>
    <w:rsid w:val="00C01145"/>
    <w:rsid w:val="00C0177B"/>
    <w:rsid w:val="00C039EC"/>
    <w:rsid w:val="00C04E4F"/>
    <w:rsid w:val="00C05A07"/>
    <w:rsid w:val="00C05D77"/>
    <w:rsid w:val="00C06054"/>
    <w:rsid w:val="00C060D7"/>
    <w:rsid w:val="00C0642E"/>
    <w:rsid w:val="00C065A1"/>
    <w:rsid w:val="00C077F0"/>
    <w:rsid w:val="00C078E1"/>
    <w:rsid w:val="00C1037F"/>
    <w:rsid w:val="00C10644"/>
    <w:rsid w:val="00C119A8"/>
    <w:rsid w:val="00C1286E"/>
    <w:rsid w:val="00C12B34"/>
    <w:rsid w:val="00C16213"/>
    <w:rsid w:val="00C16399"/>
    <w:rsid w:val="00C17931"/>
    <w:rsid w:val="00C17F06"/>
    <w:rsid w:val="00C17F5E"/>
    <w:rsid w:val="00C20CCB"/>
    <w:rsid w:val="00C20CCD"/>
    <w:rsid w:val="00C21110"/>
    <w:rsid w:val="00C219EA"/>
    <w:rsid w:val="00C21BCE"/>
    <w:rsid w:val="00C220F3"/>
    <w:rsid w:val="00C22A0D"/>
    <w:rsid w:val="00C231BF"/>
    <w:rsid w:val="00C2334F"/>
    <w:rsid w:val="00C25D46"/>
    <w:rsid w:val="00C26913"/>
    <w:rsid w:val="00C31D4D"/>
    <w:rsid w:val="00C3286A"/>
    <w:rsid w:val="00C33129"/>
    <w:rsid w:val="00C33728"/>
    <w:rsid w:val="00C3514B"/>
    <w:rsid w:val="00C351BC"/>
    <w:rsid w:val="00C363B5"/>
    <w:rsid w:val="00C378FA"/>
    <w:rsid w:val="00C4040D"/>
    <w:rsid w:val="00C41236"/>
    <w:rsid w:val="00C412E7"/>
    <w:rsid w:val="00C418C7"/>
    <w:rsid w:val="00C41F37"/>
    <w:rsid w:val="00C42137"/>
    <w:rsid w:val="00C4293F"/>
    <w:rsid w:val="00C42C22"/>
    <w:rsid w:val="00C42D6E"/>
    <w:rsid w:val="00C43C9B"/>
    <w:rsid w:val="00C44195"/>
    <w:rsid w:val="00C45194"/>
    <w:rsid w:val="00C457F5"/>
    <w:rsid w:val="00C458F2"/>
    <w:rsid w:val="00C461BE"/>
    <w:rsid w:val="00C464C3"/>
    <w:rsid w:val="00C46B3C"/>
    <w:rsid w:val="00C46EEB"/>
    <w:rsid w:val="00C471CE"/>
    <w:rsid w:val="00C525F5"/>
    <w:rsid w:val="00C526B2"/>
    <w:rsid w:val="00C52724"/>
    <w:rsid w:val="00C53E4D"/>
    <w:rsid w:val="00C55754"/>
    <w:rsid w:val="00C5714C"/>
    <w:rsid w:val="00C601D0"/>
    <w:rsid w:val="00C628CD"/>
    <w:rsid w:val="00C63E37"/>
    <w:rsid w:val="00C64607"/>
    <w:rsid w:val="00C64CC1"/>
    <w:rsid w:val="00C65747"/>
    <w:rsid w:val="00C70D04"/>
    <w:rsid w:val="00C719F7"/>
    <w:rsid w:val="00C71B43"/>
    <w:rsid w:val="00C720D1"/>
    <w:rsid w:val="00C72D4B"/>
    <w:rsid w:val="00C72F44"/>
    <w:rsid w:val="00C7335D"/>
    <w:rsid w:val="00C74AAD"/>
    <w:rsid w:val="00C74E1F"/>
    <w:rsid w:val="00C75ABC"/>
    <w:rsid w:val="00C76619"/>
    <w:rsid w:val="00C8096A"/>
    <w:rsid w:val="00C809B4"/>
    <w:rsid w:val="00C8160A"/>
    <w:rsid w:val="00C81CBC"/>
    <w:rsid w:val="00C826DC"/>
    <w:rsid w:val="00C83C45"/>
    <w:rsid w:val="00C84BF2"/>
    <w:rsid w:val="00C853AF"/>
    <w:rsid w:val="00C90305"/>
    <w:rsid w:val="00C90E01"/>
    <w:rsid w:val="00C91945"/>
    <w:rsid w:val="00C91E84"/>
    <w:rsid w:val="00C93398"/>
    <w:rsid w:val="00C935E9"/>
    <w:rsid w:val="00C9389A"/>
    <w:rsid w:val="00C9427A"/>
    <w:rsid w:val="00C94412"/>
    <w:rsid w:val="00C94953"/>
    <w:rsid w:val="00C94AB7"/>
    <w:rsid w:val="00C94DF5"/>
    <w:rsid w:val="00C953FF"/>
    <w:rsid w:val="00C959E8"/>
    <w:rsid w:val="00C95B06"/>
    <w:rsid w:val="00C95CB6"/>
    <w:rsid w:val="00C96284"/>
    <w:rsid w:val="00C967F9"/>
    <w:rsid w:val="00C96C20"/>
    <w:rsid w:val="00CA0243"/>
    <w:rsid w:val="00CA1891"/>
    <w:rsid w:val="00CA1A3D"/>
    <w:rsid w:val="00CA24EF"/>
    <w:rsid w:val="00CA3FB8"/>
    <w:rsid w:val="00CA4583"/>
    <w:rsid w:val="00CA4D13"/>
    <w:rsid w:val="00CA50F6"/>
    <w:rsid w:val="00CA6921"/>
    <w:rsid w:val="00CA777B"/>
    <w:rsid w:val="00CB0151"/>
    <w:rsid w:val="00CB018B"/>
    <w:rsid w:val="00CB0720"/>
    <w:rsid w:val="00CB0A3D"/>
    <w:rsid w:val="00CB369F"/>
    <w:rsid w:val="00CB3AA5"/>
    <w:rsid w:val="00CB3F5F"/>
    <w:rsid w:val="00CB45C4"/>
    <w:rsid w:val="00CB56F9"/>
    <w:rsid w:val="00CB6E77"/>
    <w:rsid w:val="00CC008A"/>
    <w:rsid w:val="00CC01BD"/>
    <w:rsid w:val="00CC02DD"/>
    <w:rsid w:val="00CC0526"/>
    <w:rsid w:val="00CC078D"/>
    <w:rsid w:val="00CC0DE2"/>
    <w:rsid w:val="00CC17FD"/>
    <w:rsid w:val="00CC18F9"/>
    <w:rsid w:val="00CC1D6B"/>
    <w:rsid w:val="00CC21DD"/>
    <w:rsid w:val="00CC6004"/>
    <w:rsid w:val="00CC64A6"/>
    <w:rsid w:val="00CD0B9F"/>
    <w:rsid w:val="00CD0DF1"/>
    <w:rsid w:val="00CD21EA"/>
    <w:rsid w:val="00CD2DED"/>
    <w:rsid w:val="00CD394B"/>
    <w:rsid w:val="00CD39D7"/>
    <w:rsid w:val="00CD4059"/>
    <w:rsid w:val="00CD4103"/>
    <w:rsid w:val="00CD449B"/>
    <w:rsid w:val="00CD683D"/>
    <w:rsid w:val="00CD68D5"/>
    <w:rsid w:val="00CD74FF"/>
    <w:rsid w:val="00CD7BCB"/>
    <w:rsid w:val="00CE104B"/>
    <w:rsid w:val="00CE2433"/>
    <w:rsid w:val="00CE3633"/>
    <w:rsid w:val="00CE49E7"/>
    <w:rsid w:val="00CE51FD"/>
    <w:rsid w:val="00CE7026"/>
    <w:rsid w:val="00CE7409"/>
    <w:rsid w:val="00CF0DD7"/>
    <w:rsid w:val="00CF15E1"/>
    <w:rsid w:val="00CF3D12"/>
    <w:rsid w:val="00CF426C"/>
    <w:rsid w:val="00CF4AFB"/>
    <w:rsid w:val="00CF5273"/>
    <w:rsid w:val="00CF5924"/>
    <w:rsid w:val="00CF5C81"/>
    <w:rsid w:val="00CF616E"/>
    <w:rsid w:val="00CF6AAC"/>
    <w:rsid w:val="00CF77A2"/>
    <w:rsid w:val="00CF7991"/>
    <w:rsid w:val="00D016DC"/>
    <w:rsid w:val="00D01C07"/>
    <w:rsid w:val="00D01FBB"/>
    <w:rsid w:val="00D027A9"/>
    <w:rsid w:val="00D037A5"/>
    <w:rsid w:val="00D03B7B"/>
    <w:rsid w:val="00D040D0"/>
    <w:rsid w:val="00D0452F"/>
    <w:rsid w:val="00D05AED"/>
    <w:rsid w:val="00D064E4"/>
    <w:rsid w:val="00D06696"/>
    <w:rsid w:val="00D073A5"/>
    <w:rsid w:val="00D07552"/>
    <w:rsid w:val="00D11205"/>
    <w:rsid w:val="00D11EA8"/>
    <w:rsid w:val="00D11FDC"/>
    <w:rsid w:val="00D1288D"/>
    <w:rsid w:val="00D12D36"/>
    <w:rsid w:val="00D13BF9"/>
    <w:rsid w:val="00D1656D"/>
    <w:rsid w:val="00D1685E"/>
    <w:rsid w:val="00D206C4"/>
    <w:rsid w:val="00D2087B"/>
    <w:rsid w:val="00D210D8"/>
    <w:rsid w:val="00D22D7E"/>
    <w:rsid w:val="00D25189"/>
    <w:rsid w:val="00D2620D"/>
    <w:rsid w:val="00D27078"/>
    <w:rsid w:val="00D270F4"/>
    <w:rsid w:val="00D27731"/>
    <w:rsid w:val="00D30952"/>
    <w:rsid w:val="00D33AB3"/>
    <w:rsid w:val="00D33D2C"/>
    <w:rsid w:val="00D35001"/>
    <w:rsid w:val="00D3560D"/>
    <w:rsid w:val="00D3590A"/>
    <w:rsid w:val="00D36D2B"/>
    <w:rsid w:val="00D37A2E"/>
    <w:rsid w:val="00D407DC"/>
    <w:rsid w:val="00D40A47"/>
    <w:rsid w:val="00D4120E"/>
    <w:rsid w:val="00D412E2"/>
    <w:rsid w:val="00D41B0D"/>
    <w:rsid w:val="00D42939"/>
    <w:rsid w:val="00D4352E"/>
    <w:rsid w:val="00D4442A"/>
    <w:rsid w:val="00D44724"/>
    <w:rsid w:val="00D447A2"/>
    <w:rsid w:val="00D44A8D"/>
    <w:rsid w:val="00D45DA3"/>
    <w:rsid w:val="00D46945"/>
    <w:rsid w:val="00D47C6E"/>
    <w:rsid w:val="00D513C9"/>
    <w:rsid w:val="00D522A1"/>
    <w:rsid w:val="00D52E2D"/>
    <w:rsid w:val="00D545E7"/>
    <w:rsid w:val="00D54978"/>
    <w:rsid w:val="00D5518D"/>
    <w:rsid w:val="00D5569F"/>
    <w:rsid w:val="00D556DF"/>
    <w:rsid w:val="00D56AB4"/>
    <w:rsid w:val="00D56D41"/>
    <w:rsid w:val="00D575EC"/>
    <w:rsid w:val="00D57BA5"/>
    <w:rsid w:val="00D60A4E"/>
    <w:rsid w:val="00D61032"/>
    <w:rsid w:val="00D61F90"/>
    <w:rsid w:val="00D62489"/>
    <w:rsid w:val="00D645A6"/>
    <w:rsid w:val="00D64664"/>
    <w:rsid w:val="00D64EC4"/>
    <w:rsid w:val="00D6689C"/>
    <w:rsid w:val="00D6791C"/>
    <w:rsid w:val="00D703BE"/>
    <w:rsid w:val="00D70FFA"/>
    <w:rsid w:val="00D7304B"/>
    <w:rsid w:val="00D73EFB"/>
    <w:rsid w:val="00D75703"/>
    <w:rsid w:val="00D76D0D"/>
    <w:rsid w:val="00D77000"/>
    <w:rsid w:val="00D778AF"/>
    <w:rsid w:val="00D77CB4"/>
    <w:rsid w:val="00D80F82"/>
    <w:rsid w:val="00D81453"/>
    <w:rsid w:val="00D81A31"/>
    <w:rsid w:val="00D82B0F"/>
    <w:rsid w:val="00D83713"/>
    <w:rsid w:val="00D85469"/>
    <w:rsid w:val="00D864FB"/>
    <w:rsid w:val="00D86513"/>
    <w:rsid w:val="00D865EC"/>
    <w:rsid w:val="00D8712C"/>
    <w:rsid w:val="00D87469"/>
    <w:rsid w:val="00D87BC0"/>
    <w:rsid w:val="00D9103E"/>
    <w:rsid w:val="00D91079"/>
    <w:rsid w:val="00D910E2"/>
    <w:rsid w:val="00D91853"/>
    <w:rsid w:val="00D9191B"/>
    <w:rsid w:val="00D922B6"/>
    <w:rsid w:val="00D926BD"/>
    <w:rsid w:val="00D92B5E"/>
    <w:rsid w:val="00D9378A"/>
    <w:rsid w:val="00D93796"/>
    <w:rsid w:val="00D9497C"/>
    <w:rsid w:val="00D961C8"/>
    <w:rsid w:val="00D966C1"/>
    <w:rsid w:val="00D97AF9"/>
    <w:rsid w:val="00D97B83"/>
    <w:rsid w:val="00DA09FD"/>
    <w:rsid w:val="00DA0E9F"/>
    <w:rsid w:val="00DA1234"/>
    <w:rsid w:val="00DA16D5"/>
    <w:rsid w:val="00DA1DFB"/>
    <w:rsid w:val="00DA20D1"/>
    <w:rsid w:val="00DA409D"/>
    <w:rsid w:val="00DA42A3"/>
    <w:rsid w:val="00DA4B95"/>
    <w:rsid w:val="00DA50E1"/>
    <w:rsid w:val="00DA58C6"/>
    <w:rsid w:val="00DA6359"/>
    <w:rsid w:val="00DA65D3"/>
    <w:rsid w:val="00DA6712"/>
    <w:rsid w:val="00DA6888"/>
    <w:rsid w:val="00DB0167"/>
    <w:rsid w:val="00DB0EF3"/>
    <w:rsid w:val="00DB247D"/>
    <w:rsid w:val="00DB2D9E"/>
    <w:rsid w:val="00DB2EA2"/>
    <w:rsid w:val="00DB3D2F"/>
    <w:rsid w:val="00DB4222"/>
    <w:rsid w:val="00DB513A"/>
    <w:rsid w:val="00DB6423"/>
    <w:rsid w:val="00DB6C00"/>
    <w:rsid w:val="00DB7A6A"/>
    <w:rsid w:val="00DC1390"/>
    <w:rsid w:val="00DC1884"/>
    <w:rsid w:val="00DC2C70"/>
    <w:rsid w:val="00DC6ABE"/>
    <w:rsid w:val="00DC73EB"/>
    <w:rsid w:val="00DC7827"/>
    <w:rsid w:val="00DD146B"/>
    <w:rsid w:val="00DD20A6"/>
    <w:rsid w:val="00DD315B"/>
    <w:rsid w:val="00DD4B68"/>
    <w:rsid w:val="00DD4CE9"/>
    <w:rsid w:val="00DD526C"/>
    <w:rsid w:val="00DD5BEC"/>
    <w:rsid w:val="00DD5D67"/>
    <w:rsid w:val="00DD6804"/>
    <w:rsid w:val="00DD776C"/>
    <w:rsid w:val="00DE0ED6"/>
    <w:rsid w:val="00DE14C7"/>
    <w:rsid w:val="00DE179B"/>
    <w:rsid w:val="00DE1D31"/>
    <w:rsid w:val="00DE2A6C"/>
    <w:rsid w:val="00DE33F4"/>
    <w:rsid w:val="00DE47BA"/>
    <w:rsid w:val="00DE4DA2"/>
    <w:rsid w:val="00DE504B"/>
    <w:rsid w:val="00DE67BE"/>
    <w:rsid w:val="00DE71D2"/>
    <w:rsid w:val="00DF0878"/>
    <w:rsid w:val="00DF0EC8"/>
    <w:rsid w:val="00DF211F"/>
    <w:rsid w:val="00DF462C"/>
    <w:rsid w:val="00DF5A91"/>
    <w:rsid w:val="00DF68A8"/>
    <w:rsid w:val="00DF6A44"/>
    <w:rsid w:val="00DF6BB5"/>
    <w:rsid w:val="00DF7C39"/>
    <w:rsid w:val="00E00086"/>
    <w:rsid w:val="00E000B2"/>
    <w:rsid w:val="00E006CE"/>
    <w:rsid w:val="00E0215C"/>
    <w:rsid w:val="00E042A2"/>
    <w:rsid w:val="00E0430F"/>
    <w:rsid w:val="00E05AC1"/>
    <w:rsid w:val="00E109D5"/>
    <w:rsid w:val="00E11FAE"/>
    <w:rsid w:val="00E14307"/>
    <w:rsid w:val="00E2028A"/>
    <w:rsid w:val="00E20C2C"/>
    <w:rsid w:val="00E2120E"/>
    <w:rsid w:val="00E2123C"/>
    <w:rsid w:val="00E22CF3"/>
    <w:rsid w:val="00E22FE0"/>
    <w:rsid w:val="00E24284"/>
    <w:rsid w:val="00E24B8B"/>
    <w:rsid w:val="00E25328"/>
    <w:rsid w:val="00E254A3"/>
    <w:rsid w:val="00E2577B"/>
    <w:rsid w:val="00E26CF7"/>
    <w:rsid w:val="00E270E2"/>
    <w:rsid w:val="00E31F82"/>
    <w:rsid w:val="00E32E1B"/>
    <w:rsid w:val="00E33E8B"/>
    <w:rsid w:val="00E344DB"/>
    <w:rsid w:val="00E3560C"/>
    <w:rsid w:val="00E35751"/>
    <w:rsid w:val="00E36027"/>
    <w:rsid w:val="00E36151"/>
    <w:rsid w:val="00E37515"/>
    <w:rsid w:val="00E37FB3"/>
    <w:rsid w:val="00E40261"/>
    <w:rsid w:val="00E40434"/>
    <w:rsid w:val="00E404C5"/>
    <w:rsid w:val="00E41014"/>
    <w:rsid w:val="00E4171F"/>
    <w:rsid w:val="00E41EEA"/>
    <w:rsid w:val="00E420CB"/>
    <w:rsid w:val="00E42F16"/>
    <w:rsid w:val="00E44430"/>
    <w:rsid w:val="00E450B1"/>
    <w:rsid w:val="00E4685E"/>
    <w:rsid w:val="00E4724E"/>
    <w:rsid w:val="00E47746"/>
    <w:rsid w:val="00E47EE5"/>
    <w:rsid w:val="00E47FB5"/>
    <w:rsid w:val="00E500EA"/>
    <w:rsid w:val="00E5015C"/>
    <w:rsid w:val="00E5110B"/>
    <w:rsid w:val="00E5176A"/>
    <w:rsid w:val="00E51AC2"/>
    <w:rsid w:val="00E52AC8"/>
    <w:rsid w:val="00E52CC2"/>
    <w:rsid w:val="00E52E66"/>
    <w:rsid w:val="00E53DB1"/>
    <w:rsid w:val="00E549E9"/>
    <w:rsid w:val="00E618AB"/>
    <w:rsid w:val="00E635D9"/>
    <w:rsid w:val="00E64417"/>
    <w:rsid w:val="00E64D46"/>
    <w:rsid w:val="00E655A2"/>
    <w:rsid w:val="00E66821"/>
    <w:rsid w:val="00E66AFB"/>
    <w:rsid w:val="00E70282"/>
    <w:rsid w:val="00E70969"/>
    <w:rsid w:val="00E70FDF"/>
    <w:rsid w:val="00E71045"/>
    <w:rsid w:val="00E7227A"/>
    <w:rsid w:val="00E72F58"/>
    <w:rsid w:val="00E7316E"/>
    <w:rsid w:val="00E7366D"/>
    <w:rsid w:val="00E73989"/>
    <w:rsid w:val="00E740B5"/>
    <w:rsid w:val="00E7501A"/>
    <w:rsid w:val="00E75B6C"/>
    <w:rsid w:val="00E75C0F"/>
    <w:rsid w:val="00E80210"/>
    <w:rsid w:val="00E80D77"/>
    <w:rsid w:val="00E80FDB"/>
    <w:rsid w:val="00E82818"/>
    <w:rsid w:val="00E82EFE"/>
    <w:rsid w:val="00E839F6"/>
    <w:rsid w:val="00E85029"/>
    <w:rsid w:val="00E85119"/>
    <w:rsid w:val="00E858FC"/>
    <w:rsid w:val="00E860BD"/>
    <w:rsid w:val="00E8788A"/>
    <w:rsid w:val="00E87DDC"/>
    <w:rsid w:val="00E90C91"/>
    <w:rsid w:val="00E91994"/>
    <w:rsid w:val="00E91D35"/>
    <w:rsid w:val="00E91F4F"/>
    <w:rsid w:val="00E935B9"/>
    <w:rsid w:val="00E93D9B"/>
    <w:rsid w:val="00E94973"/>
    <w:rsid w:val="00E962F2"/>
    <w:rsid w:val="00E96520"/>
    <w:rsid w:val="00E97811"/>
    <w:rsid w:val="00EA0414"/>
    <w:rsid w:val="00EA09AF"/>
    <w:rsid w:val="00EA119D"/>
    <w:rsid w:val="00EA32AA"/>
    <w:rsid w:val="00EA47DA"/>
    <w:rsid w:val="00EA4D60"/>
    <w:rsid w:val="00EA52E4"/>
    <w:rsid w:val="00EA5892"/>
    <w:rsid w:val="00EA5E9F"/>
    <w:rsid w:val="00EA7B26"/>
    <w:rsid w:val="00EB002A"/>
    <w:rsid w:val="00EB0783"/>
    <w:rsid w:val="00EB0FF6"/>
    <w:rsid w:val="00EB2474"/>
    <w:rsid w:val="00EB2642"/>
    <w:rsid w:val="00EB3025"/>
    <w:rsid w:val="00EB38DC"/>
    <w:rsid w:val="00EB4523"/>
    <w:rsid w:val="00EB45ED"/>
    <w:rsid w:val="00EB5209"/>
    <w:rsid w:val="00EB5CDB"/>
    <w:rsid w:val="00EB6303"/>
    <w:rsid w:val="00EB6597"/>
    <w:rsid w:val="00EB6719"/>
    <w:rsid w:val="00EB6A47"/>
    <w:rsid w:val="00EC03B5"/>
    <w:rsid w:val="00EC13D6"/>
    <w:rsid w:val="00EC1DA1"/>
    <w:rsid w:val="00EC1DE2"/>
    <w:rsid w:val="00EC2F01"/>
    <w:rsid w:val="00EC3E8D"/>
    <w:rsid w:val="00EC4629"/>
    <w:rsid w:val="00EC5105"/>
    <w:rsid w:val="00EC5412"/>
    <w:rsid w:val="00EC618A"/>
    <w:rsid w:val="00EC665B"/>
    <w:rsid w:val="00EC789E"/>
    <w:rsid w:val="00EC7BBE"/>
    <w:rsid w:val="00ED03AC"/>
    <w:rsid w:val="00ED2660"/>
    <w:rsid w:val="00ED2724"/>
    <w:rsid w:val="00ED2F6D"/>
    <w:rsid w:val="00ED31B3"/>
    <w:rsid w:val="00ED485A"/>
    <w:rsid w:val="00ED486E"/>
    <w:rsid w:val="00ED48C9"/>
    <w:rsid w:val="00ED5792"/>
    <w:rsid w:val="00ED59E4"/>
    <w:rsid w:val="00ED6487"/>
    <w:rsid w:val="00ED659B"/>
    <w:rsid w:val="00ED6C05"/>
    <w:rsid w:val="00ED6D02"/>
    <w:rsid w:val="00ED714B"/>
    <w:rsid w:val="00ED75FA"/>
    <w:rsid w:val="00ED7882"/>
    <w:rsid w:val="00EE06D0"/>
    <w:rsid w:val="00EE0AA4"/>
    <w:rsid w:val="00EE0FC5"/>
    <w:rsid w:val="00EE1324"/>
    <w:rsid w:val="00EE1D47"/>
    <w:rsid w:val="00EE2B0E"/>
    <w:rsid w:val="00EE4037"/>
    <w:rsid w:val="00EE4328"/>
    <w:rsid w:val="00EE4527"/>
    <w:rsid w:val="00EE5015"/>
    <w:rsid w:val="00EE73D9"/>
    <w:rsid w:val="00EE7785"/>
    <w:rsid w:val="00EF009D"/>
    <w:rsid w:val="00EF062A"/>
    <w:rsid w:val="00EF1329"/>
    <w:rsid w:val="00EF18D0"/>
    <w:rsid w:val="00EF1B7E"/>
    <w:rsid w:val="00EF20C9"/>
    <w:rsid w:val="00EF2FC6"/>
    <w:rsid w:val="00EF338C"/>
    <w:rsid w:val="00EF4285"/>
    <w:rsid w:val="00EF4C8A"/>
    <w:rsid w:val="00EF71EA"/>
    <w:rsid w:val="00EF788A"/>
    <w:rsid w:val="00F03D3D"/>
    <w:rsid w:val="00F04792"/>
    <w:rsid w:val="00F048E1"/>
    <w:rsid w:val="00F0628C"/>
    <w:rsid w:val="00F07F76"/>
    <w:rsid w:val="00F106D5"/>
    <w:rsid w:val="00F11365"/>
    <w:rsid w:val="00F11506"/>
    <w:rsid w:val="00F115A2"/>
    <w:rsid w:val="00F11967"/>
    <w:rsid w:val="00F13A99"/>
    <w:rsid w:val="00F15DE1"/>
    <w:rsid w:val="00F1608C"/>
    <w:rsid w:val="00F17158"/>
    <w:rsid w:val="00F20885"/>
    <w:rsid w:val="00F20B59"/>
    <w:rsid w:val="00F20E2C"/>
    <w:rsid w:val="00F22B10"/>
    <w:rsid w:val="00F2334A"/>
    <w:rsid w:val="00F247C3"/>
    <w:rsid w:val="00F25E60"/>
    <w:rsid w:val="00F26E78"/>
    <w:rsid w:val="00F30752"/>
    <w:rsid w:val="00F319D8"/>
    <w:rsid w:val="00F32016"/>
    <w:rsid w:val="00F322B2"/>
    <w:rsid w:val="00F325D1"/>
    <w:rsid w:val="00F3274E"/>
    <w:rsid w:val="00F33571"/>
    <w:rsid w:val="00F33C64"/>
    <w:rsid w:val="00F34A95"/>
    <w:rsid w:val="00F34DBA"/>
    <w:rsid w:val="00F35433"/>
    <w:rsid w:val="00F35541"/>
    <w:rsid w:val="00F355E9"/>
    <w:rsid w:val="00F35743"/>
    <w:rsid w:val="00F362DE"/>
    <w:rsid w:val="00F377D2"/>
    <w:rsid w:val="00F379DF"/>
    <w:rsid w:val="00F37C00"/>
    <w:rsid w:val="00F40C73"/>
    <w:rsid w:val="00F446F7"/>
    <w:rsid w:val="00F4568F"/>
    <w:rsid w:val="00F45C7C"/>
    <w:rsid w:val="00F46827"/>
    <w:rsid w:val="00F47F61"/>
    <w:rsid w:val="00F505CA"/>
    <w:rsid w:val="00F50C8A"/>
    <w:rsid w:val="00F51733"/>
    <w:rsid w:val="00F5195B"/>
    <w:rsid w:val="00F51DA2"/>
    <w:rsid w:val="00F52F22"/>
    <w:rsid w:val="00F53FD5"/>
    <w:rsid w:val="00F5445E"/>
    <w:rsid w:val="00F54B05"/>
    <w:rsid w:val="00F54CF7"/>
    <w:rsid w:val="00F55062"/>
    <w:rsid w:val="00F60851"/>
    <w:rsid w:val="00F60909"/>
    <w:rsid w:val="00F60EA1"/>
    <w:rsid w:val="00F6238A"/>
    <w:rsid w:val="00F62809"/>
    <w:rsid w:val="00F63221"/>
    <w:rsid w:val="00F64505"/>
    <w:rsid w:val="00F64AF5"/>
    <w:rsid w:val="00F65AD5"/>
    <w:rsid w:val="00F672BD"/>
    <w:rsid w:val="00F7020E"/>
    <w:rsid w:val="00F70308"/>
    <w:rsid w:val="00F703B4"/>
    <w:rsid w:val="00F72D0D"/>
    <w:rsid w:val="00F72F3B"/>
    <w:rsid w:val="00F74075"/>
    <w:rsid w:val="00F777EF"/>
    <w:rsid w:val="00F82380"/>
    <w:rsid w:val="00F82A43"/>
    <w:rsid w:val="00F8401A"/>
    <w:rsid w:val="00F842D7"/>
    <w:rsid w:val="00F84520"/>
    <w:rsid w:val="00F849DB"/>
    <w:rsid w:val="00F84F40"/>
    <w:rsid w:val="00F8652F"/>
    <w:rsid w:val="00F86C7B"/>
    <w:rsid w:val="00F877D4"/>
    <w:rsid w:val="00F9046B"/>
    <w:rsid w:val="00F904B8"/>
    <w:rsid w:val="00F91955"/>
    <w:rsid w:val="00F923FA"/>
    <w:rsid w:val="00F92AF4"/>
    <w:rsid w:val="00F92B60"/>
    <w:rsid w:val="00F93BF2"/>
    <w:rsid w:val="00F94DFD"/>
    <w:rsid w:val="00F94E3C"/>
    <w:rsid w:val="00F96043"/>
    <w:rsid w:val="00F96893"/>
    <w:rsid w:val="00F9784A"/>
    <w:rsid w:val="00F97EEC"/>
    <w:rsid w:val="00FA1257"/>
    <w:rsid w:val="00FA41D8"/>
    <w:rsid w:val="00FA4FBA"/>
    <w:rsid w:val="00FA5864"/>
    <w:rsid w:val="00FA59BC"/>
    <w:rsid w:val="00FA7184"/>
    <w:rsid w:val="00FA7D31"/>
    <w:rsid w:val="00FB0C59"/>
    <w:rsid w:val="00FB1840"/>
    <w:rsid w:val="00FB23CE"/>
    <w:rsid w:val="00FB314D"/>
    <w:rsid w:val="00FB3363"/>
    <w:rsid w:val="00FB434E"/>
    <w:rsid w:val="00FB4D26"/>
    <w:rsid w:val="00FB5DDD"/>
    <w:rsid w:val="00FB6422"/>
    <w:rsid w:val="00FB688F"/>
    <w:rsid w:val="00FB6CF4"/>
    <w:rsid w:val="00FB6DCF"/>
    <w:rsid w:val="00FB7278"/>
    <w:rsid w:val="00FC11B6"/>
    <w:rsid w:val="00FC1F6B"/>
    <w:rsid w:val="00FC245C"/>
    <w:rsid w:val="00FC26E7"/>
    <w:rsid w:val="00FC26F5"/>
    <w:rsid w:val="00FC2ACD"/>
    <w:rsid w:val="00FC2C46"/>
    <w:rsid w:val="00FC534C"/>
    <w:rsid w:val="00FC63D4"/>
    <w:rsid w:val="00FC7371"/>
    <w:rsid w:val="00FD2CDF"/>
    <w:rsid w:val="00FD33DB"/>
    <w:rsid w:val="00FD390C"/>
    <w:rsid w:val="00FE1B36"/>
    <w:rsid w:val="00FE319F"/>
    <w:rsid w:val="00FE35FD"/>
    <w:rsid w:val="00FE38C4"/>
    <w:rsid w:val="00FE44BF"/>
    <w:rsid w:val="00FE469B"/>
    <w:rsid w:val="00FE4769"/>
    <w:rsid w:val="00FE48A3"/>
    <w:rsid w:val="00FE4A08"/>
    <w:rsid w:val="00FE5771"/>
    <w:rsid w:val="00FF054A"/>
    <w:rsid w:val="00FF1CC1"/>
    <w:rsid w:val="00FF2C16"/>
    <w:rsid w:val="00FF3285"/>
    <w:rsid w:val="00FF3DD4"/>
    <w:rsid w:val="00FF4879"/>
    <w:rsid w:val="00FF58E2"/>
    <w:rsid w:val="00FF5971"/>
    <w:rsid w:val="00FF5F5C"/>
    <w:rsid w:val="00FF6E8B"/>
    <w:rsid w:val="00FF7099"/>
    <w:rsid w:val="00FF71F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FF43763"/>
  <w15:docId w15:val="{DA0F5F54-8134-4CC8-B51C-BE3C70B2C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2" w:unhideWhenUsed="1"/>
    <w:lsdException w:name="toc 4" w:semiHidden="1" w:uiPriority="2" w:unhideWhenUsed="1"/>
    <w:lsdException w:name="toc 5" w:semiHidden="1" w:uiPriority="2" w:unhideWhenUsed="1"/>
    <w:lsdException w:name="toc 6" w:semiHidden="1" w:uiPriority="2" w:unhideWhenUsed="1"/>
    <w:lsdException w:name="toc 7" w:semiHidden="1" w:uiPriority="2" w:unhideWhenUsed="1"/>
    <w:lsdException w:name="toc 8" w:semiHidden="1" w:uiPriority="2" w:unhideWhenUsed="1"/>
    <w:lsdException w:name="toc 9" w:semiHidden="1" w:uiPriority="2"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05A"/>
    <w:pPr>
      <w:spacing w:before="240" w:after="240" w:line="240" w:lineRule="exact"/>
    </w:pPr>
    <w:rPr>
      <w:rFonts w:ascii="Book Antiqua" w:eastAsia="Times New Roman" w:hAnsi="Book Antiqua" w:cs="Times New Roman"/>
      <w:sz w:val="19"/>
      <w:szCs w:val="20"/>
      <w:lang w:eastAsia="en-AU"/>
    </w:rPr>
  </w:style>
  <w:style w:type="paragraph" w:styleId="Heading1">
    <w:name w:val="heading 1"/>
    <w:basedOn w:val="HeadingBase"/>
    <w:next w:val="Normal"/>
    <w:link w:val="Heading1Char"/>
    <w:qFormat/>
    <w:rsid w:val="0096005A"/>
    <w:pPr>
      <w:spacing w:after="240"/>
      <w:outlineLvl w:val="0"/>
    </w:pPr>
    <w:rPr>
      <w:rFonts w:ascii="Arial Bold" w:hAnsi="Arial Bold"/>
      <w:b/>
      <w:kern w:val="34"/>
      <w:sz w:val="36"/>
    </w:rPr>
  </w:style>
  <w:style w:type="paragraph" w:styleId="Heading2">
    <w:name w:val="heading 2"/>
    <w:basedOn w:val="HeadingBase"/>
    <w:next w:val="Normal"/>
    <w:link w:val="Heading2Char"/>
    <w:qFormat/>
    <w:rsid w:val="0096005A"/>
    <w:pPr>
      <w:spacing w:before="240" w:after="240"/>
      <w:outlineLvl w:val="1"/>
    </w:pPr>
    <w:rPr>
      <w:rFonts w:ascii="Arial Bold" w:hAnsi="Arial Bold"/>
      <w:b/>
      <w:sz w:val="26"/>
    </w:rPr>
  </w:style>
  <w:style w:type="paragraph" w:styleId="Heading3">
    <w:name w:val="heading 3"/>
    <w:basedOn w:val="HeadingBase"/>
    <w:next w:val="Normal"/>
    <w:link w:val="Heading3Char"/>
    <w:qFormat/>
    <w:rsid w:val="0096005A"/>
    <w:pPr>
      <w:spacing w:before="120" w:after="120"/>
      <w:outlineLvl w:val="2"/>
    </w:pPr>
    <w:rPr>
      <w:rFonts w:ascii="Arial Bold" w:hAnsi="Arial Bold"/>
      <w:b/>
      <w:sz w:val="22"/>
    </w:rPr>
  </w:style>
  <w:style w:type="paragraph" w:styleId="Heading4">
    <w:name w:val="heading 4"/>
    <w:basedOn w:val="HeadingBase"/>
    <w:next w:val="Normal"/>
    <w:link w:val="Heading4Char"/>
    <w:qFormat/>
    <w:rsid w:val="0096005A"/>
    <w:pPr>
      <w:spacing w:after="120"/>
      <w:outlineLvl w:val="3"/>
    </w:pPr>
    <w:rPr>
      <w:rFonts w:ascii="Arial Bold" w:hAnsi="Arial Bold"/>
      <w:b/>
      <w:sz w:val="20"/>
    </w:rPr>
  </w:style>
  <w:style w:type="paragraph" w:styleId="Heading5">
    <w:name w:val="heading 5"/>
    <w:basedOn w:val="HeadingBase"/>
    <w:next w:val="Normal"/>
    <w:link w:val="Heading5Char"/>
    <w:qFormat/>
    <w:rsid w:val="0096005A"/>
    <w:pPr>
      <w:spacing w:after="120"/>
      <w:outlineLvl w:val="4"/>
    </w:pPr>
    <w:rPr>
      <w:bCs/>
      <w:i/>
      <w:iCs/>
      <w:sz w:val="20"/>
      <w:szCs w:val="26"/>
    </w:rPr>
  </w:style>
  <w:style w:type="paragraph" w:styleId="Heading6">
    <w:name w:val="heading 6"/>
    <w:basedOn w:val="HeadingBase"/>
    <w:next w:val="Normal"/>
    <w:link w:val="Heading6Char"/>
    <w:rsid w:val="0096005A"/>
    <w:pPr>
      <w:spacing w:after="120"/>
      <w:outlineLvl w:val="5"/>
    </w:pPr>
    <w:rPr>
      <w:bCs/>
      <w:sz w:val="20"/>
      <w:szCs w:val="22"/>
    </w:rPr>
  </w:style>
  <w:style w:type="paragraph" w:styleId="Heading7">
    <w:name w:val="heading 7"/>
    <w:basedOn w:val="HeadingBase"/>
    <w:next w:val="Normal"/>
    <w:link w:val="Heading7Char"/>
    <w:rsid w:val="0096005A"/>
    <w:pPr>
      <w:spacing w:before="120"/>
      <w:outlineLvl w:val="6"/>
    </w:pPr>
    <w:rPr>
      <w:sz w:val="20"/>
      <w:szCs w:val="24"/>
    </w:rPr>
  </w:style>
  <w:style w:type="paragraph" w:styleId="Heading8">
    <w:name w:val="heading 8"/>
    <w:basedOn w:val="HeadingBase"/>
    <w:next w:val="Normal"/>
    <w:link w:val="Heading8Char"/>
    <w:rsid w:val="0096005A"/>
    <w:pPr>
      <w:spacing w:before="240" w:after="60"/>
      <w:outlineLvl w:val="7"/>
    </w:pPr>
    <w:rPr>
      <w:rFonts w:ascii="Times New Roman" w:hAnsi="Times New Roman"/>
      <w:i/>
      <w:iCs/>
      <w:sz w:val="16"/>
      <w:szCs w:val="24"/>
    </w:rPr>
  </w:style>
  <w:style w:type="paragraph" w:styleId="Heading9">
    <w:name w:val="heading 9"/>
    <w:basedOn w:val="Normal"/>
    <w:next w:val="Normal"/>
    <w:link w:val="Heading9Char"/>
    <w:uiPriority w:val="9"/>
    <w:unhideWhenUsed/>
    <w:rsid w:val="0096005A"/>
    <w:pPr>
      <w:spacing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HeaderBase"/>
    <w:link w:val="HeaderChar"/>
    <w:rsid w:val="0096005A"/>
    <w:pPr>
      <w:tabs>
        <w:tab w:val="center" w:pos="4153"/>
        <w:tab w:val="right" w:pos="8306"/>
      </w:tabs>
    </w:pPr>
  </w:style>
  <w:style w:type="character" w:customStyle="1" w:styleId="HeaderChar">
    <w:name w:val="Header Char"/>
    <w:basedOn w:val="DefaultParagraphFont"/>
    <w:link w:val="Header"/>
    <w:rsid w:val="0096005A"/>
    <w:rPr>
      <w:rFonts w:ascii="Arial" w:eastAsia="Times New Roman" w:hAnsi="Arial" w:cs="Times New Roman"/>
      <w:color w:val="002A54" w:themeColor="text2"/>
      <w:sz w:val="18"/>
      <w:szCs w:val="20"/>
      <w:lang w:eastAsia="en-AU"/>
    </w:rPr>
  </w:style>
  <w:style w:type="paragraph" w:styleId="Footer">
    <w:name w:val="footer"/>
    <w:basedOn w:val="FooterBase"/>
    <w:link w:val="FooterChar"/>
    <w:rsid w:val="0096005A"/>
    <w:pPr>
      <w:tabs>
        <w:tab w:val="center" w:pos="4153"/>
        <w:tab w:val="right" w:pos="8306"/>
      </w:tabs>
    </w:pPr>
  </w:style>
  <w:style w:type="character" w:customStyle="1" w:styleId="FooterChar">
    <w:name w:val="Footer Char"/>
    <w:basedOn w:val="DefaultParagraphFont"/>
    <w:link w:val="Footer"/>
    <w:rsid w:val="0096005A"/>
    <w:rPr>
      <w:rFonts w:ascii="Arial" w:eastAsia="Times New Roman" w:hAnsi="Arial" w:cs="Times New Roman"/>
      <w:color w:val="002A54" w:themeColor="text2"/>
      <w:sz w:val="20"/>
      <w:szCs w:val="20"/>
      <w:lang w:eastAsia="en-AU"/>
    </w:rPr>
  </w:style>
  <w:style w:type="paragraph" w:customStyle="1" w:styleId="SecurityClassificationHeader">
    <w:name w:val="Security Classification Header"/>
    <w:link w:val="SecurityClassificationHeaderChar"/>
    <w:rsid w:val="0096005A"/>
    <w:pPr>
      <w:spacing w:before="240" w:after="60"/>
      <w:jc w:val="center"/>
    </w:pPr>
    <w:rPr>
      <w:rFonts w:ascii="Calibri" w:eastAsia="Times New Roman" w:hAnsi="Calibri" w:cs="Calibri"/>
      <w:b/>
      <w:caps/>
      <w:color w:val="002A54" w:themeColor="text2"/>
      <w:sz w:val="24"/>
      <w:szCs w:val="20"/>
      <w:lang w:eastAsia="en-AU"/>
    </w:rPr>
  </w:style>
  <w:style w:type="character" w:customStyle="1" w:styleId="SecurityClassificationHeaderChar">
    <w:name w:val="Security Classification Header Char"/>
    <w:basedOn w:val="HeaderChar"/>
    <w:link w:val="SecurityClassificationHeader"/>
    <w:rsid w:val="0096005A"/>
    <w:rPr>
      <w:rFonts w:ascii="Calibri" w:eastAsia="Times New Roman" w:hAnsi="Calibri" w:cs="Calibri"/>
      <w:b/>
      <w:caps/>
      <w:color w:val="002A54" w:themeColor="text2"/>
      <w:sz w:val="24"/>
      <w:szCs w:val="20"/>
      <w:lang w:eastAsia="en-AU"/>
    </w:rPr>
  </w:style>
  <w:style w:type="paragraph" w:customStyle="1" w:styleId="SecurityClassificationFooter">
    <w:name w:val="Security Classification Footer"/>
    <w:link w:val="SecurityClassificationFooterChar"/>
    <w:rsid w:val="0096005A"/>
    <w:pPr>
      <w:spacing w:before="60" w:after="240"/>
      <w:jc w:val="center"/>
    </w:pPr>
    <w:rPr>
      <w:rFonts w:ascii="Calibri" w:eastAsia="Times New Roman" w:hAnsi="Calibri" w:cs="Calibri"/>
      <w:b/>
      <w:caps/>
      <w:color w:val="002A54" w:themeColor="text2"/>
      <w:sz w:val="24"/>
      <w:szCs w:val="20"/>
      <w:lang w:eastAsia="en-AU"/>
    </w:rPr>
  </w:style>
  <w:style w:type="character" w:customStyle="1" w:styleId="SecurityClassificationFooterChar">
    <w:name w:val="Security Classification Footer Char"/>
    <w:basedOn w:val="HeaderChar"/>
    <w:link w:val="SecurityClassificationFooter"/>
    <w:rsid w:val="0096005A"/>
    <w:rPr>
      <w:rFonts w:ascii="Calibri" w:eastAsia="Times New Roman" w:hAnsi="Calibri" w:cs="Calibri"/>
      <w:b/>
      <w:caps/>
      <w:color w:val="002A54" w:themeColor="text2"/>
      <w:sz w:val="24"/>
      <w:szCs w:val="20"/>
      <w:lang w:eastAsia="en-AU"/>
    </w:rPr>
  </w:style>
  <w:style w:type="paragraph" w:customStyle="1" w:styleId="DLMSecurityHeader">
    <w:name w:val="DLM Security Header"/>
    <w:link w:val="DLMSecurityHeaderChar"/>
    <w:rsid w:val="0096005A"/>
    <w:pPr>
      <w:spacing w:before="60" w:after="240"/>
      <w:jc w:val="center"/>
    </w:pPr>
    <w:rPr>
      <w:rFonts w:ascii="Calibri" w:eastAsia="Times New Roman" w:hAnsi="Calibri" w:cs="Calibri"/>
      <w:b/>
      <w:caps/>
      <w:color w:val="002A54" w:themeColor="text2"/>
      <w:sz w:val="24"/>
      <w:szCs w:val="20"/>
      <w:lang w:eastAsia="en-AU"/>
    </w:rPr>
  </w:style>
  <w:style w:type="character" w:customStyle="1" w:styleId="DLMSecurityHeaderChar">
    <w:name w:val="DLM Security Header Char"/>
    <w:basedOn w:val="HeaderChar"/>
    <w:link w:val="DLMSecurityHeader"/>
    <w:rsid w:val="0096005A"/>
    <w:rPr>
      <w:rFonts w:ascii="Calibri" w:eastAsia="Times New Roman" w:hAnsi="Calibri" w:cs="Calibri"/>
      <w:b/>
      <w:caps/>
      <w:color w:val="002A54" w:themeColor="text2"/>
      <w:sz w:val="24"/>
      <w:szCs w:val="20"/>
      <w:lang w:eastAsia="en-AU"/>
    </w:rPr>
  </w:style>
  <w:style w:type="paragraph" w:customStyle="1" w:styleId="DLMSecurityFooter">
    <w:name w:val="DLM Security Footer"/>
    <w:link w:val="DLMSecurityFooterChar"/>
    <w:rsid w:val="0096005A"/>
    <w:pPr>
      <w:spacing w:before="240" w:after="60"/>
      <w:jc w:val="center"/>
    </w:pPr>
    <w:rPr>
      <w:rFonts w:ascii="Calibri" w:eastAsia="Times New Roman" w:hAnsi="Calibri" w:cs="Calibri"/>
      <w:b/>
      <w:caps/>
      <w:color w:val="002A54" w:themeColor="text2"/>
      <w:sz w:val="24"/>
      <w:szCs w:val="20"/>
      <w:lang w:eastAsia="en-AU"/>
    </w:rPr>
  </w:style>
  <w:style w:type="character" w:customStyle="1" w:styleId="DLMSecurityFooterChar">
    <w:name w:val="DLM Security Footer Char"/>
    <w:basedOn w:val="HeaderChar"/>
    <w:link w:val="DLMSecurityFooter"/>
    <w:rsid w:val="0096005A"/>
    <w:rPr>
      <w:rFonts w:ascii="Calibri" w:eastAsia="Times New Roman" w:hAnsi="Calibri" w:cs="Calibri"/>
      <w:b/>
      <w:caps/>
      <w:color w:val="002A54" w:themeColor="text2"/>
      <w:sz w:val="24"/>
      <w:szCs w:val="20"/>
      <w:lang w:eastAsia="en-AU"/>
    </w:rPr>
  </w:style>
  <w:style w:type="paragraph" w:customStyle="1" w:styleId="Classification">
    <w:name w:val="Classification"/>
    <w:basedOn w:val="HeadingBase"/>
    <w:rsid w:val="0096005A"/>
    <w:pPr>
      <w:jc w:val="center"/>
    </w:pPr>
    <w:rPr>
      <w:rFonts w:ascii="Arial Bold" w:hAnsi="Arial Bold"/>
      <w:b/>
      <w:caps/>
      <w:sz w:val="22"/>
    </w:rPr>
  </w:style>
  <w:style w:type="paragraph" w:customStyle="1" w:styleId="FileProperties">
    <w:name w:val="File Properties"/>
    <w:basedOn w:val="Normal"/>
    <w:rsid w:val="0096005A"/>
    <w:pPr>
      <w:spacing w:before="0"/>
    </w:pPr>
    <w:rPr>
      <w:i/>
    </w:rPr>
  </w:style>
  <w:style w:type="paragraph" w:customStyle="1" w:styleId="AlphaParagraph">
    <w:name w:val="Alpha Paragraph"/>
    <w:basedOn w:val="Normal"/>
    <w:rsid w:val="0096005A"/>
    <w:pPr>
      <w:numPr>
        <w:numId w:val="1"/>
      </w:numPr>
      <w:tabs>
        <w:tab w:val="clear" w:pos="567"/>
        <w:tab w:val="num" w:pos="360"/>
      </w:tabs>
      <w:ind w:left="0" w:firstLine="0"/>
    </w:pPr>
  </w:style>
  <w:style w:type="paragraph" w:customStyle="1" w:styleId="HeadingBase">
    <w:name w:val="Heading Base"/>
    <w:rsid w:val="0096005A"/>
    <w:pPr>
      <w:keepNext/>
      <w:spacing w:after="0" w:line="240" w:lineRule="auto"/>
    </w:pPr>
    <w:rPr>
      <w:rFonts w:ascii="Arial" w:eastAsia="Times New Roman" w:hAnsi="Arial" w:cs="Times New Roman"/>
      <w:sz w:val="24"/>
      <w:szCs w:val="20"/>
      <w:lang w:eastAsia="en-AU"/>
    </w:rPr>
  </w:style>
  <w:style w:type="paragraph" w:customStyle="1" w:styleId="Heading1-Statement">
    <w:name w:val="Heading 1 - Statement"/>
    <w:basedOn w:val="Heading1"/>
    <w:next w:val="Normal"/>
    <w:autoRedefine/>
    <w:qFormat/>
    <w:rsid w:val="0096005A"/>
    <w:rPr>
      <w:bCs/>
      <w:color w:val="002A54" w:themeColor="text2"/>
      <w:szCs w:val="52"/>
    </w:rPr>
  </w:style>
  <w:style w:type="paragraph" w:customStyle="1" w:styleId="BoxText">
    <w:name w:val="Box Text"/>
    <w:basedOn w:val="Normal"/>
    <w:link w:val="BoxTextChar"/>
    <w:qFormat/>
    <w:rsid w:val="0096005A"/>
    <w:pPr>
      <w:spacing w:before="120" w:after="120" w:line="240" w:lineRule="auto"/>
    </w:pPr>
  </w:style>
  <w:style w:type="paragraph" w:customStyle="1" w:styleId="BoxBullet">
    <w:name w:val="Box Bullet"/>
    <w:basedOn w:val="BoxText"/>
    <w:rsid w:val="0096005A"/>
    <w:pPr>
      <w:numPr>
        <w:numId w:val="2"/>
      </w:numPr>
    </w:pPr>
  </w:style>
  <w:style w:type="paragraph" w:customStyle="1" w:styleId="BoxHeading">
    <w:name w:val="Box Heading"/>
    <w:basedOn w:val="HeadingBase"/>
    <w:next w:val="BoxText"/>
    <w:rsid w:val="0096005A"/>
    <w:pPr>
      <w:spacing w:before="120" w:after="120"/>
    </w:pPr>
    <w:rPr>
      <w:b/>
      <w:sz w:val="20"/>
    </w:rPr>
  </w:style>
  <w:style w:type="character" w:customStyle="1" w:styleId="Heading6Char">
    <w:name w:val="Heading 6 Char"/>
    <w:basedOn w:val="DefaultParagraphFont"/>
    <w:link w:val="Heading6"/>
    <w:rsid w:val="0096005A"/>
    <w:rPr>
      <w:rFonts w:ascii="Arial" w:eastAsia="Times New Roman" w:hAnsi="Arial" w:cs="Times New Roman"/>
      <w:bCs/>
      <w:sz w:val="20"/>
      <w:lang w:eastAsia="en-AU"/>
    </w:rPr>
  </w:style>
  <w:style w:type="paragraph" w:customStyle="1" w:styleId="Bullet">
    <w:name w:val="Bullet"/>
    <w:aliases w:val="b,Body,b + line,b1,level 1,Bullet + line,bulleted,BodyNum,Bullet Char1,Bullet Char1 Char Char Char,Bullet Char1 Char Char Char Char,Bullet Char1 Char Char Char Char Char,b1 Char Char Char,CG-Bullet"/>
    <w:basedOn w:val="Normal"/>
    <w:link w:val="BulletChar"/>
    <w:qFormat/>
    <w:rsid w:val="0096005A"/>
    <w:pPr>
      <w:numPr>
        <w:numId w:val="3"/>
      </w:numPr>
      <w:spacing w:after="160"/>
      <w:ind w:left="284" w:hanging="284"/>
    </w:pPr>
  </w:style>
  <w:style w:type="paragraph" w:styleId="Caption">
    <w:name w:val="caption"/>
    <w:basedOn w:val="Normal"/>
    <w:next w:val="Normal"/>
    <w:rsid w:val="0096005A"/>
    <w:rPr>
      <w:b/>
      <w:bCs/>
    </w:rPr>
  </w:style>
  <w:style w:type="paragraph" w:customStyle="1" w:styleId="ChartandTableFootnote">
    <w:name w:val="Chart and Table Footnote"/>
    <w:basedOn w:val="HeadingBase"/>
    <w:next w:val="Normal"/>
    <w:rsid w:val="0096005A"/>
    <w:pPr>
      <w:keepNext w:val="0"/>
      <w:tabs>
        <w:tab w:val="left" w:pos="709"/>
      </w:tabs>
      <w:spacing w:before="30"/>
      <w:ind w:left="709" w:hanging="709"/>
    </w:pPr>
    <w:rPr>
      <w:color w:val="000000"/>
      <w:sz w:val="16"/>
    </w:rPr>
  </w:style>
  <w:style w:type="paragraph" w:customStyle="1" w:styleId="ChartandTableFootnoteAlpha">
    <w:name w:val="Chart and Table Footnote Alpha"/>
    <w:basedOn w:val="HeadingBase"/>
    <w:next w:val="Normal"/>
    <w:link w:val="ChartandTableFootnoteAlphaChar"/>
    <w:rsid w:val="0096005A"/>
    <w:pPr>
      <w:keepNext w:val="0"/>
      <w:numPr>
        <w:numId w:val="4"/>
      </w:numPr>
      <w:spacing w:before="30"/>
    </w:pPr>
    <w:rPr>
      <w:color w:val="000000"/>
      <w:sz w:val="16"/>
    </w:rPr>
  </w:style>
  <w:style w:type="paragraph" w:customStyle="1" w:styleId="ChartandTableFootnoteSmall">
    <w:name w:val="Chart and Table Footnote Small"/>
    <w:basedOn w:val="HeadingBase"/>
    <w:next w:val="Normal"/>
    <w:rsid w:val="0096005A"/>
    <w:pPr>
      <w:keepNext w:val="0"/>
      <w:tabs>
        <w:tab w:val="left" w:pos="284"/>
      </w:tabs>
      <w:jc w:val="both"/>
    </w:pPr>
    <w:rPr>
      <w:color w:val="000000"/>
      <w:sz w:val="15"/>
    </w:rPr>
  </w:style>
  <w:style w:type="paragraph" w:customStyle="1" w:styleId="ChartGraphic">
    <w:name w:val="Chart Graphic"/>
    <w:basedOn w:val="HeadingBase"/>
    <w:rsid w:val="0096005A"/>
    <w:rPr>
      <w:sz w:val="20"/>
    </w:rPr>
  </w:style>
  <w:style w:type="paragraph" w:customStyle="1" w:styleId="TableLine">
    <w:name w:val="Table Line"/>
    <w:basedOn w:val="Normal"/>
    <w:next w:val="Normal"/>
    <w:autoRedefine/>
    <w:rsid w:val="0096005A"/>
    <w:pPr>
      <w:pBdr>
        <w:bottom w:val="single" w:sz="4" w:space="2" w:color="626A77" w:themeColor="background2" w:themeShade="E6"/>
      </w:pBdr>
      <w:spacing w:before="0" w:line="240" w:lineRule="auto"/>
    </w:pPr>
    <w:rPr>
      <w:noProof/>
      <w:sz w:val="4"/>
      <w:szCs w:val="4"/>
    </w:rPr>
  </w:style>
  <w:style w:type="paragraph" w:customStyle="1" w:styleId="ChartSecondHeading">
    <w:name w:val="Chart Second Heading"/>
    <w:basedOn w:val="HeadingBase"/>
    <w:next w:val="ChartGraphic"/>
    <w:rsid w:val="0096005A"/>
    <w:pPr>
      <w:spacing w:after="60"/>
    </w:pPr>
    <w:rPr>
      <w:sz w:val="19"/>
    </w:rPr>
  </w:style>
  <w:style w:type="paragraph" w:styleId="CommentText">
    <w:name w:val="annotation text"/>
    <w:basedOn w:val="Normal"/>
    <w:link w:val="CommentTextChar"/>
    <w:rsid w:val="0096005A"/>
  </w:style>
  <w:style w:type="character" w:customStyle="1" w:styleId="CommentTextChar">
    <w:name w:val="Comment Text Char"/>
    <w:basedOn w:val="DefaultParagraphFont"/>
    <w:link w:val="CommentText"/>
    <w:rsid w:val="0096005A"/>
    <w:rPr>
      <w:rFonts w:ascii="Book Antiqua" w:eastAsia="Times New Roman" w:hAnsi="Book Antiqua" w:cs="Times New Roman"/>
      <w:sz w:val="19"/>
      <w:szCs w:val="20"/>
      <w:lang w:eastAsia="en-AU"/>
    </w:rPr>
  </w:style>
  <w:style w:type="paragraph" w:styleId="CommentSubject">
    <w:name w:val="annotation subject"/>
    <w:basedOn w:val="CommentText"/>
    <w:next w:val="CommentText"/>
    <w:link w:val="CommentSubjectChar"/>
    <w:semiHidden/>
    <w:rsid w:val="0096005A"/>
    <w:rPr>
      <w:b/>
      <w:bCs/>
    </w:rPr>
  </w:style>
  <w:style w:type="character" w:customStyle="1" w:styleId="CommentSubjectChar">
    <w:name w:val="Comment Subject Char"/>
    <w:basedOn w:val="CommentTextChar"/>
    <w:link w:val="CommentSubject"/>
    <w:semiHidden/>
    <w:rsid w:val="0096005A"/>
    <w:rPr>
      <w:rFonts w:ascii="Book Antiqua" w:eastAsia="Times New Roman" w:hAnsi="Book Antiqua" w:cs="Times New Roman"/>
      <w:b/>
      <w:bCs/>
      <w:sz w:val="19"/>
      <w:szCs w:val="20"/>
      <w:lang w:eastAsia="en-AU"/>
    </w:rPr>
  </w:style>
  <w:style w:type="paragraph" w:customStyle="1" w:styleId="ContentsHeading">
    <w:name w:val="Contents Heading"/>
    <w:basedOn w:val="Heading1"/>
    <w:next w:val="Normal"/>
    <w:rsid w:val="0096005A"/>
    <w:pPr>
      <w:spacing w:after="720"/>
      <w:outlineLvl w:val="9"/>
    </w:pPr>
  </w:style>
  <w:style w:type="character" w:styleId="Strong">
    <w:name w:val="Strong"/>
    <w:basedOn w:val="DefaultParagraphFont"/>
    <w:uiPriority w:val="22"/>
    <w:qFormat/>
    <w:rsid w:val="0096005A"/>
    <w:rPr>
      <w:b/>
      <w:bCs/>
      <w:color w:val="auto"/>
    </w:rPr>
  </w:style>
  <w:style w:type="paragraph" w:customStyle="1" w:styleId="Dash">
    <w:name w:val="Dash"/>
    <w:basedOn w:val="Normal"/>
    <w:qFormat/>
    <w:rsid w:val="0096005A"/>
    <w:pPr>
      <w:numPr>
        <w:ilvl w:val="1"/>
        <w:numId w:val="3"/>
      </w:numPr>
      <w:tabs>
        <w:tab w:val="left" w:pos="567"/>
      </w:tabs>
    </w:pPr>
  </w:style>
  <w:style w:type="paragraph" w:styleId="DocumentMap">
    <w:name w:val="Document Map"/>
    <w:basedOn w:val="Normal"/>
    <w:link w:val="DocumentMapChar"/>
    <w:semiHidden/>
    <w:rsid w:val="0096005A"/>
    <w:pPr>
      <w:shd w:val="clear" w:color="auto" w:fill="000080"/>
    </w:pPr>
    <w:rPr>
      <w:rFonts w:ascii="Tahoma" w:hAnsi="Tahoma" w:cs="Tahoma"/>
    </w:rPr>
  </w:style>
  <w:style w:type="character" w:customStyle="1" w:styleId="DocumentMapChar">
    <w:name w:val="Document Map Char"/>
    <w:basedOn w:val="DefaultParagraphFont"/>
    <w:link w:val="DocumentMap"/>
    <w:semiHidden/>
    <w:rsid w:val="0096005A"/>
    <w:rPr>
      <w:rFonts w:ascii="Tahoma" w:eastAsia="Times New Roman" w:hAnsi="Tahoma" w:cs="Tahoma"/>
      <w:sz w:val="19"/>
      <w:szCs w:val="20"/>
      <w:shd w:val="clear" w:color="auto" w:fill="000080"/>
      <w:lang w:eastAsia="en-AU"/>
    </w:rPr>
  </w:style>
  <w:style w:type="paragraph" w:customStyle="1" w:styleId="DoubleDot">
    <w:name w:val="Double Dot"/>
    <w:basedOn w:val="Normal"/>
    <w:rsid w:val="0096005A"/>
    <w:pPr>
      <w:numPr>
        <w:ilvl w:val="2"/>
        <w:numId w:val="3"/>
      </w:numPr>
      <w:tabs>
        <w:tab w:val="clear" w:pos="850"/>
        <w:tab w:val="num" w:pos="360"/>
        <w:tab w:val="left" w:pos="851"/>
      </w:tabs>
    </w:pPr>
  </w:style>
  <w:style w:type="paragraph" w:customStyle="1" w:styleId="FigureHeading">
    <w:name w:val="Figure Heading"/>
    <w:basedOn w:val="HeadingBase"/>
    <w:next w:val="ChartGraphic"/>
    <w:rsid w:val="0096005A"/>
    <w:pPr>
      <w:spacing w:before="120" w:after="20"/>
    </w:pPr>
    <w:rPr>
      <w:b/>
      <w:sz w:val="20"/>
    </w:rPr>
  </w:style>
  <w:style w:type="paragraph" w:customStyle="1" w:styleId="FooterBase">
    <w:name w:val="Footer Base"/>
    <w:rsid w:val="0096005A"/>
    <w:pPr>
      <w:spacing w:after="0" w:line="240" w:lineRule="auto"/>
      <w:jc w:val="center"/>
    </w:pPr>
    <w:rPr>
      <w:rFonts w:ascii="Arial" w:eastAsia="Times New Roman" w:hAnsi="Arial" w:cs="Times New Roman"/>
      <w:color w:val="002A54" w:themeColor="text2"/>
      <w:sz w:val="20"/>
      <w:szCs w:val="20"/>
      <w:lang w:eastAsia="en-AU"/>
    </w:rPr>
  </w:style>
  <w:style w:type="paragraph" w:customStyle="1" w:styleId="FooterEven">
    <w:name w:val="Footer Even"/>
    <w:basedOn w:val="Footer"/>
    <w:rsid w:val="0096005A"/>
    <w:pPr>
      <w:pBdr>
        <w:top w:val="single" w:sz="4" w:space="10" w:color="002A54" w:themeColor="text2"/>
      </w:pBdr>
      <w:jc w:val="left"/>
    </w:pPr>
    <w:rPr>
      <w:sz w:val="18"/>
    </w:rPr>
  </w:style>
  <w:style w:type="paragraph" w:customStyle="1" w:styleId="FooterOdd">
    <w:name w:val="Footer Odd"/>
    <w:basedOn w:val="Footer"/>
    <w:qFormat/>
    <w:rsid w:val="0096005A"/>
    <w:pPr>
      <w:pBdr>
        <w:top w:val="single" w:sz="4" w:space="10" w:color="002A54" w:themeColor="text2"/>
      </w:pBdr>
      <w:jc w:val="right"/>
    </w:pPr>
    <w:rPr>
      <w:sz w:val="18"/>
    </w:rPr>
  </w:style>
  <w:style w:type="character" w:styleId="FootnoteReference">
    <w:name w:val="footnote reference"/>
    <w:basedOn w:val="DefaultParagraphFont"/>
    <w:rsid w:val="0096005A"/>
    <w:rPr>
      <w:vertAlign w:val="superscript"/>
    </w:rPr>
  </w:style>
  <w:style w:type="paragraph" w:styleId="FootnoteText">
    <w:name w:val="footnote text"/>
    <w:basedOn w:val="Normal"/>
    <w:link w:val="FootnoteTextChar"/>
    <w:rsid w:val="0096005A"/>
    <w:pPr>
      <w:tabs>
        <w:tab w:val="left" w:pos="284"/>
      </w:tabs>
      <w:spacing w:before="80" w:after="0" w:line="240" w:lineRule="auto"/>
      <w:ind w:left="284" w:hanging="284"/>
      <w:contextualSpacing/>
    </w:pPr>
    <w:rPr>
      <w:sz w:val="18"/>
    </w:rPr>
  </w:style>
  <w:style w:type="character" w:customStyle="1" w:styleId="FootnoteTextChar">
    <w:name w:val="Footnote Text Char"/>
    <w:basedOn w:val="DefaultParagraphFont"/>
    <w:link w:val="FootnoteText"/>
    <w:rsid w:val="0096005A"/>
    <w:rPr>
      <w:rFonts w:ascii="Book Antiqua" w:eastAsia="Times New Roman" w:hAnsi="Book Antiqua" w:cs="Times New Roman"/>
      <w:sz w:val="18"/>
      <w:szCs w:val="20"/>
      <w:lang w:eastAsia="en-AU"/>
    </w:rPr>
  </w:style>
  <w:style w:type="paragraph" w:customStyle="1" w:styleId="HeaderBase">
    <w:name w:val="Header Base"/>
    <w:rsid w:val="0096005A"/>
    <w:pPr>
      <w:spacing w:after="0" w:line="240" w:lineRule="auto"/>
    </w:pPr>
    <w:rPr>
      <w:rFonts w:ascii="Arial" w:eastAsia="Times New Roman" w:hAnsi="Arial" w:cs="Times New Roman"/>
      <w:color w:val="002A54" w:themeColor="text2"/>
      <w:sz w:val="18"/>
      <w:szCs w:val="20"/>
      <w:lang w:eastAsia="en-AU"/>
    </w:rPr>
  </w:style>
  <w:style w:type="paragraph" w:customStyle="1" w:styleId="HeaderEven">
    <w:name w:val="Header Even"/>
    <w:basedOn w:val="HeaderBase"/>
    <w:rsid w:val="0096005A"/>
  </w:style>
  <w:style w:type="paragraph" w:customStyle="1" w:styleId="HeaderOdd">
    <w:name w:val="Header Odd"/>
    <w:basedOn w:val="HeaderBase"/>
    <w:rsid w:val="0096005A"/>
    <w:pPr>
      <w:jc w:val="right"/>
    </w:pPr>
  </w:style>
  <w:style w:type="character" w:customStyle="1" w:styleId="Heading1Char">
    <w:name w:val="Heading 1 Char"/>
    <w:basedOn w:val="DefaultParagraphFont"/>
    <w:link w:val="Heading1"/>
    <w:rsid w:val="0096005A"/>
    <w:rPr>
      <w:rFonts w:ascii="Arial Bold" w:eastAsia="Times New Roman" w:hAnsi="Arial Bold" w:cs="Times New Roman"/>
      <w:b/>
      <w:kern w:val="34"/>
      <w:sz w:val="36"/>
      <w:szCs w:val="20"/>
      <w:lang w:eastAsia="en-AU"/>
    </w:rPr>
  </w:style>
  <w:style w:type="character" w:customStyle="1" w:styleId="Heading2Char">
    <w:name w:val="Heading 2 Char"/>
    <w:basedOn w:val="DefaultParagraphFont"/>
    <w:link w:val="Heading2"/>
    <w:rsid w:val="0096005A"/>
    <w:rPr>
      <w:rFonts w:ascii="Arial Bold" w:eastAsia="Times New Roman" w:hAnsi="Arial Bold" w:cs="Times New Roman"/>
      <w:b/>
      <w:sz w:val="26"/>
      <w:szCs w:val="20"/>
      <w:lang w:eastAsia="en-AU"/>
    </w:rPr>
  </w:style>
  <w:style w:type="character" w:customStyle="1" w:styleId="Heading3Char">
    <w:name w:val="Heading 3 Char"/>
    <w:basedOn w:val="DefaultParagraphFont"/>
    <w:link w:val="Heading3"/>
    <w:rsid w:val="0096005A"/>
    <w:rPr>
      <w:rFonts w:ascii="Arial Bold" w:eastAsia="Times New Roman" w:hAnsi="Arial Bold" w:cs="Times New Roman"/>
      <w:b/>
      <w:szCs w:val="20"/>
      <w:lang w:eastAsia="en-AU"/>
    </w:rPr>
  </w:style>
  <w:style w:type="paragraph" w:customStyle="1" w:styleId="Heading3noTOC">
    <w:name w:val="Heading 3 no TOC"/>
    <w:basedOn w:val="Heading3"/>
    <w:rsid w:val="0096005A"/>
    <w:pPr>
      <w:outlineLvl w:val="9"/>
    </w:pPr>
  </w:style>
  <w:style w:type="character" w:customStyle="1" w:styleId="Heading4Char">
    <w:name w:val="Heading 4 Char"/>
    <w:basedOn w:val="DefaultParagraphFont"/>
    <w:link w:val="Heading4"/>
    <w:rsid w:val="0096005A"/>
    <w:rPr>
      <w:rFonts w:ascii="Arial Bold" w:eastAsia="Times New Roman" w:hAnsi="Arial Bold" w:cs="Times New Roman"/>
      <w:b/>
      <w:sz w:val="20"/>
      <w:szCs w:val="20"/>
      <w:lang w:eastAsia="en-AU"/>
    </w:rPr>
  </w:style>
  <w:style w:type="character" w:customStyle="1" w:styleId="Heading5Char">
    <w:name w:val="Heading 5 Char"/>
    <w:basedOn w:val="DefaultParagraphFont"/>
    <w:link w:val="Heading5"/>
    <w:rsid w:val="0096005A"/>
    <w:rPr>
      <w:rFonts w:ascii="Arial" w:eastAsia="Times New Roman" w:hAnsi="Arial" w:cs="Times New Roman"/>
      <w:bCs/>
      <w:i/>
      <w:iCs/>
      <w:sz w:val="20"/>
      <w:szCs w:val="26"/>
      <w:lang w:eastAsia="en-AU"/>
    </w:rPr>
  </w:style>
  <w:style w:type="character" w:customStyle="1" w:styleId="Heading7Char">
    <w:name w:val="Heading 7 Char"/>
    <w:basedOn w:val="DefaultParagraphFont"/>
    <w:link w:val="Heading7"/>
    <w:rsid w:val="0096005A"/>
    <w:rPr>
      <w:rFonts w:ascii="Arial" w:eastAsia="Times New Roman" w:hAnsi="Arial" w:cs="Times New Roman"/>
      <w:sz w:val="20"/>
      <w:szCs w:val="24"/>
      <w:lang w:eastAsia="en-AU"/>
    </w:rPr>
  </w:style>
  <w:style w:type="character" w:customStyle="1" w:styleId="Heading8Char">
    <w:name w:val="Heading 8 Char"/>
    <w:basedOn w:val="DefaultParagraphFont"/>
    <w:link w:val="Heading8"/>
    <w:rsid w:val="0096005A"/>
    <w:rPr>
      <w:rFonts w:ascii="Times New Roman" w:eastAsia="Times New Roman" w:hAnsi="Times New Roman" w:cs="Times New Roman"/>
      <w:i/>
      <w:iCs/>
      <w:sz w:val="16"/>
      <w:szCs w:val="24"/>
      <w:lang w:eastAsia="en-AU"/>
    </w:rPr>
  </w:style>
  <w:style w:type="character" w:styleId="Hyperlink">
    <w:name w:val="Hyperlink"/>
    <w:basedOn w:val="DefaultParagraphFont"/>
    <w:uiPriority w:val="99"/>
    <w:unhideWhenUsed/>
    <w:rsid w:val="0096005A"/>
    <w:rPr>
      <w:color w:val="auto"/>
      <w:u w:val="single"/>
    </w:rPr>
  </w:style>
  <w:style w:type="paragraph" w:styleId="Index4">
    <w:name w:val="index 4"/>
    <w:basedOn w:val="Normal"/>
    <w:next w:val="Normal"/>
    <w:autoRedefine/>
    <w:semiHidden/>
    <w:rsid w:val="0096005A"/>
    <w:pPr>
      <w:ind w:left="800" w:hanging="200"/>
    </w:pPr>
  </w:style>
  <w:style w:type="paragraph" w:styleId="Index5">
    <w:name w:val="index 5"/>
    <w:basedOn w:val="Normal"/>
    <w:next w:val="Normal"/>
    <w:autoRedefine/>
    <w:semiHidden/>
    <w:rsid w:val="0096005A"/>
    <w:pPr>
      <w:ind w:left="1000" w:hanging="200"/>
    </w:pPr>
  </w:style>
  <w:style w:type="paragraph" w:styleId="Index6">
    <w:name w:val="index 6"/>
    <w:basedOn w:val="Normal"/>
    <w:next w:val="Normal"/>
    <w:autoRedefine/>
    <w:semiHidden/>
    <w:rsid w:val="0096005A"/>
    <w:pPr>
      <w:ind w:left="1200" w:hanging="200"/>
    </w:pPr>
  </w:style>
  <w:style w:type="paragraph" w:styleId="Index7">
    <w:name w:val="index 7"/>
    <w:basedOn w:val="Normal"/>
    <w:next w:val="Normal"/>
    <w:autoRedefine/>
    <w:semiHidden/>
    <w:rsid w:val="0096005A"/>
    <w:pPr>
      <w:ind w:left="1400" w:hanging="200"/>
    </w:pPr>
  </w:style>
  <w:style w:type="paragraph" w:styleId="Index8">
    <w:name w:val="index 8"/>
    <w:basedOn w:val="Normal"/>
    <w:next w:val="Normal"/>
    <w:autoRedefine/>
    <w:semiHidden/>
    <w:rsid w:val="0096005A"/>
    <w:pPr>
      <w:ind w:left="1600" w:hanging="200"/>
    </w:pPr>
  </w:style>
  <w:style w:type="paragraph" w:styleId="Index9">
    <w:name w:val="index 9"/>
    <w:basedOn w:val="Normal"/>
    <w:next w:val="Normal"/>
    <w:autoRedefine/>
    <w:semiHidden/>
    <w:rsid w:val="0096005A"/>
    <w:pPr>
      <w:ind w:left="1800" w:hanging="200"/>
    </w:pPr>
  </w:style>
  <w:style w:type="paragraph" w:styleId="MacroText">
    <w:name w:val="macro"/>
    <w:link w:val="MacroTextChar"/>
    <w:unhideWhenUsed/>
    <w:rsid w:val="0096005A"/>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eastAsia="Times New Roman" w:hAnsi="Courier New" w:cs="Courier New"/>
      <w:sz w:val="20"/>
      <w:szCs w:val="20"/>
      <w:lang w:eastAsia="en-AU"/>
    </w:rPr>
  </w:style>
  <w:style w:type="character" w:customStyle="1" w:styleId="MacroTextChar">
    <w:name w:val="Macro Text Char"/>
    <w:basedOn w:val="DefaultParagraphFont"/>
    <w:link w:val="MacroText"/>
    <w:rsid w:val="0096005A"/>
    <w:rPr>
      <w:rFonts w:ascii="Courier New" w:eastAsia="Times New Roman" w:hAnsi="Courier New" w:cs="Courier New"/>
      <w:sz w:val="20"/>
      <w:szCs w:val="20"/>
      <w:lang w:eastAsia="en-AU"/>
    </w:rPr>
  </w:style>
  <w:style w:type="paragraph" w:styleId="NormalIndent">
    <w:name w:val="Normal Indent"/>
    <w:basedOn w:val="Normal"/>
    <w:rsid w:val="0096005A"/>
    <w:pPr>
      <w:ind w:left="567"/>
    </w:pPr>
  </w:style>
  <w:style w:type="paragraph" w:customStyle="1" w:styleId="NoteTableHeading">
    <w:name w:val="Note Table Heading"/>
    <w:basedOn w:val="HeadingBase"/>
    <w:next w:val="Normal"/>
    <w:rsid w:val="0096005A"/>
    <w:pPr>
      <w:spacing w:before="240"/>
    </w:pPr>
    <w:rPr>
      <w:b/>
      <w:sz w:val="20"/>
    </w:rPr>
  </w:style>
  <w:style w:type="paragraph" w:customStyle="1" w:styleId="OverviewParagraph">
    <w:name w:val="Overview Paragraph"/>
    <w:basedOn w:val="Normal"/>
    <w:rsid w:val="0096005A"/>
    <w:pPr>
      <w:spacing w:before="120" w:after="120" w:line="240" w:lineRule="auto"/>
    </w:pPr>
  </w:style>
  <w:style w:type="character" w:styleId="PageNumber">
    <w:name w:val="page number"/>
    <w:basedOn w:val="DefaultParagraphFont"/>
    <w:rsid w:val="0096005A"/>
    <w:rPr>
      <w:rFonts w:ascii="Arial" w:hAnsi="Arial" w:cs="Arial"/>
    </w:rPr>
  </w:style>
  <w:style w:type="paragraph" w:customStyle="1" w:styleId="SingleParagraph">
    <w:name w:val="Single Paragraph"/>
    <w:basedOn w:val="Normal"/>
    <w:rsid w:val="0096005A"/>
    <w:pPr>
      <w:spacing w:before="0" w:after="0"/>
    </w:pPr>
  </w:style>
  <w:style w:type="paragraph" w:customStyle="1" w:styleId="Source">
    <w:name w:val="Source"/>
    <w:basedOn w:val="Normal"/>
    <w:rsid w:val="0096005A"/>
    <w:pPr>
      <w:tabs>
        <w:tab w:val="left" w:pos="709"/>
      </w:tabs>
      <w:spacing w:before="30" w:line="240" w:lineRule="auto"/>
      <w:ind w:left="709" w:hanging="709"/>
    </w:pPr>
    <w:rPr>
      <w:rFonts w:ascii="Arial" w:hAnsi="Arial"/>
      <w:sz w:val="16"/>
    </w:rPr>
  </w:style>
  <w:style w:type="paragraph" w:customStyle="1" w:styleId="TableColumnHeadingBase">
    <w:name w:val="Table Column Heading Base"/>
    <w:basedOn w:val="Normal"/>
    <w:rsid w:val="0096005A"/>
    <w:pPr>
      <w:spacing w:before="40" w:after="40" w:line="240" w:lineRule="auto"/>
    </w:pPr>
    <w:rPr>
      <w:rFonts w:ascii="Arial Bold" w:hAnsi="Arial Bold"/>
      <w:b/>
      <w:sz w:val="16"/>
    </w:rPr>
  </w:style>
  <w:style w:type="paragraph" w:customStyle="1" w:styleId="TableColumnHeadingCentred">
    <w:name w:val="Table Column Heading Centred"/>
    <w:basedOn w:val="TableColumnHeadingBase"/>
    <w:next w:val="Normal"/>
    <w:rsid w:val="0096005A"/>
    <w:pPr>
      <w:jc w:val="center"/>
    </w:pPr>
  </w:style>
  <w:style w:type="paragraph" w:customStyle="1" w:styleId="TableColumnHeadingLeft">
    <w:name w:val="Table Column Heading Left"/>
    <w:basedOn w:val="TableColumnHeadingBase"/>
    <w:next w:val="Normal"/>
    <w:rsid w:val="0096005A"/>
  </w:style>
  <w:style w:type="paragraph" w:customStyle="1" w:styleId="TableColumnHeadingRight">
    <w:name w:val="Table Column Heading Right"/>
    <w:basedOn w:val="TableColumnHeadingBase"/>
    <w:next w:val="Normal"/>
    <w:rsid w:val="0096005A"/>
    <w:pPr>
      <w:jc w:val="right"/>
    </w:pPr>
  </w:style>
  <w:style w:type="paragraph" w:customStyle="1" w:styleId="TableGraphic">
    <w:name w:val="Table Graphic"/>
    <w:basedOn w:val="Normal"/>
    <w:next w:val="Normal"/>
    <w:link w:val="TableGraphicChar"/>
    <w:rsid w:val="0096005A"/>
    <w:pPr>
      <w:spacing w:after="0" w:line="240" w:lineRule="auto"/>
      <w:ind w:right="-113"/>
    </w:pPr>
  </w:style>
  <w:style w:type="table" w:styleId="TableGrid">
    <w:name w:val="Table Grid"/>
    <w:basedOn w:val="TableNormal"/>
    <w:rsid w:val="0096005A"/>
    <w:pPr>
      <w:spacing w:after="240" w:line="260" w:lineRule="exact"/>
    </w:pPr>
    <w:rPr>
      <w:rFonts w:ascii="Arial" w:eastAsia="Times New Roman" w:hAnsi="Arial"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HeadingBase"/>
    <w:next w:val="TableGraphic"/>
    <w:qFormat/>
    <w:rsid w:val="0096005A"/>
    <w:pPr>
      <w:spacing w:before="120" w:after="20"/>
    </w:pPr>
    <w:rPr>
      <w:b/>
      <w:sz w:val="20"/>
    </w:rPr>
  </w:style>
  <w:style w:type="paragraph" w:customStyle="1" w:styleId="TableHeadingcontinued">
    <w:name w:val="Table Heading continued"/>
    <w:basedOn w:val="HeadingBase"/>
    <w:next w:val="TableGraphic"/>
    <w:rsid w:val="0096005A"/>
    <w:pPr>
      <w:spacing w:before="120" w:after="20"/>
    </w:pPr>
    <w:rPr>
      <w:rFonts w:ascii="Arial Bold" w:hAnsi="Arial Bold"/>
      <w:b/>
      <w:sz w:val="20"/>
    </w:rPr>
  </w:style>
  <w:style w:type="paragraph" w:styleId="TableofFigures">
    <w:name w:val="table of figures"/>
    <w:basedOn w:val="Normal"/>
    <w:next w:val="Normal"/>
    <w:rsid w:val="0096005A"/>
  </w:style>
  <w:style w:type="paragraph" w:customStyle="1" w:styleId="TableTextBase">
    <w:name w:val="Table Text Base"/>
    <w:basedOn w:val="Normal"/>
    <w:rsid w:val="0096005A"/>
    <w:pPr>
      <w:spacing w:before="20" w:after="20" w:line="240" w:lineRule="auto"/>
    </w:pPr>
    <w:rPr>
      <w:rFonts w:ascii="Arial" w:hAnsi="Arial"/>
      <w:sz w:val="16"/>
    </w:rPr>
  </w:style>
  <w:style w:type="paragraph" w:customStyle="1" w:styleId="TableTextCentred">
    <w:name w:val="Table Text Centred"/>
    <w:basedOn w:val="TableTextBase"/>
    <w:rsid w:val="0096005A"/>
    <w:pPr>
      <w:jc w:val="center"/>
    </w:pPr>
  </w:style>
  <w:style w:type="paragraph" w:customStyle="1" w:styleId="TableTextIndented">
    <w:name w:val="Table Text Indented"/>
    <w:basedOn w:val="TableTextBase"/>
    <w:rsid w:val="0096005A"/>
    <w:pPr>
      <w:ind w:left="284"/>
    </w:pPr>
  </w:style>
  <w:style w:type="paragraph" w:customStyle="1" w:styleId="TableTextLeft">
    <w:name w:val="Table Text Left"/>
    <w:basedOn w:val="TableTextBase"/>
    <w:rsid w:val="0096005A"/>
  </w:style>
  <w:style w:type="paragraph" w:customStyle="1" w:styleId="TableTextRight">
    <w:name w:val="Table Text Right"/>
    <w:basedOn w:val="TableTextBase"/>
    <w:rsid w:val="0096005A"/>
    <w:pPr>
      <w:jc w:val="right"/>
    </w:pPr>
  </w:style>
  <w:style w:type="paragraph" w:styleId="TOAHeading">
    <w:name w:val="toa heading"/>
    <w:basedOn w:val="Normal"/>
    <w:next w:val="Normal"/>
    <w:rsid w:val="0096005A"/>
    <w:pPr>
      <w:spacing w:before="120"/>
    </w:pPr>
    <w:rPr>
      <w:rFonts w:ascii="Arial" w:hAnsi="Arial" w:cs="Arial"/>
      <w:b/>
      <w:bCs/>
      <w:sz w:val="24"/>
      <w:szCs w:val="24"/>
    </w:rPr>
  </w:style>
  <w:style w:type="paragraph" w:styleId="TOC1">
    <w:name w:val="toc 1"/>
    <w:basedOn w:val="HeaderBase"/>
    <w:next w:val="Normal"/>
    <w:uiPriority w:val="39"/>
    <w:rsid w:val="0096005A"/>
    <w:pPr>
      <w:keepNext/>
      <w:tabs>
        <w:tab w:val="right" w:leader="dot" w:pos="7700"/>
      </w:tabs>
      <w:spacing w:before="240"/>
      <w:ind w:right="851"/>
    </w:pPr>
    <w:rPr>
      <w:rFonts w:ascii="Arial Bold" w:hAnsi="Arial Bold"/>
      <w:b/>
      <w:color w:val="auto"/>
      <w:sz w:val="20"/>
    </w:rPr>
  </w:style>
  <w:style w:type="paragraph" w:styleId="TOC2">
    <w:name w:val="toc 2"/>
    <w:basedOn w:val="HeadingBase"/>
    <w:next w:val="Normal"/>
    <w:uiPriority w:val="39"/>
    <w:rsid w:val="0096005A"/>
    <w:pPr>
      <w:keepNext w:val="0"/>
      <w:tabs>
        <w:tab w:val="left" w:pos="992"/>
        <w:tab w:val="right" w:leader="dot" w:pos="7700"/>
      </w:tabs>
      <w:spacing w:before="60" w:after="60"/>
      <w:ind w:left="851" w:right="851" w:hanging="851"/>
    </w:pPr>
    <w:rPr>
      <w:sz w:val="18"/>
    </w:rPr>
  </w:style>
  <w:style w:type="paragraph" w:styleId="TOC3">
    <w:name w:val="toc 3"/>
    <w:basedOn w:val="HeadingBase"/>
    <w:next w:val="Normal"/>
    <w:uiPriority w:val="2"/>
    <w:unhideWhenUsed/>
    <w:rsid w:val="0096005A"/>
    <w:pPr>
      <w:tabs>
        <w:tab w:val="right" w:leader="dot" w:pos="7700"/>
      </w:tabs>
      <w:spacing w:before="40"/>
      <w:ind w:right="851"/>
    </w:pPr>
    <w:rPr>
      <w:sz w:val="20"/>
    </w:rPr>
  </w:style>
  <w:style w:type="paragraph" w:styleId="TOC4">
    <w:name w:val="toc 4"/>
    <w:basedOn w:val="HeadingBase"/>
    <w:next w:val="Normal"/>
    <w:uiPriority w:val="2"/>
    <w:unhideWhenUsed/>
    <w:rsid w:val="0096005A"/>
    <w:pPr>
      <w:tabs>
        <w:tab w:val="right" w:leader="dot" w:pos="7700"/>
      </w:tabs>
      <w:spacing w:before="40"/>
      <w:ind w:right="851"/>
    </w:pPr>
    <w:rPr>
      <w:sz w:val="20"/>
    </w:rPr>
  </w:style>
  <w:style w:type="paragraph" w:styleId="TOC5">
    <w:name w:val="toc 5"/>
    <w:basedOn w:val="Normal"/>
    <w:next w:val="Normal"/>
    <w:autoRedefine/>
    <w:uiPriority w:val="2"/>
    <w:semiHidden/>
    <w:rsid w:val="0096005A"/>
    <w:pPr>
      <w:tabs>
        <w:tab w:val="left" w:pos="851"/>
        <w:tab w:val="right" w:leader="dot" w:pos="7700"/>
      </w:tabs>
      <w:ind w:left="896" w:hanging="896"/>
    </w:pPr>
    <w:rPr>
      <w:rFonts w:ascii="Arial" w:hAnsi="Arial"/>
      <w:noProof/>
      <w:color w:val="002B54"/>
    </w:rPr>
  </w:style>
  <w:style w:type="paragraph" w:styleId="TOC6">
    <w:name w:val="toc 6"/>
    <w:basedOn w:val="TOC4"/>
    <w:next w:val="Normal"/>
    <w:uiPriority w:val="2"/>
    <w:semiHidden/>
    <w:rsid w:val="0096005A"/>
    <w:pPr>
      <w:tabs>
        <w:tab w:val="left" w:pos="851"/>
      </w:tabs>
      <w:ind w:left="851" w:hanging="851"/>
    </w:pPr>
    <w:rPr>
      <w:color w:val="000000"/>
    </w:rPr>
  </w:style>
  <w:style w:type="paragraph" w:styleId="TOC7">
    <w:name w:val="toc 7"/>
    <w:basedOn w:val="Normal"/>
    <w:next w:val="Normal"/>
    <w:autoRedefine/>
    <w:uiPriority w:val="2"/>
    <w:semiHidden/>
    <w:rsid w:val="0096005A"/>
    <w:pPr>
      <w:ind w:left="1200"/>
    </w:pPr>
  </w:style>
  <w:style w:type="paragraph" w:styleId="TOC8">
    <w:name w:val="toc 8"/>
    <w:basedOn w:val="Normal"/>
    <w:next w:val="Normal"/>
    <w:autoRedefine/>
    <w:uiPriority w:val="2"/>
    <w:semiHidden/>
    <w:rsid w:val="0096005A"/>
    <w:pPr>
      <w:ind w:left="1400"/>
    </w:pPr>
  </w:style>
  <w:style w:type="paragraph" w:styleId="TOC9">
    <w:name w:val="toc 9"/>
    <w:basedOn w:val="Normal"/>
    <w:next w:val="Normal"/>
    <w:autoRedefine/>
    <w:uiPriority w:val="2"/>
    <w:semiHidden/>
    <w:rsid w:val="0096005A"/>
    <w:pPr>
      <w:ind w:left="1600"/>
    </w:pPr>
  </w:style>
  <w:style w:type="paragraph" w:customStyle="1" w:styleId="TPHeading1">
    <w:name w:val="TP Heading 1"/>
    <w:basedOn w:val="HeadingBase"/>
    <w:semiHidden/>
    <w:rsid w:val="0096005A"/>
    <w:pPr>
      <w:spacing w:before="60" w:after="60"/>
      <w:ind w:left="1134"/>
    </w:pPr>
    <w:rPr>
      <w:rFonts w:ascii="Arial Bold" w:hAnsi="Arial Bold"/>
      <w:b/>
      <w:caps/>
      <w:spacing w:val="-10"/>
      <w:sz w:val="28"/>
    </w:rPr>
  </w:style>
  <w:style w:type="paragraph" w:customStyle="1" w:styleId="TPHeading2">
    <w:name w:val="TP Heading 2"/>
    <w:basedOn w:val="HeadingBase"/>
    <w:semiHidden/>
    <w:rsid w:val="0096005A"/>
    <w:pPr>
      <w:ind w:left="1134"/>
    </w:pPr>
    <w:rPr>
      <w:caps/>
      <w:spacing w:val="-10"/>
      <w:sz w:val="28"/>
    </w:rPr>
  </w:style>
  <w:style w:type="paragraph" w:customStyle="1" w:styleId="TPHeading3">
    <w:name w:val="TP Heading 3"/>
    <w:basedOn w:val="HeadingBase"/>
    <w:semiHidden/>
    <w:rsid w:val="0096005A"/>
    <w:pPr>
      <w:ind w:left="1134"/>
    </w:pPr>
    <w:rPr>
      <w:caps/>
      <w:spacing w:val="-10"/>
    </w:rPr>
  </w:style>
  <w:style w:type="paragraph" w:customStyle="1" w:styleId="TPHeading3bold">
    <w:name w:val="TP Heading 3 bold"/>
    <w:basedOn w:val="TPHeading3"/>
    <w:semiHidden/>
    <w:rsid w:val="0096005A"/>
    <w:rPr>
      <w:rFonts w:cs="Arial"/>
      <w:b/>
      <w:sz w:val="22"/>
      <w:szCs w:val="22"/>
    </w:rPr>
  </w:style>
  <w:style w:type="paragraph" w:customStyle="1" w:styleId="TPHEADING3boldspace">
    <w:name w:val="TP HEADING 3 bold space"/>
    <w:basedOn w:val="TPHeading3bold"/>
    <w:semiHidden/>
    <w:rsid w:val="0096005A"/>
    <w:pPr>
      <w:spacing w:after="120"/>
    </w:pPr>
  </w:style>
  <w:style w:type="paragraph" w:customStyle="1" w:styleId="TPHEADING3space">
    <w:name w:val="TP HEADING 3 space"/>
    <w:basedOn w:val="TPHeading3"/>
    <w:semiHidden/>
    <w:rsid w:val="0096005A"/>
    <w:pPr>
      <w:spacing w:before="120" w:after="120"/>
    </w:pPr>
    <w:rPr>
      <w:rFonts w:cs="Arial"/>
      <w:sz w:val="22"/>
      <w:szCs w:val="22"/>
    </w:rPr>
  </w:style>
  <w:style w:type="paragraph" w:customStyle="1" w:styleId="TPHeading4">
    <w:name w:val="TP Heading 4"/>
    <w:basedOn w:val="TPHeading3"/>
    <w:semiHidden/>
    <w:rsid w:val="0096005A"/>
    <w:rPr>
      <w:sz w:val="20"/>
    </w:rPr>
  </w:style>
  <w:style w:type="paragraph" w:customStyle="1" w:styleId="TPHEADING4space">
    <w:name w:val="TP HEADING 4 space"/>
    <w:basedOn w:val="TPHEADING3space"/>
    <w:semiHidden/>
    <w:rsid w:val="0096005A"/>
  </w:style>
  <w:style w:type="paragraph" w:customStyle="1" w:styleId="ChartLine">
    <w:name w:val="Chart Line"/>
    <w:basedOn w:val="Normal"/>
    <w:autoRedefine/>
    <w:qFormat/>
    <w:rsid w:val="0096005A"/>
    <w:pPr>
      <w:pBdr>
        <w:bottom w:val="single" w:sz="4" w:space="2" w:color="626A77" w:themeColor="background2" w:themeShade="E6"/>
      </w:pBdr>
      <w:spacing w:before="0" w:line="240" w:lineRule="auto"/>
    </w:pPr>
    <w:rPr>
      <w:noProof/>
      <w:sz w:val="4"/>
      <w:szCs w:val="4"/>
    </w:rPr>
  </w:style>
  <w:style w:type="paragraph" w:customStyle="1" w:styleId="ChartMainHeading">
    <w:name w:val="Chart Main Heading"/>
    <w:basedOn w:val="Normal"/>
    <w:next w:val="ChartGraphic"/>
    <w:rsid w:val="0096005A"/>
    <w:pPr>
      <w:keepNext/>
      <w:spacing w:before="120" w:after="20" w:line="240" w:lineRule="auto"/>
    </w:pPr>
    <w:rPr>
      <w:rFonts w:asciiTheme="majorHAnsi" w:hAnsiTheme="majorHAnsi"/>
      <w:b/>
      <w:sz w:val="20"/>
    </w:rPr>
  </w:style>
  <w:style w:type="character" w:customStyle="1" w:styleId="BoxHeading-Continued">
    <w:name w:val="Box Heading - Continued"/>
    <w:uiPriority w:val="1"/>
    <w:qFormat/>
    <w:rsid w:val="0096005A"/>
    <w:rPr>
      <w:sz w:val="16"/>
    </w:rPr>
  </w:style>
  <w:style w:type="paragraph" w:customStyle="1" w:styleId="Box-continuedon">
    <w:name w:val="Box - continued on"/>
    <w:basedOn w:val="Normal"/>
    <w:qFormat/>
    <w:rsid w:val="0096005A"/>
    <w:pPr>
      <w:jc w:val="right"/>
    </w:pPr>
    <w:rPr>
      <w:rFonts w:asciiTheme="majorHAnsi" w:hAnsiTheme="majorHAnsi" w:cstheme="majorHAnsi"/>
      <w:i/>
      <w:iCs/>
      <w:sz w:val="18"/>
      <w:szCs w:val="24"/>
    </w:rPr>
  </w:style>
  <w:style w:type="paragraph" w:customStyle="1" w:styleId="BoxHeading2">
    <w:name w:val="Box Heading 2"/>
    <w:basedOn w:val="BoxHeading"/>
    <w:autoRedefine/>
    <w:rsid w:val="0096005A"/>
    <w:pPr>
      <w:spacing w:after="0"/>
    </w:pPr>
    <w:rPr>
      <w:b w:val="0"/>
      <w:bCs/>
      <w:szCs w:val="14"/>
    </w:rPr>
  </w:style>
  <w:style w:type="character" w:customStyle="1" w:styleId="Heading9Char">
    <w:name w:val="Heading 9 Char"/>
    <w:basedOn w:val="DefaultParagraphFont"/>
    <w:link w:val="Heading9"/>
    <w:uiPriority w:val="9"/>
    <w:rsid w:val="0096005A"/>
    <w:rPr>
      <w:rFonts w:ascii="Cambria" w:eastAsia="Times New Roman" w:hAnsi="Cambria" w:cs="Times New Roman"/>
      <w:lang w:eastAsia="en-AU"/>
    </w:rPr>
  </w:style>
  <w:style w:type="paragraph" w:customStyle="1" w:styleId="GhostLine">
    <w:name w:val="Ghost Line"/>
    <w:basedOn w:val="NoSpacing"/>
    <w:qFormat/>
    <w:rsid w:val="0096005A"/>
    <w:pPr>
      <w:jc w:val="both"/>
    </w:pPr>
    <w:rPr>
      <w:rFonts w:ascii="Book Antiqua" w:hAnsi="Book Antiqua"/>
      <w:sz w:val="2"/>
    </w:rPr>
  </w:style>
  <w:style w:type="paragraph" w:styleId="NoSpacing">
    <w:name w:val="No Spacing"/>
    <w:uiPriority w:val="1"/>
    <w:qFormat/>
    <w:rsid w:val="0096005A"/>
    <w:pPr>
      <w:spacing w:after="0" w:line="240" w:lineRule="auto"/>
    </w:pPr>
    <w:rPr>
      <w:rFonts w:eastAsia="Times New Roman" w:cs="Times New Roman"/>
      <w:sz w:val="19"/>
      <w:szCs w:val="20"/>
      <w:lang w:eastAsia="en-AU"/>
    </w:rPr>
  </w:style>
  <w:style w:type="character" w:customStyle="1" w:styleId="ChartandTableFootnoteAlphaChar">
    <w:name w:val="Chart and Table Footnote Alpha Char"/>
    <w:link w:val="ChartandTableFootnoteAlpha"/>
    <w:rsid w:val="00ED485A"/>
    <w:rPr>
      <w:rFonts w:ascii="Arial" w:eastAsia="Times New Roman" w:hAnsi="Arial" w:cs="Times New Roman"/>
      <w:color w:val="000000"/>
      <w:sz w:val="16"/>
      <w:szCs w:val="20"/>
      <w:lang w:eastAsia="en-AU"/>
    </w:rPr>
  </w:style>
  <w:style w:type="paragraph" w:customStyle="1" w:styleId="StatementWhite">
    <w:name w:val="Statement White"/>
    <w:basedOn w:val="Normal"/>
    <w:autoRedefine/>
    <w:qFormat/>
    <w:rsid w:val="00ED485A"/>
    <w:pPr>
      <w:textboxTightWrap w:val="firstAndLastLine"/>
    </w:pPr>
    <w:rPr>
      <w:rFonts w:asciiTheme="minorHAnsi" w:hAnsiTheme="minorHAnsi" w:cstheme="minorHAnsi"/>
      <w:color w:val="FFFFFF" w:themeColor="background1"/>
      <w:kern w:val="18"/>
      <w:sz w:val="18"/>
    </w:rPr>
  </w:style>
  <w:style w:type="paragraph" w:customStyle="1" w:styleId="FooterOddWHITE">
    <w:name w:val="Footer Odd WHITE"/>
    <w:basedOn w:val="FooterOdd"/>
    <w:qFormat/>
    <w:rsid w:val="00ED485A"/>
    <w:pPr>
      <w:pBdr>
        <w:top w:val="single" w:sz="4" w:space="10" w:color="FFFFFF" w:themeColor="background1"/>
      </w:pBdr>
    </w:pPr>
    <w:rPr>
      <w:color w:val="FFFFFF" w:themeColor="background1"/>
    </w:rPr>
  </w:style>
  <w:style w:type="paragraph" w:customStyle="1" w:styleId="BoxSubHeading">
    <w:name w:val="Box Sub Heading"/>
    <w:basedOn w:val="Heading6"/>
    <w:rsid w:val="00ED485A"/>
    <w:pPr>
      <w:spacing w:before="120" w:after="40"/>
    </w:pPr>
  </w:style>
  <w:style w:type="paragraph" w:customStyle="1" w:styleId="ChartHeading">
    <w:name w:val="Chart Heading"/>
    <w:basedOn w:val="HeadingBase"/>
    <w:next w:val="ChartGraphic"/>
    <w:qFormat/>
    <w:rsid w:val="00ED485A"/>
    <w:pPr>
      <w:spacing w:before="120" w:after="20"/>
    </w:pPr>
    <w:rPr>
      <w:b/>
      <w:sz w:val="20"/>
    </w:rPr>
  </w:style>
  <w:style w:type="character" w:styleId="EndnoteReference">
    <w:name w:val="endnote reference"/>
    <w:basedOn w:val="DefaultParagraphFont"/>
    <w:unhideWhenUsed/>
    <w:rsid w:val="00ED485A"/>
    <w:rPr>
      <w:vertAlign w:val="superscript"/>
    </w:rPr>
  </w:style>
  <w:style w:type="paragraph" w:styleId="EndnoteText">
    <w:name w:val="endnote text"/>
    <w:basedOn w:val="Normal"/>
    <w:link w:val="EndnoteTextChar"/>
    <w:unhideWhenUsed/>
    <w:rsid w:val="00ED485A"/>
    <w:rPr>
      <w:rFonts w:asciiTheme="minorHAnsi" w:hAnsiTheme="minorHAnsi"/>
    </w:rPr>
  </w:style>
  <w:style w:type="character" w:customStyle="1" w:styleId="EndnoteTextChar">
    <w:name w:val="Endnote Text Char"/>
    <w:basedOn w:val="DefaultParagraphFont"/>
    <w:link w:val="EndnoteText"/>
    <w:rsid w:val="00ED485A"/>
    <w:rPr>
      <w:rFonts w:eastAsia="Times New Roman" w:cs="Times New Roman"/>
      <w:sz w:val="19"/>
      <w:szCs w:val="20"/>
      <w:lang w:eastAsia="en-AU"/>
    </w:rPr>
  </w:style>
  <w:style w:type="paragraph" w:styleId="Index1">
    <w:name w:val="index 1"/>
    <w:basedOn w:val="Normal"/>
    <w:next w:val="Normal"/>
    <w:rsid w:val="00ED485A"/>
    <w:pPr>
      <w:ind w:left="200" w:hanging="200"/>
    </w:pPr>
    <w:rPr>
      <w:rFonts w:asciiTheme="minorHAnsi" w:hAnsiTheme="minorHAnsi"/>
    </w:rPr>
  </w:style>
  <w:style w:type="paragraph" w:styleId="Index2">
    <w:name w:val="index 2"/>
    <w:basedOn w:val="Normal"/>
    <w:next w:val="Normal"/>
    <w:rsid w:val="00ED485A"/>
    <w:pPr>
      <w:ind w:left="400" w:hanging="200"/>
    </w:pPr>
    <w:rPr>
      <w:rFonts w:asciiTheme="minorHAnsi" w:hAnsiTheme="minorHAnsi"/>
    </w:rPr>
  </w:style>
  <w:style w:type="paragraph" w:styleId="Index3">
    <w:name w:val="index 3"/>
    <w:basedOn w:val="Normal"/>
    <w:next w:val="Normal"/>
    <w:rsid w:val="00ED485A"/>
    <w:pPr>
      <w:ind w:left="600" w:hanging="200"/>
    </w:pPr>
    <w:rPr>
      <w:rFonts w:asciiTheme="minorHAnsi" w:hAnsiTheme="minorHAnsi"/>
    </w:rPr>
  </w:style>
  <w:style w:type="paragraph" w:styleId="IndexHeading">
    <w:name w:val="index heading"/>
    <w:basedOn w:val="Normal"/>
    <w:next w:val="Index1"/>
    <w:rsid w:val="00ED485A"/>
    <w:rPr>
      <w:rFonts w:ascii="Arial Bold" w:hAnsi="Arial Bold" w:cs="Arial"/>
      <w:b/>
      <w:bCs/>
      <w:color w:val="002B54"/>
    </w:rPr>
  </w:style>
  <w:style w:type="paragraph" w:styleId="TableofAuthorities">
    <w:name w:val="table of authorities"/>
    <w:basedOn w:val="Normal"/>
    <w:next w:val="Normal"/>
    <w:rsid w:val="00ED485A"/>
    <w:pPr>
      <w:ind w:left="200" w:hanging="200"/>
    </w:pPr>
    <w:rPr>
      <w:rFonts w:asciiTheme="minorHAnsi" w:hAnsiTheme="minorHAnsi"/>
    </w:rPr>
  </w:style>
  <w:style w:type="paragraph" w:customStyle="1" w:styleId="StatementWhite-Bullet">
    <w:name w:val="Statement White - Bullet"/>
    <w:basedOn w:val="Bullet"/>
    <w:qFormat/>
    <w:rsid w:val="00ED485A"/>
    <w:pPr>
      <w:numPr>
        <w:numId w:val="0"/>
      </w:numPr>
      <w:tabs>
        <w:tab w:val="num" w:pos="283"/>
      </w:tabs>
      <w:ind w:left="284" w:hanging="284"/>
    </w:pPr>
    <w:rPr>
      <w:rFonts w:asciiTheme="minorHAnsi" w:hAnsiTheme="minorHAnsi"/>
      <w:color w:val="FFFFFF" w:themeColor="background1"/>
    </w:rPr>
  </w:style>
  <w:style w:type="character" w:customStyle="1" w:styleId="BoxTextChar">
    <w:name w:val="Box Text Char"/>
    <w:basedOn w:val="DefaultParagraphFont"/>
    <w:link w:val="BoxText"/>
    <w:rsid w:val="0096005A"/>
    <w:rPr>
      <w:rFonts w:ascii="Book Antiqua" w:eastAsia="Times New Roman" w:hAnsi="Book Antiqua" w:cs="Times New Roman"/>
      <w:sz w:val="19"/>
      <w:szCs w:val="20"/>
      <w:lang w:eastAsia="en-AU"/>
    </w:rPr>
  </w:style>
  <w:style w:type="character" w:customStyle="1" w:styleId="BulletChar">
    <w:name w:val="Bullet Char"/>
    <w:aliases w:val="b Char,Body Char,Bullet + line Char,b + line Char,b + line Char Char,b Char Char,b1 Char,level 1 Char,Bullets Char,Number Char,L Char,List Paragraph Char,List Paragraph1 Char,List Paragraph11 Char,List Paragraph2 Char,Recommendation Char"/>
    <w:link w:val="Bullet"/>
    <w:qFormat/>
    <w:locked/>
    <w:rsid w:val="00ED485A"/>
    <w:rPr>
      <w:rFonts w:ascii="Book Antiqua" w:eastAsia="Times New Roman" w:hAnsi="Book Antiqua" w:cs="Times New Roman"/>
      <w:sz w:val="19"/>
      <w:szCs w:val="20"/>
      <w:lang w:eastAsia="en-AU"/>
    </w:rPr>
  </w:style>
  <w:style w:type="paragraph" w:customStyle="1" w:styleId="AppendixHeading">
    <w:name w:val="Appendix Heading"/>
    <w:basedOn w:val="HeadingBase"/>
    <w:rsid w:val="00ED485A"/>
    <w:pPr>
      <w:spacing w:after="240"/>
      <w:outlineLvl w:val="3"/>
    </w:pPr>
    <w:rPr>
      <w:rFonts w:ascii="Arial Bold" w:hAnsi="Arial Bold"/>
      <w:b/>
      <w:sz w:val="30"/>
    </w:rPr>
  </w:style>
  <w:style w:type="paragraph" w:customStyle="1" w:styleId="ContentsnoToC">
    <w:name w:val="Contents no ToC"/>
    <w:basedOn w:val="ContentsHeading"/>
    <w:rsid w:val="00ED485A"/>
    <w:pPr>
      <w:jc w:val="center"/>
    </w:pPr>
    <w:rPr>
      <w:kern w:val="0"/>
    </w:rPr>
  </w:style>
  <w:style w:type="paragraph" w:customStyle="1" w:styleId="SourceBox">
    <w:name w:val="Source Box"/>
    <w:basedOn w:val="Source"/>
    <w:rsid w:val="00ED485A"/>
    <w:pPr>
      <w:spacing w:before="0" w:after="120"/>
      <w:jc w:val="both"/>
    </w:pPr>
  </w:style>
  <w:style w:type="paragraph" w:customStyle="1" w:styleId="Boxcontinuedover">
    <w:name w:val="Box continued over"/>
    <w:basedOn w:val="BoxText"/>
    <w:qFormat/>
    <w:rsid w:val="00ED485A"/>
    <w:pPr>
      <w:spacing w:before="240" w:after="0"/>
      <w:jc w:val="right"/>
    </w:pPr>
    <w:rPr>
      <w:rFonts w:ascii="Arial" w:hAnsi="Arial"/>
      <w:b/>
      <w:bCs/>
      <w:sz w:val="18"/>
      <w:szCs w:val="16"/>
    </w:rPr>
  </w:style>
  <w:style w:type="character" w:customStyle="1" w:styleId="TableGraphicChar">
    <w:name w:val="Table Graphic Char"/>
    <w:link w:val="TableGraphic"/>
    <w:rsid w:val="00ED485A"/>
    <w:rPr>
      <w:rFonts w:ascii="Book Antiqua" w:eastAsia="Times New Roman" w:hAnsi="Book Antiqua" w:cs="Times New Roman"/>
      <w:sz w:val="19"/>
      <w:szCs w:val="20"/>
      <w:lang w:eastAsia="en-AU"/>
    </w:rPr>
  </w:style>
  <w:style w:type="paragraph" w:styleId="BodyText">
    <w:name w:val="Body Text"/>
    <w:basedOn w:val="Normal"/>
    <w:link w:val="BodyTextChar"/>
    <w:uiPriority w:val="1"/>
    <w:qFormat/>
    <w:rsid w:val="00ED485A"/>
    <w:pPr>
      <w:widowControl w:val="0"/>
      <w:spacing w:before="0" w:after="0" w:line="240" w:lineRule="auto"/>
    </w:pPr>
    <w:rPr>
      <w:rFonts w:eastAsia="Book Antiqua" w:cs="Book Antiqua"/>
      <w:sz w:val="20"/>
      <w:lang w:val="en-US" w:eastAsia="en-US"/>
    </w:rPr>
  </w:style>
  <w:style w:type="character" w:customStyle="1" w:styleId="BodyTextChar">
    <w:name w:val="Body Text Char"/>
    <w:basedOn w:val="DefaultParagraphFont"/>
    <w:link w:val="BodyText"/>
    <w:uiPriority w:val="1"/>
    <w:rsid w:val="00ED485A"/>
    <w:rPr>
      <w:rFonts w:ascii="Book Antiqua" w:eastAsia="Book Antiqua" w:hAnsi="Book Antiqua" w:cs="Book Antiqua"/>
      <w:sz w:val="20"/>
      <w:szCs w:val="20"/>
      <w:lang w:val="en-US"/>
    </w:rPr>
  </w:style>
  <w:style w:type="paragraph" w:styleId="Revision">
    <w:name w:val="Revision"/>
    <w:hidden/>
    <w:uiPriority w:val="99"/>
    <w:semiHidden/>
    <w:rsid w:val="00ED485A"/>
    <w:pPr>
      <w:spacing w:after="0" w:line="240" w:lineRule="auto"/>
    </w:pPr>
    <w:rPr>
      <w:rFonts w:ascii="Book Antiqua" w:eastAsia="Times New Roman" w:hAnsi="Book Antiqua" w:cs="Times New Roman"/>
      <w:sz w:val="20"/>
      <w:szCs w:val="20"/>
      <w:lang w:eastAsia="en-AU"/>
    </w:rPr>
  </w:style>
  <w:style w:type="paragraph" w:styleId="ListParagraph">
    <w:name w:val="List Paragraph"/>
    <w:basedOn w:val="Normal"/>
    <w:uiPriority w:val="34"/>
    <w:qFormat/>
    <w:rsid w:val="00ED485A"/>
    <w:pPr>
      <w:spacing w:before="0" w:after="160" w:line="259" w:lineRule="auto"/>
      <w:ind w:left="720"/>
      <w:contextualSpacing/>
    </w:pPr>
    <w:rPr>
      <w:rFonts w:ascii="Calibri" w:eastAsia="Calibri" w:hAnsi="Calibri"/>
      <w:sz w:val="22"/>
      <w:szCs w:val="22"/>
      <w:lang w:eastAsia="en-US"/>
    </w:rPr>
  </w:style>
  <w:style w:type="character" w:styleId="Emphasis">
    <w:name w:val="Emphasis"/>
    <w:basedOn w:val="DefaultParagraphFont"/>
    <w:uiPriority w:val="20"/>
    <w:rsid w:val="00B274E4"/>
    <w:rPr>
      <w:i/>
      <w:iCs/>
    </w:rPr>
  </w:style>
  <w:style w:type="character" w:styleId="FollowedHyperlink">
    <w:name w:val="FollowedHyperlink"/>
    <w:basedOn w:val="DefaultParagraphFont"/>
    <w:uiPriority w:val="99"/>
    <w:semiHidden/>
    <w:unhideWhenUsed/>
    <w:rsid w:val="00ED485A"/>
    <w:rPr>
      <w:color w:val="E61E26" w:themeColor="followedHyperlink"/>
      <w:u w:val="single"/>
    </w:rPr>
  </w:style>
  <w:style w:type="paragraph" w:customStyle="1" w:styleId="Default">
    <w:name w:val="Default"/>
    <w:rsid w:val="00ED485A"/>
    <w:pPr>
      <w:autoSpaceDE w:val="0"/>
      <w:autoSpaceDN w:val="0"/>
      <w:adjustRightInd w:val="0"/>
      <w:spacing w:after="0" w:line="240" w:lineRule="auto"/>
    </w:pPr>
    <w:rPr>
      <w:rFonts w:ascii="Book Antiqua" w:hAnsi="Book Antiqua" w:cs="Book Antiqua"/>
      <w:color w:val="000000"/>
      <w:sz w:val="24"/>
      <w:szCs w:val="24"/>
    </w:rPr>
  </w:style>
  <w:style w:type="character" w:styleId="UnresolvedMention">
    <w:name w:val="Unresolved Mention"/>
    <w:basedOn w:val="DefaultParagraphFont"/>
    <w:uiPriority w:val="99"/>
    <w:semiHidden/>
    <w:unhideWhenUsed/>
    <w:rsid w:val="00ED485A"/>
    <w:rPr>
      <w:color w:val="605E5C"/>
      <w:shd w:val="clear" w:color="auto" w:fill="E1DFDD"/>
    </w:rPr>
  </w:style>
  <w:style w:type="character" w:styleId="PlaceholderText">
    <w:name w:val="Placeholder Text"/>
    <w:basedOn w:val="DefaultParagraphFont"/>
    <w:uiPriority w:val="99"/>
    <w:semiHidden/>
    <w:rsid w:val="00ED485A"/>
    <w:rPr>
      <w:color w:val="808080"/>
    </w:rPr>
  </w:style>
  <w:style w:type="character" w:styleId="CommentReference">
    <w:name w:val="annotation reference"/>
    <w:basedOn w:val="DefaultParagraphFont"/>
    <w:rsid w:val="0096005A"/>
    <w:rPr>
      <w:sz w:val="16"/>
      <w:szCs w:val="16"/>
    </w:rPr>
  </w:style>
  <w:style w:type="character" w:customStyle="1" w:styleId="FramedHeader">
    <w:name w:val="Framed Header"/>
    <w:basedOn w:val="DefaultParagraphFont"/>
    <w:rsid w:val="0096005A"/>
    <w:rPr>
      <w:rFonts w:ascii="Book Antiqua" w:hAnsi="Book Antiqua"/>
      <w:i/>
      <w:dstrike w:val="0"/>
      <w:color w:val="auto"/>
      <w:sz w:val="20"/>
      <w:vertAlign w:val="baseline"/>
    </w:rPr>
  </w:style>
  <w:style w:type="paragraph" w:styleId="NormalWeb">
    <w:name w:val="Normal (Web)"/>
    <w:basedOn w:val="Normal"/>
    <w:uiPriority w:val="99"/>
    <w:semiHidden/>
    <w:unhideWhenUsed/>
    <w:rsid w:val="008D4F6B"/>
    <w:rPr>
      <w:rFonts w:ascii="Times New Roman" w:hAnsi="Times New Roman"/>
      <w:sz w:val="24"/>
      <w:szCs w:val="24"/>
    </w:rPr>
  </w:style>
  <w:style w:type="character" w:customStyle="1" w:styleId="HiddenSequenceCode">
    <w:name w:val="Hidden Sequence Code"/>
    <w:basedOn w:val="DefaultParagraphFont"/>
    <w:rsid w:val="0096005A"/>
    <w:rPr>
      <w:rFonts w:ascii="Times New Roman" w:hAnsi="Times New Roman"/>
      <w:vanish/>
      <w:sz w:val="16"/>
    </w:rPr>
  </w:style>
  <w:style w:type="character" w:customStyle="1" w:styleId="cf01">
    <w:name w:val="cf01"/>
    <w:basedOn w:val="DefaultParagraphFont"/>
    <w:rsid w:val="004C67B4"/>
    <w:rPr>
      <w:rFonts w:ascii="Segoe UI" w:hAnsi="Segoe UI" w:cs="Segoe UI" w:hint="default"/>
      <w:sz w:val="18"/>
      <w:szCs w:val="18"/>
    </w:rPr>
  </w:style>
  <w:style w:type="character" w:customStyle="1" w:styleId="cf11">
    <w:name w:val="cf11"/>
    <w:basedOn w:val="DefaultParagraphFont"/>
    <w:rsid w:val="004C67B4"/>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61487">
      <w:bodyDiv w:val="1"/>
      <w:marLeft w:val="0"/>
      <w:marRight w:val="0"/>
      <w:marTop w:val="0"/>
      <w:marBottom w:val="0"/>
      <w:divBdr>
        <w:top w:val="none" w:sz="0" w:space="0" w:color="auto"/>
        <w:left w:val="none" w:sz="0" w:space="0" w:color="auto"/>
        <w:bottom w:val="none" w:sz="0" w:space="0" w:color="auto"/>
        <w:right w:val="none" w:sz="0" w:space="0" w:color="auto"/>
      </w:divBdr>
    </w:div>
    <w:div w:id="50425026">
      <w:bodyDiv w:val="1"/>
      <w:marLeft w:val="0"/>
      <w:marRight w:val="0"/>
      <w:marTop w:val="0"/>
      <w:marBottom w:val="0"/>
      <w:divBdr>
        <w:top w:val="none" w:sz="0" w:space="0" w:color="auto"/>
        <w:left w:val="none" w:sz="0" w:space="0" w:color="auto"/>
        <w:bottom w:val="none" w:sz="0" w:space="0" w:color="auto"/>
        <w:right w:val="none" w:sz="0" w:space="0" w:color="auto"/>
      </w:divBdr>
    </w:div>
    <w:div w:id="84882567">
      <w:bodyDiv w:val="1"/>
      <w:marLeft w:val="0"/>
      <w:marRight w:val="0"/>
      <w:marTop w:val="0"/>
      <w:marBottom w:val="0"/>
      <w:divBdr>
        <w:top w:val="none" w:sz="0" w:space="0" w:color="auto"/>
        <w:left w:val="none" w:sz="0" w:space="0" w:color="auto"/>
        <w:bottom w:val="none" w:sz="0" w:space="0" w:color="auto"/>
        <w:right w:val="none" w:sz="0" w:space="0" w:color="auto"/>
      </w:divBdr>
    </w:div>
    <w:div w:id="163589172">
      <w:bodyDiv w:val="1"/>
      <w:marLeft w:val="0"/>
      <w:marRight w:val="0"/>
      <w:marTop w:val="0"/>
      <w:marBottom w:val="0"/>
      <w:divBdr>
        <w:top w:val="none" w:sz="0" w:space="0" w:color="auto"/>
        <w:left w:val="none" w:sz="0" w:space="0" w:color="auto"/>
        <w:bottom w:val="none" w:sz="0" w:space="0" w:color="auto"/>
        <w:right w:val="none" w:sz="0" w:space="0" w:color="auto"/>
      </w:divBdr>
    </w:div>
    <w:div w:id="171720635">
      <w:bodyDiv w:val="1"/>
      <w:marLeft w:val="0"/>
      <w:marRight w:val="0"/>
      <w:marTop w:val="0"/>
      <w:marBottom w:val="0"/>
      <w:divBdr>
        <w:top w:val="none" w:sz="0" w:space="0" w:color="auto"/>
        <w:left w:val="none" w:sz="0" w:space="0" w:color="auto"/>
        <w:bottom w:val="none" w:sz="0" w:space="0" w:color="auto"/>
        <w:right w:val="none" w:sz="0" w:space="0" w:color="auto"/>
      </w:divBdr>
    </w:div>
    <w:div w:id="204951661">
      <w:bodyDiv w:val="1"/>
      <w:marLeft w:val="0"/>
      <w:marRight w:val="0"/>
      <w:marTop w:val="0"/>
      <w:marBottom w:val="0"/>
      <w:divBdr>
        <w:top w:val="none" w:sz="0" w:space="0" w:color="auto"/>
        <w:left w:val="none" w:sz="0" w:space="0" w:color="auto"/>
        <w:bottom w:val="none" w:sz="0" w:space="0" w:color="auto"/>
        <w:right w:val="none" w:sz="0" w:space="0" w:color="auto"/>
      </w:divBdr>
    </w:div>
    <w:div w:id="218712104">
      <w:bodyDiv w:val="1"/>
      <w:marLeft w:val="0"/>
      <w:marRight w:val="0"/>
      <w:marTop w:val="0"/>
      <w:marBottom w:val="0"/>
      <w:divBdr>
        <w:top w:val="none" w:sz="0" w:space="0" w:color="auto"/>
        <w:left w:val="none" w:sz="0" w:space="0" w:color="auto"/>
        <w:bottom w:val="none" w:sz="0" w:space="0" w:color="auto"/>
        <w:right w:val="none" w:sz="0" w:space="0" w:color="auto"/>
      </w:divBdr>
    </w:div>
    <w:div w:id="226384218">
      <w:bodyDiv w:val="1"/>
      <w:marLeft w:val="0"/>
      <w:marRight w:val="0"/>
      <w:marTop w:val="0"/>
      <w:marBottom w:val="0"/>
      <w:divBdr>
        <w:top w:val="none" w:sz="0" w:space="0" w:color="auto"/>
        <w:left w:val="none" w:sz="0" w:space="0" w:color="auto"/>
        <w:bottom w:val="none" w:sz="0" w:space="0" w:color="auto"/>
        <w:right w:val="none" w:sz="0" w:space="0" w:color="auto"/>
      </w:divBdr>
    </w:div>
    <w:div w:id="239565767">
      <w:bodyDiv w:val="1"/>
      <w:marLeft w:val="0"/>
      <w:marRight w:val="0"/>
      <w:marTop w:val="0"/>
      <w:marBottom w:val="0"/>
      <w:divBdr>
        <w:top w:val="none" w:sz="0" w:space="0" w:color="auto"/>
        <w:left w:val="none" w:sz="0" w:space="0" w:color="auto"/>
        <w:bottom w:val="none" w:sz="0" w:space="0" w:color="auto"/>
        <w:right w:val="none" w:sz="0" w:space="0" w:color="auto"/>
      </w:divBdr>
    </w:div>
    <w:div w:id="242683531">
      <w:bodyDiv w:val="1"/>
      <w:marLeft w:val="0"/>
      <w:marRight w:val="0"/>
      <w:marTop w:val="0"/>
      <w:marBottom w:val="0"/>
      <w:divBdr>
        <w:top w:val="none" w:sz="0" w:space="0" w:color="auto"/>
        <w:left w:val="none" w:sz="0" w:space="0" w:color="auto"/>
        <w:bottom w:val="none" w:sz="0" w:space="0" w:color="auto"/>
        <w:right w:val="none" w:sz="0" w:space="0" w:color="auto"/>
      </w:divBdr>
    </w:div>
    <w:div w:id="269316161">
      <w:bodyDiv w:val="1"/>
      <w:marLeft w:val="0"/>
      <w:marRight w:val="0"/>
      <w:marTop w:val="0"/>
      <w:marBottom w:val="0"/>
      <w:divBdr>
        <w:top w:val="none" w:sz="0" w:space="0" w:color="auto"/>
        <w:left w:val="none" w:sz="0" w:space="0" w:color="auto"/>
        <w:bottom w:val="none" w:sz="0" w:space="0" w:color="auto"/>
        <w:right w:val="none" w:sz="0" w:space="0" w:color="auto"/>
      </w:divBdr>
    </w:div>
    <w:div w:id="286738884">
      <w:bodyDiv w:val="1"/>
      <w:marLeft w:val="0"/>
      <w:marRight w:val="0"/>
      <w:marTop w:val="0"/>
      <w:marBottom w:val="0"/>
      <w:divBdr>
        <w:top w:val="none" w:sz="0" w:space="0" w:color="auto"/>
        <w:left w:val="none" w:sz="0" w:space="0" w:color="auto"/>
        <w:bottom w:val="none" w:sz="0" w:space="0" w:color="auto"/>
        <w:right w:val="none" w:sz="0" w:space="0" w:color="auto"/>
      </w:divBdr>
    </w:div>
    <w:div w:id="298657602">
      <w:bodyDiv w:val="1"/>
      <w:marLeft w:val="0"/>
      <w:marRight w:val="0"/>
      <w:marTop w:val="0"/>
      <w:marBottom w:val="0"/>
      <w:divBdr>
        <w:top w:val="none" w:sz="0" w:space="0" w:color="auto"/>
        <w:left w:val="none" w:sz="0" w:space="0" w:color="auto"/>
        <w:bottom w:val="none" w:sz="0" w:space="0" w:color="auto"/>
        <w:right w:val="none" w:sz="0" w:space="0" w:color="auto"/>
      </w:divBdr>
    </w:div>
    <w:div w:id="299847496">
      <w:bodyDiv w:val="1"/>
      <w:marLeft w:val="0"/>
      <w:marRight w:val="0"/>
      <w:marTop w:val="0"/>
      <w:marBottom w:val="0"/>
      <w:divBdr>
        <w:top w:val="none" w:sz="0" w:space="0" w:color="auto"/>
        <w:left w:val="none" w:sz="0" w:space="0" w:color="auto"/>
        <w:bottom w:val="none" w:sz="0" w:space="0" w:color="auto"/>
        <w:right w:val="none" w:sz="0" w:space="0" w:color="auto"/>
      </w:divBdr>
    </w:div>
    <w:div w:id="314572845">
      <w:bodyDiv w:val="1"/>
      <w:marLeft w:val="0"/>
      <w:marRight w:val="0"/>
      <w:marTop w:val="0"/>
      <w:marBottom w:val="0"/>
      <w:divBdr>
        <w:top w:val="none" w:sz="0" w:space="0" w:color="auto"/>
        <w:left w:val="none" w:sz="0" w:space="0" w:color="auto"/>
        <w:bottom w:val="none" w:sz="0" w:space="0" w:color="auto"/>
        <w:right w:val="none" w:sz="0" w:space="0" w:color="auto"/>
      </w:divBdr>
    </w:div>
    <w:div w:id="322709218">
      <w:bodyDiv w:val="1"/>
      <w:marLeft w:val="0"/>
      <w:marRight w:val="0"/>
      <w:marTop w:val="0"/>
      <w:marBottom w:val="0"/>
      <w:divBdr>
        <w:top w:val="none" w:sz="0" w:space="0" w:color="auto"/>
        <w:left w:val="none" w:sz="0" w:space="0" w:color="auto"/>
        <w:bottom w:val="none" w:sz="0" w:space="0" w:color="auto"/>
        <w:right w:val="none" w:sz="0" w:space="0" w:color="auto"/>
      </w:divBdr>
    </w:div>
    <w:div w:id="350761462">
      <w:bodyDiv w:val="1"/>
      <w:marLeft w:val="0"/>
      <w:marRight w:val="0"/>
      <w:marTop w:val="0"/>
      <w:marBottom w:val="0"/>
      <w:divBdr>
        <w:top w:val="none" w:sz="0" w:space="0" w:color="auto"/>
        <w:left w:val="none" w:sz="0" w:space="0" w:color="auto"/>
        <w:bottom w:val="none" w:sz="0" w:space="0" w:color="auto"/>
        <w:right w:val="none" w:sz="0" w:space="0" w:color="auto"/>
      </w:divBdr>
    </w:div>
    <w:div w:id="356659731">
      <w:bodyDiv w:val="1"/>
      <w:marLeft w:val="0"/>
      <w:marRight w:val="0"/>
      <w:marTop w:val="0"/>
      <w:marBottom w:val="0"/>
      <w:divBdr>
        <w:top w:val="none" w:sz="0" w:space="0" w:color="auto"/>
        <w:left w:val="none" w:sz="0" w:space="0" w:color="auto"/>
        <w:bottom w:val="none" w:sz="0" w:space="0" w:color="auto"/>
        <w:right w:val="none" w:sz="0" w:space="0" w:color="auto"/>
      </w:divBdr>
    </w:div>
    <w:div w:id="392897626">
      <w:bodyDiv w:val="1"/>
      <w:marLeft w:val="0"/>
      <w:marRight w:val="0"/>
      <w:marTop w:val="0"/>
      <w:marBottom w:val="0"/>
      <w:divBdr>
        <w:top w:val="none" w:sz="0" w:space="0" w:color="auto"/>
        <w:left w:val="none" w:sz="0" w:space="0" w:color="auto"/>
        <w:bottom w:val="none" w:sz="0" w:space="0" w:color="auto"/>
        <w:right w:val="none" w:sz="0" w:space="0" w:color="auto"/>
      </w:divBdr>
    </w:div>
    <w:div w:id="393359901">
      <w:bodyDiv w:val="1"/>
      <w:marLeft w:val="0"/>
      <w:marRight w:val="0"/>
      <w:marTop w:val="0"/>
      <w:marBottom w:val="0"/>
      <w:divBdr>
        <w:top w:val="none" w:sz="0" w:space="0" w:color="auto"/>
        <w:left w:val="none" w:sz="0" w:space="0" w:color="auto"/>
        <w:bottom w:val="none" w:sz="0" w:space="0" w:color="auto"/>
        <w:right w:val="none" w:sz="0" w:space="0" w:color="auto"/>
      </w:divBdr>
    </w:div>
    <w:div w:id="403646552">
      <w:bodyDiv w:val="1"/>
      <w:marLeft w:val="0"/>
      <w:marRight w:val="0"/>
      <w:marTop w:val="0"/>
      <w:marBottom w:val="0"/>
      <w:divBdr>
        <w:top w:val="none" w:sz="0" w:space="0" w:color="auto"/>
        <w:left w:val="none" w:sz="0" w:space="0" w:color="auto"/>
        <w:bottom w:val="none" w:sz="0" w:space="0" w:color="auto"/>
        <w:right w:val="none" w:sz="0" w:space="0" w:color="auto"/>
      </w:divBdr>
    </w:div>
    <w:div w:id="433088688">
      <w:bodyDiv w:val="1"/>
      <w:marLeft w:val="0"/>
      <w:marRight w:val="0"/>
      <w:marTop w:val="0"/>
      <w:marBottom w:val="0"/>
      <w:divBdr>
        <w:top w:val="none" w:sz="0" w:space="0" w:color="auto"/>
        <w:left w:val="none" w:sz="0" w:space="0" w:color="auto"/>
        <w:bottom w:val="none" w:sz="0" w:space="0" w:color="auto"/>
        <w:right w:val="none" w:sz="0" w:space="0" w:color="auto"/>
      </w:divBdr>
    </w:div>
    <w:div w:id="434248674">
      <w:bodyDiv w:val="1"/>
      <w:marLeft w:val="0"/>
      <w:marRight w:val="0"/>
      <w:marTop w:val="0"/>
      <w:marBottom w:val="0"/>
      <w:divBdr>
        <w:top w:val="none" w:sz="0" w:space="0" w:color="auto"/>
        <w:left w:val="none" w:sz="0" w:space="0" w:color="auto"/>
        <w:bottom w:val="none" w:sz="0" w:space="0" w:color="auto"/>
        <w:right w:val="none" w:sz="0" w:space="0" w:color="auto"/>
      </w:divBdr>
    </w:div>
    <w:div w:id="434787886">
      <w:bodyDiv w:val="1"/>
      <w:marLeft w:val="0"/>
      <w:marRight w:val="0"/>
      <w:marTop w:val="0"/>
      <w:marBottom w:val="0"/>
      <w:divBdr>
        <w:top w:val="none" w:sz="0" w:space="0" w:color="auto"/>
        <w:left w:val="none" w:sz="0" w:space="0" w:color="auto"/>
        <w:bottom w:val="none" w:sz="0" w:space="0" w:color="auto"/>
        <w:right w:val="none" w:sz="0" w:space="0" w:color="auto"/>
      </w:divBdr>
    </w:div>
    <w:div w:id="463931553">
      <w:bodyDiv w:val="1"/>
      <w:marLeft w:val="0"/>
      <w:marRight w:val="0"/>
      <w:marTop w:val="0"/>
      <w:marBottom w:val="0"/>
      <w:divBdr>
        <w:top w:val="none" w:sz="0" w:space="0" w:color="auto"/>
        <w:left w:val="none" w:sz="0" w:space="0" w:color="auto"/>
        <w:bottom w:val="none" w:sz="0" w:space="0" w:color="auto"/>
        <w:right w:val="none" w:sz="0" w:space="0" w:color="auto"/>
      </w:divBdr>
    </w:div>
    <w:div w:id="478038231">
      <w:bodyDiv w:val="1"/>
      <w:marLeft w:val="0"/>
      <w:marRight w:val="0"/>
      <w:marTop w:val="0"/>
      <w:marBottom w:val="0"/>
      <w:divBdr>
        <w:top w:val="none" w:sz="0" w:space="0" w:color="auto"/>
        <w:left w:val="none" w:sz="0" w:space="0" w:color="auto"/>
        <w:bottom w:val="none" w:sz="0" w:space="0" w:color="auto"/>
        <w:right w:val="none" w:sz="0" w:space="0" w:color="auto"/>
      </w:divBdr>
    </w:div>
    <w:div w:id="491213208">
      <w:bodyDiv w:val="1"/>
      <w:marLeft w:val="0"/>
      <w:marRight w:val="0"/>
      <w:marTop w:val="0"/>
      <w:marBottom w:val="0"/>
      <w:divBdr>
        <w:top w:val="none" w:sz="0" w:space="0" w:color="auto"/>
        <w:left w:val="none" w:sz="0" w:space="0" w:color="auto"/>
        <w:bottom w:val="none" w:sz="0" w:space="0" w:color="auto"/>
        <w:right w:val="none" w:sz="0" w:space="0" w:color="auto"/>
      </w:divBdr>
    </w:div>
    <w:div w:id="511116103">
      <w:bodyDiv w:val="1"/>
      <w:marLeft w:val="0"/>
      <w:marRight w:val="0"/>
      <w:marTop w:val="0"/>
      <w:marBottom w:val="0"/>
      <w:divBdr>
        <w:top w:val="none" w:sz="0" w:space="0" w:color="auto"/>
        <w:left w:val="none" w:sz="0" w:space="0" w:color="auto"/>
        <w:bottom w:val="none" w:sz="0" w:space="0" w:color="auto"/>
        <w:right w:val="none" w:sz="0" w:space="0" w:color="auto"/>
      </w:divBdr>
    </w:div>
    <w:div w:id="535394041">
      <w:bodyDiv w:val="1"/>
      <w:marLeft w:val="0"/>
      <w:marRight w:val="0"/>
      <w:marTop w:val="0"/>
      <w:marBottom w:val="0"/>
      <w:divBdr>
        <w:top w:val="none" w:sz="0" w:space="0" w:color="auto"/>
        <w:left w:val="none" w:sz="0" w:space="0" w:color="auto"/>
        <w:bottom w:val="none" w:sz="0" w:space="0" w:color="auto"/>
        <w:right w:val="none" w:sz="0" w:space="0" w:color="auto"/>
      </w:divBdr>
    </w:div>
    <w:div w:id="557016695">
      <w:bodyDiv w:val="1"/>
      <w:marLeft w:val="0"/>
      <w:marRight w:val="0"/>
      <w:marTop w:val="0"/>
      <w:marBottom w:val="0"/>
      <w:divBdr>
        <w:top w:val="none" w:sz="0" w:space="0" w:color="auto"/>
        <w:left w:val="none" w:sz="0" w:space="0" w:color="auto"/>
        <w:bottom w:val="none" w:sz="0" w:space="0" w:color="auto"/>
        <w:right w:val="none" w:sz="0" w:space="0" w:color="auto"/>
      </w:divBdr>
    </w:div>
    <w:div w:id="575435498">
      <w:bodyDiv w:val="1"/>
      <w:marLeft w:val="0"/>
      <w:marRight w:val="0"/>
      <w:marTop w:val="0"/>
      <w:marBottom w:val="0"/>
      <w:divBdr>
        <w:top w:val="none" w:sz="0" w:space="0" w:color="auto"/>
        <w:left w:val="none" w:sz="0" w:space="0" w:color="auto"/>
        <w:bottom w:val="none" w:sz="0" w:space="0" w:color="auto"/>
        <w:right w:val="none" w:sz="0" w:space="0" w:color="auto"/>
      </w:divBdr>
    </w:div>
    <w:div w:id="582493530">
      <w:bodyDiv w:val="1"/>
      <w:marLeft w:val="0"/>
      <w:marRight w:val="0"/>
      <w:marTop w:val="0"/>
      <w:marBottom w:val="0"/>
      <w:divBdr>
        <w:top w:val="none" w:sz="0" w:space="0" w:color="auto"/>
        <w:left w:val="none" w:sz="0" w:space="0" w:color="auto"/>
        <w:bottom w:val="none" w:sz="0" w:space="0" w:color="auto"/>
        <w:right w:val="none" w:sz="0" w:space="0" w:color="auto"/>
      </w:divBdr>
    </w:div>
    <w:div w:id="583803622">
      <w:bodyDiv w:val="1"/>
      <w:marLeft w:val="0"/>
      <w:marRight w:val="0"/>
      <w:marTop w:val="0"/>
      <w:marBottom w:val="0"/>
      <w:divBdr>
        <w:top w:val="none" w:sz="0" w:space="0" w:color="auto"/>
        <w:left w:val="none" w:sz="0" w:space="0" w:color="auto"/>
        <w:bottom w:val="none" w:sz="0" w:space="0" w:color="auto"/>
        <w:right w:val="none" w:sz="0" w:space="0" w:color="auto"/>
      </w:divBdr>
    </w:div>
    <w:div w:id="608242368">
      <w:bodyDiv w:val="1"/>
      <w:marLeft w:val="0"/>
      <w:marRight w:val="0"/>
      <w:marTop w:val="0"/>
      <w:marBottom w:val="0"/>
      <w:divBdr>
        <w:top w:val="none" w:sz="0" w:space="0" w:color="auto"/>
        <w:left w:val="none" w:sz="0" w:space="0" w:color="auto"/>
        <w:bottom w:val="none" w:sz="0" w:space="0" w:color="auto"/>
        <w:right w:val="none" w:sz="0" w:space="0" w:color="auto"/>
      </w:divBdr>
    </w:div>
    <w:div w:id="631131490">
      <w:bodyDiv w:val="1"/>
      <w:marLeft w:val="0"/>
      <w:marRight w:val="0"/>
      <w:marTop w:val="0"/>
      <w:marBottom w:val="0"/>
      <w:divBdr>
        <w:top w:val="none" w:sz="0" w:space="0" w:color="auto"/>
        <w:left w:val="none" w:sz="0" w:space="0" w:color="auto"/>
        <w:bottom w:val="none" w:sz="0" w:space="0" w:color="auto"/>
        <w:right w:val="none" w:sz="0" w:space="0" w:color="auto"/>
      </w:divBdr>
    </w:div>
    <w:div w:id="642782769">
      <w:bodyDiv w:val="1"/>
      <w:marLeft w:val="0"/>
      <w:marRight w:val="0"/>
      <w:marTop w:val="0"/>
      <w:marBottom w:val="0"/>
      <w:divBdr>
        <w:top w:val="none" w:sz="0" w:space="0" w:color="auto"/>
        <w:left w:val="none" w:sz="0" w:space="0" w:color="auto"/>
        <w:bottom w:val="none" w:sz="0" w:space="0" w:color="auto"/>
        <w:right w:val="none" w:sz="0" w:space="0" w:color="auto"/>
      </w:divBdr>
    </w:div>
    <w:div w:id="652678391">
      <w:bodyDiv w:val="1"/>
      <w:marLeft w:val="0"/>
      <w:marRight w:val="0"/>
      <w:marTop w:val="0"/>
      <w:marBottom w:val="0"/>
      <w:divBdr>
        <w:top w:val="none" w:sz="0" w:space="0" w:color="auto"/>
        <w:left w:val="none" w:sz="0" w:space="0" w:color="auto"/>
        <w:bottom w:val="none" w:sz="0" w:space="0" w:color="auto"/>
        <w:right w:val="none" w:sz="0" w:space="0" w:color="auto"/>
      </w:divBdr>
    </w:div>
    <w:div w:id="661782609">
      <w:bodyDiv w:val="1"/>
      <w:marLeft w:val="0"/>
      <w:marRight w:val="0"/>
      <w:marTop w:val="0"/>
      <w:marBottom w:val="0"/>
      <w:divBdr>
        <w:top w:val="none" w:sz="0" w:space="0" w:color="auto"/>
        <w:left w:val="none" w:sz="0" w:space="0" w:color="auto"/>
        <w:bottom w:val="none" w:sz="0" w:space="0" w:color="auto"/>
        <w:right w:val="none" w:sz="0" w:space="0" w:color="auto"/>
      </w:divBdr>
    </w:div>
    <w:div w:id="669604478">
      <w:bodyDiv w:val="1"/>
      <w:marLeft w:val="0"/>
      <w:marRight w:val="0"/>
      <w:marTop w:val="0"/>
      <w:marBottom w:val="0"/>
      <w:divBdr>
        <w:top w:val="none" w:sz="0" w:space="0" w:color="auto"/>
        <w:left w:val="none" w:sz="0" w:space="0" w:color="auto"/>
        <w:bottom w:val="none" w:sz="0" w:space="0" w:color="auto"/>
        <w:right w:val="none" w:sz="0" w:space="0" w:color="auto"/>
      </w:divBdr>
    </w:div>
    <w:div w:id="682244670">
      <w:bodyDiv w:val="1"/>
      <w:marLeft w:val="0"/>
      <w:marRight w:val="0"/>
      <w:marTop w:val="0"/>
      <w:marBottom w:val="0"/>
      <w:divBdr>
        <w:top w:val="none" w:sz="0" w:space="0" w:color="auto"/>
        <w:left w:val="none" w:sz="0" w:space="0" w:color="auto"/>
        <w:bottom w:val="none" w:sz="0" w:space="0" w:color="auto"/>
        <w:right w:val="none" w:sz="0" w:space="0" w:color="auto"/>
      </w:divBdr>
    </w:div>
    <w:div w:id="723411496">
      <w:bodyDiv w:val="1"/>
      <w:marLeft w:val="0"/>
      <w:marRight w:val="0"/>
      <w:marTop w:val="0"/>
      <w:marBottom w:val="0"/>
      <w:divBdr>
        <w:top w:val="none" w:sz="0" w:space="0" w:color="auto"/>
        <w:left w:val="none" w:sz="0" w:space="0" w:color="auto"/>
        <w:bottom w:val="none" w:sz="0" w:space="0" w:color="auto"/>
        <w:right w:val="none" w:sz="0" w:space="0" w:color="auto"/>
      </w:divBdr>
    </w:div>
    <w:div w:id="730037991">
      <w:bodyDiv w:val="1"/>
      <w:marLeft w:val="0"/>
      <w:marRight w:val="0"/>
      <w:marTop w:val="0"/>
      <w:marBottom w:val="0"/>
      <w:divBdr>
        <w:top w:val="none" w:sz="0" w:space="0" w:color="auto"/>
        <w:left w:val="none" w:sz="0" w:space="0" w:color="auto"/>
        <w:bottom w:val="none" w:sz="0" w:space="0" w:color="auto"/>
        <w:right w:val="none" w:sz="0" w:space="0" w:color="auto"/>
      </w:divBdr>
    </w:div>
    <w:div w:id="779882756">
      <w:bodyDiv w:val="1"/>
      <w:marLeft w:val="0"/>
      <w:marRight w:val="0"/>
      <w:marTop w:val="0"/>
      <w:marBottom w:val="0"/>
      <w:divBdr>
        <w:top w:val="none" w:sz="0" w:space="0" w:color="auto"/>
        <w:left w:val="none" w:sz="0" w:space="0" w:color="auto"/>
        <w:bottom w:val="none" w:sz="0" w:space="0" w:color="auto"/>
        <w:right w:val="none" w:sz="0" w:space="0" w:color="auto"/>
      </w:divBdr>
    </w:div>
    <w:div w:id="798571021">
      <w:bodyDiv w:val="1"/>
      <w:marLeft w:val="0"/>
      <w:marRight w:val="0"/>
      <w:marTop w:val="0"/>
      <w:marBottom w:val="0"/>
      <w:divBdr>
        <w:top w:val="none" w:sz="0" w:space="0" w:color="auto"/>
        <w:left w:val="none" w:sz="0" w:space="0" w:color="auto"/>
        <w:bottom w:val="none" w:sz="0" w:space="0" w:color="auto"/>
        <w:right w:val="none" w:sz="0" w:space="0" w:color="auto"/>
      </w:divBdr>
    </w:div>
    <w:div w:id="799301116">
      <w:bodyDiv w:val="1"/>
      <w:marLeft w:val="0"/>
      <w:marRight w:val="0"/>
      <w:marTop w:val="0"/>
      <w:marBottom w:val="0"/>
      <w:divBdr>
        <w:top w:val="none" w:sz="0" w:space="0" w:color="auto"/>
        <w:left w:val="none" w:sz="0" w:space="0" w:color="auto"/>
        <w:bottom w:val="none" w:sz="0" w:space="0" w:color="auto"/>
        <w:right w:val="none" w:sz="0" w:space="0" w:color="auto"/>
      </w:divBdr>
    </w:div>
    <w:div w:id="810051005">
      <w:bodyDiv w:val="1"/>
      <w:marLeft w:val="0"/>
      <w:marRight w:val="0"/>
      <w:marTop w:val="0"/>
      <w:marBottom w:val="0"/>
      <w:divBdr>
        <w:top w:val="none" w:sz="0" w:space="0" w:color="auto"/>
        <w:left w:val="none" w:sz="0" w:space="0" w:color="auto"/>
        <w:bottom w:val="none" w:sz="0" w:space="0" w:color="auto"/>
        <w:right w:val="none" w:sz="0" w:space="0" w:color="auto"/>
      </w:divBdr>
    </w:div>
    <w:div w:id="815686068">
      <w:bodyDiv w:val="1"/>
      <w:marLeft w:val="0"/>
      <w:marRight w:val="0"/>
      <w:marTop w:val="0"/>
      <w:marBottom w:val="0"/>
      <w:divBdr>
        <w:top w:val="none" w:sz="0" w:space="0" w:color="auto"/>
        <w:left w:val="none" w:sz="0" w:space="0" w:color="auto"/>
        <w:bottom w:val="none" w:sz="0" w:space="0" w:color="auto"/>
        <w:right w:val="none" w:sz="0" w:space="0" w:color="auto"/>
      </w:divBdr>
    </w:div>
    <w:div w:id="821966837">
      <w:bodyDiv w:val="1"/>
      <w:marLeft w:val="0"/>
      <w:marRight w:val="0"/>
      <w:marTop w:val="0"/>
      <w:marBottom w:val="0"/>
      <w:divBdr>
        <w:top w:val="none" w:sz="0" w:space="0" w:color="auto"/>
        <w:left w:val="none" w:sz="0" w:space="0" w:color="auto"/>
        <w:bottom w:val="none" w:sz="0" w:space="0" w:color="auto"/>
        <w:right w:val="none" w:sz="0" w:space="0" w:color="auto"/>
      </w:divBdr>
    </w:div>
    <w:div w:id="840661372">
      <w:bodyDiv w:val="1"/>
      <w:marLeft w:val="0"/>
      <w:marRight w:val="0"/>
      <w:marTop w:val="0"/>
      <w:marBottom w:val="0"/>
      <w:divBdr>
        <w:top w:val="none" w:sz="0" w:space="0" w:color="auto"/>
        <w:left w:val="none" w:sz="0" w:space="0" w:color="auto"/>
        <w:bottom w:val="none" w:sz="0" w:space="0" w:color="auto"/>
        <w:right w:val="none" w:sz="0" w:space="0" w:color="auto"/>
      </w:divBdr>
    </w:div>
    <w:div w:id="842473164">
      <w:bodyDiv w:val="1"/>
      <w:marLeft w:val="0"/>
      <w:marRight w:val="0"/>
      <w:marTop w:val="0"/>
      <w:marBottom w:val="0"/>
      <w:divBdr>
        <w:top w:val="none" w:sz="0" w:space="0" w:color="auto"/>
        <w:left w:val="none" w:sz="0" w:space="0" w:color="auto"/>
        <w:bottom w:val="none" w:sz="0" w:space="0" w:color="auto"/>
        <w:right w:val="none" w:sz="0" w:space="0" w:color="auto"/>
      </w:divBdr>
    </w:div>
    <w:div w:id="849444753">
      <w:bodyDiv w:val="1"/>
      <w:marLeft w:val="0"/>
      <w:marRight w:val="0"/>
      <w:marTop w:val="0"/>
      <w:marBottom w:val="0"/>
      <w:divBdr>
        <w:top w:val="none" w:sz="0" w:space="0" w:color="auto"/>
        <w:left w:val="none" w:sz="0" w:space="0" w:color="auto"/>
        <w:bottom w:val="none" w:sz="0" w:space="0" w:color="auto"/>
        <w:right w:val="none" w:sz="0" w:space="0" w:color="auto"/>
      </w:divBdr>
    </w:div>
    <w:div w:id="862010059">
      <w:bodyDiv w:val="1"/>
      <w:marLeft w:val="0"/>
      <w:marRight w:val="0"/>
      <w:marTop w:val="0"/>
      <w:marBottom w:val="0"/>
      <w:divBdr>
        <w:top w:val="none" w:sz="0" w:space="0" w:color="auto"/>
        <w:left w:val="none" w:sz="0" w:space="0" w:color="auto"/>
        <w:bottom w:val="none" w:sz="0" w:space="0" w:color="auto"/>
        <w:right w:val="none" w:sz="0" w:space="0" w:color="auto"/>
      </w:divBdr>
    </w:div>
    <w:div w:id="883981017">
      <w:bodyDiv w:val="1"/>
      <w:marLeft w:val="0"/>
      <w:marRight w:val="0"/>
      <w:marTop w:val="0"/>
      <w:marBottom w:val="0"/>
      <w:divBdr>
        <w:top w:val="none" w:sz="0" w:space="0" w:color="auto"/>
        <w:left w:val="none" w:sz="0" w:space="0" w:color="auto"/>
        <w:bottom w:val="none" w:sz="0" w:space="0" w:color="auto"/>
        <w:right w:val="none" w:sz="0" w:space="0" w:color="auto"/>
      </w:divBdr>
    </w:div>
    <w:div w:id="885411485">
      <w:bodyDiv w:val="1"/>
      <w:marLeft w:val="0"/>
      <w:marRight w:val="0"/>
      <w:marTop w:val="0"/>
      <w:marBottom w:val="0"/>
      <w:divBdr>
        <w:top w:val="none" w:sz="0" w:space="0" w:color="auto"/>
        <w:left w:val="none" w:sz="0" w:space="0" w:color="auto"/>
        <w:bottom w:val="none" w:sz="0" w:space="0" w:color="auto"/>
        <w:right w:val="none" w:sz="0" w:space="0" w:color="auto"/>
      </w:divBdr>
    </w:div>
    <w:div w:id="914585733">
      <w:bodyDiv w:val="1"/>
      <w:marLeft w:val="0"/>
      <w:marRight w:val="0"/>
      <w:marTop w:val="0"/>
      <w:marBottom w:val="0"/>
      <w:divBdr>
        <w:top w:val="none" w:sz="0" w:space="0" w:color="auto"/>
        <w:left w:val="none" w:sz="0" w:space="0" w:color="auto"/>
        <w:bottom w:val="none" w:sz="0" w:space="0" w:color="auto"/>
        <w:right w:val="none" w:sz="0" w:space="0" w:color="auto"/>
      </w:divBdr>
    </w:div>
    <w:div w:id="916477284">
      <w:bodyDiv w:val="1"/>
      <w:marLeft w:val="0"/>
      <w:marRight w:val="0"/>
      <w:marTop w:val="0"/>
      <w:marBottom w:val="0"/>
      <w:divBdr>
        <w:top w:val="none" w:sz="0" w:space="0" w:color="auto"/>
        <w:left w:val="none" w:sz="0" w:space="0" w:color="auto"/>
        <w:bottom w:val="none" w:sz="0" w:space="0" w:color="auto"/>
        <w:right w:val="none" w:sz="0" w:space="0" w:color="auto"/>
      </w:divBdr>
    </w:div>
    <w:div w:id="919027925">
      <w:bodyDiv w:val="1"/>
      <w:marLeft w:val="0"/>
      <w:marRight w:val="0"/>
      <w:marTop w:val="0"/>
      <w:marBottom w:val="0"/>
      <w:divBdr>
        <w:top w:val="none" w:sz="0" w:space="0" w:color="auto"/>
        <w:left w:val="none" w:sz="0" w:space="0" w:color="auto"/>
        <w:bottom w:val="none" w:sz="0" w:space="0" w:color="auto"/>
        <w:right w:val="none" w:sz="0" w:space="0" w:color="auto"/>
      </w:divBdr>
    </w:div>
    <w:div w:id="923102447">
      <w:bodyDiv w:val="1"/>
      <w:marLeft w:val="0"/>
      <w:marRight w:val="0"/>
      <w:marTop w:val="0"/>
      <w:marBottom w:val="0"/>
      <w:divBdr>
        <w:top w:val="none" w:sz="0" w:space="0" w:color="auto"/>
        <w:left w:val="none" w:sz="0" w:space="0" w:color="auto"/>
        <w:bottom w:val="none" w:sz="0" w:space="0" w:color="auto"/>
        <w:right w:val="none" w:sz="0" w:space="0" w:color="auto"/>
      </w:divBdr>
    </w:div>
    <w:div w:id="924385501">
      <w:bodyDiv w:val="1"/>
      <w:marLeft w:val="0"/>
      <w:marRight w:val="0"/>
      <w:marTop w:val="0"/>
      <w:marBottom w:val="0"/>
      <w:divBdr>
        <w:top w:val="none" w:sz="0" w:space="0" w:color="auto"/>
        <w:left w:val="none" w:sz="0" w:space="0" w:color="auto"/>
        <w:bottom w:val="none" w:sz="0" w:space="0" w:color="auto"/>
        <w:right w:val="none" w:sz="0" w:space="0" w:color="auto"/>
      </w:divBdr>
    </w:div>
    <w:div w:id="933783282">
      <w:bodyDiv w:val="1"/>
      <w:marLeft w:val="0"/>
      <w:marRight w:val="0"/>
      <w:marTop w:val="0"/>
      <w:marBottom w:val="0"/>
      <w:divBdr>
        <w:top w:val="none" w:sz="0" w:space="0" w:color="auto"/>
        <w:left w:val="none" w:sz="0" w:space="0" w:color="auto"/>
        <w:bottom w:val="none" w:sz="0" w:space="0" w:color="auto"/>
        <w:right w:val="none" w:sz="0" w:space="0" w:color="auto"/>
      </w:divBdr>
    </w:div>
    <w:div w:id="943029302">
      <w:bodyDiv w:val="1"/>
      <w:marLeft w:val="0"/>
      <w:marRight w:val="0"/>
      <w:marTop w:val="0"/>
      <w:marBottom w:val="0"/>
      <w:divBdr>
        <w:top w:val="none" w:sz="0" w:space="0" w:color="auto"/>
        <w:left w:val="none" w:sz="0" w:space="0" w:color="auto"/>
        <w:bottom w:val="none" w:sz="0" w:space="0" w:color="auto"/>
        <w:right w:val="none" w:sz="0" w:space="0" w:color="auto"/>
      </w:divBdr>
    </w:div>
    <w:div w:id="993724031">
      <w:bodyDiv w:val="1"/>
      <w:marLeft w:val="0"/>
      <w:marRight w:val="0"/>
      <w:marTop w:val="0"/>
      <w:marBottom w:val="0"/>
      <w:divBdr>
        <w:top w:val="none" w:sz="0" w:space="0" w:color="auto"/>
        <w:left w:val="none" w:sz="0" w:space="0" w:color="auto"/>
        <w:bottom w:val="none" w:sz="0" w:space="0" w:color="auto"/>
        <w:right w:val="none" w:sz="0" w:space="0" w:color="auto"/>
      </w:divBdr>
    </w:div>
    <w:div w:id="1027877668">
      <w:bodyDiv w:val="1"/>
      <w:marLeft w:val="0"/>
      <w:marRight w:val="0"/>
      <w:marTop w:val="0"/>
      <w:marBottom w:val="0"/>
      <w:divBdr>
        <w:top w:val="none" w:sz="0" w:space="0" w:color="auto"/>
        <w:left w:val="none" w:sz="0" w:space="0" w:color="auto"/>
        <w:bottom w:val="none" w:sz="0" w:space="0" w:color="auto"/>
        <w:right w:val="none" w:sz="0" w:space="0" w:color="auto"/>
      </w:divBdr>
    </w:div>
    <w:div w:id="1049844524">
      <w:bodyDiv w:val="1"/>
      <w:marLeft w:val="0"/>
      <w:marRight w:val="0"/>
      <w:marTop w:val="0"/>
      <w:marBottom w:val="0"/>
      <w:divBdr>
        <w:top w:val="none" w:sz="0" w:space="0" w:color="auto"/>
        <w:left w:val="none" w:sz="0" w:space="0" w:color="auto"/>
        <w:bottom w:val="none" w:sz="0" w:space="0" w:color="auto"/>
        <w:right w:val="none" w:sz="0" w:space="0" w:color="auto"/>
      </w:divBdr>
    </w:div>
    <w:div w:id="1050031344">
      <w:bodyDiv w:val="1"/>
      <w:marLeft w:val="0"/>
      <w:marRight w:val="0"/>
      <w:marTop w:val="0"/>
      <w:marBottom w:val="0"/>
      <w:divBdr>
        <w:top w:val="none" w:sz="0" w:space="0" w:color="auto"/>
        <w:left w:val="none" w:sz="0" w:space="0" w:color="auto"/>
        <w:bottom w:val="none" w:sz="0" w:space="0" w:color="auto"/>
        <w:right w:val="none" w:sz="0" w:space="0" w:color="auto"/>
      </w:divBdr>
    </w:div>
    <w:div w:id="1057437355">
      <w:bodyDiv w:val="1"/>
      <w:marLeft w:val="0"/>
      <w:marRight w:val="0"/>
      <w:marTop w:val="0"/>
      <w:marBottom w:val="0"/>
      <w:divBdr>
        <w:top w:val="none" w:sz="0" w:space="0" w:color="auto"/>
        <w:left w:val="none" w:sz="0" w:space="0" w:color="auto"/>
        <w:bottom w:val="none" w:sz="0" w:space="0" w:color="auto"/>
        <w:right w:val="none" w:sz="0" w:space="0" w:color="auto"/>
      </w:divBdr>
    </w:div>
    <w:div w:id="1067458525">
      <w:bodyDiv w:val="1"/>
      <w:marLeft w:val="0"/>
      <w:marRight w:val="0"/>
      <w:marTop w:val="0"/>
      <w:marBottom w:val="0"/>
      <w:divBdr>
        <w:top w:val="none" w:sz="0" w:space="0" w:color="auto"/>
        <w:left w:val="none" w:sz="0" w:space="0" w:color="auto"/>
        <w:bottom w:val="none" w:sz="0" w:space="0" w:color="auto"/>
        <w:right w:val="none" w:sz="0" w:space="0" w:color="auto"/>
      </w:divBdr>
    </w:div>
    <w:div w:id="1090782496">
      <w:bodyDiv w:val="1"/>
      <w:marLeft w:val="0"/>
      <w:marRight w:val="0"/>
      <w:marTop w:val="0"/>
      <w:marBottom w:val="0"/>
      <w:divBdr>
        <w:top w:val="none" w:sz="0" w:space="0" w:color="auto"/>
        <w:left w:val="none" w:sz="0" w:space="0" w:color="auto"/>
        <w:bottom w:val="none" w:sz="0" w:space="0" w:color="auto"/>
        <w:right w:val="none" w:sz="0" w:space="0" w:color="auto"/>
      </w:divBdr>
    </w:div>
    <w:div w:id="1154177583">
      <w:bodyDiv w:val="1"/>
      <w:marLeft w:val="0"/>
      <w:marRight w:val="0"/>
      <w:marTop w:val="0"/>
      <w:marBottom w:val="0"/>
      <w:divBdr>
        <w:top w:val="none" w:sz="0" w:space="0" w:color="auto"/>
        <w:left w:val="none" w:sz="0" w:space="0" w:color="auto"/>
        <w:bottom w:val="none" w:sz="0" w:space="0" w:color="auto"/>
        <w:right w:val="none" w:sz="0" w:space="0" w:color="auto"/>
      </w:divBdr>
    </w:div>
    <w:div w:id="1164469535">
      <w:bodyDiv w:val="1"/>
      <w:marLeft w:val="0"/>
      <w:marRight w:val="0"/>
      <w:marTop w:val="0"/>
      <w:marBottom w:val="0"/>
      <w:divBdr>
        <w:top w:val="none" w:sz="0" w:space="0" w:color="auto"/>
        <w:left w:val="none" w:sz="0" w:space="0" w:color="auto"/>
        <w:bottom w:val="none" w:sz="0" w:space="0" w:color="auto"/>
        <w:right w:val="none" w:sz="0" w:space="0" w:color="auto"/>
      </w:divBdr>
    </w:div>
    <w:div w:id="1178077562">
      <w:bodyDiv w:val="1"/>
      <w:marLeft w:val="0"/>
      <w:marRight w:val="0"/>
      <w:marTop w:val="0"/>
      <w:marBottom w:val="0"/>
      <w:divBdr>
        <w:top w:val="none" w:sz="0" w:space="0" w:color="auto"/>
        <w:left w:val="none" w:sz="0" w:space="0" w:color="auto"/>
        <w:bottom w:val="none" w:sz="0" w:space="0" w:color="auto"/>
        <w:right w:val="none" w:sz="0" w:space="0" w:color="auto"/>
      </w:divBdr>
    </w:div>
    <w:div w:id="1181048011">
      <w:bodyDiv w:val="1"/>
      <w:marLeft w:val="0"/>
      <w:marRight w:val="0"/>
      <w:marTop w:val="0"/>
      <w:marBottom w:val="0"/>
      <w:divBdr>
        <w:top w:val="none" w:sz="0" w:space="0" w:color="auto"/>
        <w:left w:val="none" w:sz="0" w:space="0" w:color="auto"/>
        <w:bottom w:val="none" w:sz="0" w:space="0" w:color="auto"/>
        <w:right w:val="none" w:sz="0" w:space="0" w:color="auto"/>
      </w:divBdr>
    </w:div>
    <w:div w:id="1183933668">
      <w:bodyDiv w:val="1"/>
      <w:marLeft w:val="0"/>
      <w:marRight w:val="0"/>
      <w:marTop w:val="0"/>
      <w:marBottom w:val="0"/>
      <w:divBdr>
        <w:top w:val="none" w:sz="0" w:space="0" w:color="auto"/>
        <w:left w:val="none" w:sz="0" w:space="0" w:color="auto"/>
        <w:bottom w:val="none" w:sz="0" w:space="0" w:color="auto"/>
        <w:right w:val="none" w:sz="0" w:space="0" w:color="auto"/>
      </w:divBdr>
    </w:div>
    <w:div w:id="1229531386">
      <w:bodyDiv w:val="1"/>
      <w:marLeft w:val="0"/>
      <w:marRight w:val="0"/>
      <w:marTop w:val="0"/>
      <w:marBottom w:val="0"/>
      <w:divBdr>
        <w:top w:val="none" w:sz="0" w:space="0" w:color="auto"/>
        <w:left w:val="none" w:sz="0" w:space="0" w:color="auto"/>
        <w:bottom w:val="none" w:sz="0" w:space="0" w:color="auto"/>
        <w:right w:val="none" w:sz="0" w:space="0" w:color="auto"/>
      </w:divBdr>
    </w:div>
    <w:div w:id="1259868051">
      <w:bodyDiv w:val="1"/>
      <w:marLeft w:val="0"/>
      <w:marRight w:val="0"/>
      <w:marTop w:val="0"/>
      <w:marBottom w:val="0"/>
      <w:divBdr>
        <w:top w:val="none" w:sz="0" w:space="0" w:color="auto"/>
        <w:left w:val="none" w:sz="0" w:space="0" w:color="auto"/>
        <w:bottom w:val="none" w:sz="0" w:space="0" w:color="auto"/>
        <w:right w:val="none" w:sz="0" w:space="0" w:color="auto"/>
      </w:divBdr>
    </w:div>
    <w:div w:id="1267497016">
      <w:bodyDiv w:val="1"/>
      <w:marLeft w:val="0"/>
      <w:marRight w:val="0"/>
      <w:marTop w:val="0"/>
      <w:marBottom w:val="0"/>
      <w:divBdr>
        <w:top w:val="none" w:sz="0" w:space="0" w:color="auto"/>
        <w:left w:val="none" w:sz="0" w:space="0" w:color="auto"/>
        <w:bottom w:val="none" w:sz="0" w:space="0" w:color="auto"/>
        <w:right w:val="none" w:sz="0" w:space="0" w:color="auto"/>
      </w:divBdr>
    </w:div>
    <w:div w:id="1272543637">
      <w:bodyDiv w:val="1"/>
      <w:marLeft w:val="0"/>
      <w:marRight w:val="0"/>
      <w:marTop w:val="0"/>
      <w:marBottom w:val="0"/>
      <w:divBdr>
        <w:top w:val="none" w:sz="0" w:space="0" w:color="auto"/>
        <w:left w:val="none" w:sz="0" w:space="0" w:color="auto"/>
        <w:bottom w:val="none" w:sz="0" w:space="0" w:color="auto"/>
        <w:right w:val="none" w:sz="0" w:space="0" w:color="auto"/>
      </w:divBdr>
    </w:div>
    <w:div w:id="1285113083">
      <w:bodyDiv w:val="1"/>
      <w:marLeft w:val="0"/>
      <w:marRight w:val="0"/>
      <w:marTop w:val="0"/>
      <w:marBottom w:val="0"/>
      <w:divBdr>
        <w:top w:val="none" w:sz="0" w:space="0" w:color="auto"/>
        <w:left w:val="none" w:sz="0" w:space="0" w:color="auto"/>
        <w:bottom w:val="none" w:sz="0" w:space="0" w:color="auto"/>
        <w:right w:val="none" w:sz="0" w:space="0" w:color="auto"/>
      </w:divBdr>
    </w:div>
    <w:div w:id="1301964182">
      <w:bodyDiv w:val="1"/>
      <w:marLeft w:val="0"/>
      <w:marRight w:val="0"/>
      <w:marTop w:val="0"/>
      <w:marBottom w:val="0"/>
      <w:divBdr>
        <w:top w:val="none" w:sz="0" w:space="0" w:color="auto"/>
        <w:left w:val="none" w:sz="0" w:space="0" w:color="auto"/>
        <w:bottom w:val="none" w:sz="0" w:space="0" w:color="auto"/>
        <w:right w:val="none" w:sz="0" w:space="0" w:color="auto"/>
      </w:divBdr>
    </w:div>
    <w:div w:id="1302032239">
      <w:bodyDiv w:val="1"/>
      <w:marLeft w:val="0"/>
      <w:marRight w:val="0"/>
      <w:marTop w:val="0"/>
      <w:marBottom w:val="0"/>
      <w:divBdr>
        <w:top w:val="none" w:sz="0" w:space="0" w:color="auto"/>
        <w:left w:val="none" w:sz="0" w:space="0" w:color="auto"/>
        <w:bottom w:val="none" w:sz="0" w:space="0" w:color="auto"/>
        <w:right w:val="none" w:sz="0" w:space="0" w:color="auto"/>
      </w:divBdr>
    </w:div>
    <w:div w:id="1306932447">
      <w:bodyDiv w:val="1"/>
      <w:marLeft w:val="0"/>
      <w:marRight w:val="0"/>
      <w:marTop w:val="0"/>
      <w:marBottom w:val="0"/>
      <w:divBdr>
        <w:top w:val="none" w:sz="0" w:space="0" w:color="auto"/>
        <w:left w:val="none" w:sz="0" w:space="0" w:color="auto"/>
        <w:bottom w:val="none" w:sz="0" w:space="0" w:color="auto"/>
        <w:right w:val="none" w:sz="0" w:space="0" w:color="auto"/>
      </w:divBdr>
    </w:div>
    <w:div w:id="1311517684">
      <w:bodyDiv w:val="1"/>
      <w:marLeft w:val="0"/>
      <w:marRight w:val="0"/>
      <w:marTop w:val="0"/>
      <w:marBottom w:val="0"/>
      <w:divBdr>
        <w:top w:val="none" w:sz="0" w:space="0" w:color="auto"/>
        <w:left w:val="none" w:sz="0" w:space="0" w:color="auto"/>
        <w:bottom w:val="none" w:sz="0" w:space="0" w:color="auto"/>
        <w:right w:val="none" w:sz="0" w:space="0" w:color="auto"/>
      </w:divBdr>
    </w:div>
    <w:div w:id="1320571284">
      <w:bodyDiv w:val="1"/>
      <w:marLeft w:val="0"/>
      <w:marRight w:val="0"/>
      <w:marTop w:val="0"/>
      <w:marBottom w:val="0"/>
      <w:divBdr>
        <w:top w:val="none" w:sz="0" w:space="0" w:color="auto"/>
        <w:left w:val="none" w:sz="0" w:space="0" w:color="auto"/>
        <w:bottom w:val="none" w:sz="0" w:space="0" w:color="auto"/>
        <w:right w:val="none" w:sz="0" w:space="0" w:color="auto"/>
      </w:divBdr>
    </w:div>
    <w:div w:id="1332832911">
      <w:bodyDiv w:val="1"/>
      <w:marLeft w:val="0"/>
      <w:marRight w:val="0"/>
      <w:marTop w:val="0"/>
      <w:marBottom w:val="0"/>
      <w:divBdr>
        <w:top w:val="none" w:sz="0" w:space="0" w:color="auto"/>
        <w:left w:val="none" w:sz="0" w:space="0" w:color="auto"/>
        <w:bottom w:val="none" w:sz="0" w:space="0" w:color="auto"/>
        <w:right w:val="none" w:sz="0" w:space="0" w:color="auto"/>
      </w:divBdr>
    </w:div>
    <w:div w:id="1342388038">
      <w:bodyDiv w:val="1"/>
      <w:marLeft w:val="0"/>
      <w:marRight w:val="0"/>
      <w:marTop w:val="0"/>
      <w:marBottom w:val="0"/>
      <w:divBdr>
        <w:top w:val="none" w:sz="0" w:space="0" w:color="auto"/>
        <w:left w:val="none" w:sz="0" w:space="0" w:color="auto"/>
        <w:bottom w:val="none" w:sz="0" w:space="0" w:color="auto"/>
        <w:right w:val="none" w:sz="0" w:space="0" w:color="auto"/>
      </w:divBdr>
    </w:div>
    <w:div w:id="1347488724">
      <w:bodyDiv w:val="1"/>
      <w:marLeft w:val="0"/>
      <w:marRight w:val="0"/>
      <w:marTop w:val="0"/>
      <w:marBottom w:val="0"/>
      <w:divBdr>
        <w:top w:val="none" w:sz="0" w:space="0" w:color="auto"/>
        <w:left w:val="none" w:sz="0" w:space="0" w:color="auto"/>
        <w:bottom w:val="none" w:sz="0" w:space="0" w:color="auto"/>
        <w:right w:val="none" w:sz="0" w:space="0" w:color="auto"/>
      </w:divBdr>
    </w:div>
    <w:div w:id="1351954620">
      <w:bodyDiv w:val="1"/>
      <w:marLeft w:val="0"/>
      <w:marRight w:val="0"/>
      <w:marTop w:val="0"/>
      <w:marBottom w:val="0"/>
      <w:divBdr>
        <w:top w:val="none" w:sz="0" w:space="0" w:color="auto"/>
        <w:left w:val="none" w:sz="0" w:space="0" w:color="auto"/>
        <w:bottom w:val="none" w:sz="0" w:space="0" w:color="auto"/>
        <w:right w:val="none" w:sz="0" w:space="0" w:color="auto"/>
      </w:divBdr>
    </w:div>
    <w:div w:id="1360936986">
      <w:bodyDiv w:val="1"/>
      <w:marLeft w:val="0"/>
      <w:marRight w:val="0"/>
      <w:marTop w:val="0"/>
      <w:marBottom w:val="0"/>
      <w:divBdr>
        <w:top w:val="none" w:sz="0" w:space="0" w:color="auto"/>
        <w:left w:val="none" w:sz="0" w:space="0" w:color="auto"/>
        <w:bottom w:val="none" w:sz="0" w:space="0" w:color="auto"/>
        <w:right w:val="none" w:sz="0" w:space="0" w:color="auto"/>
      </w:divBdr>
    </w:div>
    <w:div w:id="1400326550">
      <w:bodyDiv w:val="1"/>
      <w:marLeft w:val="0"/>
      <w:marRight w:val="0"/>
      <w:marTop w:val="0"/>
      <w:marBottom w:val="0"/>
      <w:divBdr>
        <w:top w:val="none" w:sz="0" w:space="0" w:color="auto"/>
        <w:left w:val="none" w:sz="0" w:space="0" w:color="auto"/>
        <w:bottom w:val="none" w:sz="0" w:space="0" w:color="auto"/>
        <w:right w:val="none" w:sz="0" w:space="0" w:color="auto"/>
      </w:divBdr>
    </w:div>
    <w:div w:id="1441873069">
      <w:bodyDiv w:val="1"/>
      <w:marLeft w:val="0"/>
      <w:marRight w:val="0"/>
      <w:marTop w:val="0"/>
      <w:marBottom w:val="0"/>
      <w:divBdr>
        <w:top w:val="none" w:sz="0" w:space="0" w:color="auto"/>
        <w:left w:val="none" w:sz="0" w:space="0" w:color="auto"/>
        <w:bottom w:val="none" w:sz="0" w:space="0" w:color="auto"/>
        <w:right w:val="none" w:sz="0" w:space="0" w:color="auto"/>
      </w:divBdr>
    </w:div>
    <w:div w:id="1458448741">
      <w:bodyDiv w:val="1"/>
      <w:marLeft w:val="0"/>
      <w:marRight w:val="0"/>
      <w:marTop w:val="0"/>
      <w:marBottom w:val="0"/>
      <w:divBdr>
        <w:top w:val="none" w:sz="0" w:space="0" w:color="auto"/>
        <w:left w:val="none" w:sz="0" w:space="0" w:color="auto"/>
        <w:bottom w:val="none" w:sz="0" w:space="0" w:color="auto"/>
        <w:right w:val="none" w:sz="0" w:space="0" w:color="auto"/>
      </w:divBdr>
    </w:div>
    <w:div w:id="1463885336">
      <w:bodyDiv w:val="1"/>
      <w:marLeft w:val="0"/>
      <w:marRight w:val="0"/>
      <w:marTop w:val="0"/>
      <w:marBottom w:val="0"/>
      <w:divBdr>
        <w:top w:val="none" w:sz="0" w:space="0" w:color="auto"/>
        <w:left w:val="none" w:sz="0" w:space="0" w:color="auto"/>
        <w:bottom w:val="none" w:sz="0" w:space="0" w:color="auto"/>
        <w:right w:val="none" w:sz="0" w:space="0" w:color="auto"/>
      </w:divBdr>
    </w:div>
    <w:div w:id="1472554710">
      <w:bodyDiv w:val="1"/>
      <w:marLeft w:val="0"/>
      <w:marRight w:val="0"/>
      <w:marTop w:val="0"/>
      <w:marBottom w:val="0"/>
      <w:divBdr>
        <w:top w:val="none" w:sz="0" w:space="0" w:color="auto"/>
        <w:left w:val="none" w:sz="0" w:space="0" w:color="auto"/>
        <w:bottom w:val="none" w:sz="0" w:space="0" w:color="auto"/>
        <w:right w:val="none" w:sz="0" w:space="0" w:color="auto"/>
      </w:divBdr>
    </w:div>
    <w:div w:id="1480270415">
      <w:bodyDiv w:val="1"/>
      <w:marLeft w:val="0"/>
      <w:marRight w:val="0"/>
      <w:marTop w:val="0"/>
      <w:marBottom w:val="0"/>
      <w:divBdr>
        <w:top w:val="none" w:sz="0" w:space="0" w:color="auto"/>
        <w:left w:val="none" w:sz="0" w:space="0" w:color="auto"/>
        <w:bottom w:val="none" w:sz="0" w:space="0" w:color="auto"/>
        <w:right w:val="none" w:sz="0" w:space="0" w:color="auto"/>
      </w:divBdr>
    </w:div>
    <w:div w:id="1500003964">
      <w:bodyDiv w:val="1"/>
      <w:marLeft w:val="0"/>
      <w:marRight w:val="0"/>
      <w:marTop w:val="0"/>
      <w:marBottom w:val="0"/>
      <w:divBdr>
        <w:top w:val="none" w:sz="0" w:space="0" w:color="auto"/>
        <w:left w:val="none" w:sz="0" w:space="0" w:color="auto"/>
        <w:bottom w:val="none" w:sz="0" w:space="0" w:color="auto"/>
        <w:right w:val="none" w:sz="0" w:space="0" w:color="auto"/>
      </w:divBdr>
    </w:div>
    <w:div w:id="1505625299">
      <w:bodyDiv w:val="1"/>
      <w:marLeft w:val="0"/>
      <w:marRight w:val="0"/>
      <w:marTop w:val="0"/>
      <w:marBottom w:val="0"/>
      <w:divBdr>
        <w:top w:val="none" w:sz="0" w:space="0" w:color="auto"/>
        <w:left w:val="none" w:sz="0" w:space="0" w:color="auto"/>
        <w:bottom w:val="none" w:sz="0" w:space="0" w:color="auto"/>
        <w:right w:val="none" w:sz="0" w:space="0" w:color="auto"/>
      </w:divBdr>
    </w:div>
    <w:div w:id="1513764666">
      <w:bodyDiv w:val="1"/>
      <w:marLeft w:val="0"/>
      <w:marRight w:val="0"/>
      <w:marTop w:val="0"/>
      <w:marBottom w:val="0"/>
      <w:divBdr>
        <w:top w:val="none" w:sz="0" w:space="0" w:color="auto"/>
        <w:left w:val="none" w:sz="0" w:space="0" w:color="auto"/>
        <w:bottom w:val="none" w:sz="0" w:space="0" w:color="auto"/>
        <w:right w:val="none" w:sz="0" w:space="0" w:color="auto"/>
      </w:divBdr>
    </w:div>
    <w:div w:id="1526290415">
      <w:bodyDiv w:val="1"/>
      <w:marLeft w:val="0"/>
      <w:marRight w:val="0"/>
      <w:marTop w:val="0"/>
      <w:marBottom w:val="0"/>
      <w:divBdr>
        <w:top w:val="none" w:sz="0" w:space="0" w:color="auto"/>
        <w:left w:val="none" w:sz="0" w:space="0" w:color="auto"/>
        <w:bottom w:val="none" w:sz="0" w:space="0" w:color="auto"/>
        <w:right w:val="none" w:sz="0" w:space="0" w:color="auto"/>
      </w:divBdr>
    </w:div>
    <w:div w:id="1554848441">
      <w:bodyDiv w:val="1"/>
      <w:marLeft w:val="0"/>
      <w:marRight w:val="0"/>
      <w:marTop w:val="0"/>
      <w:marBottom w:val="0"/>
      <w:divBdr>
        <w:top w:val="none" w:sz="0" w:space="0" w:color="auto"/>
        <w:left w:val="none" w:sz="0" w:space="0" w:color="auto"/>
        <w:bottom w:val="none" w:sz="0" w:space="0" w:color="auto"/>
        <w:right w:val="none" w:sz="0" w:space="0" w:color="auto"/>
      </w:divBdr>
    </w:div>
    <w:div w:id="1591044361">
      <w:bodyDiv w:val="1"/>
      <w:marLeft w:val="0"/>
      <w:marRight w:val="0"/>
      <w:marTop w:val="0"/>
      <w:marBottom w:val="0"/>
      <w:divBdr>
        <w:top w:val="none" w:sz="0" w:space="0" w:color="auto"/>
        <w:left w:val="none" w:sz="0" w:space="0" w:color="auto"/>
        <w:bottom w:val="none" w:sz="0" w:space="0" w:color="auto"/>
        <w:right w:val="none" w:sz="0" w:space="0" w:color="auto"/>
      </w:divBdr>
    </w:div>
    <w:div w:id="1594053388">
      <w:bodyDiv w:val="1"/>
      <w:marLeft w:val="0"/>
      <w:marRight w:val="0"/>
      <w:marTop w:val="0"/>
      <w:marBottom w:val="0"/>
      <w:divBdr>
        <w:top w:val="none" w:sz="0" w:space="0" w:color="auto"/>
        <w:left w:val="none" w:sz="0" w:space="0" w:color="auto"/>
        <w:bottom w:val="none" w:sz="0" w:space="0" w:color="auto"/>
        <w:right w:val="none" w:sz="0" w:space="0" w:color="auto"/>
      </w:divBdr>
    </w:div>
    <w:div w:id="1599677467">
      <w:bodyDiv w:val="1"/>
      <w:marLeft w:val="0"/>
      <w:marRight w:val="0"/>
      <w:marTop w:val="0"/>
      <w:marBottom w:val="0"/>
      <w:divBdr>
        <w:top w:val="none" w:sz="0" w:space="0" w:color="auto"/>
        <w:left w:val="none" w:sz="0" w:space="0" w:color="auto"/>
        <w:bottom w:val="none" w:sz="0" w:space="0" w:color="auto"/>
        <w:right w:val="none" w:sz="0" w:space="0" w:color="auto"/>
      </w:divBdr>
    </w:div>
    <w:div w:id="1601179894">
      <w:bodyDiv w:val="1"/>
      <w:marLeft w:val="0"/>
      <w:marRight w:val="0"/>
      <w:marTop w:val="0"/>
      <w:marBottom w:val="0"/>
      <w:divBdr>
        <w:top w:val="none" w:sz="0" w:space="0" w:color="auto"/>
        <w:left w:val="none" w:sz="0" w:space="0" w:color="auto"/>
        <w:bottom w:val="none" w:sz="0" w:space="0" w:color="auto"/>
        <w:right w:val="none" w:sz="0" w:space="0" w:color="auto"/>
      </w:divBdr>
    </w:div>
    <w:div w:id="1603761455">
      <w:bodyDiv w:val="1"/>
      <w:marLeft w:val="0"/>
      <w:marRight w:val="0"/>
      <w:marTop w:val="0"/>
      <w:marBottom w:val="0"/>
      <w:divBdr>
        <w:top w:val="none" w:sz="0" w:space="0" w:color="auto"/>
        <w:left w:val="none" w:sz="0" w:space="0" w:color="auto"/>
        <w:bottom w:val="none" w:sz="0" w:space="0" w:color="auto"/>
        <w:right w:val="none" w:sz="0" w:space="0" w:color="auto"/>
      </w:divBdr>
    </w:div>
    <w:div w:id="1609581174">
      <w:bodyDiv w:val="1"/>
      <w:marLeft w:val="0"/>
      <w:marRight w:val="0"/>
      <w:marTop w:val="0"/>
      <w:marBottom w:val="0"/>
      <w:divBdr>
        <w:top w:val="none" w:sz="0" w:space="0" w:color="auto"/>
        <w:left w:val="none" w:sz="0" w:space="0" w:color="auto"/>
        <w:bottom w:val="none" w:sz="0" w:space="0" w:color="auto"/>
        <w:right w:val="none" w:sz="0" w:space="0" w:color="auto"/>
      </w:divBdr>
    </w:div>
    <w:div w:id="1656179768">
      <w:bodyDiv w:val="1"/>
      <w:marLeft w:val="0"/>
      <w:marRight w:val="0"/>
      <w:marTop w:val="0"/>
      <w:marBottom w:val="0"/>
      <w:divBdr>
        <w:top w:val="none" w:sz="0" w:space="0" w:color="auto"/>
        <w:left w:val="none" w:sz="0" w:space="0" w:color="auto"/>
        <w:bottom w:val="none" w:sz="0" w:space="0" w:color="auto"/>
        <w:right w:val="none" w:sz="0" w:space="0" w:color="auto"/>
      </w:divBdr>
    </w:div>
    <w:div w:id="1658993131">
      <w:bodyDiv w:val="1"/>
      <w:marLeft w:val="0"/>
      <w:marRight w:val="0"/>
      <w:marTop w:val="0"/>
      <w:marBottom w:val="0"/>
      <w:divBdr>
        <w:top w:val="none" w:sz="0" w:space="0" w:color="auto"/>
        <w:left w:val="none" w:sz="0" w:space="0" w:color="auto"/>
        <w:bottom w:val="none" w:sz="0" w:space="0" w:color="auto"/>
        <w:right w:val="none" w:sz="0" w:space="0" w:color="auto"/>
      </w:divBdr>
    </w:div>
    <w:div w:id="1671324864">
      <w:bodyDiv w:val="1"/>
      <w:marLeft w:val="0"/>
      <w:marRight w:val="0"/>
      <w:marTop w:val="0"/>
      <w:marBottom w:val="0"/>
      <w:divBdr>
        <w:top w:val="none" w:sz="0" w:space="0" w:color="auto"/>
        <w:left w:val="none" w:sz="0" w:space="0" w:color="auto"/>
        <w:bottom w:val="none" w:sz="0" w:space="0" w:color="auto"/>
        <w:right w:val="none" w:sz="0" w:space="0" w:color="auto"/>
      </w:divBdr>
    </w:div>
    <w:div w:id="1680544536">
      <w:bodyDiv w:val="1"/>
      <w:marLeft w:val="0"/>
      <w:marRight w:val="0"/>
      <w:marTop w:val="0"/>
      <w:marBottom w:val="0"/>
      <w:divBdr>
        <w:top w:val="none" w:sz="0" w:space="0" w:color="auto"/>
        <w:left w:val="none" w:sz="0" w:space="0" w:color="auto"/>
        <w:bottom w:val="none" w:sz="0" w:space="0" w:color="auto"/>
        <w:right w:val="none" w:sz="0" w:space="0" w:color="auto"/>
      </w:divBdr>
    </w:div>
    <w:div w:id="1687950266">
      <w:bodyDiv w:val="1"/>
      <w:marLeft w:val="0"/>
      <w:marRight w:val="0"/>
      <w:marTop w:val="0"/>
      <w:marBottom w:val="0"/>
      <w:divBdr>
        <w:top w:val="none" w:sz="0" w:space="0" w:color="auto"/>
        <w:left w:val="none" w:sz="0" w:space="0" w:color="auto"/>
        <w:bottom w:val="none" w:sz="0" w:space="0" w:color="auto"/>
        <w:right w:val="none" w:sz="0" w:space="0" w:color="auto"/>
      </w:divBdr>
    </w:div>
    <w:div w:id="1698316752">
      <w:bodyDiv w:val="1"/>
      <w:marLeft w:val="0"/>
      <w:marRight w:val="0"/>
      <w:marTop w:val="0"/>
      <w:marBottom w:val="0"/>
      <w:divBdr>
        <w:top w:val="none" w:sz="0" w:space="0" w:color="auto"/>
        <w:left w:val="none" w:sz="0" w:space="0" w:color="auto"/>
        <w:bottom w:val="none" w:sz="0" w:space="0" w:color="auto"/>
        <w:right w:val="none" w:sz="0" w:space="0" w:color="auto"/>
      </w:divBdr>
    </w:div>
    <w:div w:id="1700164310">
      <w:bodyDiv w:val="1"/>
      <w:marLeft w:val="0"/>
      <w:marRight w:val="0"/>
      <w:marTop w:val="0"/>
      <w:marBottom w:val="0"/>
      <w:divBdr>
        <w:top w:val="none" w:sz="0" w:space="0" w:color="auto"/>
        <w:left w:val="none" w:sz="0" w:space="0" w:color="auto"/>
        <w:bottom w:val="none" w:sz="0" w:space="0" w:color="auto"/>
        <w:right w:val="none" w:sz="0" w:space="0" w:color="auto"/>
      </w:divBdr>
    </w:div>
    <w:div w:id="1702051759">
      <w:bodyDiv w:val="1"/>
      <w:marLeft w:val="0"/>
      <w:marRight w:val="0"/>
      <w:marTop w:val="0"/>
      <w:marBottom w:val="0"/>
      <w:divBdr>
        <w:top w:val="none" w:sz="0" w:space="0" w:color="auto"/>
        <w:left w:val="none" w:sz="0" w:space="0" w:color="auto"/>
        <w:bottom w:val="none" w:sz="0" w:space="0" w:color="auto"/>
        <w:right w:val="none" w:sz="0" w:space="0" w:color="auto"/>
      </w:divBdr>
    </w:div>
    <w:div w:id="1759060314">
      <w:bodyDiv w:val="1"/>
      <w:marLeft w:val="0"/>
      <w:marRight w:val="0"/>
      <w:marTop w:val="0"/>
      <w:marBottom w:val="0"/>
      <w:divBdr>
        <w:top w:val="none" w:sz="0" w:space="0" w:color="auto"/>
        <w:left w:val="none" w:sz="0" w:space="0" w:color="auto"/>
        <w:bottom w:val="none" w:sz="0" w:space="0" w:color="auto"/>
        <w:right w:val="none" w:sz="0" w:space="0" w:color="auto"/>
      </w:divBdr>
    </w:div>
    <w:div w:id="1765228230">
      <w:bodyDiv w:val="1"/>
      <w:marLeft w:val="0"/>
      <w:marRight w:val="0"/>
      <w:marTop w:val="0"/>
      <w:marBottom w:val="0"/>
      <w:divBdr>
        <w:top w:val="none" w:sz="0" w:space="0" w:color="auto"/>
        <w:left w:val="none" w:sz="0" w:space="0" w:color="auto"/>
        <w:bottom w:val="none" w:sz="0" w:space="0" w:color="auto"/>
        <w:right w:val="none" w:sz="0" w:space="0" w:color="auto"/>
      </w:divBdr>
    </w:div>
    <w:div w:id="1776049334">
      <w:bodyDiv w:val="1"/>
      <w:marLeft w:val="0"/>
      <w:marRight w:val="0"/>
      <w:marTop w:val="0"/>
      <w:marBottom w:val="0"/>
      <w:divBdr>
        <w:top w:val="none" w:sz="0" w:space="0" w:color="auto"/>
        <w:left w:val="none" w:sz="0" w:space="0" w:color="auto"/>
        <w:bottom w:val="none" w:sz="0" w:space="0" w:color="auto"/>
        <w:right w:val="none" w:sz="0" w:space="0" w:color="auto"/>
      </w:divBdr>
    </w:div>
    <w:div w:id="1782216437">
      <w:bodyDiv w:val="1"/>
      <w:marLeft w:val="0"/>
      <w:marRight w:val="0"/>
      <w:marTop w:val="0"/>
      <w:marBottom w:val="0"/>
      <w:divBdr>
        <w:top w:val="none" w:sz="0" w:space="0" w:color="auto"/>
        <w:left w:val="none" w:sz="0" w:space="0" w:color="auto"/>
        <w:bottom w:val="none" w:sz="0" w:space="0" w:color="auto"/>
        <w:right w:val="none" w:sz="0" w:space="0" w:color="auto"/>
      </w:divBdr>
    </w:div>
    <w:div w:id="1816490680">
      <w:bodyDiv w:val="1"/>
      <w:marLeft w:val="0"/>
      <w:marRight w:val="0"/>
      <w:marTop w:val="0"/>
      <w:marBottom w:val="0"/>
      <w:divBdr>
        <w:top w:val="none" w:sz="0" w:space="0" w:color="auto"/>
        <w:left w:val="none" w:sz="0" w:space="0" w:color="auto"/>
        <w:bottom w:val="none" w:sz="0" w:space="0" w:color="auto"/>
        <w:right w:val="none" w:sz="0" w:space="0" w:color="auto"/>
      </w:divBdr>
    </w:div>
    <w:div w:id="1827865804">
      <w:bodyDiv w:val="1"/>
      <w:marLeft w:val="0"/>
      <w:marRight w:val="0"/>
      <w:marTop w:val="0"/>
      <w:marBottom w:val="0"/>
      <w:divBdr>
        <w:top w:val="none" w:sz="0" w:space="0" w:color="auto"/>
        <w:left w:val="none" w:sz="0" w:space="0" w:color="auto"/>
        <w:bottom w:val="none" w:sz="0" w:space="0" w:color="auto"/>
        <w:right w:val="none" w:sz="0" w:space="0" w:color="auto"/>
      </w:divBdr>
    </w:div>
    <w:div w:id="1851675203">
      <w:bodyDiv w:val="1"/>
      <w:marLeft w:val="0"/>
      <w:marRight w:val="0"/>
      <w:marTop w:val="0"/>
      <w:marBottom w:val="0"/>
      <w:divBdr>
        <w:top w:val="none" w:sz="0" w:space="0" w:color="auto"/>
        <w:left w:val="none" w:sz="0" w:space="0" w:color="auto"/>
        <w:bottom w:val="none" w:sz="0" w:space="0" w:color="auto"/>
        <w:right w:val="none" w:sz="0" w:space="0" w:color="auto"/>
      </w:divBdr>
    </w:div>
    <w:div w:id="1866015688">
      <w:bodyDiv w:val="1"/>
      <w:marLeft w:val="0"/>
      <w:marRight w:val="0"/>
      <w:marTop w:val="0"/>
      <w:marBottom w:val="0"/>
      <w:divBdr>
        <w:top w:val="none" w:sz="0" w:space="0" w:color="auto"/>
        <w:left w:val="none" w:sz="0" w:space="0" w:color="auto"/>
        <w:bottom w:val="none" w:sz="0" w:space="0" w:color="auto"/>
        <w:right w:val="none" w:sz="0" w:space="0" w:color="auto"/>
      </w:divBdr>
    </w:div>
    <w:div w:id="1886796250">
      <w:bodyDiv w:val="1"/>
      <w:marLeft w:val="0"/>
      <w:marRight w:val="0"/>
      <w:marTop w:val="0"/>
      <w:marBottom w:val="0"/>
      <w:divBdr>
        <w:top w:val="none" w:sz="0" w:space="0" w:color="auto"/>
        <w:left w:val="none" w:sz="0" w:space="0" w:color="auto"/>
        <w:bottom w:val="none" w:sz="0" w:space="0" w:color="auto"/>
        <w:right w:val="none" w:sz="0" w:space="0" w:color="auto"/>
      </w:divBdr>
    </w:div>
    <w:div w:id="1888486527">
      <w:bodyDiv w:val="1"/>
      <w:marLeft w:val="0"/>
      <w:marRight w:val="0"/>
      <w:marTop w:val="0"/>
      <w:marBottom w:val="0"/>
      <w:divBdr>
        <w:top w:val="none" w:sz="0" w:space="0" w:color="auto"/>
        <w:left w:val="none" w:sz="0" w:space="0" w:color="auto"/>
        <w:bottom w:val="none" w:sz="0" w:space="0" w:color="auto"/>
        <w:right w:val="none" w:sz="0" w:space="0" w:color="auto"/>
      </w:divBdr>
    </w:div>
    <w:div w:id="1893542793">
      <w:bodyDiv w:val="1"/>
      <w:marLeft w:val="0"/>
      <w:marRight w:val="0"/>
      <w:marTop w:val="0"/>
      <w:marBottom w:val="0"/>
      <w:divBdr>
        <w:top w:val="none" w:sz="0" w:space="0" w:color="auto"/>
        <w:left w:val="none" w:sz="0" w:space="0" w:color="auto"/>
        <w:bottom w:val="none" w:sz="0" w:space="0" w:color="auto"/>
        <w:right w:val="none" w:sz="0" w:space="0" w:color="auto"/>
      </w:divBdr>
    </w:div>
    <w:div w:id="1895658890">
      <w:bodyDiv w:val="1"/>
      <w:marLeft w:val="0"/>
      <w:marRight w:val="0"/>
      <w:marTop w:val="0"/>
      <w:marBottom w:val="0"/>
      <w:divBdr>
        <w:top w:val="none" w:sz="0" w:space="0" w:color="auto"/>
        <w:left w:val="none" w:sz="0" w:space="0" w:color="auto"/>
        <w:bottom w:val="none" w:sz="0" w:space="0" w:color="auto"/>
        <w:right w:val="none" w:sz="0" w:space="0" w:color="auto"/>
      </w:divBdr>
    </w:div>
    <w:div w:id="1899390856">
      <w:bodyDiv w:val="1"/>
      <w:marLeft w:val="0"/>
      <w:marRight w:val="0"/>
      <w:marTop w:val="0"/>
      <w:marBottom w:val="0"/>
      <w:divBdr>
        <w:top w:val="none" w:sz="0" w:space="0" w:color="auto"/>
        <w:left w:val="none" w:sz="0" w:space="0" w:color="auto"/>
        <w:bottom w:val="none" w:sz="0" w:space="0" w:color="auto"/>
        <w:right w:val="none" w:sz="0" w:space="0" w:color="auto"/>
      </w:divBdr>
    </w:div>
    <w:div w:id="1901593548">
      <w:bodyDiv w:val="1"/>
      <w:marLeft w:val="0"/>
      <w:marRight w:val="0"/>
      <w:marTop w:val="0"/>
      <w:marBottom w:val="0"/>
      <w:divBdr>
        <w:top w:val="none" w:sz="0" w:space="0" w:color="auto"/>
        <w:left w:val="none" w:sz="0" w:space="0" w:color="auto"/>
        <w:bottom w:val="none" w:sz="0" w:space="0" w:color="auto"/>
        <w:right w:val="none" w:sz="0" w:space="0" w:color="auto"/>
      </w:divBdr>
    </w:div>
    <w:div w:id="1945576236">
      <w:bodyDiv w:val="1"/>
      <w:marLeft w:val="0"/>
      <w:marRight w:val="0"/>
      <w:marTop w:val="0"/>
      <w:marBottom w:val="0"/>
      <w:divBdr>
        <w:top w:val="none" w:sz="0" w:space="0" w:color="auto"/>
        <w:left w:val="none" w:sz="0" w:space="0" w:color="auto"/>
        <w:bottom w:val="none" w:sz="0" w:space="0" w:color="auto"/>
        <w:right w:val="none" w:sz="0" w:space="0" w:color="auto"/>
      </w:divBdr>
    </w:div>
    <w:div w:id="1951546486">
      <w:bodyDiv w:val="1"/>
      <w:marLeft w:val="0"/>
      <w:marRight w:val="0"/>
      <w:marTop w:val="0"/>
      <w:marBottom w:val="0"/>
      <w:divBdr>
        <w:top w:val="none" w:sz="0" w:space="0" w:color="auto"/>
        <w:left w:val="none" w:sz="0" w:space="0" w:color="auto"/>
        <w:bottom w:val="none" w:sz="0" w:space="0" w:color="auto"/>
        <w:right w:val="none" w:sz="0" w:space="0" w:color="auto"/>
      </w:divBdr>
    </w:div>
    <w:div w:id="1968781952">
      <w:bodyDiv w:val="1"/>
      <w:marLeft w:val="0"/>
      <w:marRight w:val="0"/>
      <w:marTop w:val="0"/>
      <w:marBottom w:val="0"/>
      <w:divBdr>
        <w:top w:val="none" w:sz="0" w:space="0" w:color="auto"/>
        <w:left w:val="none" w:sz="0" w:space="0" w:color="auto"/>
        <w:bottom w:val="none" w:sz="0" w:space="0" w:color="auto"/>
        <w:right w:val="none" w:sz="0" w:space="0" w:color="auto"/>
      </w:divBdr>
    </w:div>
    <w:div w:id="1985238808">
      <w:bodyDiv w:val="1"/>
      <w:marLeft w:val="0"/>
      <w:marRight w:val="0"/>
      <w:marTop w:val="0"/>
      <w:marBottom w:val="0"/>
      <w:divBdr>
        <w:top w:val="none" w:sz="0" w:space="0" w:color="auto"/>
        <w:left w:val="none" w:sz="0" w:space="0" w:color="auto"/>
        <w:bottom w:val="none" w:sz="0" w:space="0" w:color="auto"/>
        <w:right w:val="none" w:sz="0" w:space="0" w:color="auto"/>
      </w:divBdr>
    </w:div>
    <w:div w:id="1990866669">
      <w:bodyDiv w:val="1"/>
      <w:marLeft w:val="0"/>
      <w:marRight w:val="0"/>
      <w:marTop w:val="0"/>
      <w:marBottom w:val="0"/>
      <w:divBdr>
        <w:top w:val="none" w:sz="0" w:space="0" w:color="auto"/>
        <w:left w:val="none" w:sz="0" w:space="0" w:color="auto"/>
        <w:bottom w:val="none" w:sz="0" w:space="0" w:color="auto"/>
        <w:right w:val="none" w:sz="0" w:space="0" w:color="auto"/>
      </w:divBdr>
    </w:div>
    <w:div w:id="1994291951">
      <w:bodyDiv w:val="1"/>
      <w:marLeft w:val="0"/>
      <w:marRight w:val="0"/>
      <w:marTop w:val="0"/>
      <w:marBottom w:val="0"/>
      <w:divBdr>
        <w:top w:val="none" w:sz="0" w:space="0" w:color="auto"/>
        <w:left w:val="none" w:sz="0" w:space="0" w:color="auto"/>
        <w:bottom w:val="none" w:sz="0" w:space="0" w:color="auto"/>
        <w:right w:val="none" w:sz="0" w:space="0" w:color="auto"/>
      </w:divBdr>
    </w:div>
    <w:div w:id="2007904115">
      <w:bodyDiv w:val="1"/>
      <w:marLeft w:val="0"/>
      <w:marRight w:val="0"/>
      <w:marTop w:val="0"/>
      <w:marBottom w:val="0"/>
      <w:divBdr>
        <w:top w:val="none" w:sz="0" w:space="0" w:color="auto"/>
        <w:left w:val="none" w:sz="0" w:space="0" w:color="auto"/>
        <w:bottom w:val="none" w:sz="0" w:space="0" w:color="auto"/>
        <w:right w:val="none" w:sz="0" w:space="0" w:color="auto"/>
      </w:divBdr>
    </w:div>
    <w:div w:id="2016608383">
      <w:bodyDiv w:val="1"/>
      <w:marLeft w:val="0"/>
      <w:marRight w:val="0"/>
      <w:marTop w:val="0"/>
      <w:marBottom w:val="0"/>
      <w:divBdr>
        <w:top w:val="none" w:sz="0" w:space="0" w:color="auto"/>
        <w:left w:val="none" w:sz="0" w:space="0" w:color="auto"/>
        <w:bottom w:val="none" w:sz="0" w:space="0" w:color="auto"/>
        <w:right w:val="none" w:sz="0" w:space="0" w:color="auto"/>
      </w:divBdr>
    </w:div>
    <w:div w:id="2023165061">
      <w:bodyDiv w:val="1"/>
      <w:marLeft w:val="0"/>
      <w:marRight w:val="0"/>
      <w:marTop w:val="0"/>
      <w:marBottom w:val="0"/>
      <w:divBdr>
        <w:top w:val="none" w:sz="0" w:space="0" w:color="auto"/>
        <w:left w:val="none" w:sz="0" w:space="0" w:color="auto"/>
        <w:bottom w:val="none" w:sz="0" w:space="0" w:color="auto"/>
        <w:right w:val="none" w:sz="0" w:space="0" w:color="auto"/>
      </w:divBdr>
    </w:div>
    <w:div w:id="2041975749">
      <w:bodyDiv w:val="1"/>
      <w:marLeft w:val="0"/>
      <w:marRight w:val="0"/>
      <w:marTop w:val="0"/>
      <w:marBottom w:val="0"/>
      <w:divBdr>
        <w:top w:val="none" w:sz="0" w:space="0" w:color="auto"/>
        <w:left w:val="none" w:sz="0" w:space="0" w:color="auto"/>
        <w:bottom w:val="none" w:sz="0" w:space="0" w:color="auto"/>
        <w:right w:val="none" w:sz="0" w:space="0" w:color="auto"/>
      </w:divBdr>
    </w:div>
    <w:div w:id="2047290611">
      <w:bodyDiv w:val="1"/>
      <w:marLeft w:val="0"/>
      <w:marRight w:val="0"/>
      <w:marTop w:val="0"/>
      <w:marBottom w:val="0"/>
      <w:divBdr>
        <w:top w:val="none" w:sz="0" w:space="0" w:color="auto"/>
        <w:left w:val="none" w:sz="0" w:space="0" w:color="auto"/>
        <w:bottom w:val="none" w:sz="0" w:space="0" w:color="auto"/>
        <w:right w:val="none" w:sz="0" w:space="0" w:color="auto"/>
      </w:divBdr>
    </w:div>
    <w:div w:id="2050910079">
      <w:bodyDiv w:val="1"/>
      <w:marLeft w:val="0"/>
      <w:marRight w:val="0"/>
      <w:marTop w:val="0"/>
      <w:marBottom w:val="0"/>
      <w:divBdr>
        <w:top w:val="none" w:sz="0" w:space="0" w:color="auto"/>
        <w:left w:val="none" w:sz="0" w:space="0" w:color="auto"/>
        <w:bottom w:val="none" w:sz="0" w:space="0" w:color="auto"/>
        <w:right w:val="none" w:sz="0" w:space="0" w:color="auto"/>
      </w:divBdr>
    </w:div>
    <w:div w:id="2054034672">
      <w:bodyDiv w:val="1"/>
      <w:marLeft w:val="0"/>
      <w:marRight w:val="0"/>
      <w:marTop w:val="0"/>
      <w:marBottom w:val="0"/>
      <w:divBdr>
        <w:top w:val="none" w:sz="0" w:space="0" w:color="auto"/>
        <w:left w:val="none" w:sz="0" w:space="0" w:color="auto"/>
        <w:bottom w:val="none" w:sz="0" w:space="0" w:color="auto"/>
        <w:right w:val="none" w:sz="0" w:space="0" w:color="auto"/>
      </w:divBdr>
    </w:div>
    <w:div w:id="2064518186">
      <w:bodyDiv w:val="1"/>
      <w:marLeft w:val="0"/>
      <w:marRight w:val="0"/>
      <w:marTop w:val="0"/>
      <w:marBottom w:val="0"/>
      <w:divBdr>
        <w:top w:val="none" w:sz="0" w:space="0" w:color="auto"/>
        <w:left w:val="none" w:sz="0" w:space="0" w:color="auto"/>
        <w:bottom w:val="none" w:sz="0" w:space="0" w:color="auto"/>
        <w:right w:val="none" w:sz="0" w:space="0" w:color="auto"/>
      </w:divBdr>
    </w:div>
    <w:div w:id="2067484708">
      <w:bodyDiv w:val="1"/>
      <w:marLeft w:val="0"/>
      <w:marRight w:val="0"/>
      <w:marTop w:val="0"/>
      <w:marBottom w:val="0"/>
      <w:divBdr>
        <w:top w:val="none" w:sz="0" w:space="0" w:color="auto"/>
        <w:left w:val="none" w:sz="0" w:space="0" w:color="auto"/>
        <w:bottom w:val="none" w:sz="0" w:space="0" w:color="auto"/>
        <w:right w:val="none" w:sz="0" w:space="0" w:color="auto"/>
      </w:divBdr>
    </w:div>
    <w:div w:id="2080320283">
      <w:bodyDiv w:val="1"/>
      <w:marLeft w:val="0"/>
      <w:marRight w:val="0"/>
      <w:marTop w:val="0"/>
      <w:marBottom w:val="0"/>
      <w:divBdr>
        <w:top w:val="none" w:sz="0" w:space="0" w:color="auto"/>
        <w:left w:val="none" w:sz="0" w:space="0" w:color="auto"/>
        <w:bottom w:val="none" w:sz="0" w:space="0" w:color="auto"/>
        <w:right w:val="none" w:sz="0" w:space="0" w:color="auto"/>
      </w:divBdr>
    </w:div>
    <w:div w:id="2093624400">
      <w:bodyDiv w:val="1"/>
      <w:marLeft w:val="0"/>
      <w:marRight w:val="0"/>
      <w:marTop w:val="0"/>
      <w:marBottom w:val="0"/>
      <w:divBdr>
        <w:top w:val="none" w:sz="0" w:space="0" w:color="auto"/>
        <w:left w:val="none" w:sz="0" w:space="0" w:color="auto"/>
        <w:bottom w:val="none" w:sz="0" w:space="0" w:color="auto"/>
        <w:right w:val="none" w:sz="0" w:space="0" w:color="auto"/>
      </w:divBdr>
    </w:div>
    <w:div w:id="2100132528">
      <w:bodyDiv w:val="1"/>
      <w:marLeft w:val="0"/>
      <w:marRight w:val="0"/>
      <w:marTop w:val="0"/>
      <w:marBottom w:val="0"/>
      <w:divBdr>
        <w:top w:val="none" w:sz="0" w:space="0" w:color="auto"/>
        <w:left w:val="none" w:sz="0" w:space="0" w:color="auto"/>
        <w:bottom w:val="none" w:sz="0" w:space="0" w:color="auto"/>
        <w:right w:val="none" w:sz="0" w:space="0" w:color="auto"/>
      </w:divBdr>
    </w:div>
    <w:div w:id="2113820050">
      <w:bodyDiv w:val="1"/>
      <w:marLeft w:val="0"/>
      <w:marRight w:val="0"/>
      <w:marTop w:val="0"/>
      <w:marBottom w:val="0"/>
      <w:divBdr>
        <w:top w:val="none" w:sz="0" w:space="0" w:color="auto"/>
        <w:left w:val="none" w:sz="0" w:space="0" w:color="auto"/>
        <w:bottom w:val="none" w:sz="0" w:space="0" w:color="auto"/>
        <w:right w:val="none" w:sz="0" w:space="0" w:color="auto"/>
      </w:divBdr>
    </w:div>
    <w:div w:id="2114393973">
      <w:bodyDiv w:val="1"/>
      <w:marLeft w:val="0"/>
      <w:marRight w:val="0"/>
      <w:marTop w:val="0"/>
      <w:marBottom w:val="0"/>
      <w:divBdr>
        <w:top w:val="none" w:sz="0" w:space="0" w:color="auto"/>
        <w:left w:val="none" w:sz="0" w:space="0" w:color="auto"/>
        <w:bottom w:val="none" w:sz="0" w:space="0" w:color="auto"/>
        <w:right w:val="none" w:sz="0" w:space="0" w:color="auto"/>
      </w:divBdr>
    </w:div>
    <w:div w:id="21190574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image" Target="media/image5.emf"/><Relationship Id="rId28"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footer" Target="footer8.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4.png"/></Relationships>
</file>

<file path=word/_rels/header7.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6.png"/></Relationships>
</file>

<file path=word/_rels/header8.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6.png"/></Relationships>
</file>

<file path=word/_rels/header9.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Budget\Budget%20Template.dotm" TargetMode="External"/></Relationships>
</file>

<file path=word/theme/theme1.xml><?xml version="1.0" encoding="utf-8"?>
<a:theme xmlns:a="http://schemas.openxmlformats.org/drawingml/2006/main" name="Office Theme">
  <a:themeElements>
    <a:clrScheme name="Budget">
      <a:dk1>
        <a:sysClr val="windowText" lastClr="000000"/>
      </a:dk1>
      <a:lt1>
        <a:sysClr val="window" lastClr="FFFFFF"/>
      </a:lt1>
      <a:dk2>
        <a:srgbClr val="002A54"/>
      </a:dk2>
      <a:lt2>
        <a:srgbClr val="6D7684"/>
      </a:lt2>
      <a:accent1>
        <a:srgbClr val="0364C3"/>
      </a:accent1>
      <a:accent2>
        <a:srgbClr val="BE5154"/>
      </a:accent2>
      <a:accent3>
        <a:srgbClr val="844D9E"/>
      </a:accent3>
      <a:accent4>
        <a:srgbClr val="00818F"/>
      </a:accent4>
      <a:accent5>
        <a:srgbClr val="213657"/>
      </a:accent5>
      <a:accent6>
        <a:srgbClr val="02843D"/>
      </a:accent6>
      <a:hlink>
        <a:srgbClr val="3A6FAF"/>
      </a:hlink>
      <a:folHlink>
        <a:srgbClr val="E61E26"/>
      </a:folHlink>
    </a:clrScheme>
    <a:fontScheme name="Budget">
      <a:majorFont>
        <a:latin typeface="Arial"/>
        <a:ea typeface=""/>
        <a:cs typeface=""/>
      </a:majorFont>
      <a:minorFont>
        <a:latin typeface="Book Antiqu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4EFA3CD0C9384883E202483A01CFD0" ma:contentTypeVersion="28" ma:contentTypeDescription="Create a new document." ma:contentTypeScope="" ma:versionID="7571fde376dbe1ffea08831cec20a6be">
  <xsd:schema xmlns:xsd="http://www.w3.org/2001/XMLSchema" xmlns:xs="http://www.w3.org/2001/XMLSchema" xmlns:p="http://schemas.microsoft.com/office/2006/metadata/properties" xmlns:ns1="http://schemas.microsoft.com/sharepoint/v3" xmlns:ns2="9115ddca-c623-419f-a3c0-6a1c58c4dac8" xmlns:ns3="244fe85f-b655-4145-9b20-543b75dc1c24" targetNamespace="http://schemas.microsoft.com/office/2006/metadata/properties" ma:root="true" ma:fieldsID="3b7f4dd7f9a17a6f45efef350b3b244b" ns1:_="" ns2:_="" ns3:_="">
    <xsd:import namespace="http://schemas.microsoft.com/sharepoint/v3"/>
    <xsd:import namespace="9115ddca-c623-419f-a3c0-6a1c58c4dac8"/>
    <xsd:import namespace="244fe85f-b655-4145-9b20-543b75dc1c24"/>
    <xsd:element name="properties">
      <xsd:complexType>
        <xsd:sequence>
          <xsd:element name="documentManagement">
            <xsd:complexType>
              <xsd:all>
                <xsd:element ref="ns2:Image" minOccurs="0"/>
                <xsd:element ref="ns2:MediaServiceMetadata" minOccurs="0"/>
                <xsd:element ref="ns2:MediaServiceFastMetadata" minOccurs="0"/>
                <xsd:element ref="ns2:MediaServiceAutoKeyPoints" minOccurs="0"/>
                <xsd:element ref="ns2:MediaServiceKeyPoints" minOccurs="0"/>
                <xsd:element ref="ns2:Status" minOccurs="0"/>
                <xsd:element ref="ns2:Notes" minOccurs="0"/>
                <xsd:element ref="ns3:SharedWithUsers" minOccurs="0"/>
                <xsd:element ref="ns3:SharedWithDetails" minOccurs="0"/>
                <xsd:element ref="ns1:_ip_UnifiedCompliancePolicyProperties" minOccurs="0"/>
                <xsd:element ref="ns1:_ip_UnifiedCompliancePolicyUIAction"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_Flow_SignoffStatus" minOccurs="0"/>
                <xsd:element ref="ns2:MediaLengthInSeconds" minOccurs="0"/>
                <xsd:element ref="ns2:lcf76f155ced4ddcb4097134ff3c332f" minOccurs="0"/>
                <xsd:element ref="ns3:TaxCatchAll" minOccurs="0"/>
                <xsd:element ref="ns3:Date_x005f_x0020_of_x005f_x0020_Creation" minOccurs="0"/>
                <xsd:element ref="ns2:MediaServiceObjectDetectorVersions" minOccurs="0"/>
                <xsd:element ref="ns2:MediaServiceSearchProperties" minOccurs="0"/>
                <xsd:element ref="ns2:MudmapEVID" minOccurs="0"/>
                <xsd:element ref="ns2:Letter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ma:readOnly="false">
      <xsd:simpleType>
        <xsd:restriction base="dms:Note"/>
      </xsd:simpleType>
    </xsd:element>
    <xsd:element name="_ip_UnifiedCompliancePolicyUIAction" ma:index="17"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15ddca-c623-419f-a3c0-6a1c58c4dac8" elementFormDefault="qualified">
    <xsd:import namespace="http://schemas.microsoft.com/office/2006/documentManagement/types"/>
    <xsd:import namespace="http://schemas.microsoft.com/office/infopath/2007/PartnerControls"/>
    <xsd:element name="Image" ma:index="3" nillable="true" ma:displayName="Image" ma:format="Thumbnail" ma:internalName="Image" ma:readOnly="false">
      <xsd:simpleType>
        <xsd:restriction base="dms:Unknow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Status" ma:index="12" nillable="true" ma:displayName="Status" ma:format="Dropdown" ma:hidden="true" ma:internalName="Status" ma:readOnly="false">
      <xsd:simpleType>
        <xsd:restriction base="dms:Choice">
          <xsd:enumeration value="With drafter"/>
          <xsd:enumeration value="With EB for comment"/>
          <xsd:enumeration value="With TO for comment"/>
          <xsd:enumeration value="With EB for final review"/>
          <xsd:enumeration value="With TO for final review"/>
          <xsd:enumeration value="With Treasurer for final review"/>
          <xsd:enumeration value="In sandy"/>
          <xsd:enumeration value="In hard close"/>
        </xsd:restriction>
      </xsd:simpleType>
    </xsd:element>
    <xsd:element name="Notes" ma:index="13" nillable="true" ma:displayName="Notes" ma:format="Dropdown" ma:hidden="true" ma:internalName="Notes" ma:readOnly="false">
      <xsd:simpleType>
        <xsd:restriction base="dms:Note"/>
      </xsd:simpleType>
    </xsd:element>
    <xsd:element name="MediaServiceAutoTags" ma:index="18" nillable="true" ma:displayName="Tags" ma:hidden="true"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OCR" ma:index="22" nillable="true" ma:displayName="Extracted Text" ma:hidden="true" ma:internalName="MediaServiceOCR" ma:readOnly="true">
      <xsd:simpleType>
        <xsd:restriction base="dms:Note"/>
      </xsd:simpleType>
    </xsd:element>
    <xsd:element name="MediaServiceLocation" ma:index="23" nillable="true" ma:displayName="Location" ma:hidden="true" ma:internalName="MediaServiceLocation" ma:readOnly="true">
      <xsd:simpleType>
        <xsd:restriction base="dms:Text"/>
      </xsd:simpleType>
    </xsd:element>
    <xsd:element name="_Flow_SignoffStatus" ma:index="24" nillable="true" ma:displayName="Sign-off status" ma:format="Dropdown" ma:hidden="true" ma:internalName="Sign_x002d_off_x0020_status">
      <xsd:simpleType>
        <xsd:restriction base="dms:Text">
          <xsd:maxLength value="255"/>
        </xsd:restriction>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218240cd-c75f-40bd-87f4-262ac964b2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udmapEVID" ma:index="33" nillable="true" ma:displayName="Mudmap EV ID" ma:description="This is the ID in column A of the live Mudmap" ma:format="Dropdown" ma:internalName="MudmapEVID">
      <xsd:simpleType>
        <xsd:restriction base="dms:Text">
          <xsd:maxLength value="255"/>
        </xsd:restriction>
      </xsd:simpleType>
    </xsd:element>
    <xsd:element name="LetterID" ma:index="34" nillable="true" ma:displayName="Letter ID" ma:format="Dropdown" ma:internalName="Letter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44fe85f-b655-4145-9b20-543b75dc1c24"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8" nillable="true" ma:displayName="Taxonomy Catch All Column" ma:hidden="true" ma:list="{eed413a1-1c23-4ed2-af48-854dd5cd0a31}" ma:internalName="TaxCatchAll" ma:readOnly="false" ma:showField="CatchAllData" ma:web="244fe85f-b655-4145-9b20-543b75dc1c24">
      <xsd:complexType>
        <xsd:complexContent>
          <xsd:extension base="dms:MultiChoiceLookup">
            <xsd:sequence>
              <xsd:element name="Value" type="dms:Lookup" maxOccurs="unbounded" minOccurs="0" nillable="true"/>
            </xsd:sequence>
          </xsd:extension>
        </xsd:complexContent>
      </xsd:complexType>
    </xsd:element>
    <xsd:element name="Date_x005f_x0020_of_x005f_x0020_Creation" ma:index="30" nillable="true" ma:displayName="Date of Creation" ma:format="DateOnly" ma:internalName="Date_x0020_of_x0020_Creation"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244fe85f-b655-4145-9b20-543b75dc1c24" xsi:nil="true"/>
    <lcf76f155ced4ddcb4097134ff3c332f xmlns="9115ddca-c623-419f-a3c0-6a1c58c4dac8">
      <Terms xmlns="http://schemas.microsoft.com/office/infopath/2007/PartnerControls"/>
    </lcf76f155ced4ddcb4097134ff3c332f>
    <_Flow_SignoffStatus xmlns="9115ddca-c623-419f-a3c0-6a1c58c4dac8" xsi:nil="true"/>
    <MudmapEVID xmlns="9115ddca-c623-419f-a3c0-6a1c58c4dac8" xsi:nil="true"/>
    <Status xmlns="9115ddca-c623-419f-a3c0-6a1c58c4dac8" xsi:nil="true"/>
    <LetterID xmlns="9115ddca-c623-419f-a3c0-6a1c58c4dac8" xsi:nil="true"/>
    <Notes xmlns="9115ddca-c623-419f-a3c0-6a1c58c4dac8" xsi:nil="true"/>
    <Date_x005f_x0020_of_x005f_x0020_Creation xmlns="244fe85f-b655-4145-9b20-543b75dc1c24" xsi:nil="true"/>
    <Image xmlns="9115ddca-c623-419f-a3c0-6a1c58c4dac8" xsi:nil="true"/>
  </documentManagement>
</p:properties>
</file>

<file path=customXml/itemProps1.xml><?xml version="1.0" encoding="utf-8"?>
<ds:datastoreItem xmlns:ds="http://schemas.openxmlformats.org/officeDocument/2006/customXml" ds:itemID="{3EA58DF8-E65C-4155-921C-4E7D1DF7F2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115ddca-c623-419f-a3c0-6a1c58c4dac8"/>
    <ds:schemaRef ds:uri="244fe85f-b655-4145-9b20-543b75dc1c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1B42EB-2DAF-41B8-9098-65987D3EA0EE}">
  <ds:schemaRefs>
    <ds:schemaRef ds:uri="http://schemas.microsoft.com/sharepoint/v3/contenttype/forms"/>
  </ds:schemaRefs>
</ds:datastoreItem>
</file>

<file path=customXml/itemProps3.xml><?xml version="1.0" encoding="utf-8"?>
<ds:datastoreItem xmlns:ds="http://schemas.openxmlformats.org/officeDocument/2006/customXml" ds:itemID="{28E3B494-7205-4309-A58C-9FF2D971EF03}">
  <ds:schemaRefs>
    <ds:schemaRef ds:uri="http://schemas.openxmlformats.org/officeDocument/2006/bibliography"/>
  </ds:schemaRefs>
</ds:datastoreItem>
</file>

<file path=customXml/itemProps4.xml><?xml version="1.0" encoding="utf-8"?>
<ds:datastoreItem xmlns:ds="http://schemas.openxmlformats.org/officeDocument/2006/customXml" ds:itemID="{3BC1572C-A857-44EE-9F1B-4144FB1050F6}">
  <ds:schemaRefs>
    <ds:schemaRef ds:uri="http://purl.org/dc/terms/"/>
    <ds:schemaRef ds:uri="http://schemas.microsoft.com/sharepoint/v3"/>
    <ds:schemaRef ds:uri="http://www.w3.org/XML/1998/namespace"/>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9115ddca-c623-419f-a3c0-6a1c58c4dac8"/>
    <ds:schemaRef ds:uri="http://purl.org/dc/elements/1.1/"/>
    <ds:schemaRef ds:uri="244fe85f-b655-4145-9b20-543b75dc1c24"/>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Budget Template.dotm</Template>
  <TotalTime>1262</TotalTime>
  <Pages>45</Pages>
  <Words>15513</Words>
  <Characters>88891</Characters>
  <Application>Microsoft Office Word</Application>
  <DocSecurity>0</DocSecurity>
  <Lines>5555</Lines>
  <Paragraphs>4015</Paragraphs>
  <ScaleCrop>false</ScaleCrop>
  <HeadingPairs>
    <vt:vector size="2" baseType="variant">
      <vt:variant>
        <vt:lpstr>Title</vt:lpstr>
      </vt:variant>
      <vt:variant>
        <vt:i4>1</vt:i4>
      </vt:variant>
    </vt:vector>
  </HeadingPairs>
  <TitlesOfParts>
    <vt:vector size="1" baseType="lpstr">
      <vt:lpstr>Budget Paper No. 1</vt:lpstr>
    </vt:vector>
  </TitlesOfParts>
  <Company/>
  <LinksUpToDate>false</LinksUpToDate>
  <CharactersWithSpaces>100389</CharactersWithSpaces>
  <SharedDoc>false</SharedDoc>
  <HLinks>
    <vt:vector size="132" baseType="variant">
      <vt:variant>
        <vt:i4>1114165</vt:i4>
      </vt:variant>
      <vt:variant>
        <vt:i4>128</vt:i4>
      </vt:variant>
      <vt:variant>
        <vt:i4>0</vt:i4>
      </vt:variant>
      <vt:variant>
        <vt:i4>5</vt:i4>
      </vt:variant>
      <vt:variant>
        <vt:lpwstr/>
      </vt:variant>
      <vt:variant>
        <vt:lpwstr>_Toc166334179</vt:lpwstr>
      </vt:variant>
      <vt:variant>
        <vt:i4>1114165</vt:i4>
      </vt:variant>
      <vt:variant>
        <vt:i4>122</vt:i4>
      </vt:variant>
      <vt:variant>
        <vt:i4>0</vt:i4>
      </vt:variant>
      <vt:variant>
        <vt:i4>5</vt:i4>
      </vt:variant>
      <vt:variant>
        <vt:lpwstr/>
      </vt:variant>
      <vt:variant>
        <vt:lpwstr>_Toc166334178</vt:lpwstr>
      </vt:variant>
      <vt:variant>
        <vt:i4>1114165</vt:i4>
      </vt:variant>
      <vt:variant>
        <vt:i4>116</vt:i4>
      </vt:variant>
      <vt:variant>
        <vt:i4>0</vt:i4>
      </vt:variant>
      <vt:variant>
        <vt:i4>5</vt:i4>
      </vt:variant>
      <vt:variant>
        <vt:lpwstr/>
      </vt:variant>
      <vt:variant>
        <vt:lpwstr>_Toc166334177</vt:lpwstr>
      </vt:variant>
      <vt:variant>
        <vt:i4>1114165</vt:i4>
      </vt:variant>
      <vt:variant>
        <vt:i4>110</vt:i4>
      </vt:variant>
      <vt:variant>
        <vt:i4>0</vt:i4>
      </vt:variant>
      <vt:variant>
        <vt:i4>5</vt:i4>
      </vt:variant>
      <vt:variant>
        <vt:lpwstr/>
      </vt:variant>
      <vt:variant>
        <vt:lpwstr>_Toc166334176</vt:lpwstr>
      </vt:variant>
      <vt:variant>
        <vt:i4>1114165</vt:i4>
      </vt:variant>
      <vt:variant>
        <vt:i4>104</vt:i4>
      </vt:variant>
      <vt:variant>
        <vt:i4>0</vt:i4>
      </vt:variant>
      <vt:variant>
        <vt:i4>5</vt:i4>
      </vt:variant>
      <vt:variant>
        <vt:lpwstr/>
      </vt:variant>
      <vt:variant>
        <vt:lpwstr>_Toc166334175</vt:lpwstr>
      </vt:variant>
      <vt:variant>
        <vt:i4>1114165</vt:i4>
      </vt:variant>
      <vt:variant>
        <vt:i4>98</vt:i4>
      </vt:variant>
      <vt:variant>
        <vt:i4>0</vt:i4>
      </vt:variant>
      <vt:variant>
        <vt:i4>5</vt:i4>
      </vt:variant>
      <vt:variant>
        <vt:lpwstr/>
      </vt:variant>
      <vt:variant>
        <vt:lpwstr>_Toc166334174</vt:lpwstr>
      </vt:variant>
      <vt:variant>
        <vt:i4>1114165</vt:i4>
      </vt:variant>
      <vt:variant>
        <vt:i4>92</vt:i4>
      </vt:variant>
      <vt:variant>
        <vt:i4>0</vt:i4>
      </vt:variant>
      <vt:variant>
        <vt:i4>5</vt:i4>
      </vt:variant>
      <vt:variant>
        <vt:lpwstr/>
      </vt:variant>
      <vt:variant>
        <vt:lpwstr>_Toc166334173</vt:lpwstr>
      </vt:variant>
      <vt:variant>
        <vt:i4>1114165</vt:i4>
      </vt:variant>
      <vt:variant>
        <vt:i4>86</vt:i4>
      </vt:variant>
      <vt:variant>
        <vt:i4>0</vt:i4>
      </vt:variant>
      <vt:variant>
        <vt:i4>5</vt:i4>
      </vt:variant>
      <vt:variant>
        <vt:lpwstr/>
      </vt:variant>
      <vt:variant>
        <vt:lpwstr>_Toc166334172</vt:lpwstr>
      </vt:variant>
      <vt:variant>
        <vt:i4>1114165</vt:i4>
      </vt:variant>
      <vt:variant>
        <vt:i4>80</vt:i4>
      </vt:variant>
      <vt:variant>
        <vt:i4>0</vt:i4>
      </vt:variant>
      <vt:variant>
        <vt:i4>5</vt:i4>
      </vt:variant>
      <vt:variant>
        <vt:lpwstr/>
      </vt:variant>
      <vt:variant>
        <vt:lpwstr>_Toc166334171</vt:lpwstr>
      </vt:variant>
      <vt:variant>
        <vt:i4>1114165</vt:i4>
      </vt:variant>
      <vt:variant>
        <vt:i4>74</vt:i4>
      </vt:variant>
      <vt:variant>
        <vt:i4>0</vt:i4>
      </vt:variant>
      <vt:variant>
        <vt:i4>5</vt:i4>
      </vt:variant>
      <vt:variant>
        <vt:lpwstr/>
      </vt:variant>
      <vt:variant>
        <vt:lpwstr>_Toc166334170</vt:lpwstr>
      </vt:variant>
      <vt:variant>
        <vt:i4>1048629</vt:i4>
      </vt:variant>
      <vt:variant>
        <vt:i4>68</vt:i4>
      </vt:variant>
      <vt:variant>
        <vt:i4>0</vt:i4>
      </vt:variant>
      <vt:variant>
        <vt:i4>5</vt:i4>
      </vt:variant>
      <vt:variant>
        <vt:lpwstr/>
      </vt:variant>
      <vt:variant>
        <vt:lpwstr>_Toc166334169</vt:lpwstr>
      </vt:variant>
      <vt:variant>
        <vt:i4>1048629</vt:i4>
      </vt:variant>
      <vt:variant>
        <vt:i4>62</vt:i4>
      </vt:variant>
      <vt:variant>
        <vt:i4>0</vt:i4>
      </vt:variant>
      <vt:variant>
        <vt:i4>5</vt:i4>
      </vt:variant>
      <vt:variant>
        <vt:lpwstr/>
      </vt:variant>
      <vt:variant>
        <vt:lpwstr>_Toc166334168</vt:lpwstr>
      </vt:variant>
      <vt:variant>
        <vt:i4>1048629</vt:i4>
      </vt:variant>
      <vt:variant>
        <vt:i4>56</vt:i4>
      </vt:variant>
      <vt:variant>
        <vt:i4>0</vt:i4>
      </vt:variant>
      <vt:variant>
        <vt:i4>5</vt:i4>
      </vt:variant>
      <vt:variant>
        <vt:lpwstr/>
      </vt:variant>
      <vt:variant>
        <vt:lpwstr>_Toc166334167</vt:lpwstr>
      </vt:variant>
      <vt:variant>
        <vt:i4>1048629</vt:i4>
      </vt:variant>
      <vt:variant>
        <vt:i4>50</vt:i4>
      </vt:variant>
      <vt:variant>
        <vt:i4>0</vt:i4>
      </vt:variant>
      <vt:variant>
        <vt:i4>5</vt:i4>
      </vt:variant>
      <vt:variant>
        <vt:lpwstr/>
      </vt:variant>
      <vt:variant>
        <vt:lpwstr>_Toc166334166</vt:lpwstr>
      </vt:variant>
      <vt:variant>
        <vt:i4>1048629</vt:i4>
      </vt:variant>
      <vt:variant>
        <vt:i4>44</vt:i4>
      </vt:variant>
      <vt:variant>
        <vt:i4>0</vt:i4>
      </vt:variant>
      <vt:variant>
        <vt:i4>5</vt:i4>
      </vt:variant>
      <vt:variant>
        <vt:lpwstr/>
      </vt:variant>
      <vt:variant>
        <vt:lpwstr>_Toc166334165</vt:lpwstr>
      </vt:variant>
      <vt:variant>
        <vt:i4>1048629</vt:i4>
      </vt:variant>
      <vt:variant>
        <vt:i4>38</vt:i4>
      </vt:variant>
      <vt:variant>
        <vt:i4>0</vt:i4>
      </vt:variant>
      <vt:variant>
        <vt:i4>5</vt:i4>
      </vt:variant>
      <vt:variant>
        <vt:lpwstr/>
      </vt:variant>
      <vt:variant>
        <vt:lpwstr>_Toc166334164</vt:lpwstr>
      </vt:variant>
      <vt:variant>
        <vt:i4>1048629</vt:i4>
      </vt:variant>
      <vt:variant>
        <vt:i4>32</vt:i4>
      </vt:variant>
      <vt:variant>
        <vt:i4>0</vt:i4>
      </vt:variant>
      <vt:variant>
        <vt:i4>5</vt:i4>
      </vt:variant>
      <vt:variant>
        <vt:lpwstr/>
      </vt:variant>
      <vt:variant>
        <vt:lpwstr>_Toc166334163</vt:lpwstr>
      </vt:variant>
      <vt:variant>
        <vt:i4>1048629</vt:i4>
      </vt:variant>
      <vt:variant>
        <vt:i4>26</vt:i4>
      </vt:variant>
      <vt:variant>
        <vt:i4>0</vt:i4>
      </vt:variant>
      <vt:variant>
        <vt:i4>5</vt:i4>
      </vt:variant>
      <vt:variant>
        <vt:lpwstr/>
      </vt:variant>
      <vt:variant>
        <vt:lpwstr>_Toc166334162</vt:lpwstr>
      </vt:variant>
      <vt:variant>
        <vt:i4>1048629</vt:i4>
      </vt:variant>
      <vt:variant>
        <vt:i4>20</vt:i4>
      </vt:variant>
      <vt:variant>
        <vt:i4>0</vt:i4>
      </vt:variant>
      <vt:variant>
        <vt:i4>5</vt:i4>
      </vt:variant>
      <vt:variant>
        <vt:lpwstr/>
      </vt:variant>
      <vt:variant>
        <vt:lpwstr>_Toc166334161</vt:lpwstr>
      </vt:variant>
      <vt:variant>
        <vt:i4>1048629</vt:i4>
      </vt:variant>
      <vt:variant>
        <vt:i4>14</vt:i4>
      </vt:variant>
      <vt:variant>
        <vt:i4>0</vt:i4>
      </vt:variant>
      <vt:variant>
        <vt:i4>5</vt:i4>
      </vt:variant>
      <vt:variant>
        <vt:lpwstr/>
      </vt:variant>
      <vt:variant>
        <vt:lpwstr>_Toc166334160</vt:lpwstr>
      </vt:variant>
      <vt:variant>
        <vt:i4>1245237</vt:i4>
      </vt:variant>
      <vt:variant>
        <vt:i4>8</vt:i4>
      </vt:variant>
      <vt:variant>
        <vt:i4>0</vt:i4>
      </vt:variant>
      <vt:variant>
        <vt:i4>5</vt:i4>
      </vt:variant>
      <vt:variant>
        <vt:lpwstr/>
      </vt:variant>
      <vt:variant>
        <vt:lpwstr>_Toc166334159</vt:lpwstr>
      </vt:variant>
      <vt:variant>
        <vt:i4>1245237</vt:i4>
      </vt:variant>
      <vt:variant>
        <vt:i4>2</vt:i4>
      </vt:variant>
      <vt:variant>
        <vt:i4>0</vt:i4>
      </vt:variant>
      <vt:variant>
        <vt:i4>5</vt:i4>
      </vt:variant>
      <vt:variant>
        <vt:lpwstr/>
      </vt:variant>
      <vt:variant>
        <vt:lpwstr>_Toc166334158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Budget Paper No. 1</dc:title>
  <dc:subject>Statement 6: Expenses and Net Capital Investment</dc:subject>
  <dc:creator>Australian Government</dc:creator>
  <cp:keywords/>
  <dc:description/>
  <cp:lastModifiedBy>Hill, Christine</cp:lastModifiedBy>
  <cp:revision>765</cp:revision>
  <cp:lastPrinted>2024-05-12T00:58:00Z</cp:lastPrinted>
  <dcterms:created xsi:type="dcterms:W3CDTF">2024-05-14T19:11:00Z</dcterms:created>
  <dcterms:modified xsi:type="dcterms:W3CDTF">2024-05-13T04:32:00Z</dcterms:modified>
  <cp:category/>
</cp:coreProperties>
</file>