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41A4" w14:textId="33DC30E3" w:rsidR="00D21432" w:rsidRPr="00B37A36" w:rsidRDefault="001A4F7E" w:rsidP="00060F58">
      <w:pPr>
        <w:pStyle w:val="Heading1-Statement"/>
      </w:pPr>
      <w:r w:rsidRPr="00B37A36">
        <w:t>Statement 7:</w:t>
      </w:r>
      <w:r w:rsidR="00D53D18" w:rsidRPr="00B37A36">
        <w:br/>
      </w:r>
      <w:r w:rsidRPr="00B37A36">
        <w:t>Debt Statement</w:t>
      </w:r>
    </w:p>
    <w:p w14:paraId="192042A3" w14:textId="54030AC7" w:rsidR="001A4F7E" w:rsidRPr="004C05FA" w:rsidRDefault="001A4F7E" w:rsidP="001A4F7E">
      <w:r w:rsidRPr="004C05FA">
        <w:t xml:space="preserve">The Debt Statement provides information on Government gross debt, net debt, Australian Government Securities (AGS) issuance and interest costs over the forward estimates. </w:t>
      </w:r>
    </w:p>
    <w:p w14:paraId="05A9221D" w14:textId="0812180A" w:rsidR="001A4F7E" w:rsidRPr="004C05FA" w:rsidRDefault="001A4F7E" w:rsidP="001A4F7E">
      <w:r w:rsidRPr="004C05FA">
        <w:t xml:space="preserve">Gross debt as a share of GDP </w:t>
      </w:r>
      <w:r w:rsidR="002A68D6" w:rsidRPr="004C05FA">
        <w:t>is</w:t>
      </w:r>
      <w:r w:rsidRPr="004C05FA">
        <w:t xml:space="preserve"> expected to be lower each year over the forward estimates compared to </w:t>
      </w:r>
      <w:r w:rsidR="00593EF8" w:rsidRPr="004C05FA">
        <w:t xml:space="preserve">the </w:t>
      </w:r>
      <w:r w:rsidR="006C44FE" w:rsidRPr="004C05FA">
        <w:t>2023</w:t>
      </w:r>
      <w:r w:rsidR="004A67FC" w:rsidRPr="004C05FA">
        <w:t>–</w:t>
      </w:r>
      <w:r w:rsidR="006C44FE" w:rsidRPr="004C05FA">
        <w:t>24</w:t>
      </w:r>
      <w:r w:rsidR="00FC1033" w:rsidRPr="004C05FA">
        <w:t> </w:t>
      </w:r>
      <w:r w:rsidR="006A0CB3" w:rsidRPr="004C05FA">
        <w:t>Mid</w:t>
      </w:r>
      <w:r w:rsidR="00B57616" w:rsidRPr="004C05FA">
        <w:noBreakHyphen/>
      </w:r>
      <w:r w:rsidR="006A0CB3" w:rsidRPr="004C05FA">
        <w:t>Year</w:t>
      </w:r>
      <w:r w:rsidR="00FC1033" w:rsidRPr="004C05FA">
        <w:t xml:space="preserve"> Economic and Fiscal </w:t>
      </w:r>
      <w:r w:rsidR="0030076C" w:rsidRPr="004C05FA">
        <w:t>Outlook</w:t>
      </w:r>
      <w:r w:rsidR="00FC1033" w:rsidRPr="004C05FA">
        <w:t xml:space="preserve"> (</w:t>
      </w:r>
      <w:r w:rsidR="006C44FE" w:rsidRPr="004C05FA">
        <w:t>MYEFO</w:t>
      </w:r>
      <w:r w:rsidR="00FC1033" w:rsidRPr="004C05FA">
        <w:t>)</w:t>
      </w:r>
      <w:r w:rsidRPr="004C05FA">
        <w:t xml:space="preserve">. Gross debt is estimated to peak at </w:t>
      </w:r>
      <w:r w:rsidR="00B34062" w:rsidRPr="004C05FA">
        <w:t>35.2</w:t>
      </w:r>
      <w:r w:rsidRPr="004C05FA">
        <w:t> per cent of</w:t>
      </w:r>
      <w:r w:rsidR="004A67FC" w:rsidRPr="004C05FA">
        <w:t> </w:t>
      </w:r>
      <w:r w:rsidRPr="004C05FA">
        <w:t xml:space="preserve">GDP at </w:t>
      </w:r>
      <w:r w:rsidR="00B07F8C" w:rsidRPr="004C05FA">
        <w:t>30</w:t>
      </w:r>
      <w:r w:rsidR="00E94599" w:rsidRPr="004C05FA">
        <w:t> </w:t>
      </w:r>
      <w:r w:rsidR="00B07F8C" w:rsidRPr="004C05FA">
        <w:t>June</w:t>
      </w:r>
      <w:r w:rsidR="00E94599" w:rsidRPr="004C05FA">
        <w:t> </w:t>
      </w:r>
      <w:r w:rsidR="00137ADA" w:rsidRPr="004C05FA">
        <w:t>2027</w:t>
      </w:r>
      <w:r w:rsidR="00F13E5B" w:rsidRPr="004C05FA">
        <w:t>,</w:t>
      </w:r>
      <w:r w:rsidRPr="004C05FA">
        <w:t xml:space="preserve"> </w:t>
      </w:r>
      <w:r w:rsidR="00785C00" w:rsidRPr="004C05FA">
        <w:t>0.</w:t>
      </w:r>
      <w:r w:rsidR="00C74A3A" w:rsidRPr="004C05FA">
        <w:t>2</w:t>
      </w:r>
      <w:r w:rsidR="00F225AA" w:rsidRPr="004C05FA">
        <w:t> </w:t>
      </w:r>
      <w:r w:rsidRPr="004C05FA">
        <w:t>percentage</w:t>
      </w:r>
      <w:r w:rsidR="00F225AA" w:rsidRPr="004C05FA">
        <w:t> p</w:t>
      </w:r>
      <w:r w:rsidRPr="004C05FA">
        <w:t>oints lower</w:t>
      </w:r>
      <w:r w:rsidR="00785C00" w:rsidRPr="004C05FA">
        <w:t xml:space="preserve"> </w:t>
      </w:r>
      <w:r w:rsidR="001F6E0C" w:rsidRPr="004C05FA">
        <w:t xml:space="preserve">and one year sooner </w:t>
      </w:r>
      <w:r w:rsidRPr="004C05FA">
        <w:t xml:space="preserve">than </w:t>
      </w:r>
      <w:r w:rsidR="00C74A3A" w:rsidRPr="004C05FA">
        <w:t xml:space="preserve">the </w:t>
      </w:r>
      <w:r w:rsidRPr="004C05FA">
        <w:t xml:space="preserve">estimated </w:t>
      </w:r>
      <w:r w:rsidR="00C74A3A" w:rsidRPr="004C05FA">
        <w:t>peak</w:t>
      </w:r>
      <w:r w:rsidR="008C0901" w:rsidRPr="004C05FA">
        <w:t xml:space="preserve"> of</w:t>
      </w:r>
      <w:r w:rsidR="00CE03BE" w:rsidRPr="004C05FA">
        <w:t xml:space="preserve"> 35.4 per cent </w:t>
      </w:r>
      <w:r w:rsidR="000E19C4" w:rsidRPr="004C05FA">
        <w:t xml:space="preserve">of GDP in </w:t>
      </w:r>
      <w:r w:rsidR="008E4890" w:rsidRPr="004C05FA">
        <w:t>2027</w:t>
      </w:r>
      <w:r w:rsidR="00997919" w:rsidRPr="004C05FA">
        <w:t>–</w:t>
      </w:r>
      <w:r w:rsidR="008E4890" w:rsidRPr="004C05FA">
        <w:t>28</w:t>
      </w:r>
      <w:r w:rsidR="00C74A3A" w:rsidRPr="004C05FA">
        <w:t xml:space="preserve"> </w:t>
      </w:r>
      <w:r w:rsidRPr="004C05FA">
        <w:t xml:space="preserve">at the </w:t>
      </w:r>
      <w:r w:rsidR="00F661F0" w:rsidRPr="004C05FA">
        <w:t>2023</w:t>
      </w:r>
      <w:r w:rsidR="00FB485C" w:rsidRPr="004C05FA">
        <w:noBreakHyphen/>
      </w:r>
      <w:r w:rsidR="00F661F0" w:rsidRPr="004C05FA">
        <w:t>24</w:t>
      </w:r>
      <w:r w:rsidR="006C44FE" w:rsidRPr="004C05FA">
        <w:t> </w:t>
      </w:r>
      <w:r w:rsidR="00F661F0" w:rsidRPr="004C05FA">
        <w:t>MYEFO.</w:t>
      </w:r>
      <w:r w:rsidR="00F86640" w:rsidRPr="004C05FA">
        <w:t xml:space="preserve"> </w:t>
      </w:r>
    </w:p>
    <w:p w14:paraId="448E5D2B" w14:textId="2D41E536" w:rsidR="001A4F7E" w:rsidRPr="004C05FA" w:rsidRDefault="001A4F7E" w:rsidP="001A4F7E">
      <w:pPr>
        <w:pStyle w:val="Bullet"/>
      </w:pPr>
      <w:r w:rsidRPr="004C05FA">
        <w:t xml:space="preserve">Gross debt is estimated to be </w:t>
      </w:r>
      <w:r w:rsidR="00AD21D0" w:rsidRPr="004C05FA">
        <w:t>33.9</w:t>
      </w:r>
      <w:r w:rsidRPr="004C05FA">
        <w:t> per cent of GDP at</w:t>
      </w:r>
      <w:r w:rsidR="00AB3E76" w:rsidRPr="004C05FA">
        <w:t xml:space="preserve"> </w:t>
      </w:r>
      <w:r w:rsidR="00AD21D0" w:rsidRPr="004C05FA">
        <w:t>30 June 202</w:t>
      </w:r>
      <w:r w:rsidR="00F225AA" w:rsidRPr="004C05FA">
        <w:t>5</w:t>
      </w:r>
      <w:r w:rsidRPr="004C05FA">
        <w:t xml:space="preserve">, </w:t>
      </w:r>
      <w:r w:rsidR="00F225AA" w:rsidRPr="004C05FA">
        <w:t>0.3</w:t>
      </w:r>
      <w:r w:rsidRPr="004C05FA">
        <w:t> percentage</w:t>
      </w:r>
      <w:r w:rsidR="00AB3E76" w:rsidRPr="004C05FA">
        <w:t> </w:t>
      </w:r>
      <w:r w:rsidRPr="004C05FA">
        <w:t xml:space="preserve">points lower than estimated at the </w:t>
      </w:r>
      <w:r w:rsidR="006C44FE" w:rsidRPr="004C05FA">
        <w:t>2023</w:t>
      </w:r>
      <w:r w:rsidR="004A67FC" w:rsidRPr="004C05FA">
        <w:t>–</w:t>
      </w:r>
      <w:r w:rsidR="006C44FE" w:rsidRPr="004C05FA">
        <w:t>24 MYEFO</w:t>
      </w:r>
      <w:r w:rsidRPr="004C05FA">
        <w:t xml:space="preserve">. </w:t>
      </w:r>
    </w:p>
    <w:p w14:paraId="24992206" w14:textId="044C02FB" w:rsidR="001A4F7E" w:rsidRPr="004C05FA" w:rsidRDefault="001A4F7E" w:rsidP="001A4F7E">
      <w:pPr>
        <w:pStyle w:val="Bullet"/>
      </w:pPr>
      <w:r w:rsidRPr="004C05FA">
        <w:t xml:space="preserve">Net debt is estimated to be </w:t>
      </w:r>
      <w:r w:rsidR="00700E4F" w:rsidRPr="004C05FA">
        <w:t>20.0</w:t>
      </w:r>
      <w:r w:rsidRPr="004C05FA">
        <w:t> per cent of GDP at</w:t>
      </w:r>
      <w:r w:rsidR="002E455B" w:rsidRPr="004C05FA">
        <w:t xml:space="preserve"> </w:t>
      </w:r>
      <w:r w:rsidR="001E1E02" w:rsidRPr="004C05FA">
        <w:t>30 June 2025</w:t>
      </w:r>
      <w:r w:rsidRPr="004C05FA">
        <w:t xml:space="preserve">, </w:t>
      </w:r>
      <w:r w:rsidR="00EC2C3B" w:rsidRPr="004C05FA">
        <w:t>0.5</w:t>
      </w:r>
      <w:r w:rsidR="002A2876" w:rsidRPr="004C05FA">
        <w:t> </w:t>
      </w:r>
      <w:r w:rsidRPr="004C05FA">
        <w:t>percentage</w:t>
      </w:r>
      <w:r w:rsidR="002E455B" w:rsidRPr="004C05FA">
        <w:t> </w:t>
      </w:r>
      <w:r w:rsidRPr="004C05FA">
        <w:t xml:space="preserve">points </w:t>
      </w:r>
      <w:r w:rsidR="00EC2C3B" w:rsidRPr="004C05FA">
        <w:t xml:space="preserve">higher </w:t>
      </w:r>
      <w:r w:rsidRPr="004C05FA">
        <w:t>tha</w:t>
      </w:r>
      <w:r w:rsidR="00EC2C3B" w:rsidRPr="004C05FA">
        <w:t>n</w:t>
      </w:r>
      <w:r w:rsidRPr="004C05FA">
        <w:t xml:space="preserve"> estimated at </w:t>
      </w:r>
      <w:r w:rsidR="002A2876" w:rsidRPr="004C05FA">
        <w:t>t</w:t>
      </w:r>
      <w:r w:rsidRPr="004C05FA">
        <w:t xml:space="preserve">he </w:t>
      </w:r>
      <w:r w:rsidR="006C44FE" w:rsidRPr="004C05FA">
        <w:t>2023</w:t>
      </w:r>
      <w:r w:rsidR="004A67FC" w:rsidRPr="004C05FA">
        <w:t>–</w:t>
      </w:r>
      <w:r w:rsidR="006C44FE" w:rsidRPr="004C05FA">
        <w:t>24 MYEFO</w:t>
      </w:r>
      <w:r w:rsidRPr="004C05FA">
        <w:t xml:space="preserve">. </w:t>
      </w:r>
    </w:p>
    <w:p w14:paraId="1FF399BC" w14:textId="1C3E114A" w:rsidR="001A4F7E" w:rsidRPr="0098325D" w:rsidRDefault="001A4F7E" w:rsidP="00C05B6E">
      <w:r w:rsidRPr="00DA4572">
        <w:t>In</w:t>
      </w:r>
      <w:r w:rsidRPr="004C05FA">
        <w:t>terest payments on AGS are estimated to be $</w:t>
      </w:r>
      <w:r w:rsidR="001426AD" w:rsidRPr="004C05FA">
        <w:t>22.</w:t>
      </w:r>
      <w:r w:rsidR="005B6605" w:rsidRPr="004C05FA">
        <w:t>4</w:t>
      </w:r>
      <w:r w:rsidRPr="004C05FA">
        <w:t> </w:t>
      </w:r>
      <w:r w:rsidR="00B62070" w:rsidRPr="004C05FA">
        <w:t>b</w:t>
      </w:r>
      <w:r w:rsidRPr="004C05FA">
        <w:t>illion in 202</w:t>
      </w:r>
      <w:r w:rsidR="0069158F" w:rsidRPr="004C05FA">
        <w:t>4</w:t>
      </w:r>
      <w:r w:rsidR="00997919" w:rsidRPr="004C05FA">
        <w:rPr>
          <w:rFonts w:ascii="Times New Roman" w:hAnsi="Times New Roman"/>
        </w:rPr>
        <w:t>‍</w:t>
      </w:r>
      <w:r w:rsidRPr="004C05FA">
        <w:t>–</w:t>
      </w:r>
      <w:r w:rsidR="00997919" w:rsidRPr="004C05FA">
        <w:rPr>
          <w:rFonts w:ascii="Times New Roman" w:hAnsi="Times New Roman"/>
        </w:rPr>
        <w:t>‍</w:t>
      </w:r>
      <w:r w:rsidRPr="004C05FA">
        <w:t>2</w:t>
      </w:r>
      <w:r w:rsidR="0069158F" w:rsidRPr="004C05FA">
        <w:t>5</w:t>
      </w:r>
      <w:r w:rsidRPr="004C05FA">
        <w:t>, increasing to $</w:t>
      </w:r>
      <w:r w:rsidR="00EA2A17" w:rsidRPr="004C05FA">
        <w:t>34.1</w:t>
      </w:r>
      <w:r w:rsidRPr="004C05FA">
        <w:t> billion by 202</w:t>
      </w:r>
      <w:r w:rsidR="000A72BA" w:rsidRPr="004C05FA">
        <w:t>7</w:t>
      </w:r>
      <w:r w:rsidR="004A67FC" w:rsidRPr="004C05FA">
        <w:t>–</w:t>
      </w:r>
      <w:r w:rsidR="000A72BA" w:rsidRPr="004C05FA">
        <w:t>28</w:t>
      </w:r>
      <w:r w:rsidRPr="00DA4572">
        <w:t xml:space="preserve">. </w:t>
      </w:r>
    </w:p>
    <w:p w14:paraId="5F5D869B" w14:textId="23988081" w:rsidR="001A4F7E" w:rsidRPr="0098325D" w:rsidRDefault="001A4F7E" w:rsidP="001A4F7E">
      <w:r w:rsidRPr="0098325D">
        <w:br w:type="page"/>
      </w:r>
    </w:p>
    <w:p w14:paraId="2201C2D3" w14:textId="77777777" w:rsidR="001A4F7E" w:rsidRPr="0098325D" w:rsidRDefault="001A4F7E" w:rsidP="001A4F7E">
      <w:pPr>
        <w:spacing w:before="0" w:after="160" w:line="259" w:lineRule="auto"/>
        <w:rPr>
          <w:rFonts w:cstheme="minorHAnsi"/>
        </w:rPr>
      </w:pPr>
    </w:p>
    <w:p w14:paraId="389BDC50" w14:textId="77777777" w:rsidR="001A4F7E" w:rsidRPr="0098325D" w:rsidRDefault="001A4F7E" w:rsidP="001A4F7E">
      <w:pPr>
        <w:sectPr w:rsidR="001A4F7E" w:rsidRPr="0098325D" w:rsidSect="00654418">
          <w:headerReference w:type="even" r:id="rId11"/>
          <w:headerReference w:type="first" r:id="rId12"/>
          <w:footerReference w:type="first" r:id="rId13"/>
          <w:footnotePr>
            <w:numStart w:val="36"/>
          </w:footnotePr>
          <w:pgSz w:w="11906" w:h="16838" w:code="9"/>
          <w:pgMar w:top="2835" w:right="2098" w:bottom="2466" w:left="2098" w:header="1814" w:footer="1814" w:gutter="0"/>
          <w:pgNumType w:start="235"/>
          <w:cols w:space="708"/>
          <w:titlePg/>
          <w:docGrid w:linePitch="360"/>
        </w:sectPr>
      </w:pPr>
    </w:p>
    <w:p w14:paraId="4E5FC3BA" w14:textId="77777777" w:rsidR="001A4F7E" w:rsidRPr="0098325D" w:rsidRDefault="001A4F7E" w:rsidP="001A4F7E">
      <w:pPr>
        <w:pStyle w:val="ContentsHeading"/>
      </w:pPr>
      <w:r w:rsidRPr="0098325D">
        <w:lastRenderedPageBreak/>
        <w:t>Statement contents</w:t>
      </w:r>
    </w:p>
    <w:p w14:paraId="1B0CB21C" w14:textId="1F6801F8" w:rsidR="002B4DA9" w:rsidRDefault="001A4F7E">
      <w:pPr>
        <w:pStyle w:val="TOC1"/>
        <w:rPr>
          <w:rFonts w:asciiTheme="minorHAnsi" w:eastAsiaTheme="minorEastAsia" w:hAnsiTheme="minorHAnsi" w:cstheme="minorBidi"/>
          <w:b w:val="0"/>
          <w:noProof/>
          <w:kern w:val="2"/>
          <w:sz w:val="22"/>
          <w:szCs w:val="22"/>
          <w14:ligatures w14:val="standardContextual"/>
        </w:rPr>
      </w:pPr>
      <w:r w:rsidRPr="0098325D">
        <w:fldChar w:fldCharType="begin"/>
      </w:r>
      <w:r w:rsidRPr="0098325D">
        <w:instrText xml:space="preserve"> TOC \h \z \u \t "Heading 2,1,Heading 3,2" </w:instrText>
      </w:r>
      <w:r w:rsidRPr="0098325D">
        <w:fldChar w:fldCharType="separate"/>
      </w:r>
      <w:hyperlink w:anchor="_Toc166355897" w:history="1">
        <w:r w:rsidR="002B4DA9" w:rsidRPr="00CC1EC7">
          <w:rPr>
            <w:rStyle w:val="Hyperlink"/>
            <w:noProof/>
          </w:rPr>
          <w:t>Australian Government Securities on issue</w:t>
        </w:r>
        <w:r w:rsidR="002B4DA9">
          <w:rPr>
            <w:noProof/>
            <w:webHidden/>
          </w:rPr>
          <w:tab/>
        </w:r>
        <w:r w:rsidR="002B4DA9">
          <w:rPr>
            <w:noProof/>
            <w:webHidden/>
          </w:rPr>
          <w:fldChar w:fldCharType="begin"/>
        </w:r>
        <w:r w:rsidR="002B4DA9">
          <w:rPr>
            <w:noProof/>
            <w:webHidden/>
          </w:rPr>
          <w:instrText xml:space="preserve"> PAGEREF _Toc166355897 \h </w:instrText>
        </w:r>
        <w:r w:rsidR="002B4DA9">
          <w:rPr>
            <w:noProof/>
            <w:webHidden/>
          </w:rPr>
        </w:r>
        <w:r w:rsidR="002B4DA9">
          <w:rPr>
            <w:noProof/>
            <w:webHidden/>
          </w:rPr>
          <w:fldChar w:fldCharType="separate"/>
        </w:r>
        <w:r w:rsidR="000B38EA">
          <w:rPr>
            <w:noProof/>
            <w:webHidden/>
          </w:rPr>
          <w:t>239</w:t>
        </w:r>
        <w:r w:rsidR="002B4DA9">
          <w:rPr>
            <w:noProof/>
            <w:webHidden/>
          </w:rPr>
          <w:fldChar w:fldCharType="end"/>
        </w:r>
      </w:hyperlink>
    </w:p>
    <w:p w14:paraId="51199E55" w14:textId="24D5D2BA" w:rsidR="002B4DA9" w:rsidRDefault="00A47846">
      <w:pPr>
        <w:pStyle w:val="TOC2"/>
        <w:rPr>
          <w:rFonts w:asciiTheme="minorHAnsi" w:eastAsiaTheme="minorEastAsia" w:hAnsiTheme="minorHAnsi" w:cstheme="minorBidi"/>
          <w:noProof/>
          <w:kern w:val="2"/>
          <w:sz w:val="22"/>
          <w:szCs w:val="22"/>
          <w14:ligatures w14:val="standardContextual"/>
        </w:rPr>
      </w:pPr>
      <w:hyperlink w:anchor="_Toc166355898" w:history="1">
        <w:r w:rsidR="002B4DA9" w:rsidRPr="00CC1EC7">
          <w:rPr>
            <w:rStyle w:val="Hyperlink"/>
            <w:noProof/>
          </w:rPr>
          <w:t>Changes in AGS on issue since the 2023–24 MYEFO</w:t>
        </w:r>
        <w:r w:rsidR="002B4DA9">
          <w:rPr>
            <w:noProof/>
            <w:webHidden/>
          </w:rPr>
          <w:tab/>
        </w:r>
        <w:r w:rsidR="002B4DA9">
          <w:rPr>
            <w:noProof/>
            <w:webHidden/>
          </w:rPr>
          <w:fldChar w:fldCharType="begin"/>
        </w:r>
        <w:r w:rsidR="002B4DA9">
          <w:rPr>
            <w:noProof/>
            <w:webHidden/>
          </w:rPr>
          <w:instrText xml:space="preserve"> PAGEREF _Toc166355898 \h </w:instrText>
        </w:r>
        <w:r w:rsidR="002B4DA9">
          <w:rPr>
            <w:noProof/>
            <w:webHidden/>
          </w:rPr>
        </w:r>
        <w:r w:rsidR="002B4DA9">
          <w:rPr>
            <w:noProof/>
            <w:webHidden/>
          </w:rPr>
          <w:fldChar w:fldCharType="separate"/>
        </w:r>
        <w:r w:rsidR="000B38EA">
          <w:rPr>
            <w:noProof/>
            <w:webHidden/>
          </w:rPr>
          <w:t>240</w:t>
        </w:r>
        <w:r w:rsidR="002B4DA9">
          <w:rPr>
            <w:noProof/>
            <w:webHidden/>
          </w:rPr>
          <w:fldChar w:fldCharType="end"/>
        </w:r>
      </w:hyperlink>
    </w:p>
    <w:p w14:paraId="5EDC0BA1" w14:textId="7652F277" w:rsidR="002B4DA9" w:rsidRDefault="00A47846">
      <w:pPr>
        <w:pStyle w:val="TOC2"/>
        <w:rPr>
          <w:rFonts w:asciiTheme="minorHAnsi" w:eastAsiaTheme="minorEastAsia" w:hAnsiTheme="minorHAnsi" w:cstheme="minorBidi"/>
          <w:noProof/>
          <w:kern w:val="2"/>
          <w:sz w:val="22"/>
          <w:szCs w:val="22"/>
          <w14:ligatures w14:val="standardContextual"/>
        </w:rPr>
      </w:pPr>
      <w:hyperlink w:anchor="_Toc166355899" w:history="1">
        <w:r w:rsidR="002B4DA9" w:rsidRPr="00CC1EC7">
          <w:rPr>
            <w:rStyle w:val="Hyperlink"/>
            <w:noProof/>
          </w:rPr>
          <w:t>Breakdown of AGS currently on issue</w:t>
        </w:r>
        <w:r w:rsidR="002B4DA9">
          <w:rPr>
            <w:noProof/>
            <w:webHidden/>
          </w:rPr>
          <w:tab/>
        </w:r>
        <w:r w:rsidR="002B4DA9">
          <w:rPr>
            <w:noProof/>
            <w:webHidden/>
          </w:rPr>
          <w:fldChar w:fldCharType="begin"/>
        </w:r>
        <w:r w:rsidR="002B4DA9">
          <w:rPr>
            <w:noProof/>
            <w:webHidden/>
          </w:rPr>
          <w:instrText xml:space="preserve"> PAGEREF _Toc166355899 \h </w:instrText>
        </w:r>
        <w:r w:rsidR="002B4DA9">
          <w:rPr>
            <w:noProof/>
            <w:webHidden/>
          </w:rPr>
        </w:r>
        <w:r w:rsidR="002B4DA9">
          <w:rPr>
            <w:noProof/>
            <w:webHidden/>
          </w:rPr>
          <w:fldChar w:fldCharType="separate"/>
        </w:r>
        <w:r w:rsidR="000B38EA">
          <w:rPr>
            <w:noProof/>
            <w:webHidden/>
          </w:rPr>
          <w:t>241</w:t>
        </w:r>
        <w:r w:rsidR="002B4DA9">
          <w:rPr>
            <w:noProof/>
            <w:webHidden/>
          </w:rPr>
          <w:fldChar w:fldCharType="end"/>
        </w:r>
      </w:hyperlink>
    </w:p>
    <w:p w14:paraId="3AB6F6C8" w14:textId="3A31BD13" w:rsidR="002B4DA9" w:rsidRDefault="00A47846">
      <w:pPr>
        <w:pStyle w:val="TOC2"/>
        <w:rPr>
          <w:rFonts w:asciiTheme="minorHAnsi" w:eastAsiaTheme="minorEastAsia" w:hAnsiTheme="minorHAnsi" w:cstheme="minorBidi"/>
          <w:noProof/>
          <w:kern w:val="2"/>
          <w:sz w:val="22"/>
          <w:szCs w:val="22"/>
          <w14:ligatures w14:val="standardContextual"/>
        </w:rPr>
      </w:pPr>
      <w:hyperlink w:anchor="_Toc166355900" w:history="1">
        <w:r w:rsidR="002B4DA9" w:rsidRPr="00CC1EC7">
          <w:rPr>
            <w:rStyle w:val="Hyperlink"/>
            <w:noProof/>
          </w:rPr>
          <w:t>Treasury Bonds</w:t>
        </w:r>
        <w:r w:rsidR="002B4DA9">
          <w:rPr>
            <w:noProof/>
            <w:webHidden/>
          </w:rPr>
          <w:tab/>
        </w:r>
        <w:r w:rsidR="002B4DA9">
          <w:rPr>
            <w:noProof/>
            <w:webHidden/>
          </w:rPr>
          <w:fldChar w:fldCharType="begin"/>
        </w:r>
        <w:r w:rsidR="002B4DA9">
          <w:rPr>
            <w:noProof/>
            <w:webHidden/>
          </w:rPr>
          <w:instrText xml:space="preserve"> PAGEREF _Toc166355900 \h </w:instrText>
        </w:r>
        <w:r w:rsidR="002B4DA9">
          <w:rPr>
            <w:noProof/>
            <w:webHidden/>
          </w:rPr>
        </w:r>
        <w:r w:rsidR="002B4DA9">
          <w:rPr>
            <w:noProof/>
            <w:webHidden/>
          </w:rPr>
          <w:fldChar w:fldCharType="separate"/>
        </w:r>
        <w:r w:rsidR="000B38EA">
          <w:rPr>
            <w:noProof/>
            <w:webHidden/>
          </w:rPr>
          <w:t>242</w:t>
        </w:r>
        <w:r w:rsidR="002B4DA9">
          <w:rPr>
            <w:noProof/>
            <w:webHidden/>
          </w:rPr>
          <w:fldChar w:fldCharType="end"/>
        </w:r>
      </w:hyperlink>
    </w:p>
    <w:p w14:paraId="18262196" w14:textId="3115F73D" w:rsidR="002B4DA9" w:rsidRDefault="00A47846">
      <w:pPr>
        <w:pStyle w:val="TOC2"/>
        <w:rPr>
          <w:rFonts w:asciiTheme="minorHAnsi" w:eastAsiaTheme="minorEastAsia" w:hAnsiTheme="minorHAnsi" w:cstheme="minorBidi"/>
          <w:noProof/>
          <w:kern w:val="2"/>
          <w:sz w:val="22"/>
          <w:szCs w:val="22"/>
          <w14:ligatures w14:val="standardContextual"/>
        </w:rPr>
      </w:pPr>
      <w:hyperlink w:anchor="_Toc166355901" w:history="1">
        <w:r w:rsidR="002B4DA9" w:rsidRPr="00CC1EC7">
          <w:rPr>
            <w:rStyle w:val="Hyperlink"/>
            <w:noProof/>
          </w:rPr>
          <w:t>Treasury Indexed Bonds</w:t>
        </w:r>
        <w:r w:rsidR="002B4DA9">
          <w:rPr>
            <w:noProof/>
            <w:webHidden/>
          </w:rPr>
          <w:tab/>
        </w:r>
        <w:r w:rsidR="002B4DA9">
          <w:rPr>
            <w:noProof/>
            <w:webHidden/>
          </w:rPr>
          <w:fldChar w:fldCharType="begin"/>
        </w:r>
        <w:r w:rsidR="002B4DA9">
          <w:rPr>
            <w:noProof/>
            <w:webHidden/>
          </w:rPr>
          <w:instrText xml:space="preserve"> PAGEREF _Toc166355901 \h </w:instrText>
        </w:r>
        <w:r w:rsidR="002B4DA9">
          <w:rPr>
            <w:noProof/>
            <w:webHidden/>
          </w:rPr>
        </w:r>
        <w:r w:rsidR="002B4DA9">
          <w:rPr>
            <w:noProof/>
            <w:webHidden/>
          </w:rPr>
          <w:fldChar w:fldCharType="separate"/>
        </w:r>
        <w:r w:rsidR="000B38EA">
          <w:rPr>
            <w:noProof/>
            <w:webHidden/>
          </w:rPr>
          <w:t>243</w:t>
        </w:r>
        <w:r w:rsidR="002B4DA9">
          <w:rPr>
            <w:noProof/>
            <w:webHidden/>
          </w:rPr>
          <w:fldChar w:fldCharType="end"/>
        </w:r>
      </w:hyperlink>
    </w:p>
    <w:p w14:paraId="09E3438C" w14:textId="400A6A2A" w:rsidR="002B4DA9" w:rsidRDefault="00A47846">
      <w:pPr>
        <w:pStyle w:val="TOC2"/>
        <w:rPr>
          <w:rFonts w:asciiTheme="minorHAnsi" w:eastAsiaTheme="minorEastAsia" w:hAnsiTheme="minorHAnsi" w:cstheme="minorBidi"/>
          <w:noProof/>
          <w:kern w:val="2"/>
          <w:sz w:val="22"/>
          <w:szCs w:val="22"/>
          <w14:ligatures w14:val="standardContextual"/>
        </w:rPr>
      </w:pPr>
      <w:hyperlink w:anchor="_Toc166355902" w:history="1">
        <w:r w:rsidR="002B4DA9" w:rsidRPr="00CC1EC7">
          <w:rPr>
            <w:rStyle w:val="Hyperlink"/>
            <w:noProof/>
          </w:rPr>
          <w:t>Treasury Notes</w:t>
        </w:r>
        <w:r w:rsidR="002B4DA9">
          <w:rPr>
            <w:noProof/>
            <w:webHidden/>
          </w:rPr>
          <w:tab/>
        </w:r>
        <w:r w:rsidR="002B4DA9">
          <w:rPr>
            <w:noProof/>
            <w:webHidden/>
          </w:rPr>
          <w:fldChar w:fldCharType="begin"/>
        </w:r>
        <w:r w:rsidR="002B4DA9">
          <w:rPr>
            <w:noProof/>
            <w:webHidden/>
          </w:rPr>
          <w:instrText xml:space="preserve"> PAGEREF _Toc166355902 \h </w:instrText>
        </w:r>
        <w:r w:rsidR="002B4DA9">
          <w:rPr>
            <w:noProof/>
            <w:webHidden/>
          </w:rPr>
        </w:r>
        <w:r w:rsidR="002B4DA9">
          <w:rPr>
            <w:noProof/>
            <w:webHidden/>
          </w:rPr>
          <w:fldChar w:fldCharType="separate"/>
        </w:r>
        <w:r w:rsidR="000B38EA">
          <w:rPr>
            <w:noProof/>
            <w:webHidden/>
          </w:rPr>
          <w:t>243</w:t>
        </w:r>
        <w:r w:rsidR="002B4DA9">
          <w:rPr>
            <w:noProof/>
            <w:webHidden/>
          </w:rPr>
          <w:fldChar w:fldCharType="end"/>
        </w:r>
      </w:hyperlink>
    </w:p>
    <w:p w14:paraId="6EA31358" w14:textId="564E6320" w:rsidR="002B4DA9" w:rsidRDefault="00A47846">
      <w:pPr>
        <w:pStyle w:val="TOC1"/>
        <w:rPr>
          <w:rFonts w:asciiTheme="minorHAnsi" w:eastAsiaTheme="minorEastAsia" w:hAnsiTheme="minorHAnsi" w:cstheme="minorBidi"/>
          <w:b w:val="0"/>
          <w:noProof/>
          <w:kern w:val="2"/>
          <w:sz w:val="22"/>
          <w:szCs w:val="22"/>
          <w14:ligatures w14:val="standardContextual"/>
        </w:rPr>
      </w:pPr>
      <w:hyperlink w:anchor="_Toc166355903" w:history="1">
        <w:r w:rsidR="002B4DA9" w:rsidRPr="00CC1EC7">
          <w:rPr>
            <w:rStyle w:val="Hyperlink"/>
            <w:noProof/>
          </w:rPr>
          <w:t>Green Treasury Bonds</w:t>
        </w:r>
        <w:r w:rsidR="002B4DA9">
          <w:rPr>
            <w:noProof/>
            <w:webHidden/>
          </w:rPr>
          <w:tab/>
        </w:r>
        <w:r w:rsidR="002B4DA9">
          <w:rPr>
            <w:noProof/>
            <w:webHidden/>
          </w:rPr>
          <w:fldChar w:fldCharType="begin"/>
        </w:r>
        <w:r w:rsidR="002B4DA9">
          <w:rPr>
            <w:noProof/>
            <w:webHidden/>
          </w:rPr>
          <w:instrText xml:space="preserve"> PAGEREF _Toc166355903 \h </w:instrText>
        </w:r>
        <w:r w:rsidR="002B4DA9">
          <w:rPr>
            <w:noProof/>
            <w:webHidden/>
          </w:rPr>
        </w:r>
        <w:r w:rsidR="002B4DA9">
          <w:rPr>
            <w:noProof/>
            <w:webHidden/>
          </w:rPr>
          <w:fldChar w:fldCharType="separate"/>
        </w:r>
        <w:r w:rsidR="000B38EA">
          <w:rPr>
            <w:noProof/>
            <w:webHidden/>
          </w:rPr>
          <w:t>244</w:t>
        </w:r>
        <w:r w:rsidR="002B4DA9">
          <w:rPr>
            <w:noProof/>
            <w:webHidden/>
          </w:rPr>
          <w:fldChar w:fldCharType="end"/>
        </w:r>
      </w:hyperlink>
    </w:p>
    <w:p w14:paraId="012A0DBC" w14:textId="0F4C2B89" w:rsidR="002B4DA9" w:rsidRDefault="00A47846">
      <w:pPr>
        <w:pStyle w:val="TOC1"/>
        <w:rPr>
          <w:rFonts w:asciiTheme="minorHAnsi" w:eastAsiaTheme="minorEastAsia" w:hAnsiTheme="minorHAnsi" w:cstheme="minorBidi"/>
          <w:b w:val="0"/>
          <w:noProof/>
          <w:kern w:val="2"/>
          <w:sz w:val="22"/>
          <w:szCs w:val="22"/>
          <w14:ligatures w14:val="standardContextual"/>
        </w:rPr>
      </w:pPr>
      <w:hyperlink w:anchor="_Toc166355904" w:history="1">
        <w:r w:rsidR="002B4DA9" w:rsidRPr="00CC1EC7">
          <w:rPr>
            <w:rStyle w:val="Hyperlink"/>
            <w:noProof/>
          </w:rPr>
          <w:t>Non</w:t>
        </w:r>
        <w:r w:rsidR="002B4DA9" w:rsidRPr="00CC1EC7">
          <w:rPr>
            <w:rStyle w:val="Hyperlink"/>
            <w:noProof/>
          </w:rPr>
          <w:noBreakHyphen/>
          <w:t>resident holdings of AGS on issue</w:t>
        </w:r>
        <w:r w:rsidR="002B4DA9">
          <w:rPr>
            <w:noProof/>
            <w:webHidden/>
          </w:rPr>
          <w:tab/>
        </w:r>
        <w:r w:rsidR="002B4DA9">
          <w:rPr>
            <w:noProof/>
            <w:webHidden/>
          </w:rPr>
          <w:fldChar w:fldCharType="begin"/>
        </w:r>
        <w:r w:rsidR="002B4DA9">
          <w:rPr>
            <w:noProof/>
            <w:webHidden/>
          </w:rPr>
          <w:instrText xml:space="preserve"> PAGEREF _Toc166355904 \h </w:instrText>
        </w:r>
        <w:r w:rsidR="002B4DA9">
          <w:rPr>
            <w:noProof/>
            <w:webHidden/>
          </w:rPr>
        </w:r>
        <w:r w:rsidR="002B4DA9">
          <w:rPr>
            <w:noProof/>
            <w:webHidden/>
          </w:rPr>
          <w:fldChar w:fldCharType="separate"/>
        </w:r>
        <w:r w:rsidR="000B38EA">
          <w:rPr>
            <w:noProof/>
            <w:webHidden/>
          </w:rPr>
          <w:t>244</w:t>
        </w:r>
        <w:r w:rsidR="002B4DA9">
          <w:rPr>
            <w:noProof/>
            <w:webHidden/>
          </w:rPr>
          <w:fldChar w:fldCharType="end"/>
        </w:r>
      </w:hyperlink>
    </w:p>
    <w:p w14:paraId="455D9507" w14:textId="37B11D7C" w:rsidR="002B4DA9" w:rsidRDefault="00A47846">
      <w:pPr>
        <w:pStyle w:val="TOC1"/>
        <w:rPr>
          <w:rFonts w:asciiTheme="minorHAnsi" w:eastAsiaTheme="minorEastAsia" w:hAnsiTheme="minorHAnsi" w:cstheme="minorBidi"/>
          <w:b w:val="0"/>
          <w:noProof/>
          <w:kern w:val="2"/>
          <w:sz w:val="22"/>
          <w:szCs w:val="22"/>
          <w14:ligatures w14:val="standardContextual"/>
        </w:rPr>
      </w:pPr>
      <w:hyperlink w:anchor="_Toc166355905" w:history="1">
        <w:r w:rsidR="002B4DA9" w:rsidRPr="00CC1EC7">
          <w:rPr>
            <w:rStyle w:val="Hyperlink"/>
            <w:noProof/>
          </w:rPr>
          <w:t>Net debt</w:t>
        </w:r>
        <w:r w:rsidR="002B4DA9">
          <w:rPr>
            <w:noProof/>
            <w:webHidden/>
          </w:rPr>
          <w:tab/>
        </w:r>
        <w:r w:rsidR="002B4DA9">
          <w:rPr>
            <w:noProof/>
            <w:webHidden/>
          </w:rPr>
          <w:fldChar w:fldCharType="begin"/>
        </w:r>
        <w:r w:rsidR="002B4DA9">
          <w:rPr>
            <w:noProof/>
            <w:webHidden/>
          </w:rPr>
          <w:instrText xml:space="preserve"> PAGEREF _Toc166355905 \h </w:instrText>
        </w:r>
        <w:r w:rsidR="002B4DA9">
          <w:rPr>
            <w:noProof/>
            <w:webHidden/>
          </w:rPr>
        </w:r>
        <w:r w:rsidR="002B4DA9">
          <w:rPr>
            <w:noProof/>
            <w:webHidden/>
          </w:rPr>
          <w:fldChar w:fldCharType="separate"/>
        </w:r>
        <w:r w:rsidR="000B38EA">
          <w:rPr>
            <w:noProof/>
            <w:webHidden/>
          </w:rPr>
          <w:t>245</w:t>
        </w:r>
        <w:r w:rsidR="002B4DA9">
          <w:rPr>
            <w:noProof/>
            <w:webHidden/>
          </w:rPr>
          <w:fldChar w:fldCharType="end"/>
        </w:r>
      </w:hyperlink>
    </w:p>
    <w:p w14:paraId="322AFC12" w14:textId="3BF6F8B6" w:rsidR="002B4DA9" w:rsidRDefault="00A47846">
      <w:pPr>
        <w:pStyle w:val="TOC2"/>
        <w:rPr>
          <w:rFonts w:asciiTheme="minorHAnsi" w:eastAsiaTheme="minorEastAsia" w:hAnsiTheme="minorHAnsi" w:cstheme="minorBidi"/>
          <w:noProof/>
          <w:kern w:val="2"/>
          <w:sz w:val="22"/>
          <w:szCs w:val="22"/>
          <w14:ligatures w14:val="standardContextual"/>
        </w:rPr>
      </w:pPr>
      <w:hyperlink w:anchor="_Toc166355906" w:history="1">
        <w:r w:rsidR="002B4DA9" w:rsidRPr="00CC1EC7">
          <w:rPr>
            <w:rStyle w:val="Hyperlink"/>
            <w:noProof/>
          </w:rPr>
          <w:t>Changes in net debt since the 2023–24 MYEFO</w:t>
        </w:r>
        <w:r w:rsidR="002B4DA9">
          <w:rPr>
            <w:noProof/>
            <w:webHidden/>
          </w:rPr>
          <w:tab/>
        </w:r>
        <w:r w:rsidR="002B4DA9">
          <w:rPr>
            <w:noProof/>
            <w:webHidden/>
          </w:rPr>
          <w:fldChar w:fldCharType="begin"/>
        </w:r>
        <w:r w:rsidR="002B4DA9">
          <w:rPr>
            <w:noProof/>
            <w:webHidden/>
          </w:rPr>
          <w:instrText xml:space="preserve"> PAGEREF _Toc166355906 \h </w:instrText>
        </w:r>
        <w:r w:rsidR="002B4DA9">
          <w:rPr>
            <w:noProof/>
            <w:webHidden/>
          </w:rPr>
        </w:r>
        <w:r w:rsidR="002B4DA9">
          <w:rPr>
            <w:noProof/>
            <w:webHidden/>
          </w:rPr>
          <w:fldChar w:fldCharType="separate"/>
        </w:r>
        <w:r w:rsidR="000B38EA">
          <w:rPr>
            <w:noProof/>
            <w:webHidden/>
          </w:rPr>
          <w:t>246</w:t>
        </w:r>
        <w:r w:rsidR="002B4DA9">
          <w:rPr>
            <w:noProof/>
            <w:webHidden/>
          </w:rPr>
          <w:fldChar w:fldCharType="end"/>
        </w:r>
      </w:hyperlink>
    </w:p>
    <w:p w14:paraId="36150B44" w14:textId="5E908CFC" w:rsidR="002B4DA9" w:rsidRDefault="00A47846">
      <w:pPr>
        <w:pStyle w:val="TOC1"/>
        <w:rPr>
          <w:rFonts w:asciiTheme="minorHAnsi" w:eastAsiaTheme="minorEastAsia" w:hAnsiTheme="minorHAnsi" w:cstheme="minorBidi"/>
          <w:b w:val="0"/>
          <w:noProof/>
          <w:kern w:val="2"/>
          <w:sz w:val="22"/>
          <w:szCs w:val="22"/>
          <w14:ligatures w14:val="standardContextual"/>
        </w:rPr>
      </w:pPr>
      <w:hyperlink w:anchor="_Toc166355907" w:history="1">
        <w:r w:rsidR="002B4DA9" w:rsidRPr="00CC1EC7">
          <w:rPr>
            <w:rStyle w:val="Hyperlink"/>
            <w:noProof/>
          </w:rPr>
          <w:t>Interest on AGS</w:t>
        </w:r>
        <w:r w:rsidR="002B4DA9">
          <w:rPr>
            <w:noProof/>
            <w:webHidden/>
          </w:rPr>
          <w:tab/>
        </w:r>
        <w:r w:rsidR="002B4DA9">
          <w:rPr>
            <w:noProof/>
            <w:webHidden/>
          </w:rPr>
          <w:fldChar w:fldCharType="begin"/>
        </w:r>
        <w:r w:rsidR="002B4DA9">
          <w:rPr>
            <w:noProof/>
            <w:webHidden/>
          </w:rPr>
          <w:instrText xml:space="preserve"> PAGEREF _Toc166355907 \h </w:instrText>
        </w:r>
        <w:r w:rsidR="002B4DA9">
          <w:rPr>
            <w:noProof/>
            <w:webHidden/>
          </w:rPr>
        </w:r>
        <w:r w:rsidR="002B4DA9">
          <w:rPr>
            <w:noProof/>
            <w:webHidden/>
          </w:rPr>
          <w:fldChar w:fldCharType="separate"/>
        </w:r>
        <w:r w:rsidR="000B38EA">
          <w:rPr>
            <w:noProof/>
            <w:webHidden/>
          </w:rPr>
          <w:t>247</w:t>
        </w:r>
        <w:r w:rsidR="002B4DA9">
          <w:rPr>
            <w:noProof/>
            <w:webHidden/>
          </w:rPr>
          <w:fldChar w:fldCharType="end"/>
        </w:r>
      </w:hyperlink>
    </w:p>
    <w:p w14:paraId="0075BE72" w14:textId="605E098A" w:rsidR="001A4F7E" w:rsidRPr="0098325D" w:rsidRDefault="001A4F7E" w:rsidP="004A67FC">
      <w:pPr>
        <w:rPr>
          <w:noProof/>
          <w:lang w:val="en-US"/>
        </w:rPr>
        <w:sectPr w:rsidR="001A4F7E" w:rsidRPr="0098325D" w:rsidSect="00C5566B">
          <w:headerReference w:type="even" r:id="rId14"/>
          <w:headerReference w:type="default" r:id="rId15"/>
          <w:footerReference w:type="even" r:id="rId16"/>
          <w:footerReference w:type="default" r:id="rId17"/>
          <w:headerReference w:type="first" r:id="rId18"/>
          <w:footerReference w:type="first" r:id="rId19"/>
          <w:footnotePr>
            <w:numStart w:val="36"/>
          </w:footnotePr>
          <w:type w:val="oddPage"/>
          <w:pgSz w:w="11906" w:h="16838" w:code="9"/>
          <w:pgMar w:top="2835" w:right="2098" w:bottom="2466" w:left="2098" w:header="1814" w:footer="1814" w:gutter="0"/>
          <w:cols w:space="708"/>
          <w:titlePg/>
          <w:docGrid w:linePitch="360"/>
        </w:sectPr>
      </w:pPr>
      <w:r w:rsidRPr="0098325D">
        <w:rPr>
          <w:noProof/>
          <w:lang w:val="en-US"/>
        </w:rPr>
        <w:fldChar w:fldCharType="end"/>
      </w:r>
    </w:p>
    <w:p w14:paraId="4017C5E6" w14:textId="47901DED" w:rsidR="001A4F7E" w:rsidRPr="0098325D" w:rsidRDefault="001A4F7E" w:rsidP="001A4F7E">
      <w:pPr>
        <w:pStyle w:val="Heading1"/>
      </w:pPr>
      <w:r w:rsidRPr="0098325D">
        <w:lastRenderedPageBreak/>
        <w:t>Statement 7: Debt Statement</w:t>
      </w:r>
    </w:p>
    <w:p w14:paraId="6B0FE205" w14:textId="77777777" w:rsidR="001A4F7E" w:rsidRPr="0098325D" w:rsidRDefault="001A4F7E" w:rsidP="001A4F7E">
      <w:pPr>
        <w:pStyle w:val="Heading2"/>
      </w:pPr>
      <w:bookmarkStart w:id="0" w:name="_Toc166355897"/>
      <w:r w:rsidRPr="0098325D">
        <w:t>Australian Government Securities on issue</w:t>
      </w:r>
      <w:bookmarkEnd w:id="0"/>
    </w:p>
    <w:p w14:paraId="5B5EBA79" w14:textId="6DD6DCC2" w:rsidR="001A4F7E" w:rsidRPr="004C05FA" w:rsidRDefault="001A4F7E" w:rsidP="001A4F7E">
      <w:r w:rsidRPr="004C05FA">
        <w:t>Estimates of AGS on issue are published in both face value and market value terms in this</w:t>
      </w:r>
      <w:r w:rsidR="00396782" w:rsidRPr="004C05FA">
        <w:t> </w:t>
      </w:r>
      <w:r w:rsidRPr="004C05FA">
        <w:t>Statement.</w:t>
      </w:r>
    </w:p>
    <w:p w14:paraId="5C249A15" w14:textId="4FCF6685" w:rsidR="001A4F7E" w:rsidRPr="004C05FA" w:rsidRDefault="001A4F7E" w:rsidP="001A4F7E">
      <w:pPr>
        <w:pStyle w:val="Bullet"/>
      </w:pPr>
      <w:r w:rsidRPr="004C05FA">
        <w:t xml:space="preserve">The </w:t>
      </w:r>
      <w:r w:rsidRPr="004C05FA">
        <w:rPr>
          <w:b/>
        </w:rPr>
        <w:t>face value</w:t>
      </w:r>
      <w:r w:rsidRPr="004C05FA">
        <w:t xml:space="preserve"> of AGS on issue (also referred to as gross debt) is the amount the Government pays back to investors at maturity, independent of fluctuations in market prices.</w:t>
      </w:r>
      <w:r w:rsidRPr="004C05FA">
        <w:rPr>
          <w:rStyle w:val="FootnoteReference"/>
        </w:rPr>
        <w:footnoteReference w:id="2"/>
      </w:r>
      <w:r w:rsidRPr="004C05FA">
        <w:t xml:space="preserve"> The total face value of AGS on issue changes when new securities are issued, or when securities are repurchased or reach maturity.</w:t>
      </w:r>
    </w:p>
    <w:p w14:paraId="03380793" w14:textId="629CD76D" w:rsidR="001A4F7E" w:rsidRPr="004C05FA" w:rsidRDefault="001A4F7E" w:rsidP="001A4F7E">
      <w:pPr>
        <w:pStyle w:val="Bullet"/>
      </w:pPr>
      <w:r w:rsidRPr="004C05FA">
        <w:t xml:space="preserve">The </w:t>
      </w:r>
      <w:r w:rsidRPr="004C05FA">
        <w:rPr>
          <w:b/>
        </w:rPr>
        <w:t>market value</w:t>
      </w:r>
      <w:r w:rsidRPr="004C05FA">
        <w:t xml:space="preserve"> of AGS on issue represents the value of securities as traded on the secondary market, which changes continuously with movements in market prices (often quoted as a yield to maturity). Consistent with external reporting standards, the market value of AGS on issue is reported in the Australian Government general government sector balance sheet.</w:t>
      </w:r>
    </w:p>
    <w:p w14:paraId="1787541E" w14:textId="6F215C17" w:rsidR="001A4F7E" w:rsidRPr="0098325D" w:rsidRDefault="001A4F7E" w:rsidP="001A4F7E">
      <w:r w:rsidRPr="004C05FA">
        <w:t xml:space="preserve">The </w:t>
      </w:r>
      <w:r w:rsidRPr="004C05FA">
        <w:rPr>
          <w:i/>
        </w:rPr>
        <w:t>Commonwealth Inscribed Stock Act 1911</w:t>
      </w:r>
      <w:r w:rsidRPr="004C05FA">
        <w:t xml:space="preserve"> (CIS Act) requires the Treasurer to issue a direction stipulating the maximum face value of relevant AGS that may be on issue. </w:t>
      </w:r>
      <w:r w:rsidRPr="004C05FA" w:rsidDel="00826D2C">
        <w:t>E</w:t>
      </w:r>
      <w:r w:rsidRPr="004C05FA" w:rsidDel="0035300C">
        <w:t>ffective</w:t>
      </w:r>
      <w:r w:rsidRPr="004C05FA">
        <w:t xml:space="preserve"> from 7 October 2020, the then Treasurer directed that the maximum face value of AGS that can be on issue is $1,200 billion</w:t>
      </w:r>
      <w:r w:rsidRPr="004C05FA" w:rsidDel="0035300C">
        <w:t>.</w:t>
      </w:r>
      <w:r w:rsidRPr="004C05FA">
        <w:t xml:space="preserve"> The estimated face value of AGS on issue subject to the Treasurer</w:t>
      </w:r>
      <w:r w:rsidR="00B57616" w:rsidRPr="004C05FA">
        <w:t>’</w:t>
      </w:r>
      <w:r w:rsidRPr="004C05FA">
        <w:t>s direction (end</w:t>
      </w:r>
      <w:r w:rsidR="00B57616" w:rsidRPr="004C05FA">
        <w:noBreakHyphen/>
      </w:r>
      <w:r w:rsidRPr="004C05FA">
        <w:t>of</w:t>
      </w:r>
      <w:r w:rsidR="00B57616" w:rsidRPr="004C05FA">
        <w:noBreakHyphen/>
      </w:r>
      <w:r w:rsidRPr="004C05FA">
        <w:t>year and within</w:t>
      </w:r>
      <w:r w:rsidR="00B57616" w:rsidRPr="004C05FA">
        <w:noBreakHyphen/>
      </w:r>
      <w:r w:rsidRPr="004C05FA">
        <w:t>year peak)</w:t>
      </w:r>
      <w:r w:rsidRPr="004C05FA">
        <w:rPr>
          <w:rStyle w:val="FootnoteReference"/>
        </w:rPr>
        <w:footnoteReference w:id="3"/>
      </w:r>
      <w:r w:rsidRPr="004C05FA">
        <w:t xml:space="preserve"> in each year of the forward estimates remains below $1,200 billion</w:t>
      </w:r>
      <w:r w:rsidRPr="0098325D">
        <w:t xml:space="preserve">. </w:t>
      </w:r>
    </w:p>
    <w:p w14:paraId="3DB2C1D7" w14:textId="6720C48E" w:rsidR="001A4F7E" w:rsidRPr="0098325D" w:rsidRDefault="001A4F7E" w:rsidP="001A4F7E">
      <w:r w:rsidRPr="004C05FA">
        <w:t>Gross debt is estimated to be $</w:t>
      </w:r>
      <w:r w:rsidR="00706E6F" w:rsidRPr="004C05FA">
        <w:t>934</w:t>
      </w:r>
      <w:r w:rsidRPr="004C05FA">
        <w:t> billion (</w:t>
      </w:r>
      <w:r w:rsidR="00706E6F" w:rsidRPr="004C05FA">
        <w:t>33.9</w:t>
      </w:r>
      <w:r w:rsidRPr="004C05FA">
        <w:t> per cent of GDP) at</w:t>
      </w:r>
      <w:r w:rsidR="007D3555" w:rsidRPr="004C05FA">
        <w:t xml:space="preserve"> </w:t>
      </w:r>
      <w:r w:rsidRPr="004C05FA">
        <w:t>30</w:t>
      </w:r>
      <w:r w:rsidR="007D3555" w:rsidRPr="004C05FA">
        <w:t> </w:t>
      </w:r>
      <w:r w:rsidRPr="004C05FA">
        <w:t>June</w:t>
      </w:r>
      <w:r w:rsidR="007D3555" w:rsidRPr="004C05FA">
        <w:t> </w:t>
      </w:r>
      <w:r w:rsidRPr="004C05FA">
        <w:t>202</w:t>
      </w:r>
      <w:r w:rsidR="002F5F04" w:rsidRPr="004C05FA">
        <w:t>5</w:t>
      </w:r>
      <w:r w:rsidRPr="004C05FA">
        <w:t xml:space="preserve">, increasing to </w:t>
      </w:r>
      <w:r w:rsidRPr="004C05FA" w:rsidDel="005F4F59">
        <w:t>$</w:t>
      </w:r>
      <w:r w:rsidR="00FF7111" w:rsidRPr="004C05FA">
        <w:t>1,112</w:t>
      </w:r>
      <w:r w:rsidRPr="004C05FA">
        <w:t> billion (</w:t>
      </w:r>
      <w:r w:rsidR="00FF7111" w:rsidRPr="004C05FA">
        <w:t>34.9</w:t>
      </w:r>
      <w:r w:rsidRPr="004C05FA">
        <w:t> per cent of GDP</w:t>
      </w:r>
      <w:r w:rsidRPr="004C05FA" w:rsidDel="005F4F59">
        <w:t xml:space="preserve">) </w:t>
      </w:r>
      <w:r w:rsidRPr="004C05FA">
        <w:t>at</w:t>
      </w:r>
      <w:r w:rsidRPr="004C05FA" w:rsidDel="005F4F59">
        <w:t xml:space="preserve"> 30 June 202</w:t>
      </w:r>
      <w:r w:rsidR="000D26BC" w:rsidRPr="004C05FA">
        <w:t>8</w:t>
      </w:r>
      <w:r w:rsidRPr="0098325D">
        <w:t xml:space="preserve">. </w:t>
      </w:r>
    </w:p>
    <w:p w14:paraId="68AE83A1" w14:textId="75BF9D00" w:rsidR="005B323F" w:rsidRDefault="001A4F7E" w:rsidP="00A17EC2">
      <w:r w:rsidRPr="004C05FA">
        <w:t>Gross debt</w:t>
      </w:r>
      <w:r w:rsidR="00846EB5" w:rsidRPr="004C05FA">
        <w:t xml:space="preserve"> as a percentage of GDP</w:t>
      </w:r>
      <w:r w:rsidRPr="004C05FA">
        <w:t xml:space="preserve"> is expected to be </w:t>
      </w:r>
      <w:r w:rsidR="0002686E" w:rsidRPr="004C05FA">
        <w:t xml:space="preserve">lower </w:t>
      </w:r>
      <w:r w:rsidRPr="004C05FA">
        <w:t xml:space="preserve">across each year of the forward estimates than at the </w:t>
      </w:r>
      <w:r w:rsidR="00EE77B6" w:rsidRPr="004C05FA">
        <w:t>2023–24</w:t>
      </w:r>
      <w:r w:rsidR="00210067" w:rsidRPr="004C05FA">
        <w:t> </w:t>
      </w:r>
      <w:r w:rsidR="00950FC7" w:rsidRPr="004C05FA">
        <w:t>MYEFO</w:t>
      </w:r>
      <w:r w:rsidR="00224922" w:rsidRPr="004C05FA">
        <w:t>.</w:t>
      </w:r>
      <w:r w:rsidR="00C25EDF" w:rsidRPr="004C05FA">
        <w:t xml:space="preserve"> </w:t>
      </w:r>
      <w:r w:rsidR="00DF1D01" w:rsidRPr="004C05FA">
        <w:t>The $</w:t>
      </w:r>
      <w:r w:rsidR="00357496" w:rsidRPr="004C05FA">
        <w:t>13.1</w:t>
      </w:r>
      <w:r w:rsidR="00DF1D01" w:rsidRPr="004C05FA">
        <w:t> </w:t>
      </w:r>
      <w:r w:rsidR="00A17EC2" w:rsidRPr="004C05FA">
        <w:t xml:space="preserve">billion </w:t>
      </w:r>
      <w:r w:rsidR="00DF1D01" w:rsidRPr="004C05FA">
        <w:t xml:space="preserve">improvement to the </w:t>
      </w:r>
      <w:r w:rsidR="001A2352" w:rsidRPr="004C05FA">
        <w:t>headline</w:t>
      </w:r>
      <w:r w:rsidR="00DF1D01" w:rsidRPr="004C05FA">
        <w:t xml:space="preserve"> cash balance </w:t>
      </w:r>
      <w:r w:rsidR="00A17EC2" w:rsidRPr="004C05FA">
        <w:t>in 2023</w:t>
      </w:r>
      <w:r w:rsidR="00997919" w:rsidRPr="004C05FA">
        <w:t>–</w:t>
      </w:r>
      <w:r w:rsidR="00A17EC2" w:rsidRPr="004C05FA">
        <w:t>24 and the impact of lower yields on AGS</w:t>
      </w:r>
      <w:r w:rsidR="009A2ECC" w:rsidRPr="004C05FA">
        <w:t xml:space="preserve"> contribute to this</w:t>
      </w:r>
      <w:r w:rsidR="002E3592" w:rsidRPr="004C05FA">
        <w:t xml:space="preserve"> reduction</w:t>
      </w:r>
      <w:r w:rsidR="00A17EC2" w:rsidRPr="00DA4572">
        <w:t xml:space="preserve">. </w:t>
      </w:r>
    </w:p>
    <w:p w14:paraId="14F25FD2" w14:textId="2EEC93C5" w:rsidR="001A4F7E" w:rsidRPr="0098325D" w:rsidRDefault="001A4F7E" w:rsidP="00A17EC2">
      <w:r w:rsidRPr="0098325D">
        <w:br w:type="page"/>
      </w:r>
    </w:p>
    <w:p w14:paraId="3152B6EF" w14:textId="77777777" w:rsidR="001A4F7E" w:rsidRPr="0098325D" w:rsidRDefault="001A4F7E" w:rsidP="001A4F7E">
      <w:r w:rsidRPr="0098325D">
        <w:lastRenderedPageBreak/>
        <w:t>Table 7.1 presents estimates of AGS on issue.</w:t>
      </w:r>
    </w:p>
    <w:p w14:paraId="2FAB413C" w14:textId="731BDF58" w:rsidR="00325683" w:rsidRDefault="001A4F7E" w:rsidP="00325683">
      <w:pPr>
        <w:pStyle w:val="TableHeading"/>
        <w:rPr>
          <w:rFonts w:asciiTheme="minorHAnsi" w:eastAsiaTheme="minorHAnsi" w:hAnsiTheme="minorHAnsi" w:cstheme="minorBidi"/>
          <w:sz w:val="22"/>
          <w:szCs w:val="22"/>
          <w:lang w:eastAsia="en-US"/>
        </w:rPr>
      </w:pPr>
      <w:r w:rsidRPr="004C05FA">
        <w:t>Table 7.1: Estimates of AGS on issue subject to the Treasurer</w:t>
      </w:r>
      <w:r w:rsidR="00B57616" w:rsidRPr="004C05FA">
        <w:t>’</w:t>
      </w:r>
      <w:r w:rsidRPr="004C05FA">
        <w:t>s Direction</w:t>
      </w:r>
      <w:r w:rsidRPr="0098325D">
        <w:rPr>
          <w:vertAlign w:val="superscript"/>
        </w:rPr>
        <w:t>(a)(b)</w:t>
      </w:r>
      <w:r w:rsidRPr="0098325D">
        <w:t xml:space="preserve"> </w:t>
      </w:r>
    </w:p>
    <w:tbl>
      <w:tblPr>
        <w:tblW w:w="5000" w:type="pct"/>
        <w:tblCellMar>
          <w:left w:w="0" w:type="dxa"/>
          <w:right w:w="28" w:type="dxa"/>
        </w:tblCellMar>
        <w:tblLook w:val="04A0" w:firstRow="1" w:lastRow="0" w:firstColumn="1" w:lastColumn="0" w:noHBand="0" w:noVBand="1"/>
      </w:tblPr>
      <w:tblGrid>
        <w:gridCol w:w="2487"/>
        <w:gridCol w:w="1046"/>
        <w:gridCol w:w="1045"/>
        <w:gridCol w:w="1045"/>
        <w:gridCol w:w="1045"/>
        <w:gridCol w:w="1042"/>
      </w:tblGrid>
      <w:tr w:rsidR="00325683" w:rsidRPr="00325683" w14:paraId="60448CDF" w14:textId="77777777" w:rsidTr="00325683">
        <w:trPr>
          <w:trHeight w:hRule="exact" w:val="225"/>
        </w:trPr>
        <w:tc>
          <w:tcPr>
            <w:tcW w:w="1612" w:type="pct"/>
            <w:tcBorders>
              <w:top w:val="single" w:sz="4" w:space="0" w:color="293F5B"/>
              <w:left w:val="nil"/>
              <w:bottom w:val="nil"/>
              <w:right w:val="nil"/>
            </w:tcBorders>
            <w:shd w:val="clear" w:color="auto" w:fill="auto"/>
            <w:noWrap/>
            <w:vAlign w:val="center"/>
            <w:hideMark/>
          </w:tcPr>
          <w:p w14:paraId="6F1484D1" w14:textId="072EF64B" w:rsidR="00325683" w:rsidRPr="00325683" w:rsidRDefault="00325683" w:rsidP="00325683">
            <w:pPr>
              <w:spacing w:before="0" w:after="0" w:line="240" w:lineRule="auto"/>
              <w:rPr>
                <w:rFonts w:ascii="Arial" w:hAnsi="Arial" w:cs="Arial"/>
                <w:b/>
                <w:bCs/>
                <w:color w:val="000000"/>
                <w:sz w:val="16"/>
                <w:szCs w:val="16"/>
              </w:rPr>
            </w:pPr>
            <w:r w:rsidRPr="00325683">
              <w:rPr>
                <w:rFonts w:ascii="Arial" w:hAnsi="Arial" w:cs="Arial"/>
                <w:b/>
                <w:bCs/>
                <w:color w:val="000000"/>
                <w:sz w:val="16"/>
                <w:szCs w:val="16"/>
              </w:rPr>
              <w:t> </w:t>
            </w:r>
          </w:p>
        </w:tc>
        <w:tc>
          <w:tcPr>
            <w:tcW w:w="678" w:type="pct"/>
            <w:tcBorders>
              <w:top w:val="single" w:sz="4" w:space="0" w:color="293F5B"/>
              <w:left w:val="nil"/>
              <w:bottom w:val="nil"/>
              <w:right w:val="nil"/>
            </w:tcBorders>
            <w:shd w:val="clear" w:color="auto" w:fill="auto"/>
            <w:noWrap/>
            <w:vAlign w:val="center"/>
            <w:hideMark/>
          </w:tcPr>
          <w:p w14:paraId="01384130" w14:textId="77777777" w:rsidR="00325683" w:rsidRPr="00325683" w:rsidRDefault="00325683" w:rsidP="00325683">
            <w:pPr>
              <w:spacing w:before="0" w:after="0" w:line="240" w:lineRule="auto"/>
              <w:jc w:val="center"/>
              <w:rPr>
                <w:rFonts w:ascii="Arial" w:hAnsi="Arial" w:cs="Arial"/>
                <w:sz w:val="16"/>
                <w:szCs w:val="16"/>
              </w:rPr>
            </w:pPr>
            <w:r w:rsidRPr="00325683">
              <w:rPr>
                <w:rFonts w:ascii="Arial" w:hAnsi="Arial" w:cs="Arial"/>
                <w:sz w:val="16"/>
                <w:szCs w:val="16"/>
              </w:rPr>
              <w:t> </w:t>
            </w:r>
          </w:p>
        </w:tc>
        <w:tc>
          <w:tcPr>
            <w:tcW w:w="2711" w:type="pct"/>
            <w:gridSpan w:val="4"/>
            <w:tcBorders>
              <w:top w:val="single" w:sz="4" w:space="0" w:color="293F5B"/>
              <w:left w:val="nil"/>
              <w:bottom w:val="nil"/>
              <w:right w:val="nil"/>
            </w:tcBorders>
            <w:shd w:val="clear" w:color="auto" w:fill="auto"/>
            <w:noWrap/>
            <w:vAlign w:val="center"/>
            <w:hideMark/>
          </w:tcPr>
          <w:p w14:paraId="66297A45" w14:textId="77777777" w:rsidR="00325683" w:rsidRPr="00325683" w:rsidRDefault="00325683" w:rsidP="00325683">
            <w:pPr>
              <w:spacing w:before="0" w:after="0" w:line="240" w:lineRule="auto"/>
              <w:jc w:val="center"/>
              <w:rPr>
                <w:rFonts w:ascii="Arial" w:hAnsi="Arial" w:cs="Arial"/>
                <w:sz w:val="16"/>
                <w:szCs w:val="16"/>
              </w:rPr>
            </w:pPr>
            <w:r w:rsidRPr="00325683">
              <w:rPr>
                <w:rFonts w:ascii="Arial" w:hAnsi="Arial" w:cs="Arial"/>
                <w:sz w:val="16"/>
                <w:szCs w:val="16"/>
              </w:rPr>
              <w:t>Estimates</w:t>
            </w:r>
          </w:p>
        </w:tc>
      </w:tr>
      <w:tr w:rsidR="00325683" w:rsidRPr="00325683" w14:paraId="1518D140" w14:textId="77777777" w:rsidTr="00325683">
        <w:trPr>
          <w:trHeight w:hRule="exact" w:val="225"/>
        </w:trPr>
        <w:tc>
          <w:tcPr>
            <w:tcW w:w="1612" w:type="pct"/>
            <w:tcBorders>
              <w:top w:val="nil"/>
              <w:left w:val="nil"/>
              <w:bottom w:val="nil"/>
              <w:right w:val="nil"/>
            </w:tcBorders>
            <w:shd w:val="clear" w:color="auto" w:fill="auto"/>
            <w:noWrap/>
            <w:vAlign w:val="center"/>
            <w:hideMark/>
          </w:tcPr>
          <w:p w14:paraId="40DD2A38" w14:textId="77777777" w:rsidR="00325683" w:rsidRPr="00325683" w:rsidRDefault="00325683" w:rsidP="00325683">
            <w:pPr>
              <w:spacing w:before="0" w:after="0" w:line="240" w:lineRule="auto"/>
              <w:jc w:val="center"/>
              <w:rPr>
                <w:rFonts w:ascii="Arial" w:hAnsi="Arial" w:cs="Arial"/>
                <w:sz w:val="16"/>
                <w:szCs w:val="16"/>
              </w:rPr>
            </w:pPr>
          </w:p>
        </w:tc>
        <w:tc>
          <w:tcPr>
            <w:tcW w:w="678" w:type="pct"/>
            <w:tcBorders>
              <w:top w:val="single" w:sz="4" w:space="0" w:color="293F5B"/>
              <w:left w:val="nil"/>
              <w:bottom w:val="nil"/>
              <w:right w:val="nil"/>
            </w:tcBorders>
            <w:shd w:val="clear" w:color="auto" w:fill="auto"/>
            <w:noWrap/>
            <w:vAlign w:val="center"/>
            <w:hideMark/>
          </w:tcPr>
          <w:p w14:paraId="7FA96CB3" w14:textId="0A899725"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2023</w:t>
            </w:r>
            <w:r w:rsidR="00B57616">
              <w:rPr>
                <w:rFonts w:ascii="Arial" w:hAnsi="Arial" w:cs="Arial"/>
                <w:color w:val="000000"/>
                <w:sz w:val="16"/>
                <w:szCs w:val="16"/>
              </w:rPr>
              <w:noBreakHyphen/>
            </w:r>
            <w:r w:rsidRPr="00325683">
              <w:rPr>
                <w:rFonts w:ascii="Arial" w:hAnsi="Arial" w:cs="Arial"/>
                <w:color w:val="000000"/>
                <w:sz w:val="16"/>
                <w:szCs w:val="16"/>
              </w:rPr>
              <w:t>24</w:t>
            </w:r>
          </w:p>
        </w:tc>
        <w:tc>
          <w:tcPr>
            <w:tcW w:w="678" w:type="pct"/>
            <w:tcBorders>
              <w:top w:val="single" w:sz="4" w:space="0" w:color="293F5B"/>
              <w:left w:val="nil"/>
              <w:bottom w:val="nil"/>
              <w:right w:val="nil"/>
            </w:tcBorders>
            <w:shd w:val="clear" w:color="000000" w:fill="E6F2FF"/>
            <w:noWrap/>
            <w:vAlign w:val="center"/>
            <w:hideMark/>
          </w:tcPr>
          <w:p w14:paraId="21BBFE5F" w14:textId="2750D786"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2024</w:t>
            </w:r>
            <w:r w:rsidR="00B57616">
              <w:rPr>
                <w:rFonts w:ascii="Arial" w:hAnsi="Arial" w:cs="Arial"/>
                <w:color w:val="000000"/>
                <w:sz w:val="16"/>
                <w:szCs w:val="16"/>
              </w:rPr>
              <w:noBreakHyphen/>
            </w:r>
            <w:r w:rsidRPr="00325683">
              <w:rPr>
                <w:rFonts w:ascii="Arial" w:hAnsi="Arial" w:cs="Arial"/>
                <w:color w:val="000000"/>
                <w:sz w:val="16"/>
                <w:szCs w:val="16"/>
              </w:rPr>
              <w:t>25</w:t>
            </w:r>
          </w:p>
        </w:tc>
        <w:tc>
          <w:tcPr>
            <w:tcW w:w="678" w:type="pct"/>
            <w:tcBorders>
              <w:top w:val="single" w:sz="4" w:space="0" w:color="293F5B"/>
              <w:left w:val="nil"/>
              <w:bottom w:val="nil"/>
              <w:right w:val="nil"/>
            </w:tcBorders>
            <w:shd w:val="clear" w:color="auto" w:fill="auto"/>
            <w:noWrap/>
            <w:vAlign w:val="center"/>
            <w:hideMark/>
          </w:tcPr>
          <w:p w14:paraId="441A595B" w14:textId="4ABC9D3F"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2025</w:t>
            </w:r>
            <w:r w:rsidR="00B57616">
              <w:rPr>
                <w:rFonts w:ascii="Arial" w:hAnsi="Arial" w:cs="Arial"/>
                <w:color w:val="000000"/>
                <w:sz w:val="16"/>
                <w:szCs w:val="16"/>
              </w:rPr>
              <w:noBreakHyphen/>
            </w:r>
            <w:r w:rsidRPr="00325683">
              <w:rPr>
                <w:rFonts w:ascii="Arial" w:hAnsi="Arial" w:cs="Arial"/>
                <w:color w:val="000000"/>
                <w:sz w:val="16"/>
                <w:szCs w:val="16"/>
              </w:rPr>
              <w:t>26</w:t>
            </w:r>
          </w:p>
        </w:tc>
        <w:tc>
          <w:tcPr>
            <w:tcW w:w="678" w:type="pct"/>
            <w:tcBorders>
              <w:top w:val="single" w:sz="4" w:space="0" w:color="293F5B"/>
              <w:left w:val="nil"/>
              <w:bottom w:val="nil"/>
              <w:right w:val="nil"/>
            </w:tcBorders>
            <w:shd w:val="clear" w:color="000000" w:fill="FFFFFF"/>
            <w:noWrap/>
            <w:vAlign w:val="center"/>
            <w:hideMark/>
          </w:tcPr>
          <w:p w14:paraId="41E2BF8A" w14:textId="509D0AFE"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2026</w:t>
            </w:r>
            <w:r w:rsidR="00B57616">
              <w:rPr>
                <w:rFonts w:ascii="Arial" w:hAnsi="Arial" w:cs="Arial"/>
                <w:color w:val="000000"/>
                <w:sz w:val="16"/>
                <w:szCs w:val="16"/>
              </w:rPr>
              <w:noBreakHyphen/>
            </w:r>
            <w:r w:rsidRPr="00325683">
              <w:rPr>
                <w:rFonts w:ascii="Arial" w:hAnsi="Arial" w:cs="Arial"/>
                <w:color w:val="000000"/>
                <w:sz w:val="16"/>
                <w:szCs w:val="16"/>
              </w:rPr>
              <w:t>27</w:t>
            </w:r>
          </w:p>
        </w:tc>
        <w:tc>
          <w:tcPr>
            <w:tcW w:w="678" w:type="pct"/>
            <w:tcBorders>
              <w:top w:val="single" w:sz="4" w:space="0" w:color="293F5B"/>
              <w:left w:val="nil"/>
              <w:bottom w:val="nil"/>
              <w:right w:val="nil"/>
            </w:tcBorders>
            <w:shd w:val="clear" w:color="auto" w:fill="auto"/>
            <w:noWrap/>
            <w:vAlign w:val="center"/>
            <w:hideMark/>
          </w:tcPr>
          <w:p w14:paraId="32DAF5EA" w14:textId="4039C0D5"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2027</w:t>
            </w:r>
            <w:r w:rsidR="00B57616">
              <w:rPr>
                <w:rFonts w:ascii="Arial" w:hAnsi="Arial" w:cs="Arial"/>
                <w:color w:val="000000"/>
                <w:sz w:val="16"/>
                <w:szCs w:val="16"/>
              </w:rPr>
              <w:noBreakHyphen/>
            </w:r>
            <w:r w:rsidRPr="00325683">
              <w:rPr>
                <w:rFonts w:ascii="Arial" w:hAnsi="Arial" w:cs="Arial"/>
                <w:color w:val="000000"/>
                <w:sz w:val="16"/>
                <w:szCs w:val="16"/>
              </w:rPr>
              <w:t>28</w:t>
            </w:r>
          </w:p>
        </w:tc>
      </w:tr>
      <w:tr w:rsidR="00325683" w:rsidRPr="00325683" w14:paraId="69CB401D" w14:textId="77777777" w:rsidTr="00325683">
        <w:trPr>
          <w:trHeight w:hRule="exact" w:val="225"/>
        </w:trPr>
        <w:tc>
          <w:tcPr>
            <w:tcW w:w="1612" w:type="pct"/>
            <w:tcBorders>
              <w:top w:val="nil"/>
              <w:left w:val="nil"/>
              <w:bottom w:val="nil"/>
              <w:right w:val="nil"/>
            </w:tcBorders>
            <w:shd w:val="clear" w:color="auto" w:fill="auto"/>
            <w:noWrap/>
            <w:vAlign w:val="center"/>
            <w:hideMark/>
          </w:tcPr>
          <w:p w14:paraId="74204369" w14:textId="77777777" w:rsidR="00325683" w:rsidRPr="00325683" w:rsidRDefault="00325683" w:rsidP="00325683">
            <w:pPr>
              <w:spacing w:before="0" w:after="0" w:line="240" w:lineRule="auto"/>
              <w:jc w:val="right"/>
              <w:rPr>
                <w:rFonts w:ascii="Arial" w:hAnsi="Arial" w:cs="Arial"/>
                <w:color w:val="000000"/>
                <w:sz w:val="16"/>
                <w:szCs w:val="16"/>
              </w:rPr>
            </w:pPr>
          </w:p>
        </w:tc>
        <w:tc>
          <w:tcPr>
            <w:tcW w:w="678" w:type="pct"/>
            <w:tcBorders>
              <w:top w:val="nil"/>
              <w:left w:val="nil"/>
              <w:bottom w:val="single" w:sz="4" w:space="0" w:color="293F5B"/>
              <w:right w:val="nil"/>
            </w:tcBorders>
            <w:shd w:val="clear" w:color="auto" w:fill="auto"/>
            <w:noWrap/>
            <w:vAlign w:val="center"/>
            <w:hideMark/>
          </w:tcPr>
          <w:p w14:paraId="14C71812"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$b</w:t>
            </w:r>
          </w:p>
        </w:tc>
        <w:tc>
          <w:tcPr>
            <w:tcW w:w="678" w:type="pct"/>
            <w:tcBorders>
              <w:top w:val="nil"/>
              <w:left w:val="nil"/>
              <w:bottom w:val="single" w:sz="4" w:space="0" w:color="293F5B"/>
              <w:right w:val="nil"/>
            </w:tcBorders>
            <w:shd w:val="clear" w:color="000000" w:fill="E6F2FF"/>
            <w:noWrap/>
            <w:vAlign w:val="center"/>
            <w:hideMark/>
          </w:tcPr>
          <w:p w14:paraId="34F32702"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$b</w:t>
            </w:r>
          </w:p>
        </w:tc>
        <w:tc>
          <w:tcPr>
            <w:tcW w:w="678" w:type="pct"/>
            <w:tcBorders>
              <w:top w:val="nil"/>
              <w:left w:val="nil"/>
              <w:bottom w:val="single" w:sz="4" w:space="0" w:color="293F5B"/>
              <w:right w:val="nil"/>
            </w:tcBorders>
            <w:shd w:val="clear" w:color="auto" w:fill="auto"/>
            <w:noWrap/>
            <w:vAlign w:val="center"/>
            <w:hideMark/>
          </w:tcPr>
          <w:p w14:paraId="6F2C419A"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$b</w:t>
            </w:r>
          </w:p>
        </w:tc>
        <w:tc>
          <w:tcPr>
            <w:tcW w:w="678" w:type="pct"/>
            <w:tcBorders>
              <w:top w:val="nil"/>
              <w:left w:val="nil"/>
              <w:bottom w:val="single" w:sz="4" w:space="0" w:color="293F5B"/>
              <w:right w:val="nil"/>
            </w:tcBorders>
            <w:shd w:val="clear" w:color="000000" w:fill="FFFFFF"/>
            <w:noWrap/>
            <w:vAlign w:val="center"/>
            <w:hideMark/>
          </w:tcPr>
          <w:p w14:paraId="0FDDB4E6"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$b</w:t>
            </w:r>
          </w:p>
        </w:tc>
        <w:tc>
          <w:tcPr>
            <w:tcW w:w="678" w:type="pct"/>
            <w:tcBorders>
              <w:top w:val="nil"/>
              <w:left w:val="nil"/>
              <w:bottom w:val="single" w:sz="4" w:space="0" w:color="293F5B"/>
              <w:right w:val="nil"/>
            </w:tcBorders>
            <w:shd w:val="clear" w:color="auto" w:fill="auto"/>
            <w:noWrap/>
            <w:vAlign w:val="center"/>
            <w:hideMark/>
          </w:tcPr>
          <w:p w14:paraId="47718A16"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$b</w:t>
            </w:r>
          </w:p>
        </w:tc>
      </w:tr>
      <w:tr w:rsidR="00325683" w:rsidRPr="00325683" w14:paraId="16FC19AC" w14:textId="77777777" w:rsidTr="00325683">
        <w:trPr>
          <w:trHeight w:hRule="exact" w:val="225"/>
        </w:trPr>
        <w:tc>
          <w:tcPr>
            <w:tcW w:w="1612" w:type="pct"/>
            <w:tcBorders>
              <w:top w:val="nil"/>
              <w:left w:val="nil"/>
              <w:bottom w:val="nil"/>
              <w:right w:val="nil"/>
            </w:tcBorders>
            <w:shd w:val="clear" w:color="auto" w:fill="auto"/>
            <w:noWrap/>
            <w:vAlign w:val="center"/>
            <w:hideMark/>
          </w:tcPr>
          <w:p w14:paraId="3567755F" w14:textId="77777777" w:rsidR="00325683" w:rsidRPr="00325683" w:rsidRDefault="00325683" w:rsidP="00325683">
            <w:pPr>
              <w:spacing w:before="0"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center"/>
            <w:hideMark/>
          </w:tcPr>
          <w:p w14:paraId="5D0E995F" w14:textId="77777777" w:rsidR="00325683" w:rsidRPr="00325683" w:rsidRDefault="00325683" w:rsidP="00325683">
            <w:pPr>
              <w:spacing w:before="0" w:after="0" w:line="240" w:lineRule="auto"/>
              <w:rPr>
                <w:rFonts w:ascii="Times New Roman" w:hAnsi="Times New Roman"/>
                <w:sz w:val="20"/>
              </w:rPr>
            </w:pPr>
          </w:p>
        </w:tc>
        <w:tc>
          <w:tcPr>
            <w:tcW w:w="678" w:type="pct"/>
            <w:tcBorders>
              <w:top w:val="nil"/>
              <w:left w:val="nil"/>
              <w:bottom w:val="nil"/>
              <w:right w:val="nil"/>
            </w:tcBorders>
            <w:shd w:val="clear" w:color="000000" w:fill="E6F2FF"/>
            <w:noWrap/>
            <w:vAlign w:val="center"/>
            <w:hideMark/>
          </w:tcPr>
          <w:p w14:paraId="141EC5E1"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 </w:t>
            </w:r>
          </w:p>
        </w:tc>
        <w:tc>
          <w:tcPr>
            <w:tcW w:w="678" w:type="pct"/>
            <w:tcBorders>
              <w:top w:val="nil"/>
              <w:left w:val="nil"/>
              <w:bottom w:val="nil"/>
              <w:right w:val="nil"/>
            </w:tcBorders>
            <w:shd w:val="clear" w:color="auto" w:fill="auto"/>
            <w:noWrap/>
            <w:vAlign w:val="center"/>
            <w:hideMark/>
          </w:tcPr>
          <w:p w14:paraId="7B99FF95" w14:textId="77777777" w:rsidR="00325683" w:rsidRPr="00325683" w:rsidRDefault="00325683" w:rsidP="00325683">
            <w:pPr>
              <w:spacing w:before="0"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000000" w:fill="FFFFFF"/>
            <w:noWrap/>
            <w:vAlign w:val="center"/>
            <w:hideMark/>
          </w:tcPr>
          <w:p w14:paraId="5DEEF5D5"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 </w:t>
            </w:r>
          </w:p>
        </w:tc>
        <w:tc>
          <w:tcPr>
            <w:tcW w:w="678" w:type="pct"/>
            <w:tcBorders>
              <w:top w:val="nil"/>
              <w:left w:val="nil"/>
              <w:bottom w:val="nil"/>
              <w:right w:val="nil"/>
            </w:tcBorders>
            <w:shd w:val="clear" w:color="auto" w:fill="auto"/>
            <w:noWrap/>
            <w:vAlign w:val="center"/>
            <w:hideMark/>
          </w:tcPr>
          <w:p w14:paraId="3359CC37" w14:textId="77777777" w:rsidR="00325683" w:rsidRPr="00325683" w:rsidRDefault="00325683" w:rsidP="00325683">
            <w:pPr>
              <w:spacing w:before="0" w:after="0" w:line="240" w:lineRule="auto"/>
              <w:jc w:val="right"/>
              <w:rPr>
                <w:rFonts w:ascii="Arial" w:hAnsi="Arial" w:cs="Arial"/>
                <w:color w:val="000000"/>
                <w:sz w:val="16"/>
                <w:szCs w:val="16"/>
              </w:rPr>
            </w:pPr>
          </w:p>
        </w:tc>
      </w:tr>
      <w:tr w:rsidR="00325683" w:rsidRPr="00325683" w14:paraId="05B079E8" w14:textId="77777777" w:rsidTr="00325683">
        <w:trPr>
          <w:trHeight w:hRule="exact" w:val="225"/>
        </w:trPr>
        <w:tc>
          <w:tcPr>
            <w:tcW w:w="1612" w:type="pct"/>
            <w:tcBorders>
              <w:top w:val="nil"/>
              <w:left w:val="nil"/>
              <w:bottom w:val="nil"/>
              <w:right w:val="nil"/>
            </w:tcBorders>
            <w:shd w:val="clear" w:color="auto" w:fill="auto"/>
            <w:noWrap/>
            <w:vAlign w:val="center"/>
            <w:hideMark/>
          </w:tcPr>
          <w:p w14:paraId="60719E18" w14:textId="510996E4" w:rsidR="00325683" w:rsidRPr="00325683" w:rsidRDefault="00325683" w:rsidP="00325683">
            <w:pPr>
              <w:spacing w:before="0" w:after="0" w:line="240" w:lineRule="auto"/>
              <w:rPr>
                <w:rFonts w:ascii="Arial" w:hAnsi="Arial" w:cs="Arial"/>
                <w:color w:val="000000"/>
                <w:sz w:val="16"/>
                <w:szCs w:val="16"/>
              </w:rPr>
            </w:pPr>
            <w:r w:rsidRPr="00325683">
              <w:rPr>
                <w:rFonts w:ascii="Arial" w:hAnsi="Arial" w:cs="Arial"/>
                <w:color w:val="000000"/>
                <w:sz w:val="16"/>
                <w:szCs w:val="16"/>
              </w:rPr>
              <w:t>Face value – end</w:t>
            </w:r>
            <w:r w:rsidR="00B57616">
              <w:rPr>
                <w:rFonts w:ascii="Arial" w:hAnsi="Arial" w:cs="Arial"/>
                <w:color w:val="000000"/>
                <w:sz w:val="16"/>
                <w:szCs w:val="16"/>
              </w:rPr>
              <w:noBreakHyphen/>
            </w:r>
            <w:r w:rsidRPr="00325683">
              <w:rPr>
                <w:rFonts w:ascii="Arial" w:hAnsi="Arial" w:cs="Arial"/>
                <w:color w:val="000000"/>
                <w:sz w:val="16"/>
                <w:szCs w:val="16"/>
              </w:rPr>
              <w:t>of</w:t>
            </w:r>
            <w:r w:rsidR="00B57616">
              <w:rPr>
                <w:rFonts w:ascii="Arial" w:hAnsi="Arial" w:cs="Arial"/>
                <w:color w:val="000000"/>
                <w:sz w:val="16"/>
                <w:szCs w:val="16"/>
              </w:rPr>
              <w:noBreakHyphen/>
            </w:r>
            <w:r w:rsidRPr="00325683">
              <w:rPr>
                <w:rFonts w:ascii="Arial" w:hAnsi="Arial" w:cs="Arial"/>
                <w:color w:val="000000"/>
                <w:sz w:val="16"/>
                <w:szCs w:val="16"/>
              </w:rPr>
              <w:t>year</w:t>
            </w:r>
          </w:p>
        </w:tc>
        <w:tc>
          <w:tcPr>
            <w:tcW w:w="678" w:type="pct"/>
            <w:tcBorders>
              <w:top w:val="nil"/>
              <w:left w:val="nil"/>
              <w:bottom w:val="nil"/>
              <w:right w:val="nil"/>
            </w:tcBorders>
            <w:shd w:val="clear" w:color="auto" w:fill="auto"/>
            <w:noWrap/>
            <w:vAlign w:val="center"/>
            <w:hideMark/>
          </w:tcPr>
          <w:p w14:paraId="01CAEAEB"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904</w:t>
            </w:r>
          </w:p>
        </w:tc>
        <w:tc>
          <w:tcPr>
            <w:tcW w:w="678" w:type="pct"/>
            <w:tcBorders>
              <w:top w:val="nil"/>
              <w:left w:val="nil"/>
              <w:bottom w:val="nil"/>
              <w:right w:val="nil"/>
            </w:tcBorders>
            <w:shd w:val="clear" w:color="000000" w:fill="E6F2FF"/>
            <w:noWrap/>
            <w:vAlign w:val="center"/>
            <w:hideMark/>
          </w:tcPr>
          <w:p w14:paraId="60A2F7EF"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934</w:t>
            </w:r>
          </w:p>
        </w:tc>
        <w:tc>
          <w:tcPr>
            <w:tcW w:w="678" w:type="pct"/>
            <w:tcBorders>
              <w:top w:val="nil"/>
              <w:left w:val="nil"/>
              <w:bottom w:val="nil"/>
              <w:right w:val="nil"/>
            </w:tcBorders>
            <w:shd w:val="clear" w:color="auto" w:fill="auto"/>
            <w:noWrap/>
            <w:vAlign w:val="center"/>
            <w:hideMark/>
          </w:tcPr>
          <w:p w14:paraId="670E7F5D"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1,007</w:t>
            </w:r>
          </w:p>
        </w:tc>
        <w:tc>
          <w:tcPr>
            <w:tcW w:w="678" w:type="pct"/>
            <w:tcBorders>
              <w:top w:val="nil"/>
              <w:left w:val="nil"/>
              <w:bottom w:val="nil"/>
              <w:right w:val="nil"/>
            </w:tcBorders>
            <w:shd w:val="clear" w:color="auto" w:fill="auto"/>
            <w:noWrap/>
            <w:vAlign w:val="center"/>
            <w:hideMark/>
          </w:tcPr>
          <w:p w14:paraId="32390713"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1,064</w:t>
            </w:r>
          </w:p>
        </w:tc>
        <w:tc>
          <w:tcPr>
            <w:tcW w:w="678" w:type="pct"/>
            <w:tcBorders>
              <w:top w:val="nil"/>
              <w:left w:val="nil"/>
              <w:bottom w:val="nil"/>
              <w:right w:val="nil"/>
            </w:tcBorders>
            <w:shd w:val="clear" w:color="auto" w:fill="auto"/>
            <w:noWrap/>
            <w:vAlign w:val="center"/>
            <w:hideMark/>
          </w:tcPr>
          <w:p w14:paraId="50D13A25"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1,112</w:t>
            </w:r>
          </w:p>
        </w:tc>
      </w:tr>
      <w:tr w:rsidR="00325683" w:rsidRPr="00325683" w14:paraId="11ED865A" w14:textId="77777777" w:rsidTr="00325683">
        <w:trPr>
          <w:trHeight w:hRule="exact" w:val="225"/>
        </w:trPr>
        <w:tc>
          <w:tcPr>
            <w:tcW w:w="1612" w:type="pct"/>
            <w:tcBorders>
              <w:top w:val="nil"/>
              <w:left w:val="nil"/>
              <w:bottom w:val="nil"/>
              <w:right w:val="nil"/>
            </w:tcBorders>
            <w:shd w:val="clear" w:color="auto" w:fill="auto"/>
            <w:noWrap/>
            <w:vAlign w:val="center"/>
            <w:hideMark/>
          </w:tcPr>
          <w:p w14:paraId="5E41724D" w14:textId="77777777" w:rsidR="00325683" w:rsidRPr="00325683" w:rsidRDefault="00325683" w:rsidP="00325683">
            <w:pPr>
              <w:spacing w:before="0" w:after="0" w:line="240" w:lineRule="auto"/>
              <w:ind w:left="170"/>
              <w:rPr>
                <w:rFonts w:ascii="Arial" w:hAnsi="Arial" w:cs="Arial"/>
                <w:color w:val="000000"/>
                <w:sz w:val="16"/>
                <w:szCs w:val="16"/>
              </w:rPr>
            </w:pPr>
            <w:r w:rsidRPr="00325683">
              <w:rPr>
                <w:rFonts w:ascii="Arial" w:hAnsi="Arial" w:cs="Arial"/>
                <w:color w:val="000000"/>
                <w:sz w:val="16"/>
                <w:szCs w:val="16"/>
              </w:rPr>
              <w:t>Per cent of GDP</w:t>
            </w:r>
          </w:p>
        </w:tc>
        <w:tc>
          <w:tcPr>
            <w:tcW w:w="678" w:type="pct"/>
            <w:tcBorders>
              <w:top w:val="nil"/>
              <w:left w:val="nil"/>
              <w:bottom w:val="nil"/>
              <w:right w:val="nil"/>
            </w:tcBorders>
            <w:shd w:val="clear" w:color="auto" w:fill="auto"/>
            <w:noWrap/>
            <w:vAlign w:val="center"/>
            <w:hideMark/>
          </w:tcPr>
          <w:p w14:paraId="0FCAD695"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33.7</w:t>
            </w:r>
          </w:p>
        </w:tc>
        <w:tc>
          <w:tcPr>
            <w:tcW w:w="678" w:type="pct"/>
            <w:tcBorders>
              <w:top w:val="nil"/>
              <w:left w:val="nil"/>
              <w:bottom w:val="nil"/>
              <w:right w:val="nil"/>
            </w:tcBorders>
            <w:shd w:val="clear" w:color="000000" w:fill="E6F2FF"/>
            <w:noWrap/>
            <w:vAlign w:val="center"/>
            <w:hideMark/>
          </w:tcPr>
          <w:p w14:paraId="7396C71A"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33.9</w:t>
            </w:r>
          </w:p>
        </w:tc>
        <w:tc>
          <w:tcPr>
            <w:tcW w:w="678" w:type="pct"/>
            <w:tcBorders>
              <w:top w:val="nil"/>
              <w:left w:val="nil"/>
              <w:bottom w:val="nil"/>
              <w:right w:val="nil"/>
            </w:tcBorders>
            <w:shd w:val="clear" w:color="auto" w:fill="auto"/>
            <w:noWrap/>
            <w:vAlign w:val="center"/>
            <w:hideMark/>
          </w:tcPr>
          <w:p w14:paraId="7A611A64"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35.1</w:t>
            </w:r>
          </w:p>
        </w:tc>
        <w:tc>
          <w:tcPr>
            <w:tcW w:w="678" w:type="pct"/>
            <w:tcBorders>
              <w:top w:val="nil"/>
              <w:left w:val="nil"/>
              <w:bottom w:val="nil"/>
              <w:right w:val="nil"/>
            </w:tcBorders>
            <w:shd w:val="clear" w:color="000000" w:fill="FFFFFF"/>
            <w:noWrap/>
            <w:vAlign w:val="center"/>
            <w:hideMark/>
          </w:tcPr>
          <w:p w14:paraId="7A3E6888"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35.2</w:t>
            </w:r>
          </w:p>
        </w:tc>
        <w:tc>
          <w:tcPr>
            <w:tcW w:w="678" w:type="pct"/>
            <w:tcBorders>
              <w:top w:val="nil"/>
              <w:left w:val="nil"/>
              <w:bottom w:val="nil"/>
              <w:right w:val="nil"/>
            </w:tcBorders>
            <w:shd w:val="clear" w:color="auto" w:fill="auto"/>
            <w:noWrap/>
            <w:vAlign w:val="center"/>
            <w:hideMark/>
          </w:tcPr>
          <w:p w14:paraId="473D3380"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34.9</w:t>
            </w:r>
          </w:p>
        </w:tc>
      </w:tr>
      <w:tr w:rsidR="00325683" w:rsidRPr="00325683" w14:paraId="7B19039A" w14:textId="77777777" w:rsidTr="00325683">
        <w:trPr>
          <w:trHeight w:hRule="exact" w:val="225"/>
        </w:trPr>
        <w:tc>
          <w:tcPr>
            <w:tcW w:w="1612" w:type="pct"/>
            <w:tcBorders>
              <w:top w:val="nil"/>
              <w:left w:val="nil"/>
              <w:bottom w:val="nil"/>
              <w:right w:val="nil"/>
            </w:tcBorders>
            <w:shd w:val="clear" w:color="auto" w:fill="auto"/>
            <w:noWrap/>
            <w:vAlign w:val="center"/>
            <w:hideMark/>
          </w:tcPr>
          <w:p w14:paraId="6047DDCB" w14:textId="15793BE4" w:rsidR="00325683" w:rsidRPr="00325683" w:rsidRDefault="00325683" w:rsidP="00325683">
            <w:pPr>
              <w:spacing w:before="0" w:after="0" w:line="240" w:lineRule="auto"/>
              <w:rPr>
                <w:rFonts w:ascii="Arial" w:hAnsi="Arial" w:cs="Arial"/>
                <w:color w:val="000000"/>
                <w:sz w:val="16"/>
                <w:szCs w:val="16"/>
              </w:rPr>
            </w:pPr>
            <w:r w:rsidRPr="00325683">
              <w:rPr>
                <w:rFonts w:ascii="Arial" w:hAnsi="Arial" w:cs="Arial"/>
                <w:color w:val="000000"/>
                <w:sz w:val="16"/>
                <w:szCs w:val="16"/>
              </w:rPr>
              <w:t>Face value – within</w:t>
            </w:r>
            <w:r w:rsidR="00B57616">
              <w:rPr>
                <w:rFonts w:ascii="Arial" w:hAnsi="Arial" w:cs="Arial"/>
                <w:color w:val="000000"/>
                <w:sz w:val="16"/>
                <w:szCs w:val="16"/>
              </w:rPr>
              <w:noBreakHyphen/>
            </w:r>
            <w:r w:rsidRPr="00325683">
              <w:rPr>
                <w:rFonts w:ascii="Arial" w:hAnsi="Arial" w:cs="Arial"/>
                <w:color w:val="000000"/>
                <w:sz w:val="16"/>
                <w:szCs w:val="16"/>
              </w:rPr>
              <w:t>year peak(c)</w:t>
            </w:r>
          </w:p>
        </w:tc>
        <w:tc>
          <w:tcPr>
            <w:tcW w:w="678" w:type="pct"/>
            <w:tcBorders>
              <w:top w:val="nil"/>
              <w:left w:val="nil"/>
              <w:bottom w:val="nil"/>
              <w:right w:val="nil"/>
            </w:tcBorders>
            <w:shd w:val="clear" w:color="000000" w:fill="FFFFFF"/>
            <w:noWrap/>
            <w:vAlign w:val="center"/>
            <w:hideMark/>
          </w:tcPr>
          <w:p w14:paraId="4014B04E" w14:textId="77777777" w:rsidR="00325683" w:rsidRPr="00325683" w:rsidRDefault="00325683" w:rsidP="00325683">
            <w:pPr>
              <w:spacing w:before="0" w:after="0" w:line="240" w:lineRule="auto"/>
              <w:jc w:val="right"/>
              <w:rPr>
                <w:rFonts w:ascii="Arial" w:hAnsi="Arial" w:cs="Arial"/>
                <w:sz w:val="16"/>
                <w:szCs w:val="16"/>
              </w:rPr>
            </w:pPr>
            <w:r w:rsidRPr="00325683">
              <w:rPr>
                <w:rFonts w:ascii="Arial" w:hAnsi="Arial" w:cs="Arial"/>
                <w:sz w:val="16"/>
                <w:szCs w:val="16"/>
              </w:rPr>
              <w:t>922</w:t>
            </w:r>
          </w:p>
        </w:tc>
        <w:tc>
          <w:tcPr>
            <w:tcW w:w="678" w:type="pct"/>
            <w:tcBorders>
              <w:top w:val="nil"/>
              <w:left w:val="nil"/>
              <w:bottom w:val="nil"/>
              <w:right w:val="nil"/>
            </w:tcBorders>
            <w:shd w:val="clear" w:color="000000" w:fill="E6F2FF"/>
            <w:noWrap/>
            <w:vAlign w:val="center"/>
            <w:hideMark/>
          </w:tcPr>
          <w:p w14:paraId="74BC67F7"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947</w:t>
            </w:r>
          </w:p>
        </w:tc>
        <w:tc>
          <w:tcPr>
            <w:tcW w:w="678" w:type="pct"/>
            <w:tcBorders>
              <w:top w:val="nil"/>
              <w:left w:val="nil"/>
              <w:bottom w:val="nil"/>
              <w:right w:val="nil"/>
            </w:tcBorders>
            <w:shd w:val="clear" w:color="000000" w:fill="FFFFFF"/>
            <w:noWrap/>
            <w:vAlign w:val="center"/>
            <w:hideMark/>
          </w:tcPr>
          <w:p w14:paraId="7AED6171" w14:textId="77777777" w:rsidR="00325683" w:rsidRPr="00325683" w:rsidRDefault="00325683" w:rsidP="00325683">
            <w:pPr>
              <w:spacing w:before="0" w:after="0" w:line="240" w:lineRule="auto"/>
              <w:jc w:val="right"/>
              <w:rPr>
                <w:rFonts w:ascii="Arial" w:hAnsi="Arial" w:cs="Arial"/>
                <w:sz w:val="16"/>
                <w:szCs w:val="16"/>
              </w:rPr>
            </w:pPr>
            <w:r w:rsidRPr="00325683">
              <w:rPr>
                <w:rFonts w:ascii="Arial" w:hAnsi="Arial" w:cs="Arial"/>
                <w:sz w:val="16"/>
                <w:szCs w:val="16"/>
              </w:rPr>
              <w:t>1,007</w:t>
            </w:r>
          </w:p>
        </w:tc>
        <w:tc>
          <w:tcPr>
            <w:tcW w:w="678" w:type="pct"/>
            <w:tcBorders>
              <w:top w:val="nil"/>
              <w:left w:val="nil"/>
              <w:bottom w:val="nil"/>
              <w:right w:val="nil"/>
            </w:tcBorders>
            <w:shd w:val="clear" w:color="000000" w:fill="FFFFFF"/>
            <w:noWrap/>
            <w:vAlign w:val="center"/>
            <w:hideMark/>
          </w:tcPr>
          <w:p w14:paraId="7FC02FD9" w14:textId="77777777" w:rsidR="00325683" w:rsidRPr="00325683" w:rsidRDefault="00325683" w:rsidP="00325683">
            <w:pPr>
              <w:spacing w:before="0" w:after="0" w:line="240" w:lineRule="auto"/>
              <w:jc w:val="right"/>
              <w:rPr>
                <w:rFonts w:ascii="Arial" w:hAnsi="Arial" w:cs="Arial"/>
                <w:sz w:val="16"/>
                <w:szCs w:val="16"/>
              </w:rPr>
            </w:pPr>
            <w:r w:rsidRPr="00325683">
              <w:rPr>
                <w:rFonts w:ascii="Arial" w:hAnsi="Arial" w:cs="Arial"/>
                <w:sz w:val="16"/>
                <w:szCs w:val="16"/>
              </w:rPr>
              <w:t>1,071</w:t>
            </w:r>
          </w:p>
        </w:tc>
        <w:tc>
          <w:tcPr>
            <w:tcW w:w="678" w:type="pct"/>
            <w:tcBorders>
              <w:top w:val="nil"/>
              <w:left w:val="nil"/>
              <w:bottom w:val="nil"/>
              <w:right w:val="nil"/>
            </w:tcBorders>
            <w:shd w:val="clear" w:color="000000" w:fill="FFFFFF"/>
            <w:noWrap/>
            <w:vAlign w:val="center"/>
            <w:hideMark/>
          </w:tcPr>
          <w:p w14:paraId="0AF88528" w14:textId="77777777" w:rsidR="00325683" w:rsidRPr="00325683" w:rsidRDefault="00325683" w:rsidP="00325683">
            <w:pPr>
              <w:spacing w:before="0" w:after="0" w:line="240" w:lineRule="auto"/>
              <w:jc w:val="right"/>
              <w:rPr>
                <w:rFonts w:ascii="Arial" w:hAnsi="Arial" w:cs="Arial"/>
                <w:sz w:val="16"/>
                <w:szCs w:val="16"/>
              </w:rPr>
            </w:pPr>
            <w:r w:rsidRPr="00325683">
              <w:rPr>
                <w:rFonts w:ascii="Arial" w:hAnsi="Arial" w:cs="Arial"/>
                <w:sz w:val="16"/>
                <w:szCs w:val="16"/>
              </w:rPr>
              <w:t>1,126</w:t>
            </w:r>
          </w:p>
        </w:tc>
      </w:tr>
      <w:tr w:rsidR="00325683" w:rsidRPr="00325683" w14:paraId="557B61A8" w14:textId="77777777" w:rsidTr="00325683">
        <w:trPr>
          <w:trHeight w:hRule="exact" w:val="225"/>
        </w:trPr>
        <w:tc>
          <w:tcPr>
            <w:tcW w:w="1612" w:type="pct"/>
            <w:tcBorders>
              <w:top w:val="nil"/>
              <w:left w:val="nil"/>
              <w:bottom w:val="nil"/>
              <w:right w:val="nil"/>
            </w:tcBorders>
            <w:shd w:val="clear" w:color="auto" w:fill="auto"/>
            <w:noWrap/>
            <w:vAlign w:val="center"/>
            <w:hideMark/>
          </w:tcPr>
          <w:p w14:paraId="09AC345E" w14:textId="77777777" w:rsidR="00325683" w:rsidRPr="00325683" w:rsidRDefault="00325683" w:rsidP="00325683">
            <w:pPr>
              <w:spacing w:before="0" w:after="0" w:line="240" w:lineRule="auto"/>
              <w:ind w:left="170"/>
              <w:rPr>
                <w:rFonts w:ascii="Arial" w:hAnsi="Arial" w:cs="Arial"/>
                <w:color w:val="000000"/>
                <w:sz w:val="16"/>
                <w:szCs w:val="16"/>
              </w:rPr>
            </w:pPr>
            <w:r w:rsidRPr="00325683">
              <w:rPr>
                <w:rFonts w:ascii="Arial" w:hAnsi="Arial" w:cs="Arial"/>
                <w:color w:val="000000"/>
                <w:sz w:val="16"/>
                <w:szCs w:val="16"/>
              </w:rPr>
              <w:t>Per cent of GDP(c)</w:t>
            </w:r>
          </w:p>
        </w:tc>
        <w:tc>
          <w:tcPr>
            <w:tcW w:w="678" w:type="pct"/>
            <w:tcBorders>
              <w:top w:val="nil"/>
              <w:left w:val="nil"/>
              <w:bottom w:val="nil"/>
              <w:right w:val="nil"/>
            </w:tcBorders>
            <w:shd w:val="clear" w:color="auto" w:fill="auto"/>
            <w:noWrap/>
            <w:vAlign w:val="center"/>
            <w:hideMark/>
          </w:tcPr>
          <w:p w14:paraId="2E61B2B8"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34.3</w:t>
            </w:r>
          </w:p>
        </w:tc>
        <w:tc>
          <w:tcPr>
            <w:tcW w:w="678" w:type="pct"/>
            <w:tcBorders>
              <w:top w:val="nil"/>
              <w:left w:val="nil"/>
              <w:bottom w:val="nil"/>
              <w:right w:val="nil"/>
            </w:tcBorders>
            <w:shd w:val="clear" w:color="000000" w:fill="E6F2FF"/>
            <w:noWrap/>
            <w:vAlign w:val="center"/>
            <w:hideMark/>
          </w:tcPr>
          <w:p w14:paraId="75121C00"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34.4</w:t>
            </w:r>
          </w:p>
        </w:tc>
        <w:tc>
          <w:tcPr>
            <w:tcW w:w="678" w:type="pct"/>
            <w:tcBorders>
              <w:top w:val="nil"/>
              <w:left w:val="nil"/>
              <w:bottom w:val="nil"/>
              <w:right w:val="nil"/>
            </w:tcBorders>
            <w:shd w:val="clear" w:color="auto" w:fill="auto"/>
            <w:noWrap/>
            <w:vAlign w:val="center"/>
            <w:hideMark/>
          </w:tcPr>
          <w:p w14:paraId="52C92010"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35.1</w:t>
            </w:r>
          </w:p>
        </w:tc>
        <w:tc>
          <w:tcPr>
            <w:tcW w:w="678" w:type="pct"/>
            <w:tcBorders>
              <w:top w:val="nil"/>
              <w:left w:val="nil"/>
              <w:bottom w:val="nil"/>
              <w:right w:val="nil"/>
            </w:tcBorders>
            <w:shd w:val="clear" w:color="000000" w:fill="FFFFFF"/>
            <w:noWrap/>
            <w:vAlign w:val="center"/>
            <w:hideMark/>
          </w:tcPr>
          <w:p w14:paraId="08DFED98"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35.4</w:t>
            </w:r>
          </w:p>
        </w:tc>
        <w:tc>
          <w:tcPr>
            <w:tcW w:w="678" w:type="pct"/>
            <w:tcBorders>
              <w:top w:val="nil"/>
              <w:left w:val="nil"/>
              <w:bottom w:val="nil"/>
              <w:right w:val="nil"/>
            </w:tcBorders>
            <w:shd w:val="clear" w:color="auto" w:fill="auto"/>
            <w:noWrap/>
            <w:vAlign w:val="center"/>
            <w:hideMark/>
          </w:tcPr>
          <w:p w14:paraId="11AA834A"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35.4</w:t>
            </w:r>
          </w:p>
        </w:tc>
      </w:tr>
      <w:tr w:rsidR="00325683" w:rsidRPr="00325683" w14:paraId="106C9150" w14:textId="77777777" w:rsidTr="00325683">
        <w:trPr>
          <w:trHeight w:hRule="exact" w:val="225"/>
        </w:trPr>
        <w:tc>
          <w:tcPr>
            <w:tcW w:w="1612" w:type="pct"/>
            <w:tcBorders>
              <w:top w:val="nil"/>
              <w:left w:val="nil"/>
              <w:bottom w:val="nil"/>
              <w:right w:val="nil"/>
            </w:tcBorders>
            <w:shd w:val="clear" w:color="auto" w:fill="auto"/>
            <w:noWrap/>
            <w:vAlign w:val="center"/>
            <w:hideMark/>
          </w:tcPr>
          <w:p w14:paraId="795E5793" w14:textId="77777777" w:rsidR="00325683" w:rsidRPr="00325683" w:rsidRDefault="00325683" w:rsidP="00325683">
            <w:pPr>
              <w:spacing w:before="0" w:after="0" w:line="240" w:lineRule="auto"/>
              <w:ind w:left="170"/>
              <w:rPr>
                <w:rFonts w:ascii="Arial" w:hAnsi="Arial" w:cs="Arial"/>
                <w:i/>
                <w:iCs/>
                <w:color w:val="000000"/>
                <w:sz w:val="16"/>
                <w:szCs w:val="16"/>
              </w:rPr>
            </w:pPr>
            <w:r w:rsidRPr="00325683">
              <w:rPr>
                <w:rFonts w:ascii="Arial" w:hAnsi="Arial" w:cs="Arial"/>
                <w:i/>
                <w:iCs/>
                <w:color w:val="000000"/>
                <w:sz w:val="16"/>
                <w:szCs w:val="16"/>
              </w:rPr>
              <w:t>Month of peak(c)</w:t>
            </w:r>
          </w:p>
        </w:tc>
        <w:tc>
          <w:tcPr>
            <w:tcW w:w="678" w:type="pct"/>
            <w:tcBorders>
              <w:top w:val="nil"/>
              <w:left w:val="nil"/>
              <w:bottom w:val="nil"/>
              <w:right w:val="nil"/>
            </w:tcBorders>
            <w:shd w:val="clear" w:color="auto" w:fill="auto"/>
            <w:noWrap/>
            <w:vAlign w:val="center"/>
            <w:hideMark/>
          </w:tcPr>
          <w:p w14:paraId="335291AC" w14:textId="5089C9C0" w:rsidR="00325683" w:rsidRPr="00325683" w:rsidRDefault="00325683" w:rsidP="00325683">
            <w:pPr>
              <w:spacing w:before="0" w:after="0" w:line="240" w:lineRule="auto"/>
              <w:jc w:val="right"/>
              <w:rPr>
                <w:rFonts w:ascii="Arial" w:hAnsi="Arial" w:cs="Arial"/>
                <w:i/>
                <w:iCs/>
                <w:color w:val="000000"/>
                <w:sz w:val="16"/>
                <w:szCs w:val="16"/>
              </w:rPr>
            </w:pPr>
            <w:r w:rsidRPr="00325683">
              <w:rPr>
                <w:rFonts w:ascii="Arial" w:hAnsi="Arial" w:cs="Arial"/>
                <w:i/>
                <w:iCs/>
                <w:color w:val="000000"/>
                <w:sz w:val="16"/>
                <w:szCs w:val="16"/>
              </w:rPr>
              <w:t>Apr</w:t>
            </w:r>
            <w:r w:rsidR="00B57616">
              <w:rPr>
                <w:rFonts w:ascii="Arial" w:hAnsi="Arial" w:cs="Arial"/>
                <w:i/>
                <w:iCs/>
                <w:color w:val="000000"/>
                <w:sz w:val="16"/>
                <w:szCs w:val="16"/>
              </w:rPr>
              <w:noBreakHyphen/>
            </w:r>
            <w:r w:rsidRPr="00325683">
              <w:rPr>
                <w:rFonts w:ascii="Arial" w:hAnsi="Arial" w:cs="Arial"/>
                <w:i/>
                <w:iCs/>
                <w:color w:val="000000"/>
                <w:sz w:val="16"/>
                <w:szCs w:val="16"/>
              </w:rPr>
              <w:t>24</w:t>
            </w:r>
          </w:p>
        </w:tc>
        <w:tc>
          <w:tcPr>
            <w:tcW w:w="678" w:type="pct"/>
            <w:tcBorders>
              <w:top w:val="nil"/>
              <w:left w:val="nil"/>
              <w:bottom w:val="nil"/>
              <w:right w:val="nil"/>
            </w:tcBorders>
            <w:shd w:val="clear" w:color="000000" w:fill="E6F2FF"/>
            <w:noWrap/>
            <w:vAlign w:val="center"/>
            <w:hideMark/>
          </w:tcPr>
          <w:p w14:paraId="01AB434A" w14:textId="14C8F703" w:rsidR="00325683" w:rsidRPr="00325683" w:rsidRDefault="00325683" w:rsidP="00325683">
            <w:pPr>
              <w:spacing w:before="0" w:after="0" w:line="240" w:lineRule="auto"/>
              <w:jc w:val="right"/>
              <w:rPr>
                <w:rFonts w:ascii="Arial" w:hAnsi="Arial" w:cs="Arial"/>
                <w:i/>
                <w:iCs/>
                <w:color w:val="000000"/>
                <w:sz w:val="16"/>
                <w:szCs w:val="16"/>
              </w:rPr>
            </w:pPr>
            <w:r w:rsidRPr="00325683">
              <w:rPr>
                <w:rFonts w:ascii="Arial" w:hAnsi="Arial" w:cs="Arial"/>
                <w:i/>
                <w:iCs/>
                <w:color w:val="000000"/>
                <w:sz w:val="16"/>
                <w:szCs w:val="16"/>
              </w:rPr>
              <w:t>Apr</w:t>
            </w:r>
            <w:r w:rsidR="00B57616">
              <w:rPr>
                <w:rFonts w:ascii="Arial" w:hAnsi="Arial" w:cs="Arial"/>
                <w:i/>
                <w:iCs/>
                <w:color w:val="000000"/>
                <w:sz w:val="16"/>
                <w:szCs w:val="16"/>
              </w:rPr>
              <w:noBreakHyphen/>
            </w:r>
            <w:r w:rsidRPr="00325683">
              <w:rPr>
                <w:rFonts w:ascii="Arial" w:hAnsi="Arial" w:cs="Arial"/>
                <w:i/>
                <w:iCs/>
                <w:color w:val="000000"/>
                <w:sz w:val="16"/>
                <w:szCs w:val="16"/>
              </w:rPr>
              <w:t>25</w:t>
            </w:r>
          </w:p>
        </w:tc>
        <w:tc>
          <w:tcPr>
            <w:tcW w:w="678" w:type="pct"/>
            <w:tcBorders>
              <w:top w:val="nil"/>
              <w:left w:val="nil"/>
              <w:bottom w:val="nil"/>
              <w:right w:val="nil"/>
            </w:tcBorders>
            <w:shd w:val="clear" w:color="auto" w:fill="auto"/>
            <w:noWrap/>
            <w:vAlign w:val="center"/>
            <w:hideMark/>
          </w:tcPr>
          <w:p w14:paraId="22410C28" w14:textId="5C4202E1" w:rsidR="00325683" w:rsidRPr="00325683" w:rsidRDefault="00325683" w:rsidP="00325683">
            <w:pPr>
              <w:spacing w:before="0" w:after="0" w:line="240" w:lineRule="auto"/>
              <w:jc w:val="right"/>
              <w:rPr>
                <w:rFonts w:ascii="Arial" w:hAnsi="Arial" w:cs="Arial"/>
                <w:i/>
                <w:iCs/>
                <w:color w:val="000000"/>
                <w:sz w:val="16"/>
                <w:szCs w:val="16"/>
              </w:rPr>
            </w:pPr>
            <w:r w:rsidRPr="00325683">
              <w:rPr>
                <w:rFonts w:ascii="Arial" w:hAnsi="Arial" w:cs="Arial"/>
                <w:i/>
                <w:iCs/>
                <w:color w:val="000000"/>
                <w:sz w:val="16"/>
                <w:szCs w:val="16"/>
              </w:rPr>
              <w:t>Apr</w:t>
            </w:r>
            <w:r w:rsidR="00B57616">
              <w:rPr>
                <w:rFonts w:ascii="Arial" w:hAnsi="Arial" w:cs="Arial"/>
                <w:i/>
                <w:iCs/>
                <w:color w:val="000000"/>
                <w:sz w:val="16"/>
                <w:szCs w:val="16"/>
              </w:rPr>
              <w:noBreakHyphen/>
            </w:r>
            <w:r w:rsidRPr="00325683">
              <w:rPr>
                <w:rFonts w:ascii="Arial" w:hAnsi="Arial" w:cs="Arial"/>
                <w:i/>
                <w:iCs/>
                <w:color w:val="000000"/>
                <w:sz w:val="16"/>
                <w:szCs w:val="16"/>
              </w:rPr>
              <w:t>26</w:t>
            </w:r>
          </w:p>
        </w:tc>
        <w:tc>
          <w:tcPr>
            <w:tcW w:w="678" w:type="pct"/>
            <w:tcBorders>
              <w:top w:val="nil"/>
              <w:left w:val="nil"/>
              <w:bottom w:val="nil"/>
              <w:right w:val="nil"/>
            </w:tcBorders>
            <w:shd w:val="clear" w:color="000000" w:fill="FFFFFF"/>
            <w:noWrap/>
            <w:vAlign w:val="center"/>
            <w:hideMark/>
          </w:tcPr>
          <w:p w14:paraId="347C1CB2" w14:textId="116D9593" w:rsidR="00325683" w:rsidRPr="00325683" w:rsidRDefault="00325683" w:rsidP="00325683">
            <w:pPr>
              <w:spacing w:before="0" w:after="0" w:line="240" w:lineRule="auto"/>
              <w:jc w:val="right"/>
              <w:rPr>
                <w:rFonts w:ascii="Arial" w:hAnsi="Arial" w:cs="Arial"/>
                <w:i/>
                <w:iCs/>
                <w:color w:val="000000"/>
                <w:sz w:val="16"/>
                <w:szCs w:val="16"/>
              </w:rPr>
            </w:pPr>
            <w:r w:rsidRPr="00325683">
              <w:rPr>
                <w:rFonts w:ascii="Arial" w:hAnsi="Arial" w:cs="Arial"/>
                <w:i/>
                <w:iCs/>
                <w:color w:val="000000"/>
                <w:sz w:val="16"/>
                <w:szCs w:val="16"/>
              </w:rPr>
              <w:t>Feb</w:t>
            </w:r>
            <w:r w:rsidR="00B57616">
              <w:rPr>
                <w:rFonts w:ascii="Arial" w:hAnsi="Arial" w:cs="Arial"/>
                <w:i/>
                <w:iCs/>
                <w:color w:val="000000"/>
                <w:sz w:val="16"/>
                <w:szCs w:val="16"/>
              </w:rPr>
              <w:noBreakHyphen/>
            </w:r>
            <w:r w:rsidRPr="00325683">
              <w:rPr>
                <w:rFonts w:ascii="Arial" w:hAnsi="Arial" w:cs="Arial"/>
                <w:i/>
                <w:iCs/>
                <w:color w:val="000000"/>
                <w:sz w:val="16"/>
                <w:szCs w:val="16"/>
              </w:rPr>
              <w:t>27</w:t>
            </w:r>
          </w:p>
        </w:tc>
        <w:tc>
          <w:tcPr>
            <w:tcW w:w="678" w:type="pct"/>
            <w:tcBorders>
              <w:top w:val="nil"/>
              <w:left w:val="nil"/>
              <w:bottom w:val="nil"/>
              <w:right w:val="nil"/>
            </w:tcBorders>
            <w:shd w:val="clear" w:color="auto" w:fill="auto"/>
            <w:noWrap/>
            <w:vAlign w:val="center"/>
            <w:hideMark/>
          </w:tcPr>
          <w:p w14:paraId="1865B20E" w14:textId="5FB8154E" w:rsidR="00325683" w:rsidRPr="00325683" w:rsidRDefault="00325683" w:rsidP="00325683">
            <w:pPr>
              <w:spacing w:before="0" w:after="0" w:line="240" w:lineRule="auto"/>
              <w:jc w:val="right"/>
              <w:rPr>
                <w:rFonts w:ascii="Arial" w:hAnsi="Arial" w:cs="Arial"/>
                <w:i/>
                <w:iCs/>
                <w:color w:val="000000"/>
                <w:sz w:val="16"/>
                <w:szCs w:val="16"/>
              </w:rPr>
            </w:pPr>
            <w:r w:rsidRPr="00325683">
              <w:rPr>
                <w:rFonts w:ascii="Arial" w:hAnsi="Arial" w:cs="Arial"/>
                <w:i/>
                <w:iCs/>
                <w:color w:val="000000"/>
                <w:sz w:val="16"/>
                <w:szCs w:val="16"/>
              </w:rPr>
              <w:t>May</w:t>
            </w:r>
            <w:r w:rsidR="00B57616">
              <w:rPr>
                <w:rFonts w:ascii="Arial" w:hAnsi="Arial" w:cs="Arial"/>
                <w:i/>
                <w:iCs/>
                <w:color w:val="000000"/>
                <w:sz w:val="16"/>
                <w:szCs w:val="16"/>
              </w:rPr>
              <w:noBreakHyphen/>
            </w:r>
            <w:r w:rsidRPr="00325683">
              <w:rPr>
                <w:rFonts w:ascii="Arial" w:hAnsi="Arial" w:cs="Arial"/>
                <w:i/>
                <w:iCs/>
                <w:color w:val="000000"/>
                <w:sz w:val="16"/>
                <w:szCs w:val="16"/>
              </w:rPr>
              <w:t>28</w:t>
            </w:r>
          </w:p>
        </w:tc>
      </w:tr>
      <w:tr w:rsidR="00325683" w:rsidRPr="00325683" w14:paraId="30487CC4" w14:textId="77777777" w:rsidTr="00325683">
        <w:trPr>
          <w:trHeight w:hRule="exact" w:val="225"/>
        </w:trPr>
        <w:tc>
          <w:tcPr>
            <w:tcW w:w="1612" w:type="pct"/>
            <w:tcBorders>
              <w:top w:val="nil"/>
              <w:left w:val="nil"/>
              <w:bottom w:val="nil"/>
              <w:right w:val="nil"/>
            </w:tcBorders>
            <w:shd w:val="clear" w:color="auto" w:fill="auto"/>
            <w:noWrap/>
            <w:vAlign w:val="center"/>
            <w:hideMark/>
          </w:tcPr>
          <w:p w14:paraId="300F75D1" w14:textId="13080610" w:rsidR="00325683" w:rsidRPr="00325683" w:rsidRDefault="00325683" w:rsidP="00325683">
            <w:pPr>
              <w:spacing w:before="0" w:after="0" w:line="240" w:lineRule="auto"/>
              <w:rPr>
                <w:rFonts w:ascii="Arial" w:hAnsi="Arial" w:cs="Arial"/>
                <w:color w:val="000000"/>
                <w:sz w:val="16"/>
                <w:szCs w:val="16"/>
              </w:rPr>
            </w:pPr>
            <w:r w:rsidRPr="00325683">
              <w:rPr>
                <w:rFonts w:ascii="Arial" w:hAnsi="Arial" w:cs="Arial"/>
                <w:color w:val="000000"/>
                <w:sz w:val="16"/>
                <w:szCs w:val="16"/>
              </w:rPr>
              <w:t>Market value – end</w:t>
            </w:r>
            <w:r w:rsidR="00B57616">
              <w:rPr>
                <w:rFonts w:ascii="Arial" w:hAnsi="Arial" w:cs="Arial"/>
                <w:color w:val="000000"/>
                <w:sz w:val="16"/>
                <w:szCs w:val="16"/>
              </w:rPr>
              <w:noBreakHyphen/>
            </w:r>
            <w:r w:rsidRPr="00325683">
              <w:rPr>
                <w:rFonts w:ascii="Arial" w:hAnsi="Arial" w:cs="Arial"/>
                <w:color w:val="000000"/>
                <w:sz w:val="16"/>
                <w:szCs w:val="16"/>
              </w:rPr>
              <w:t>of</w:t>
            </w:r>
            <w:r w:rsidR="00B57616">
              <w:rPr>
                <w:rFonts w:ascii="Arial" w:hAnsi="Arial" w:cs="Arial"/>
                <w:color w:val="000000"/>
                <w:sz w:val="16"/>
                <w:szCs w:val="16"/>
              </w:rPr>
              <w:noBreakHyphen/>
            </w:r>
            <w:r w:rsidRPr="00325683">
              <w:rPr>
                <w:rFonts w:ascii="Arial" w:hAnsi="Arial" w:cs="Arial"/>
                <w:color w:val="000000"/>
                <w:sz w:val="16"/>
                <w:szCs w:val="16"/>
              </w:rPr>
              <w:t>year</w:t>
            </w:r>
          </w:p>
        </w:tc>
        <w:tc>
          <w:tcPr>
            <w:tcW w:w="678" w:type="pct"/>
            <w:tcBorders>
              <w:top w:val="nil"/>
              <w:left w:val="nil"/>
              <w:bottom w:val="nil"/>
              <w:right w:val="nil"/>
            </w:tcBorders>
            <w:shd w:val="clear" w:color="auto" w:fill="auto"/>
            <w:noWrap/>
            <w:vAlign w:val="center"/>
            <w:hideMark/>
          </w:tcPr>
          <w:p w14:paraId="5C279EE7" w14:textId="77777777" w:rsidR="00325683" w:rsidRPr="00325683" w:rsidRDefault="00325683" w:rsidP="00325683">
            <w:pPr>
              <w:spacing w:before="0" w:after="0" w:line="240" w:lineRule="auto"/>
              <w:jc w:val="right"/>
              <w:rPr>
                <w:rFonts w:ascii="Arial" w:hAnsi="Arial" w:cs="Arial"/>
                <w:sz w:val="16"/>
                <w:szCs w:val="16"/>
              </w:rPr>
            </w:pPr>
            <w:r w:rsidRPr="00325683">
              <w:rPr>
                <w:rFonts w:ascii="Arial" w:hAnsi="Arial" w:cs="Arial"/>
                <w:sz w:val="16"/>
                <w:szCs w:val="16"/>
              </w:rPr>
              <w:t>848</w:t>
            </w:r>
          </w:p>
        </w:tc>
        <w:tc>
          <w:tcPr>
            <w:tcW w:w="678" w:type="pct"/>
            <w:tcBorders>
              <w:top w:val="nil"/>
              <w:left w:val="nil"/>
              <w:bottom w:val="nil"/>
              <w:right w:val="nil"/>
            </w:tcBorders>
            <w:shd w:val="clear" w:color="000000" w:fill="E6F2FF"/>
            <w:noWrap/>
            <w:vAlign w:val="center"/>
            <w:hideMark/>
          </w:tcPr>
          <w:p w14:paraId="7707E4CC" w14:textId="77777777" w:rsidR="00325683" w:rsidRPr="00325683" w:rsidRDefault="00325683" w:rsidP="00325683">
            <w:pPr>
              <w:spacing w:before="0" w:after="0" w:line="240" w:lineRule="auto"/>
              <w:jc w:val="right"/>
              <w:rPr>
                <w:rFonts w:ascii="Arial" w:hAnsi="Arial" w:cs="Arial"/>
                <w:sz w:val="16"/>
                <w:szCs w:val="16"/>
              </w:rPr>
            </w:pPr>
            <w:r w:rsidRPr="00325683">
              <w:rPr>
                <w:rFonts w:ascii="Arial" w:hAnsi="Arial" w:cs="Arial"/>
                <w:sz w:val="16"/>
                <w:szCs w:val="16"/>
              </w:rPr>
              <w:t>886</w:t>
            </w:r>
          </w:p>
        </w:tc>
        <w:tc>
          <w:tcPr>
            <w:tcW w:w="678" w:type="pct"/>
            <w:tcBorders>
              <w:top w:val="nil"/>
              <w:left w:val="nil"/>
              <w:bottom w:val="nil"/>
              <w:right w:val="nil"/>
            </w:tcBorders>
            <w:shd w:val="clear" w:color="auto" w:fill="auto"/>
            <w:noWrap/>
            <w:vAlign w:val="center"/>
            <w:hideMark/>
          </w:tcPr>
          <w:p w14:paraId="04E160FF" w14:textId="77777777" w:rsidR="00325683" w:rsidRPr="00325683" w:rsidRDefault="00325683" w:rsidP="00325683">
            <w:pPr>
              <w:spacing w:before="0" w:after="0" w:line="240" w:lineRule="auto"/>
              <w:jc w:val="right"/>
              <w:rPr>
                <w:rFonts w:ascii="Arial" w:hAnsi="Arial" w:cs="Arial"/>
                <w:sz w:val="16"/>
                <w:szCs w:val="16"/>
              </w:rPr>
            </w:pPr>
            <w:r w:rsidRPr="00325683">
              <w:rPr>
                <w:rFonts w:ascii="Arial" w:hAnsi="Arial" w:cs="Arial"/>
                <w:sz w:val="16"/>
                <w:szCs w:val="16"/>
              </w:rPr>
              <w:t>963</w:t>
            </w:r>
          </w:p>
        </w:tc>
        <w:tc>
          <w:tcPr>
            <w:tcW w:w="678" w:type="pct"/>
            <w:tcBorders>
              <w:top w:val="nil"/>
              <w:left w:val="nil"/>
              <w:bottom w:val="nil"/>
              <w:right w:val="nil"/>
            </w:tcBorders>
            <w:shd w:val="clear" w:color="auto" w:fill="auto"/>
            <w:noWrap/>
            <w:vAlign w:val="center"/>
            <w:hideMark/>
          </w:tcPr>
          <w:p w14:paraId="5552C5EA" w14:textId="77777777" w:rsidR="00325683" w:rsidRPr="00325683" w:rsidRDefault="00325683" w:rsidP="00325683">
            <w:pPr>
              <w:spacing w:before="0" w:after="0" w:line="240" w:lineRule="auto"/>
              <w:jc w:val="right"/>
              <w:rPr>
                <w:rFonts w:ascii="Arial" w:hAnsi="Arial" w:cs="Arial"/>
                <w:sz w:val="16"/>
                <w:szCs w:val="16"/>
              </w:rPr>
            </w:pPr>
            <w:r w:rsidRPr="00325683">
              <w:rPr>
                <w:rFonts w:ascii="Arial" w:hAnsi="Arial" w:cs="Arial"/>
                <w:sz w:val="16"/>
                <w:szCs w:val="16"/>
              </w:rPr>
              <w:t>1,026</w:t>
            </w:r>
          </w:p>
        </w:tc>
        <w:tc>
          <w:tcPr>
            <w:tcW w:w="678" w:type="pct"/>
            <w:tcBorders>
              <w:top w:val="nil"/>
              <w:left w:val="nil"/>
              <w:bottom w:val="nil"/>
              <w:right w:val="nil"/>
            </w:tcBorders>
            <w:shd w:val="clear" w:color="auto" w:fill="auto"/>
            <w:noWrap/>
            <w:vAlign w:val="center"/>
            <w:hideMark/>
          </w:tcPr>
          <w:p w14:paraId="637F9373" w14:textId="77777777" w:rsidR="00325683" w:rsidRPr="00325683" w:rsidRDefault="00325683" w:rsidP="00325683">
            <w:pPr>
              <w:spacing w:before="0" w:after="0" w:line="240" w:lineRule="auto"/>
              <w:jc w:val="right"/>
              <w:rPr>
                <w:rFonts w:ascii="Arial" w:hAnsi="Arial" w:cs="Arial"/>
                <w:sz w:val="16"/>
                <w:szCs w:val="16"/>
              </w:rPr>
            </w:pPr>
            <w:r w:rsidRPr="00325683">
              <w:rPr>
                <w:rFonts w:ascii="Arial" w:hAnsi="Arial" w:cs="Arial"/>
                <w:sz w:val="16"/>
                <w:szCs w:val="16"/>
              </w:rPr>
              <w:t>1,080</w:t>
            </w:r>
          </w:p>
        </w:tc>
      </w:tr>
      <w:tr w:rsidR="00325683" w:rsidRPr="00325683" w14:paraId="61768236" w14:textId="77777777" w:rsidTr="00325683">
        <w:trPr>
          <w:trHeight w:hRule="exact" w:val="225"/>
        </w:trPr>
        <w:tc>
          <w:tcPr>
            <w:tcW w:w="1612" w:type="pct"/>
            <w:tcBorders>
              <w:top w:val="nil"/>
              <w:left w:val="nil"/>
              <w:bottom w:val="single" w:sz="4" w:space="0" w:color="293F5B"/>
              <w:right w:val="nil"/>
            </w:tcBorders>
            <w:shd w:val="clear" w:color="auto" w:fill="auto"/>
            <w:noWrap/>
            <w:vAlign w:val="center"/>
            <w:hideMark/>
          </w:tcPr>
          <w:p w14:paraId="67E74ACF" w14:textId="77777777" w:rsidR="00325683" w:rsidRPr="00325683" w:rsidRDefault="00325683" w:rsidP="00325683">
            <w:pPr>
              <w:spacing w:before="0" w:after="0" w:line="240" w:lineRule="auto"/>
              <w:ind w:left="170"/>
              <w:rPr>
                <w:rFonts w:ascii="Arial" w:hAnsi="Arial" w:cs="Arial"/>
                <w:color w:val="000000"/>
                <w:sz w:val="16"/>
                <w:szCs w:val="16"/>
              </w:rPr>
            </w:pPr>
            <w:r w:rsidRPr="00325683">
              <w:rPr>
                <w:rFonts w:ascii="Arial" w:hAnsi="Arial" w:cs="Arial"/>
                <w:color w:val="000000"/>
                <w:sz w:val="16"/>
                <w:szCs w:val="16"/>
              </w:rPr>
              <w:t>Per cent of GDP</w:t>
            </w:r>
          </w:p>
        </w:tc>
        <w:tc>
          <w:tcPr>
            <w:tcW w:w="678" w:type="pct"/>
            <w:tcBorders>
              <w:top w:val="nil"/>
              <w:left w:val="nil"/>
              <w:bottom w:val="single" w:sz="4" w:space="0" w:color="293F5B"/>
              <w:right w:val="nil"/>
            </w:tcBorders>
            <w:shd w:val="clear" w:color="auto" w:fill="auto"/>
            <w:noWrap/>
            <w:vAlign w:val="center"/>
            <w:hideMark/>
          </w:tcPr>
          <w:p w14:paraId="2F2DDEB6"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31.6</w:t>
            </w:r>
          </w:p>
        </w:tc>
        <w:tc>
          <w:tcPr>
            <w:tcW w:w="678" w:type="pct"/>
            <w:tcBorders>
              <w:top w:val="nil"/>
              <w:left w:val="nil"/>
              <w:bottom w:val="single" w:sz="4" w:space="0" w:color="293F5B"/>
              <w:right w:val="nil"/>
            </w:tcBorders>
            <w:shd w:val="clear" w:color="000000" w:fill="E6F2FF"/>
            <w:noWrap/>
            <w:vAlign w:val="center"/>
            <w:hideMark/>
          </w:tcPr>
          <w:p w14:paraId="0DC5BB18"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32.1</w:t>
            </w:r>
          </w:p>
        </w:tc>
        <w:tc>
          <w:tcPr>
            <w:tcW w:w="678" w:type="pct"/>
            <w:tcBorders>
              <w:top w:val="nil"/>
              <w:left w:val="nil"/>
              <w:bottom w:val="single" w:sz="4" w:space="0" w:color="293F5B"/>
              <w:right w:val="nil"/>
            </w:tcBorders>
            <w:shd w:val="clear" w:color="auto" w:fill="auto"/>
            <w:noWrap/>
            <w:vAlign w:val="center"/>
            <w:hideMark/>
          </w:tcPr>
          <w:p w14:paraId="75A74C6D"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33.6</w:t>
            </w:r>
          </w:p>
        </w:tc>
        <w:tc>
          <w:tcPr>
            <w:tcW w:w="678" w:type="pct"/>
            <w:tcBorders>
              <w:top w:val="nil"/>
              <w:left w:val="nil"/>
              <w:bottom w:val="single" w:sz="4" w:space="0" w:color="293F5B"/>
              <w:right w:val="nil"/>
            </w:tcBorders>
            <w:shd w:val="clear" w:color="000000" w:fill="FFFFFF"/>
            <w:noWrap/>
            <w:vAlign w:val="center"/>
            <w:hideMark/>
          </w:tcPr>
          <w:p w14:paraId="2E2BE118"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33.9</w:t>
            </w:r>
          </w:p>
        </w:tc>
        <w:tc>
          <w:tcPr>
            <w:tcW w:w="678" w:type="pct"/>
            <w:tcBorders>
              <w:top w:val="nil"/>
              <w:left w:val="nil"/>
              <w:bottom w:val="single" w:sz="4" w:space="0" w:color="293F5B"/>
              <w:right w:val="nil"/>
            </w:tcBorders>
            <w:shd w:val="clear" w:color="auto" w:fill="auto"/>
            <w:noWrap/>
            <w:vAlign w:val="center"/>
            <w:hideMark/>
          </w:tcPr>
          <w:p w14:paraId="646713FB" w14:textId="77777777" w:rsidR="00325683" w:rsidRPr="00325683" w:rsidRDefault="00325683" w:rsidP="00325683">
            <w:pPr>
              <w:spacing w:before="0" w:after="0" w:line="240" w:lineRule="auto"/>
              <w:jc w:val="right"/>
              <w:rPr>
                <w:rFonts w:ascii="Arial" w:hAnsi="Arial" w:cs="Arial"/>
                <w:color w:val="000000"/>
                <w:sz w:val="16"/>
                <w:szCs w:val="16"/>
              </w:rPr>
            </w:pPr>
            <w:r w:rsidRPr="00325683">
              <w:rPr>
                <w:rFonts w:ascii="Arial" w:hAnsi="Arial" w:cs="Arial"/>
                <w:color w:val="000000"/>
                <w:sz w:val="16"/>
                <w:szCs w:val="16"/>
              </w:rPr>
              <w:t>33.9</w:t>
            </w:r>
          </w:p>
        </w:tc>
      </w:tr>
    </w:tbl>
    <w:p w14:paraId="64B1C57E" w14:textId="4DA5F7AF" w:rsidR="001A4F7E" w:rsidRPr="0098325D" w:rsidRDefault="001A4F7E" w:rsidP="00325683">
      <w:pPr>
        <w:pStyle w:val="ChartandTableFootnoteAlpha"/>
        <w:numPr>
          <w:ilvl w:val="0"/>
          <w:numId w:val="6"/>
        </w:numPr>
        <w:ind w:left="284" w:hanging="284"/>
        <w:rPr>
          <w:color w:val="auto"/>
        </w:rPr>
      </w:pPr>
      <w:r w:rsidRPr="0098325D">
        <w:rPr>
          <w:color w:val="auto"/>
        </w:rPr>
        <w:t>The Treasurer</w:t>
      </w:r>
      <w:r w:rsidR="00B57616">
        <w:rPr>
          <w:color w:val="auto"/>
        </w:rPr>
        <w:t>’</w:t>
      </w:r>
      <w:r w:rsidRPr="0098325D">
        <w:rPr>
          <w:color w:val="auto"/>
        </w:rPr>
        <w:t>s Direction applies to the face value of AGS on issue. This table also shows the equivalent market value of AGS that are subject to the Treasurer</w:t>
      </w:r>
      <w:r w:rsidR="00B57616">
        <w:rPr>
          <w:color w:val="auto"/>
        </w:rPr>
        <w:t>’</w:t>
      </w:r>
      <w:r w:rsidRPr="0098325D">
        <w:rPr>
          <w:color w:val="auto"/>
        </w:rPr>
        <w:t>s Direction.</w:t>
      </w:r>
    </w:p>
    <w:p w14:paraId="12F26A23" w14:textId="5C779876" w:rsidR="001A4F7E" w:rsidRPr="0098325D" w:rsidRDefault="001A4F7E" w:rsidP="006C6733">
      <w:pPr>
        <w:pStyle w:val="ChartandTableFootnoteAlpha"/>
        <w:numPr>
          <w:ilvl w:val="0"/>
          <w:numId w:val="6"/>
        </w:numPr>
        <w:ind w:left="284" w:hanging="284"/>
        <w:rPr>
          <w:color w:val="auto"/>
        </w:rPr>
      </w:pPr>
      <w:r w:rsidRPr="0098325D">
        <w:rPr>
          <w:color w:val="auto"/>
        </w:rPr>
        <w:t>The stock and securities that are excluded from the current limit set by the Treasurer</w:t>
      </w:r>
      <w:r w:rsidR="00B57616">
        <w:rPr>
          <w:color w:val="auto"/>
        </w:rPr>
        <w:t>’</w:t>
      </w:r>
      <w:r w:rsidRPr="0098325D">
        <w:rPr>
          <w:color w:val="auto"/>
        </w:rPr>
        <w:t>s Direction are outlined in subsection 51JA(2A) of the CIS Act.</w:t>
      </w:r>
    </w:p>
    <w:p w14:paraId="78DE81C0" w14:textId="070FDC05" w:rsidR="001A4F7E" w:rsidRPr="0098325D" w:rsidRDefault="001A4F7E" w:rsidP="006C6733">
      <w:pPr>
        <w:pStyle w:val="ChartandTableFootnoteAlpha"/>
        <w:numPr>
          <w:ilvl w:val="0"/>
          <w:numId w:val="6"/>
        </w:numPr>
        <w:ind w:left="284" w:hanging="284"/>
        <w:rPr>
          <w:color w:val="auto"/>
        </w:rPr>
      </w:pPr>
      <w:r w:rsidRPr="0098325D">
        <w:rPr>
          <w:color w:val="auto"/>
        </w:rPr>
        <w:t>The precise within</w:t>
      </w:r>
      <w:r w:rsidR="00B57616">
        <w:rPr>
          <w:color w:val="auto"/>
        </w:rPr>
        <w:noBreakHyphen/>
      </w:r>
      <w:r w:rsidRPr="0098325D">
        <w:rPr>
          <w:color w:val="auto"/>
        </w:rPr>
        <w:t xml:space="preserve">year timing of cash receipts and payments is not known. Estimated peaks of AGS on issue are therefore subject to considerable uncertainty. </w:t>
      </w:r>
    </w:p>
    <w:p w14:paraId="0B249611" w14:textId="77777777" w:rsidR="001A4F7E" w:rsidRPr="0098325D" w:rsidRDefault="001A4F7E" w:rsidP="00396782">
      <w:pPr>
        <w:pStyle w:val="ChartandTableFootnote"/>
      </w:pPr>
      <w:r w:rsidRPr="0098325D">
        <w:t xml:space="preserve">Source: </w:t>
      </w:r>
      <w:r w:rsidRPr="0098325D">
        <w:tab/>
        <w:t>The Australian Office of Financial Management (AOFM).</w:t>
      </w:r>
    </w:p>
    <w:p w14:paraId="159DD2A2" w14:textId="77777777" w:rsidR="001A4F7E" w:rsidRPr="0098325D" w:rsidRDefault="001A4F7E" w:rsidP="001A4F7E">
      <w:pPr>
        <w:pStyle w:val="ChartLine"/>
      </w:pPr>
    </w:p>
    <w:p w14:paraId="62A65D20" w14:textId="350F6195" w:rsidR="001A4F7E" w:rsidRPr="0098325D" w:rsidRDefault="001A4F7E" w:rsidP="00396838">
      <w:pPr>
        <w:pStyle w:val="Heading3"/>
      </w:pPr>
      <w:bookmarkStart w:id="1" w:name="_Toc67660281"/>
      <w:bookmarkStart w:id="2" w:name="_Toc98531929"/>
      <w:bookmarkStart w:id="3" w:name="_Toc117337744"/>
      <w:bookmarkStart w:id="4" w:name="_Toc166355898"/>
      <w:r w:rsidRPr="0098325D">
        <w:t xml:space="preserve">Changes in AGS on issue since </w:t>
      </w:r>
      <w:bookmarkEnd w:id="1"/>
      <w:bookmarkEnd w:id="2"/>
      <w:r w:rsidRPr="0098325D">
        <w:t xml:space="preserve">the </w:t>
      </w:r>
      <w:bookmarkEnd w:id="3"/>
      <w:r w:rsidR="006C77A8" w:rsidRPr="0098325D">
        <w:t>2023</w:t>
      </w:r>
      <w:r w:rsidR="00396782" w:rsidRPr="0098325D">
        <w:t>–</w:t>
      </w:r>
      <w:r w:rsidR="006C77A8" w:rsidRPr="0098325D">
        <w:t xml:space="preserve">24 </w:t>
      </w:r>
      <w:r w:rsidR="00C03B34" w:rsidRPr="0098325D">
        <w:t>MYEFO</w:t>
      </w:r>
      <w:bookmarkEnd w:id="4"/>
      <w:r w:rsidR="00C03B34" w:rsidRPr="0098325D">
        <w:t xml:space="preserve"> </w:t>
      </w:r>
    </w:p>
    <w:p w14:paraId="234F9162" w14:textId="4EC88307" w:rsidR="001A4F7E" w:rsidRPr="004C05FA" w:rsidRDefault="001A4F7E" w:rsidP="00396838">
      <w:r w:rsidRPr="004C05FA">
        <w:t xml:space="preserve">The </w:t>
      </w:r>
      <w:r w:rsidR="0006176E" w:rsidRPr="004C05FA">
        <w:t>increase</w:t>
      </w:r>
      <w:r w:rsidRPr="004C05FA">
        <w:t xml:space="preserve"> in</w:t>
      </w:r>
      <w:r w:rsidRPr="004C05FA" w:rsidDel="0009301F">
        <w:t xml:space="preserve"> </w:t>
      </w:r>
      <w:r w:rsidRPr="004C05FA">
        <w:t>total face value of AGS on issue primarily reflects the cumulative</w:t>
      </w:r>
      <w:r w:rsidR="00F13EE6" w:rsidRPr="004C05FA">
        <w:t xml:space="preserve"> </w:t>
      </w:r>
      <w:r w:rsidR="0029767D" w:rsidRPr="004C05FA">
        <w:t>reduction</w:t>
      </w:r>
      <w:r w:rsidRPr="004C05FA">
        <w:t xml:space="preserve"> in the </w:t>
      </w:r>
      <w:r w:rsidR="000713E9" w:rsidRPr="004C05FA">
        <w:t>h</w:t>
      </w:r>
      <w:r w:rsidR="009B5C44" w:rsidRPr="004C05FA">
        <w:t xml:space="preserve">eadline </w:t>
      </w:r>
      <w:r w:rsidRPr="004C05FA">
        <w:t xml:space="preserve">cash balance </w:t>
      </w:r>
      <w:r w:rsidR="007B7453" w:rsidRPr="004C05FA">
        <w:t xml:space="preserve">over the </w:t>
      </w:r>
      <w:r w:rsidR="000254E5" w:rsidRPr="004C05FA">
        <w:t>four years to 2026</w:t>
      </w:r>
      <w:r w:rsidR="004F7DC7" w:rsidRPr="004C05FA">
        <w:t>–27</w:t>
      </w:r>
      <w:r w:rsidR="00984D4C" w:rsidRPr="004C05FA">
        <w:t xml:space="preserve"> </w:t>
      </w:r>
      <w:r w:rsidRPr="004C05FA">
        <w:t xml:space="preserve">since the </w:t>
      </w:r>
      <w:r w:rsidR="00F72BC0" w:rsidRPr="004C05FA">
        <w:t>2023</w:t>
      </w:r>
      <w:r w:rsidR="00997919" w:rsidRPr="004C05FA">
        <w:rPr>
          <w:rFonts w:ascii="Times New Roman" w:hAnsi="Times New Roman"/>
        </w:rPr>
        <w:t>‍</w:t>
      </w:r>
      <w:r w:rsidR="00997919" w:rsidRPr="004C05FA">
        <w:t>–</w:t>
      </w:r>
      <w:r w:rsidR="00997919" w:rsidRPr="004C05FA">
        <w:rPr>
          <w:rFonts w:ascii="Times New Roman" w:hAnsi="Times New Roman"/>
        </w:rPr>
        <w:t>‍</w:t>
      </w:r>
      <w:r w:rsidR="00F72BC0" w:rsidRPr="004C05FA">
        <w:t>24</w:t>
      </w:r>
      <w:r w:rsidR="00624B86" w:rsidRPr="004C05FA">
        <w:t> </w:t>
      </w:r>
      <w:r w:rsidR="00C03B34" w:rsidRPr="004C05FA">
        <w:t>MYEFO</w:t>
      </w:r>
      <w:r w:rsidRPr="004C05FA">
        <w:t>. Table</w:t>
      </w:r>
      <w:r w:rsidR="00E77E5F" w:rsidRPr="004C05FA">
        <w:t> </w:t>
      </w:r>
      <w:r w:rsidR="008901B6" w:rsidRPr="004C05FA">
        <w:t>3.4</w:t>
      </w:r>
      <w:r w:rsidRPr="004C05FA">
        <w:t xml:space="preserve"> in </w:t>
      </w:r>
      <w:r w:rsidRPr="004C05FA">
        <w:rPr>
          <w:i/>
        </w:rPr>
        <w:t>Statement</w:t>
      </w:r>
      <w:r w:rsidR="005F1F86" w:rsidRPr="004C05FA">
        <w:rPr>
          <w:i/>
        </w:rPr>
        <w:t> 3</w:t>
      </w:r>
      <w:r w:rsidRPr="004C05FA">
        <w:rPr>
          <w:i/>
        </w:rPr>
        <w:t>: Fiscal Strategy and Outlook</w:t>
      </w:r>
      <w:r w:rsidRPr="004C05FA">
        <w:t xml:space="preserve"> reconciles </w:t>
      </w:r>
      <w:r w:rsidR="001D75AD" w:rsidRPr="004C05FA" w:rsidDel="006B7136">
        <w:t xml:space="preserve">the </w:t>
      </w:r>
      <w:r w:rsidR="00394705" w:rsidRPr="004C05FA">
        <w:t>net cash</w:t>
      </w:r>
      <w:r w:rsidR="00E809B5" w:rsidRPr="004C05FA">
        <w:t xml:space="preserve"> </w:t>
      </w:r>
      <w:r w:rsidR="00394705" w:rsidRPr="004C05FA">
        <w:t>flows f</w:t>
      </w:r>
      <w:r w:rsidR="00CC173C" w:rsidRPr="004C05FA">
        <w:t>rom</w:t>
      </w:r>
      <w:r w:rsidR="00394705" w:rsidRPr="004C05FA">
        <w:t xml:space="preserve"> </w:t>
      </w:r>
      <w:r w:rsidR="001D75AD" w:rsidRPr="004C05FA">
        <w:t xml:space="preserve">investments </w:t>
      </w:r>
      <w:r w:rsidR="006A5EBE" w:rsidRPr="004C05FA">
        <w:t>in fi</w:t>
      </w:r>
      <w:r w:rsidR="000F5CB1" w:rsidRPr="004C05FA">
        <w:t>nancial assets for policy purposes affecting</w:t>
      </w:r>
      <w:r w:rsidR="000713E9" w:rsidRPr="004C05FA">
        <w:t xml:space="preserve"> the</w:t>
      </w:r>
      <w:r w:rsidR="000F5CB1" w:rsidRPr="004C05FA">
        <w:t xml:space="preserve"> </w:t>
      </w:r>
      <w:r w:rsidR="000713E9" w:rsidRPr="004C05FA">
        <w:t>headline cash balance.</w:t>
      </w:r>
      <w:r w:rsidR="001D75AD" w:rsidRPr="004C05FA">
        <w:t xml:space="preserve"> </w:t>
      </w:r>
    </w:p>
    <w:p w14:paraId="038EFA1E" w14:textId="38D49798" w:rsidR="008278F1" w:rsidRPr="0098325D" w:rsidRDefault="001A4F7E" w:rsidP="00396838">
      <w:r w:rsidRPr="004C05FA">
        <w:t>Further details on the changes to the underlying cash balance and headline cash balance since the</w:t>
      </w:r>
      <w:r w:rsidR="006A7C4C" w:rsidRPr="004C05FA">
        <w:t xml:space="preserve"> 2023</w:t>
      </w:r>
      <w:r w:rsidR="00533EB7" w:rsidRPr="004C05FA">
        <w:t>–</w:t>
      </w:r>
      <w:r w:rsidR="006A7C4C" w:rsidRPr="004C05FA">
        <w:t>24</w:t>
      </w:r>
      <w:r w:rsidR="00E155D6" w:rsidRPr="004C05FA">
        <w:t xml:space="preserve"> MYEFO </w:t>
      </w:r>
      <w:r w:rsidRPr="004C05FA">
        <w:t xml:space="preserve">can be found in </w:t>
      </w:r>
      <w:r w:rsidRPr="004C05FA">
        <w:rPr>
          <w:i/>
        </w:rPr>
        <w:t>Statement 3: Fiscal Strategy and Outlook</w:t>
      </w:r>
      <w:r w:rsidR="00D0174A" w:rsidRPr="0098325D">
        <w:t xml:space="preserve">. </w:t>
      </w:r>
    </w:p>
    <w:p w14:paraId="36065A6A" w14:textId="77777777" w:rsidR="001A4F7E" w:rsidRPr="0098325D" w:rsidRDefault="001A4F7E" w:rsidP="00533EB7">
      <w:r w:rsidRPr="0098325D">
        <w:br w:type="page"/>
      </w:r>
    </w:p>
    <w:p w14:paraId="1220D548" w14:textId="62075071" w:rsidR="000C730F" w:rsidRDefault="001A4F7E" w:rsidP="000C730F">
      <w:pPr>
        <w:pStyle w:val="TableHeading"/>
        <w:rPr>
          <w:rFonts w:asciiTheme="minorHAnsi" w:eastAsiaTheme="minorHAnsi" w:hAnsiTheme="minorHAnsi" w:cstheme="minorBidi"/>
          <w:sz w:val="22"/>
          <w:szCs w:val="22"/>
          <w:lang w:eastAsia="en-US"/>
        </w:rPr>
      </w:pPr>
      <w:r w:rsidRPr="004C05FA">
        <w:lastRenderedPageBreak/>
        <w:t>Table 7.2: Estimates of AGS on issue subject to the Treasurer</w:t>
      </w:r>
      <w:r w:rsidR="00B57616" w:rsidRPr="004C05FA">
        <w:t>’</w:t>
      </w:r>
      <w:r w:rsidRPr="004C05FA">
        <w:t xml:space="preserve">s Direction </w:t>
      </w:r>
      <w:r w:rsidRPr="00DA4572">
        <w:t xml:space="preserve">– </w:t>
      </w:r>
      <w:r w:rsidRPr="004C05FA">
        <w:t>reconciliation from the 202</w:t>
      </w:r>
      <w:r w:rsidR="00DE16EA" w:rsidRPr="004C05FA">
        <w:t>3</w:t>
      </w:r>
      <w:r w:rsidRPr="004C05FA">
        <w:t>–2</w:t>
      </w:r>
      <w:r w:rsidR="00DE16EA" w:rsidRPr="004C05FA">
        <w:t>4</w:t>
      </w:r>
      <w:r w:rsidRPr="004C05FA">
        <w:t xml:space="preserve"> </w:t>
      </w:r>
      <w:r w:rsidR="00DE16EA" w:rsidRPr="004C05FA">
        <w:t>MYEFO</w:t>
      </w:r>
      <w:r w:rsidRPr="004C05FA">
        <w:t xml:space="preserve"> to the 202</w:t>
      </w:r>
      <w:r w:rsidR="00DE16EA" w:rsidRPr="004C05FA">
        <w:t>4</w:t>
      </w:r>
      <w:r w:rsidRPr="004C05FA">
        <w:t>–2</w:t>
      </w:r>
      <w:r w:rsidR="00DE16EA" w:rsidRPr="004C05FA">
        <w:t>5</w:t>
      </w:r>
      <w:r w:rsidRPr="004C05FA">
        <w:t xml:space="preserve"> Budget</w:t>
      </w:r>
      <w:bookmarkStart w:id="5" w:name="_1776700390"/>
      <w:bookmarkEnd w:id="5"/>
    </w:p>
    <w:tbl>
      <w:tblPr>
        <w:tblW w:w="5000" w:type="pct"/>
        <w:tblCellMar>
          <w:left w:w="0" w:type="dxa"/>
          <w:right w:w="28" w:type="dxa"/>
        </w:tblCellMar>
        <w:tblLook w:val="04A0" w:firstRow="1" w:lastRow="0" w:firstColumn="1" w:lastColumn="0" w:noHBand="0" w:noVBand="1"/>
      </w:tblPr>
      <w:tblGrid>
        <w:gridCol w:w="4491"/>
        <w:gridCol w:w="780"/>
        <w:gridCol w:w="781"/>
        <w:gridCol w:w="829"/>
        <w:gridCol w:w="829"/>
      </w:tblGrid>
      <w:tr w:rsidR="000C730F" w:rsidRPr="000C730F" w14:paraId="034BD5B4" w14:textId="77777777" w:rsidTr="000C730F">
        <w:trPr>
          <w:divId w:val="1689521999"/>
          <w:trHeight w:hRule="exact" w:val="225"/>
        </w:trPr>
        <w:tc>
          <w:tcPr>
            <w:tcW w:w="2925" w:type="pct"/>
            <w:tcBorders>
              <w:top w:val="single" w:sz="4" w:space="0" w:color="293F5B"/>
              <w:left w:val="nil"/>
              <w:bottom w:val="nil"/>
              <w:right w:val="nil"/>
            </w:tcBorders>
            <w:shd w:val="clear" w:color="auto" w:fill="auto"/>
            <w:noWrap/>
            <w:vAlign w:val="center"/>
            <w:hideMark/>
          </w:tcPr>
          <w:p w14:paraId="464CF457" w14:textId="022CF788" w:rsidR="000C730F" w:rsidRPr="000C730F" w:rsidRDefault="000C730F" w:rsidP="000C730F">
            <w:pPr>
              <w:spacing w:before="0" w:after="0" w:line="240" w:lineRule="auto"/>
              <w:rPr>
                <w:rFonts w:ascii="Arial" w:hAnsi="Arial" w:cs="Arial"/>
                <w:sz w:val="16"/>
                <w:szCs w:val="16"/>
              </w:rPr>
            </w:pPr>
            <w:r w:rsidRPr="000C730F">
              <w:rPr>
                <w:rFonts w:ascii="Arial" w:hAnsi="Arial" w:cs="Arial"/>
                <w:sz w:val="16"/>
                <w:szCs w:val="16"/>
              </w:rPr>
              <w:t> </w:t>
            </w:r>
          </w:p>
        </w:tc>
        <w:tc>
          <w:tcPr>
            <w:tcW w:w="518" w:type="pct"/>
            <w:tcBorders>
              <w:top w:val="single" w:sz="4" w:space="0" w:color="293F5B"/>
              <w:left w:val="nil"/>
              <w:bottom w:val="nil"/>
              <w:right w:val="nil"/>
            </w:tcBorders>
            <w:shd w:val="clear" w:color="000000" w:fill="FFFFFF"/>
            <w:noWrap/>
            <w:vAlign w:val="center"/>
            <w:hideMark/>
          </w:tcPr>
          <w:p w14:paraId="11469336" w14:textId="557074F3"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2023</w:t>
            </w:r>
            <w:r w:rsidR="00B57616">
              <w:rPr>
                <w:rFonts w:ascii="Arial" w:hAnsi="Arial" w:cs="Arial"/>
                <w:sz w:val="16"/>
                <w:szCs w:val="16"/>
              </w:rPr>
              <w:noBreakHyphen/>
            </w:r>
            <w:r w:rsidRPr="000C730F">
              <w:rPr>
                <w:rFonts w:ascii="Arial" w:hAnsi="Arial" w:cs="Arial"/>
                <w:sz w:val="16"/>
                <w:szCs w:val="16"/>
              </w:rPr>
              <w:t>24</w:t>
            </w:r>
          </w:p>
        </w:tc>
        <w:tc>
          <w:tcPr>
            <w:tcW w:w="519" w:type="pct"/>
            <w:tcBorders>
              <w:top w:val="single" w:sz="4" w:space="0" w:color="293F5B"/>
              <w:left w:val="nil"/>
              <w:bottom w:val="nil"/>
              <w:right w:val="nil"/>
            </w:tcBorders>
            <w:shd w:val="clear" w:color="000000" w:fill="E6F2FF"/>
            <w:noWrap/>
            <w:vAlign w:val="center"/>
            <w:hideMark/>
          </w:tcPr>
          <w:p w14:paraId="5B8A3DC8" w14:textId="7290DD7B"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2024</w:t>
            </w:r>
            <w:r w:rsidR="00B57616">
              <w:rPr>
                <w:rFonts w:ascii="Arial" w:hAnsi="Arial" w:cs="Arial"/>
                <w:sz w:val="16"/>
                <w:szCs w:val="16"/>
              </w:rPr>
              <w:noBreakHyphen/>
            </w:r>
            <w:r w:rsidRPr="000C730F">
              <w:rPr>
                <w:rFonts w:ascii="Arial" w:hAnsi="Arial" w:cs="Arial"/>
                <w:sz w:val="16"/>
                <w:szCs w:val="16"/>
              </w:rPr>
              <w:t>25</w:t>
            </w:r>
          </w:p>
        </w:tc>
        <w:tc>
          <w:tcPr>
            <w:tcW w:w="519" w:type="pct"/>
            <w:tcBorders>
              <w:top w:val="single" w:sz="4" w:space="0" w:color="293F5B"/>
              <w:left w:val="nil"/>
              <w:bottom w:val="nil"/>
              <w:right w:val="nil"/>
            </w:tcBorders>
            <w:shd w:val="clear" w:color="auto" w:fill="auto"/>
            <w:noWrap/>
            <w:vAlign w:val="center"/>
            <w:hideMark/>
          </w:tcPr>
          <w:p w14:paraId="61710037" w14:textId="6A3BCC8E"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2025</w:t>
            </w:r>
            <w:r w:rsidR="00B57616">
              <w:rPr>
                <w:rFonts w:ascii="Arial" w:hAnsi="Arial" w:cs="Arial"/>
                <w:sz w:val="16"/>
                <w:szCs w:val="16"/>
              </w:rPr>
              <w:noBreakHyphen/>
            </w:r>
            <w:r w:rsidRPr="000C730F">
              <w:rPr>
                <w:rFonts w:ascii="Arial" w:hAnsi="Arial" w:cs="Arial"/>
                <w:sz w:val="16"/>
                <w:szCs w:val="16"/>
              </w:rPr>
              <w:t>26</w:t>
            </w:r>
          </w:p>
        </w:tc>
        <w:tc>
          <w:tcPr>
            <w:tcW w:w="519" w:type="pct"/>
            <w:tcBorders>
              <w:top w:val="single" w:sz="4" w:space="0" w:color="293F5B"/>
              <w:left w:val="nil"/>
              <w:bottom w:val="nil"/>
              <w:right w:val="nil"/>
            </w:tcBorders>
            <w:shd w:val="clear" w:color="auto" w:fill="auto"/>
            <w:noWrap/>
            <w:vAlign w:val="center"/>
            <w:hideMark/>
          </w:tcPr>
          <w:p w14:paraId="472220A9" w14:textId="4BB5DC39"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2026</w:t>
            </w:r>
            <w:r w:rsidR="00B57616">
              <w:rPr>
                <w:rFonts w:ascii="Arial" w:hAnsi="Arial" w:cs="Arial"/>
                <w:sz w:val="16"/>
                <w:szCs w:val="16"/>
              </w:rPr>
              <w:noBreakHyphen/>
            </w:r>
            <w:r w:rsidRPr="000C730F">
              <w:rPr>
                <w:rFonts w:ascii="Arial" w:hAnsi="Arial" w:cs="Arial"/>
                <w:sz w:val="16"/>
                <w:szCs w:val="16"/>
              </w:rPr>
              <w:t>27</w:t>
            </w:r>
          </w:p>
        </w:tc>
      </w:tr>
      <w:tr w:rsidR="000C730F" w:rsidRPr="000C730F" w14:paraId="4DD3D2CF" w14:textId="77777777" w:rsidTr="000C730F">
        <w:trPr>
          <w:divId w:val="1689521999"/>
          <w:trHeight w:hRule="exact" w:val="225"/>
        </w:trPr>
        <w:tc>
          <w:tcPr>
            <w:tcW w:w="2925" w:type="pct"/>
            <w:tcBorders>
              <w:top w:val="nil"/>
              <w:left w:val="nil"/>
              <w:bottom w:val="nil"/>
              <w:right w:val="nil"/>
            </w:tcBorders>
            <w:shd w:val="clear" w:color="auto" w:fill="auto"/>
            <w:noWrap/>
            <w:vAlign w:val="center"/>
            <w:hideMark/>
          </w:tcPr>
          <w:p w14:paraId="0F5219DC" w14:textId="77777777" w:rsidR="000C730F" w:rsidRPr="000C730F" w:rsidRDefault="000C730F" w:rsidP="000C730F">
            <w:pPr>
              <w:spacing w:before="0" w:after="0" w:line="240" w:lineRule="auto"/>
              <w:jc w:val="right"/>
              <w:rPr>
                <w:rFonts w:ascii="Arial" w:hAnsi="Arial" w:cs="Arial"/>
                <w:sz w:val="16"/>
                <w:szCs w:val="16"/>
              </w:rPr>
            </w:pPr>
          </w:p>
        </w:tc>
        <w:tc>
          <w:tcPr>
            <w:tcW w:w="518" w:type="pct"/>
            <w:tcBorders>
              <w:top w:val="nil"/>
              <w:left w:val="nil"/>
              <w:bottom w:val="single" w:sz="4" w:space="0" w:color="293F5B"/>
              <w:right w:val="nil"/>
            </w:tcBorders>
            <w:shd w:val="clear" w:color="000000" w:fill="FFFFFF"/>
            <w:noWrap/>
            <w:vAlign w:val="center"/>
            <w:hideMark/>
          </w:tcPr>
          <w:p w14:paraId="5BB6BAA1"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$b</w:t>
            </w:r>
          </w:p>
        </w:tc>
        <w:tc>
          <w:tcPr>
            <w:tcW w:w="519" w:type="pct"/>
            <w:tcBorders>
              <w:top w:val="nil"/>
              <w:left w:val="nil"/>
              <w:bottom w:val="single" w:sz="4" w:space="0" w:color="293F5B"/>
              <w:right w:val="nil"/>
            </w:tcBorders>
            <w:shd w:val="clear" w:color="000000" w:fill="E6F2FF"/>
            <w:noWrap/>
            <w:vAlign w:val="center"/>
            <w:hideMark/>
          </w:tcPr>
          <w:p w14:paraId="0C229BB1"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$b</w:t>
            </w:r>
          </w:p>
        </w:tc>
        <w:tc>
          <w:tcPr>
            <w:tcW w:w="519" w:type="pct"/>
            <w:tcBorders>
              <w:top w:val="nil"/>
              <w:left w:val="nil"/>
              <w:bottom w:val="single" w:sz="4" w:space="0" w:color="293F5B"/>
              <w:right w:val="nil"/>
            </w:tcBorders>
            <w:shd w:val="clear" w:color="000000" w:fill="FFFFFF"/>
            <w:noWrap/>
            <w:vAlign w:val="center"/>
            <w:hideMark/>
          </w:tcPr>
          <w:p w14:paraId="26BB89AD"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$b</w:t>
            </w:r>
          </w:p>
        </w:tc>
        <w:tc>
          <w:tcPr>
            <w:tcW w:w="519" w:type="pct"/>
            <w:tcBorders>
              <w:top w:val="nil"/>
              <w:left w:val="nil"/>
              <w:bottom w:val="single" w:sz="4" w:space="0" w:color="293F5B"/>
              <w:right w:val="nil"/>
            </w:tcBorders>
            <w:shd w:val="clear" w:color="000000" w:fill="FFFFFF"/>
            <w:noWrap/>
            <w:vAlign w:val="center"/>
            <w:hideMark/>
          </w:tcPr>
          <w:p w14:paraId="039D8A6B"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$b</w:t>
            </w:r>
          </w:p>
        </w:tc>
      </w:tr>
      <w:tr w:rsidR="000C730F" w:rsidRPr="000C730F" w14:paraId="4FED7726" w14:textId="77777777" w:rsidTr="000C730F">
        <w:trPr>
          <w:divId w:val="1689521999"/>
          <w:trHeight w:hRule="exact" w:val="60"/>
        </w:trPr>
        <w:tc>
          <w:tcPr>
            <w:tcW w:w="2925" w:type="pct"/>
            <w:tcBorders>
              <w:top w:val="nil"/>
              <w:left w:val="nil"/>
              <w:bottom w:val="nil"/>
              <w:right w:val="nil"/>
            </w:tcBorders>
            <w:shd w:val="clear" w:color="auto" w:fill="auto"/>
            <w:noWrap/>
            <w:vAlign w:val="center"/>
            <w:hideMark/>
          </w:tcPr>
          <w:p w14:paraId="524B21EB" w14:textId="77777777" w:rsidR="000C730F" w:rsidRPr="000C730F" w:rsidRDefault="000C730F" w:rsidP="000C730F">
            <w:pPr>
              <w:spacing w:before="0" w:after="0" w:line="240" w:lineRule="auto"/>
              <w:jc w:val="right"/>
              <w:rPr>
                <w:rFonts w:ascii="Arial" w:hAnsi="Arial" w:cs="Arial"/>
                <w:sz w:val="16"/>
                <w:szCs w:val="16"/>
              </w:rPr>
            </w:pPr>
          </w:p>
        </w:tc>
        <w:tc>
          <w:tcPr>
            <w:tcW w:w="518" w:type="pct"/>
            <w:tcBorders>
              <w:top w:val="nil"/>
              <w:left w:val="nil"/>
              <w:bottom w:val="nil"/>
              <w:right w:val="nil"/>
            </w:tcBorders>
            <w:shd w:val="clear" w:color="000000" w:fill="FFFFFF"/>
            <w:noWrap/>
            <w:vAlign w:val="center"/>
            <w:hideMark/>
          </w:tcPr>
          <w:p w14:paraId="27612298"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 </w:t>
            </w:r>
          </w:p>
        </w:tc>
        <w:tc>
          <w:tcPr>
            <w:tcW w:w="519" w:type="pct"/>
            <w:tcBorders>
              <w:top w:val="nil"/>
              <w:left w:val="nil"/>
              <w:bottom w:val="nil"/>
              <w:right w:val="nil"/>
            </w:tcBorders>
            <w:shd w:val="clear" w:color="000000" w:fill="E6F2FF"/>
            <w:noWrap/>
            <w:vAlign w:val="center"/>
            <w:hideMark/>
          </w:tcPr>
          <w:p w14:paraId="5478DC1D"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3BA11589"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2DC3E9CF"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 </w:t>
            </w:r>
          </w:p>
        </w:tc>
      </w:tr>
      <w:tr w:rsidR="000C730F" w:rsidRPr="000C730F" w14:paraId="548DF2CE" w14:textId="77777777" w:rsidTr="000C730F">
        <w:trPr>
          <w:divId w:val="1689521999"/>
          <w:trHeight w:hRule="exact" w:val="450"/>
        </w:trPr>
        <w:tc>
          <w:tcPr>
            <w:tcW w:w="2925" w:type="pct"/>
            <w:tcBorders>
              <w:top w:val="nil"/>
              <w:left w:val="nil"/>
              <w:bottom w:val="nil"/>
              <w:right w:val="nil"/>
            </w:tcBorders>
            <w:shd w:val="clear" w:color="auto" w:fill="auto"/>
            <w:vAlign w:val="center"/>
            <w:hideMark/>
          </w:tcPr>
          <w:p w14:paraId="6400DB8C" w14:textId="4BC122A3" w:rsidR="000C730F" w:rsidRPr="000C730F" w:rsidRDefault="000C730F" w:rsidP="000C730F">
            <w:pPr>
              <w:spacing w:before="0" w:after="0" w:line="240" w:lineRule="auto"/>
              <w:rPr>
                <w:rFonts w:ascii="Arial" w:hAnsi="Arial" w:cs="Arial"/>
                <w:b/>
                <w:bCs/>
                <w:sz w:val="16"/>
                <w:szCs w:val="16"/>
              </w:rPr>
            </w:pPr>
            <w:r w:rsidRPr="000C730F">
              <w:rPr>
                <w:rFonts w:ascii="Arial" w:hAnsi="Arial" w:cs="Arial"/>
                <w:b/>
                <w:bCs/>
                <w:sz w:val="16"/>
                <w:szCs w:val="16"/>
              </w:rPr>
              <w:t>Total face value of AGS on issue subject to the Treasurer</w:t>
            </w:r>
            <w:r w:rsidR="00B57616">
              <w:rPr>
                <w:rFonts w:ascii="Arial" w:hAnsi="Arial" w:cs="Arial"/>
                <w:b/>
                <w:bCs/>
                <w:sz w:val="16"/>
                <w:szCs w:val="16"/>
              </w:rPr>
              <w:t>’</w:t>
            </w:r>
            <w:r w:rsidRPr="000C730F">
              <w:rPr>
                <w:rFonts w:ascii="Arial" w:hAnsi="Arial" w:cs="Arial"/>
                <w:b/>
                <w:bCs/>
                <w:sz w:val="16"/>
                <w:szCs w:val="16"/>
              </w:rPr>
              <w:t>s Direction as at 2023</w:t>
            </w:r>
            <w:r w:rsidR="00B57616">
              <w:rPr>
                <w:rFonts w:ascii="Arial" w:hAnsi="Arial" w:cs="Arial"/>
                <w:b/>
                <w:bCs/>
                <w:sz w:val="16"/>
                <w:szCs w:val="16"/>
              </w:rPr>
              <w:noBreakHyphen/>
            </w:r>
            <w:r w:rsidRPr="000C730F">
              <w:rPr>
                <w:rFonts w:ascii="Arial" w:hAnsi="Arial" w:cs="Arial"/>
                <w:b/>
                <w:bCs/>
                <w:sz w:val="16"/>
                <w:szCs w:val="16"/>
              </w:rPr>
              <w:t>24 MYEFO</w:t>
            </w:r>
          </w:p>
        </w:tc>
        <w:tc>
          <w:tcPr>
            <w:tcW w:w="518" w:type="pct"/>
            <w:tcBorders>
              <w:top w:val="nil"/>
              <w:left w:val="nil"/>
              <w:bottom w:val="nil"/>
              <w:right w:val="nil"/>
            </w:tcBorders>
            <w:shd w:val="clear" w:color="000000" w:fill="FFFFFF"/>
            <w:noWrap/>
            <w:vAlign w:val="bottom"/>
            <w:hideMark/>
          </w:tcPr>
          <w:p w14:paraId="0FF37589" w14:textId="77777777" w:rsidR="000C730F" w:rsidRPr="000C730F" w:rsidRDefault="000C730F" w:rsidP="000C730F">
            <w:pPr>
              <w:spacing w:before="0" w:after="0" w:line="240" w:lineRule="auto"/>
              <w:jc w:val="right"/>
              <w:rPr>
                <w:rFonts w:ascii="Arial" w:hAnsi="Arial" w:cs="Arial"/>
                <w:b/>
                <w:bCs/>
                <w:sz w:val="16"/>
                <w:szCs w:val="16"/>
              </w:rPr>
            </w:pPr>
            <w:r w:rsidRPr="000C730F">
              <w:rPr>
                <w:rFonts w:ascii="Arial" w:hAnsi="Arial" w:cs="Arial"/>
                <w:b/>
                <w:bCs/>
                <w:sz w:val="16"/>
                <w:szCs w:val="16"/>
              </w:rPr>
              <w:t xml:space="preserve">         909 </w:t>
            </w:r>
          </w:p>
        </w:tc>
        <w:tc>
          <w:tcPr>
            <w:tcW w:w="519" w:type="pct"/>
            <w:tcBorders>
              <w:top w:val="nil"/>
              <w:left w:val="nil"/>
              <w:bottom w:val="nil"/>
              <w:right w:val="nil"/>
            </w:tcBorders>
            <w:shd w:val="clear" w:color="000000" w:fill="E6F2FF"/>
            <w:noWrap/>
            <w:vAlign w:val="bottom"/>
            <w:hideMark/>
          </w:tcPr>
          <w:p w14:paraId="09F0BCEC" w14:textId="77777777" w:rsidR="000C730F" w:rsidRPr="000C730F" w:rsidRDefault="000C730F" w:rsidP="000C730F">
            <w:pPr>
              <w:spacing w:before="0" w:after="0" w:line="240" w:lineRule="auto"/>
              <w:jc w:val="right"/>
              <w:rPr>
                <w:rFonts w:ascii="Arial" w:hAnsi="Arial" w:cs="Arial"/>
                <w:b/>
                <w:bCs/>
                <w:sz w:val="16"/>
                <w:szCs w:val="16"/>
              </w:rPr>
            </w:pPr>
            <w:r w:rsidRPr="000C730F">
              <w:rPr>
                <w:rFonts w:ascii="Arial" w:hAnsi="Arial" w:cs="Arial"/>
                <w:b/>
                <w:bCs/>
                <w:sz w:val="16"/>
                <w:szCs w:val="16"/>
              </w:rPr>
              <w:t xml:space="preserve">         934 </w:t>
            </w:r>
          </w:p>
        </w:tc>
        <w:tc>
          <w:tcPr>
            <w:tcW w:w="519" w:type="pct"/>
            <w:tcBorders>
              <w:top w:val="nil"/>
              <w:left w:val="nil"/>
              <w:bottom w:val="nil"/>
              <w:right w:val="nil"/>
            </w:tcBorders>
            <w:shd w:val="clear" w:color="auto" w:fill="auto"/>
            <w:noWrap/>
            <w:vAlign w:val="bottom"/>
            <w:hideMark/>
          </w:tcPr>
          <w:p w14:paraId="738C6D64" w14:textId="77777777" w:rsidR="000C730F" w:rsidRPr="000C730F" w:rsidRDefault="000C730F" w:rsidP="000C730F">
            <w:pPr>
              <w:spacing w:before="0" w:after="0" w:line="240" w:lineRule="auto"/>
              <w:jc w:val="right"/>
              <w:rPr>
                <w:rFonts w:ascii="Arial" w:hAnsi="Arial" w:cs="Arial"/>
                <w:b/>
                <w:bCs/>
                <w:sz w:val="16"/>
                <w:szCs w:val="16"/>
              </w:rPr>
            </w:pPr>
            <w:r w:rsidRPr="000C730F">
              <w:rPr>
                <w:rFonts w:ascii="Arial" w:hAnsi="Arial" w:cs="Arial"/>
                <w:b/>
                <w:bCs/>
                <w:sz w:val="16"/>
                <w:szCs w:val="16"/>
              </w:rPr>
              <w:t xml:space="preserve">         1,007 </w:t>
            </w:r>
          </w:p>
        </w:tc>
        <w:tc>
          <w:tcPr>
            <w:tcW w:w="519" w:type="pct"/>
            <w:tcBorders>
              <w:top w:val="nil"/>
              <w:left w:val="nil"/>
              <w:bottom w:val="nil"/>
              <w:right w:val="nil"/>
            </w:tcBorders>
            <w:shd w:val="clear" w:color="auto" w:fill="auto"/>
            <w:noWrap/>
            <w:vAlign w:val="bottom"/>
            <w:hideMark/>
          </w:tcPr>
          <w:p w14:paraId="6D4D965A" w14:textId="77777777" w:rsidR="000C730F" w:rsidRPr="000C730F" w:rsidRDefault="000C730F" w:rsidP="000C730F">
            <w:pPr>
              <w:spacing w:before="0" w:after="0" w:line="240" w:lineRule="auto"/>
              <w:jc w:val="right"/>
              <w:rPr>
                <w:rFonts w:ascii="Arial" w:hAnsi="Arial" w:cs="Arial"/>
                <w:b/>
                <w:bCs/>
                <w:sz w:val="16"/>
                <w:szCs w:val="16"/>
              </w:rPr>
            </w:pPr>
            <w:r w:rsidRPr="000C730F">
              <w:rPr>
                <w:rFonts w:ascii="Arial" w:hAnsi="Arial" w:cs="Arial"/>
                <w:b/>
                <w:bCs/>
                <w:sz w:val="16"/>
                <w:szCs w:val="16"/>
              </w:rPr>
              <w:t xml:space="preserve">         1,058 </w:t>
            </w:r>
          </w:p>
        </w:tc>
      </w:tr>
      <w:tr w:rsidR="000C730F" w:rsidRPr="000C730F" w14:paraId="46AE9AEE" w14:textId="77777777" w:rsidTr="000C730F">
        <w:trPr>
          <w:divId w:val="1689521999"/>
          <w:trHeight w:hRule="exact" w:val="60"/>
        </w:trPr>
        <w:tc>
          <w:tcPr>
            <w:tcW w:w="2925" w:type="pct"/>
            <w:tcBorders>
              <w:top w:val="nil"/>
              <w:left w:val="nil"/>
              <w:bottom w:val="nil"/>
              <w:right w:val="nil"/>
            </w:tcBorders>
            <w:shd w:val="clear" w:color="auto" w:fill="auto"/>
            <w:vAlign w:val="center"/>
            <w:hideMark/>
          </w:tcPr>
          <w:p w14:paraId="64A8A944" w14:textId="77777777" w:rsidR="000C730F" w:rsidRPr="000C730F" w:rsidRDefault="000C730F" w:rsidP="000C730F">
            <w:pPr>
              <w:spacing w:before="0" w:after="0" w:line="240" w:lineRule="auto"/>
              <w:jc w:val="right"/>
              <w:rPr>
                <w:rFonts w:ascii="Arial" w:hAnsi="Arial" w:cs="Arial"/>
                <w:b/>
                <w:bCs/>
                <w:sz w:val="16"/>
                <w:szCs w:val="16"/>
              </w:rPr>
            </w:pPr>
          </w:p>
        </w:tc>
        <w:tc>
          <w:tcPr>
            <w:tcW w:w="518" w:type="pct"/>
            <w:tcBorders>
              <w:top w:val="nil"/>
              <w:left w:val="nil"/>
              <w:bottom w:val="nil"/>
              <w:right w:val="nil"/>
            </w:tcBorders>
            <w:shd w:val="clear" w:color="000000" w:fill="FFFFFF"/>
            <w:noWrap/>
            <w:vAlign w:val="bottom"/>
            <w:hideMark/>
          </w:tcPr>
          <w:p w14:paraId="35728D24"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 </w:t>
            </w:r>
          </w:p>
        </w:tc>
        <w:tc>
          <w:tcPr>
            <w:tcW w:w="519" w:type="pct"/>
            <w:tcBorders>
              <w:top w:val="nil"/>
              <w:left w:val="nil"/>
              <w:bottom w:val="nil"/>
              <w:right w:val="nil"/>
            </w:tcBorders>
            <w:shd w:val="clear" w:color="000000" w:fill="E6F2FF"/>
            <w:noWrap/>
            <w:vAlign w:val="bottom"/>
            <w:hideMark/>
          </w:tcPr>
          <w:p w14:paraId="069D6617"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 </w:t>
            </w:r>
          </w:p>
        </w:tc>
        <w:tc>
          <w:tcPr>
            <w:tcW w:w="519" w:type="pct"/>
            <w:tcBorders>
              <w:top w:val="nil"/>
              <w:left w:val="nil"/>
              <w:bottom w:val="nil"/>
              <w:right w:val="nil"/>
            </w:tcBorders>
            <w:shd w:val="clear" w:color="auto" w:fill="auto"/>
            <w:noWrap/>
            <w:vAlign w:val="bottom"/>
            <w:hideMark/>
          </w:tcPr>
          <w:p w14:paraId="5F6222D2" w14:textId="77777777" w:rsidR="000C730F" w:rsidRPr="000C730F" w:rsidRDefault="000C730F" w:rsidP="000C730F">
            <w:pPr>
              <w:spacing w:before="0" w:after="0" w:line="240" w:lineRule="auto"/>
              <w:jc w:val="right"/>
              <w:rPr>
                <w:rFonts w:ascii="Arial" w:hAnsi="Arial" w:cs="Arial"/>
                <w:sz w:val="16"/>
                <w:szCs w:val="16"/>
              </w:rPr>
            </w:pPr>
          </w:p>
        </w:tc>
        <w:tc>
          <w:tcPr>
            <w:tcW w:w="519" w:type="pct"/>
            <w:tcBorders>
              <w:top w:val="nil"/>
              <w:left w:val="nil"/>
              <w:bottom w:val="nil"/>
              <w:right w:val="nil"/>
            </w:tcBorders>
            <w:shd w:val="clear" w:color="auto" w:fill="auto"/>
            <w:noWrap/>
            <w:vAlign w:val="bottom"/>
            <w:hideMark/>
          </w:tcPr>
          <w:p w14:paraId="52DEC168" w14:textId="77777777" w:rsidR="000C730F" w:rsidRPr="000C730F" w:rsidRDefault="000C730F" w:rsidP="000C730F">
            <w:pPr>
              <w:spacing w:before="0" w:after="0" w:line="240" w:lineRule="auto"/>
              <w:jc w:val="right"/>
              <w:rPr>
                <w:rFonts w:ascii="Times New Roman" w:hAnsi="Times New Roman"/>
                <w:sz w:val="20"/>
              </w:rPr>
            </w:pPr>
          </w:p>
        </w:tc>
      </w:tr>
      <w:tr w:rsidR="000C730F" w:rsidRPr="000C730F" w14:paraId="6A7CBB2A" w14:textId="77777777" w:rsidTr="000C730F">
        <w:trPr>
          <w:divId w:val="1689521999"/>
          <w:trHeight w:hRule="exact" w:val="450"/>
        </w:trPr>
        <w:tc>
          <w:tcPr>
            <w:tcW w:w="2925" w:type="pct"/>
            <w:tcBorders>
              <w:top w:val="nil"/>
              <w:left w:val="nil"/>
              <w:bottom w:val="nil"/>
              <w:right w:val="nil"/>
            </w:tcBorders>
            <w:shd w:val="clear" w:color="auto" w:fill="auto"/>
            <w:vAlign w:val="center"/>
            <w:hideMark/>
          </w:tcPr>
          <w:p w14:paraId="337A88BC" w14:textId="46536136" w:rsidR="000C730F" w:rsidRPr="000C730F" w:rsidRDefault="000C730F" w:rsidP="000C730F">
            <w:pPr>
              <w:spacing w:before="0" w:after="0" w:line="240" w:lineRule="auto"/>
              <w:rPr>
                <w:rFonts w:ascii="Arial" w:hAnsi="Arial" w:cs="Arial"/>
                <w:b/>
                <w:bCs/>
                <w:sz w:val="16"/>
                <w:szCs w:val="16"/>
              </w:rPr>
            </w:pPr>
            <w:r w:rsidRPr="000C730F">
              <w:rPr>
                <w:rFonts w:ascii="Arial" w:hAnsi="Arial" w:cs="Arial"/>
                <w:b/>
                <w:bCs/>
                <w:sz w:val="16"/>
                <w:szCs w:val="16"/>
              </w:rPr>
              <w:t>Factors affecting the change in face value of AGS on issue from 2023</w:t>
            </w:r>
            <w:r w:rsidR="00B57616">
              <w:rPr>
                <w:rFonts w:ascii="Arial" w:hAnsi="Arial" w:cs="Arial"/>
                <w:b/>
                <w:bCs/>
                <w:sz w:val="16"/>
                <w:szCs w:val="16"/>
              </w:rPr>
              <w:noBreakHyphen/>
            </w:r>
            <w:r w:rsidRPr="000C730F">
              <w:rPr>
                <w:rFonts w:ascii="Arial" w:hAnsi="Arial" w:cs="Arial"/>
                <w:b/>
                <w:bCs/>
                <w:sz w:val="16"/>
                <w:szCs w:val="16"/>
              </w:rPr>
              <w:t>24 MYEFO to 2024</w:t>
            </w:r>
            <w:r w:rsidR="00B57616">
              <w:rPr>
                <w:rFonts w:ascii="Arial" w:hAnsi="Arial" w:cs="Arial"/>
                <w:b/>
                <w:bCs/>
                <w:sz w:val="16"/>
                <w:szCs w:val="16"/>
              </w:rPr>
              <w:noBreakHyphen/>
            </w:r>
            <w:r w:rsidRPr="000C730F">
              <w:rPr>
                <w:rFonts w:ascii="Arial" w:hAnsi="Arial" w:cs="Arial"/>
                <w:b/>
                <w:bCs/>
                <w:sz w:val="16"/>
                <w:szCs w:val="16"/>
              </w:rPr>
              <w:t>25 Budget(a)</w:t>
            </w:r>
          </w:p>
        </w:tc>
        <w:tc>
          <w:tcPr>
            <w:tcW w:w="518" w:type="pct"/>
            <w:tcBorders>
              <w:top w:val="nil"/>
              <w:left w:val="nil"/>
              <w:bottom w:val="nil"/>
              <w:right w:val="nil"/>
            </w:tcBorders>
            <w:shd w:val="clear" w:color="000000" w:fill="FFFFFF"/>
            <w:noWrap/>
            <w:vAlign w:val="center"/>
            <w:hideMark/>
          </w:tcPr>
          <w:p w14:paraId="7EDC59D4"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 </w:t>
            </w:r>
          </w:p>
        </w:tc>
        <w:tc>
          <w:tcPr>
            <w:tcW w:w="519" w:type="pct"/>
            <w:tcBorders>
              <w:top w:val="nil"/>
              <w:left w:val="nil"/>
              <w:bottom w:val="nil"/>
              <w:right w:val="nil"/>
            </w:tcBorders>
            <w:shd w:val="clear" w:color="000000" w:fill="E6F2FF"/>
            <w:noWrap/>
            <w:vAlign w:val="center"/>
            <w:hideMark/>
          </w:tcPr>
          <w:p w14:paraId="666F096F"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 </w:t>
            </w:r>
          </w:p>
        </w:tc>
        <w:tc>
          <w:tcPr>
            <w:tcW w:w="519" w:type="pct"/>
            <w:tcBorders>
              <w:top w:val="nil"/>
              <w:left w:val="nil"/>
              <w:bottom w:val="nil"/>
              <w:right w:val="nil"/>
            </w:tcBorders>
            <w:shd w:val="clear" w:color="auto" w:fill="auto"/>
            <w:noWrap/>
            <w:vAlign w:val="center"/>
            <w:hideMark/>
          </w:tcPr>
          <w:p w14:paraId="4CC9C50F" w14:textId="77777777" w:rsidR="000C730F" w:rsidRPr="000C730F" w:rsidRDefault="000C730F" w:rsidP="000C730F">
            <w:pPr>
              <w:spacing w:before="0" w:after="0" w:line="240" w:lineRule="auto"/>
              <w:jc w:val="right"/>
              <w:rPr>
                <w:rFonts w:ascii="Arial" w:hAnsi="Arial" w:cs="Arial"/>
                <w:sz w:val="16"/>
                <w:szCs w:val="16"/>
              </w:rPr>
            </w:pPr>
          </w:p>
        </w:tc>
        <w:tc>
          <w:tcPr>
            <w:tcW w:w="519" w:type="pct"/>
            <w:tcBorders>
              <w:top w:val="nil"/>
              <w:left w:val="nil"/>
              <w:bottom w:val="nil"/>
              <w:right w:val="nil"/>
            </w:tcBorders>
            <w:shd w:val="clear" w:color="auto" w:fill="auto"/>
            <w:noWrap/>
            <w:vAlign w:val="center"/>
            <w:hideMark/>
          </w:tcPr>
          <w:p w14:paraId="7399B334" w14:textId="77777777" w:rsidR="000C730F" w:rsidRPr="000C730F" w:rsidRDefault="000C730F" w:rsidP="000C730F">
            <w:pPr>
              <w:spacing w:before="0" w:after="0" w:line="240" w:lineRule="auto"/>
              <w:jc w:val="right"/>
              <w:rPr>
                <w:rFonts w:ascii="Times New Roman" w:hAnsi="Times New Roman"/>
                <w:sz w:val="20"/>
              </w:rPr>
            </w:pPr>
          </w:p>
        </w:tc>
      </w:tr>
      <w:tr w:rsidR="000C730F" w:rsidRPr="000C730F" w14:paraId="6E7F6C98" w14:textId="77777777" w:rsidTr="000C730F">
        <w:trPr>
          <w:divId w:val="1689521999"/>
          <w:trHeight w:hRule="exact" w:val="225"/>
        </w:trPr>
        <w:tc>
          <w:tcPr>
            <w:tcW w:w="2925" w:type="pct"/>
            <w:tcBorders>
              <w:top w:val="nil"/>
              <w:left w:val="nil"/>
              <w:bottom w:val="nil"/>
              <w:right w:val="nil"/>
            </w:tcBorders>
            <w:shd w:val="clear" w:color="auto" w:fill="auto"/>
            <w:vAlign w:val="center"/>
            <w:hideMark/>
          </w:tcPr>
          <w:p w14:paraId="4E251C0A" w14:textId="77777777" w:rsidR="000C730F" w:rsidRPr="000C730F" w:rsidRDefault="000C730F" w:rsidP="000C730F">
            <w:pPr>
              <w:spacing w:before="0" w:after="0" w:line="240" w:lineRule="auto"/>
              <w:rPr>
                <w:rFonts w:ascii="Arial" w:hAnsi="Arial" w:cs="Arial"/>
                <w:sz w:val="16"/>
                <w:szCs w:val="16"/>
              </w:rPr>
            </w:pPr>
            <w:r w:rsidRPr="000C730F">
              <w:rPr>
                <w:rFonts w:ascii="Arial" w:hAnsi="Arial" w:cs="Arial"/>
                <w:sz w:val="16"/>
                <w:szCs w:val="16"/>
              </w:rPr>
              <w:t>Cumulative receipts decisions</w:t>
            </w:r>
          </w:p>
        </w:tc>
        <w:tc>
          <w:tcPr>
            <w:tcW w:w="518" w:type="pct"/>
            <w:tcBorders>
              <w:top w:val="nil"/>
              <w:left w:val="nil"/>
              <w:bottom w:val="nil"/>
              <w:right w:val="nil"/>
            </w:tcBorders>
            <w:shd w:val="clear" w:color="000000" w:fill="FFFFFF"/>
            <w:noWrap/>
            <w:vAlign w:val="center"/>
            <w:hideMark/>
          </w:tcPr>
          <w:p w14:paraId="00B1870D" w14:textId="30946732" w:rsidR="000C730F" w:rsidRPr="000C730F" w:rsidRDefault="00B57616" w:rsidP="000C730F">
            <w:pPr>
              <w:spacing w:before="0" w:after="0" w:line="240" w:lineRule="auto"/>
              <w:jc w:val="right"/>
              <w:rPr>
                <w:rFonts w:ascii="Arial" w:hAnsi="Arial" w:cs="Arial"/>
                <w:sz w:val="16"/>
                <w:szCs w:val="16"/>
              </w:rPr>
            </w:pPr>
            <w:r>
              <w:rPr>
                <w:rFonts w:ascii="Arial" w:hAnsi="Arial" w:cs="Arial"/>
                <w:sz w:val="16"/>
                <w:szCs w:val="16"/>
              </w:rPr>
              <w:noBreakHyphen/>
            </w:r>
            <w:r w:rsidR="000C730F" w:rsidRPr="000C730F">
              <w:rPr>
                <w:rFonts w:ascii="Arial" w:hAnsi="Arial" w:cs="Arial"/>
                <w:sz w:val="16"/>
                <w:szCs w:val="16"/>
              </w:rPr>
              <w:t>0.1</w:t>
            </w:r>
          </w:p>
        </w:tc>
        <w:tc>
          <w:tcPr>
            <w:tcW w:w="519" w:type="pct"/>
            <w:tcBorders>
              <w:top w:val="nil"/>
              <w:left w:val="nil"/>
              <w:bottom w:val="nil"/>
              <w:right w:val="nil"/>
            </w:tcBorders>
            <w:shd w:val="clear" w:color="000000" w:fill="E6F2FF"/>
            <w:noWrap/>
            <w:vAlign w:val="center"/>
            <w:hideMark/>
          </w:tcPr>
          <w:p w14:paraId="3596A1EA" w14:textId="04B1C7CC" w:rsidR="000C730F" w:rsidRPr="000C730F" w:rsidRDefault="00B57616" w:rsidP="000C730F">
            <w:pPr>
              <w:spacing w:before="0" w:after="0" w:line="240" w:lineRule="auto"/>
              <w:jc w:val="right"/>
              <w:rPr>
                <w:rFonts w:ascii="Arial" w:hAnsi="Arial" w:cs="Arial"/>
                <w:sz w:val="16"/>
                <w:szCs w:val="16"/>
              </w:rPr>
            </w:pPr>
            <w:r>
              <w:rPr>
                <w:rFonts w:ascii="Arial" w:hAnsi="Arial" w:cs="Arial"/>
                <w:sz w:val="16"/>
                <w:szCs w:val="16"/>
              </w:rPr>
              <w:noBreakHyphen/>
            </w:r>
            <w:r w:rsidR="000C730F" w:rsidRPr="000C730F">
              <w:rPr>
                <w:rFonts w:ascii="Arial" w:hAnsi="Arial" w:cs="Arial"/>
                <w:sz w:val="16"/>
                <w:szCs w:val="16"/>
              </w:rPr>
              <w:t>2.4</w:t>
            </w:r>
          </w:p>
        </w:tc>
        <w:tc>
          <w:tcPr>
            <w:tcW w:w="519" w:type="pct"/>
            <w:tcBorders>
              <w:top w:val="nil"/>
              <w:left w:val="nil"/>
              <w:bottom w:val="nil"/>
              <w:right w:val="nil"/>
            </w:tcBorders>
            <w:shd w:val="clear" w:color="auto" w:fill="auto"/>
            <w:noWrap/>
            <w:vAlign w:val="center"/>
            <w:hideMark/>
          </w:tcPr>
          <w:p w14:paraId="6ECE5D95" w14:textId="4E715DF9" w:rsidR="000C730F" w:rsidRPr="000C730F" w:rsidRDefault="00B57616" w:rsidP="000C730F">
            <w:pPr>
              <w:spacing w:before="0" w:after="0" w:line="240" w:lineRule="auto"/>
              <w:jc w:val="right"/>
              <w:rPr>
                <w:rFonts w:ascii="Arial" w:hAnsi="Arial" w:cs="Arial"/>
                <w:sz w:val="16"/>
                <w:szCs w:val="16"/>
              </w:rPr>
            </w:pPr>
            <w:r>
              <w:rPr>
                <w:rFonts w:ascii="Arial" w:hAnsi="Arial" w:cs="Arial"/>
                <w:sz w:val="16"/>
                <w:szCs w:val="16"/>
              </w:rPr>
              <w:noBreakHyphen/>
            </w:r>
            <w:r w:rsidR="000C730F" w:rsidRPr="000C730F">
              <w:rPr>
                <w:rFonts w:ascii="Arial" w:hAnsi="Arial" w:cs="Arial"/>
                <w:sz w:val="16"/>
                <w:szCs w:val="16"/>
              </w:rPr>
              <w:t>1.4</w:t>
            </w:r>
          </w:p>
        </w:tc>
        <w:tc>
          <w:tcPr>
            <w:tcW w:w="519" w:type="pct"/>
            <w:tcBorders>
              <w:top w:val="nil"/>
              <w:left w:val="nil"/>
              <w:bottom w:val="nil"/>
              <w:right w:val="nil"/>
            </w:tcBorders>
            <w:shd w:val="clear" w:color="auto" w:fill="auto"/>
            <w:noWrap/>
            <w:vAlign w:val="center"/>
            <w:hideMark/>
          </w:tcPr>
          <w:p w14:paraId="7DE8FEAF" w14:textId="1D0CDBB2" w:rsidR="000C730F" w:rsidRPr="000C730F" w:rsidRDefault="00B57616" w:rsidP="000C730F">
            <w:pPr>
              <w:spacing w:before="0" w:after="0" w:line="240" w:lineRule="auto"/>
              <w:jc w:val="right"/>
              <w:rPr>
                <w:rFonts w:ascii="Arial" w:hAnsi="Arial" w:cs="Arial"/>
                <w:sz w:val="16"/>
                <w:szCs w:val="16"/>
              </w:rPr>
            </w:pPr>
            <w:r>
              <w:rPr>
                <w:rFonts w:ascii="Arial" w:hAnsi="Arial" w:cs="Arial"/>
                <w:sz w:val="16"/>
                <w:szCs w:val="16"/>
              </w:rPr>
              <w:noBreakHyphen/>
            </w:r>
            <w:r w:rsidR="000C730F" w:rsidRPr="000C730F">
              <w:rPr>
                <w:rFonts w:ascii="Arial" w:hAnsi="Arial" w:cs="Arial"/>
                <w:sz w:val="16"/>
                <w:szCs w:val="16"/>
              </w:rPr>
              <w:t>3.3</w:t>
            </w:r>
          </w:p>
        </w:tc>
      </w:tr>
      <w:tr w:rsidR="000C730F" w:rsidRPr="000C730F" w14:paraId="3EC2256A" w14:textId="77777777" w:rsidTr="000C730F">
        <w:trPr>
          <w:divId w:val="1689521999"/>
          <w:trHeight w:hRule="exact" w:val="225"/>
        </w:trPr>
        <w:tc>
          <w:tcPr>
            <w:tcW w:w="2925" w:type="pct"/>
            <w:tcBorders>
              <w:top w:val="nil"/>
              <w:left w:val="nil"/>
              <w:bottom w:val="nil"/>
              <w:right w:val="nil"/>
            </w:tcBorders>
            <w:shd w:val="clear" w:color="auto" w:fill="auto"/>
            <w:noWrap/>
            <w:vAlign w:val="center"/>
            <w:hideMark/>
          </w:tcPr>
          <w:p w14:paraId="2975E826" w14:textId="77777777" w:rsidR="000C730F" w:rsidRPr="000C730F" w:rsidRDefault="000C730F" w:rsidP="000C730F">
            <w:pPr>
              <w:spacing w:before="0" w:after="0" w:line="240" w:lineRule="auto"/>
              <w:rPr>
                <w:rFonts w:ascii="Arial" w:hAnsi="Arial" w:cs="Arial"/>
                <w:sz w:val="16"/>
                <w:szCs w:val="16"/>
              </w:rPr>
            </w:pPr>
            <w:r w:rsidRPr="000C730F">
              <w:rPr>
                <w:rFonts w:ascii="Arial" w:hAnsi="Arial" w:cs="Arial"/>
                <w:sz w:val="16"/>
                <w:szCs w:val="16"/>
              </w:rPr>
              <w:t>Cumulative receipts variations</w:t>
            </w:r>
          </w:p>
        </w:tc>
        <w:tc>
          <w:tcPr>
            <w:tcW w:w="518" w:type="pct"/>
            <w:tcBorders>
              <w:top w:val="nil"/>
              <w:left w:val="nil"/>
              <w:bottom w:val="nil"/>
              <w:right w:val="nil"/>
            </w:tcBorders>
            <w:shd w:val="clear" w:color="000000" w:fill="FFFFFF"/>
            <w:noWrap/>
            <w:vAlign w:val="center"/>
            <w:hideMark/>
          </w:tcPr>
          <w:p w14:paraId="2B57C70F" w14:textId="01F40EED" w:rsidR="000C730F" w:rsidRPr="000C730F" w:rsidRDefault="00B57616" w:rsidP="000C730F">
            <w:pPr>
              <w:spacing w:before="0" w:after="0" w:line="240" w:lineRule="auto"/>
              <w:jc w:val="right"/>
              <w:rPr>
                <w:rFonts w:ascii="Arial" w:hAnsi="Arial" w:cs="Arial"/>
                <w:sz w:val="16"/>
                <w:szCs w:val="16"/>
              </w:rPr>
            </w:pPr>
            <w:r>
              <w:rPr>
                <w:rFonts w:ascii="Arial" w:hAnsi="Arial" w:cs="Arial"/>
                <w:sz w:val="16"/>
                <w:szCs w:val="16"/>
              </w:rPr>
              <w:noBreakHyphen/>
            </w:r>
            <w:r w:rsidR="000C730F" w:rsidRPr="000C730F">
              <w:rPr>
                <w:rFonts w:ascii="Arial" w:hAnsi="Arial" w:cs="Arial"/>
                <w:sz w:val="16"/>
                <w:szCs w:val="16"/>
              </w:rPr>
              <w:t>6.9</w:t>
            </w:r>
          </w:p>
        </w:tc>
        <w:tc>
          <w:tcPr>
            <w:tcW w:w="519" w:type="pct"/>
            <w:tcBorders>
              <w:top w:val="nil"/>
              <w:left w:val="nil"/>
              <w:bottom w:val="nil"/>
              <w:right w:val="nil"/>
            </w:tcBorders>
            <w:shd w:val="clear" w:color="000000" w:fill="E6F2FF"/>
            <w:noWrap/>
            <w:vAlign w:val="center"/>
            <w:hideMark/>
          </w:tcPr>
          <w:p w14:paraId="617C4857" w14:textId="4E697F32" w:rsidR="000C730F" w:rsidRPr="000C730F" w:rsidRDefault="00B57616" w:rsidP="000C730F">
            <w:pPr>
              <w:spacing w:before="0" w:after="0" w:line="240" w:lineRule="auto"/>
              <w:jc w:val="right"/>
              <w:rPr>
                <w:rFonts w:ascii="Arial" w:hAnsi="Arial" w:cs="Arial"/>
                <w:sz w:val="16"/>
                <w:szCs w:val="16"/>
              </w:rPr>
            </w:pPr>
            <w:r>
              <w:rPr>
                <w:rFonts w:ascii="Arial" w:hAnsi="Arial" w:cs="Arial"/>
                <w:sz w:val="16"/>
                <w:szCs w:val="16"/>
              </w:rPr>
              <w:noBreakHyphen/>
            </w:r>
            <w:r w:rsidR="000C730F" w:rsidRPr="000C730F">
              <w:rPr>
                <w:rFonts w:ascii="Arial" w:hAnsi="Arial" w:cs="Arial"/>
                <w:sz w:val="16"/>
                <w:szCs w:val="16"/>
              </w:rPr>
              <w:t>12.4</w:t>
            </w:r>
          </w:p>
        </w:tc>
        <w:tc>
          <w:tcPr>
            <w:tcW w:w="519" w:type="pct"/>
            <w:tcBorders>
              <w:top w:val="nil"/>
              <w:left w:val="nil"/>
              <w:bottom w:val="nil"/>
              <w:right w:val="nil"/>
            </w:tcBorders>
            <w:shd w:val="clear" w:color="auto" w:fill="auto"/>
            <w:noWrap/>
            <w:vAlign w:val="center"/>
            <w:hideMark/>
          </w:tcPr>
          <w:p w14:paraId="77F00CCA" w14:textId="2A8B715D" w:rsidR="000C730F" w:rsidRPr="000C730F" w:rsidRDefault="00B57616" w:rsidP="000C730F">
            <w:pPr>
              <w:spacing w:before="0" w:after="0" w:line="240" w:lineRule="auto"/>
              <w:jc w:val="right"/>
              <w:rPr>
                <w:rFonts w:ascii="Arial" w:hAnsi="Arial" w:cs="Arial"/>
                <w:sz w:val="16"/>
                <w:szCs w:val="16"/>
              </w:rPr>
            </w:pPr>
            <w:r>
              <w:rPr>
                <w:rFonts w:ascii="Arial" w:hAnsi="Arial" w:cs="Arial"/>
                <w:sz w:val="16"/>
                <w:szCs w:val="16"/>
              </w:rPr>
              <w:noBreakHyphen/>
            </w:r>
            <w:r w:rsidR="000C730F" w:rsidRPr="000C730F">
              <w:rPr>
                <w:rFonts w:ascii="Arial" w:hAnsi="Arial" w:cs="Arial"/>
                <w:sz w:val="16"/>
                <w:szCs w:val="16"/>
              </w:rPr>
              <w:t>21.4</w:t>
            </w:r>
          </w:p>
        </w:tc>
        <w:tc>
          <w:tcPr>
            <w:tcW w:w="519" w:type="pct"/>
            <w:tcBorders>
              <w:top w:val="nil"/>
              <w:left w:val="nil"/>
              <w:bottom w:val="nil"/>
              <w:right w:val="nil"/>
            </w:tcBorders>
            <w:shd w:val="clear" w:color="auto" w:fill="auto"/>
            <w:noWrap/>
            <w:vAlign w:val="center"/>
            <w:hideMark/>
          </w:tcPr>
          <w:p w14:paraId="4F27A3C2" w14:textId="12011EF4" w:rsidR="000C730F" w:rsidRPr="000C730F" w:rsidRDefault="00B57616" w:rsidP="000C730F">
            <w:pPr>
              <w:spacing w:before="0" w:after="0" w:line="240" w:lineRule="auto"/>
              <w:jc w:val="right"/>
              <w:rPr>
                <w:rFonts w:ascii="Arial" w:hAnsi="Arial" w:cs="Arial"/>
                <w:sz w:val="16"/>
                <w:szCs w:val="16"/>
              </w:rPr>
            </w:pPr>
            <w:r>
              <w:rPr>
                <w:rFonts w:ascii="Arial" w:hAnsi="Arial" w:cs="Arial"/>
                <w:sz w:val="16"/>
                <w:szCs w:val="16"/>
              </w:rPr>
              <w:noBreakHyphen/>
            </w:r>
            <w:r w:rsidR="000C730F" w:rsidRPr="000C730F">
              <w:rPr>
                <w:rFonts w:ascii="Arial" w:hAnsi="Arial" w:cs="Arial"/>
                <w:sz w:val="16"/>
                <w:szCs w:val="16"/>
              </w:rPr>
              <w:t>24.1</w:t>
            </w:r>
          </w:p>
        </w:tc>
      </w:tr>
      <w:tr w:rsidR="000C730F" w:rsidRPr="000C730F" w14:paraId="64D72F59" w14:textId="77777777" w:rsidTr="000C730F">
        <w:trPr>
          <w:divId w:val="1689521999"/>
          <w:trHeight w:hRule="exact" w:val="225"/>
        </w:trPr>
        <w:tc>
          <w:tcPr>
            <w:tcW w:w="2925" w:type="pct"/>
            <w:tcBorders>
              <w:top w:val="nil"/>
              <w:left w:val="nil"/>
              <w:bottom w:val="nil"/>
              <w:right w:val="nil"/>
            </w:tcBorders>
            <w:shd w:val="clear" w:color="auto" w:fill="auto"/>
            <w:vAlign w:val="center"/>
            <w:hideMark/>
          </w:tcPr>
          <w:p w14:paraId="3922287A" w14:textId="77777777" w:rsidR="000C730F" w:rsidRPr="000C730F" w:rsidRDefault="000C730F" w:rsidP="000C730F">
            <w:pPr>
              <w:spacing w:before="0" w:after="0" w:line="240" w:lineRule="auto"/>
              <w:rPr>
                <w:rFonts w:ascii="Arial" w:hAnsi="Arial" w:cs="Arial"/>
                <w:sz w:val="16"/>
                <w:szCs w:val="16"/>
              </w:rPr>
            </w:pPr>
            <w:r w:rsidRPr="000C730F">
              <w:rPr>
                <w:rFonts w:ascii="Arial" w:hAnsi="Arial" w:cs="Arial"/>
                <w:sz w:val="16"/>
                <w:szCs w:val="16"/>
              </w:rPr>
              <w:t>Cumulative payment decisions</w:t>
            </w:r>
          </w:p>
        </w:tc>
        <w:tc>
          <w:tcPr>
            <w:tcW w:w="518" w:type="pct"/>
            <w:tcBorders>
              <w:top w:val="nil"/>
              <w:left w:val="nil"/>
              <w:bottom w:val="nil"/>
              <w:right w:val="nil"/>
            </w:tcBorders>
            <w:shd w:val="clear" w:color="000000" w:fill="FFFFFF"/>
            <w:noWrap/>
            <w:vAlign w:val="center"/>
            <w:hideMark/>
          </w:tcPr>
          <w:p w14:paraId="6E77A968"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0.3</w:t>
            </w:r>
          </w:p>
        </w:tc>
        <w:tc>
          <w:tcPr>
            <w:tcW w:w="519" w:type="pct"/>
            <w:tcBorders>
              <w:top w:val="nil"/>
              <w:left w:val="nil"/>
              <w:bottom w:val="nil"/>
              <w:right w:val="nil"/>
            </w:tcBorders>
            <w:shd w:val="clear" w:color="000000" w:fill="E6F2FF"/>
            <w:noWrap/>
            <w:vAlign w:val="center"/>
            <w:hideMark/>
          </w:tcPr>
          <w:p w14:paraId="7FAAF9DB"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12.0</w:t>
            </w:r>
          </w:p>
        </w:tc>
        <w:tc>
          <w:tcPr>
            <w:tcW w:w="519" w:type="pct"/>
            <w:tcBorders>
              <w:top w:val="nil"/>
              <w:left w:val="nil"/>
              <w:bottom w:val="nil"/>
              <w:right w:val="nil"/>
            </w:tcBorders>
            <w:shd w:val="clear" w:color="auto" w:fill="auto"/>
            <w:noWrap/>
            <w:vAlign w:val="center"/>
            <w:hideMark/>
          </w:tcPr>
          <w:p w14:paraId="5D404928"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21.3</w:t>
            </w:r>
          </w:p>
        </w:tc>
        <w:tc>
          <w:tcPr>
            <w:tcW w:w="519" w:type="pct"/>
            <w:tcBorders>
              <w:top w:val="nil"/>
              <w:left w:val="nil"/>
              <w:bottom w:val="nil"/>
              <w:right w:val="nil"/>
            </w:tcBorders>
            <w:shd w:val="clear" w:color="auto" w:fill="auto"/>
            <w:noWrap/>
            <w:vAlign w:val="center"/>
            <w:hideMark/>
          </w:tcPr>
          <w:p w14:paraId="06437474"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26.6</w:t>
            </w:r>
          </w:p>
        </w:tc>
      </w:tr>
      <w:tr w:rsidR="000C730F" w:rsidRPr="000C730F" w14:paraId="4AE99D68" w14:textId="77777777" w:rsidTr="000C730F">
        <w:trPr>
          <w:divId w:val="1689521999"/>
          <w:trHeight w:hRule="exact" w:val="225"/>
        </w:trPr>
        <w:tc>
          <w:tcPr>
            <w:tcW w:w="2925" w:type="pct"/>
            <w:tcBorders>
              <w:top w:val="nil"/>
              <w:left w:val="nil"/>
              <w:bottom w:val="nil"/>
              <w:right w:val="nil"/>
            </w:tcBorders>
            <w:shd w:val="clear" w:color="auto" w:fill="auto"/>
            <w:noWrap/>
            <w:vAlign w:val="center"/>
            <w:hideMark/>
          </w:tcPr>
          <w:p w14:paraId="2E4065CA" w14:textId="77777777" w:rsidR="000C730F" w:rsidRPr="000C730F" w:rsidRDefault="000C730F" w:rsidP="000C730F">
            <w:pPr>
              <w:spacing w:before="0" w:after="0" w:line="240" w:lineRule="auto"/>
              <w:rPr>
                <w:rFonts w:ascii="Arial" w:hAnsi="Arial" w:cs="Arial"/>
                <w:sz w:val="16"/>
                <w:szCs w:val="16"/>
              </w:rPr>
            </w:pPr>
            <w:r w:rsidRPr="000C730F">
              <w:rPr>
                <w:rFonts w:ascii="Arial" w:hAnsi="Arial" w:cs="Arial"/>
                <w:sz w:val="16"/>
                <w:szCs w:val="16"/>
              </w:rPr>
              <w:t>Cumulative payment variations</w:t>
            </w:r>
          </w:p>
        </w:tc>
        <w:tc>
          <w:tcPr>
            <w:tcW w:w="518" w:type="pct"/>
            <w:tcBorders>
              <w:top w:val="nil"/>
              <w:left w:val="nil"/>
              <w:bottom w:val="nil"/>
              <w:right w:val="nil"/>
            </w:tcBorders>
            <w:shd w:val="clear" w:color="000000" w:fill="FFFFFF"/>
            <w:noWrap/>
            <w:vAlign w:val="center"/>
            <w:hideMark/>
          </w:tcPr>
          <w:p w14:paraId="778DC4E8" w14:textId="24E1A964" w:rsidR="000C730F" w:rsidRPr="000C730F" w:rsidRDefault="00B57616" w:rsidP="000C730F">
            <w:pPr>
              <w:spacing w:before="0" w:after="0" w:line="240" w:lineRule="auto"/>
              <w:jc w:val="right"/>
              <w:rPr>
                <w:rFonts w:ascii="Arial" w:hAnsi="Arial" w:cs="Arial"/>
                <w:sz w:val="16"/>
                <w:szCs w:val="16"/>
              </w:rPr>
            </w:pPr>
            <w:r>
              <w:rPr>
                <w:rFonts w:ascii="Arial" w:hAnsi="Arial" w:cs="Arial"/>
                <w:sz w:val="16"/>
                <w:szCs w:val="16"/>
              </w:rPr>
              <w:noBreakHyphen/>
            </w:r>
            <w:r w:rsidR="000C730F" w:rsidRPr="000C730F">
              <w:rPr>
                <w:rFonts w:ascii="Arial" w:hAnsi="Arial" w:cs="Arial"/>
                <w:sz w:val="16"/>
                <w:szCs w:val="16"/>
              </w:rPr>
              <w:t>3.7</w:t>
            </w:r>
          </w:p>
        </w:tc>
        <w:tc>
          <w:tcPr>
            <w:tcW w:w="519" w:type="pct"/>
            <w:tcBorders>
              <w:top w:val="nil"/>
              <w:left w:val="nil"/>
              <w:bottom w:val="nil"/>
              <w:right w:val="nil"/>
            </w:tcBorders>
            <w:shd w:val="clear" w:color="000000" w:fill="E6F2FF"/>
            <w:noWrap/>
            <w:vAlign w:val="center"/>
            <w:hideMark/>
          </w:tcPr>
          <w:p w14:paraId="14C7DFE9"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1.7</w:t>
            </w:r>
          </w:p>
        </w:tc>
        <w:tc>
          <w:tcPr>
            <w:tcW w:w="519" w:type="pct"/>
            <w:tcBorders>
              <w:top w:val="nil"/>
              <w:left w:val="nil"/>
              <w:bottom w:val="nil"/>
              <w:right w:val="nil"/>
            </w:tcBorders>
            <w:shd w:val="clear" w:color="auto" w:fill="auto"/>
            <w:noWrap/>
            <w:vAlign w:val="center"/>
            <w:hideMark/>
          </w:tcPr>
          <w:p w14:paraId="52E5A936"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8.2</w:t>
            </w:r>
          </w:p>
        </w:tc>
        <w:tc>
          <w:tcPr>
            <w:tcW w:w="519" w:type="pct"/>
            <w:tcBorders>
              <w:top w:val="nil"/>
              <w:left w:val="nil"/>
              <w:bottom w:val="nil"/>
              <w:right w:val="nil"/>
            </w:tcBorders>
            <w:shd w:val="clear" w:color="auto" w:fill="auto"/>
            <w:noWrap/>
            <w:vAlign w:val="center"/>
            <w:hideMark/>
          </w:tcPr>
          <w:p w14:paraId="4F9965F7"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14.8</w:t>
            </w:r>
          </w:p>
        </w:tc>
      </w:tr>
      <w:tr w:rsidR="000C730F" w:rsidRPr="000C730F" w14:paraId="5FAB8349" w14:textId="77777777" w:rsidTr="000C730F">
        <w:trPr>
          <w:divId w:val="1689521999"/>
          <w:trHeight w:hRule="exact" w:val="225"/>
        </w:trPr>
        <w:tc>
          <w:tcPr>
            <w:tcW w:w="2925" w:type="pct"/>
            <w:tcBorders>
              <w:top w:val="nil"/>
              <w:left w:val="nil"/>
              <w:bottom w:val="nil"/>
              <w:right w:val="nil"/>
            </w:tcBorders>
            <w:shd w:val="clear" w:color="auto" w:fill="auto"/>
            <w:noWrap/>
            <w:vAlign w:val="center"/>
            <w:hideMark/>
          </w:tcPr>
          <w:p w14:paraId="7F486F1A" w14:textId="77777777" w:rsidR="000C730F" w:rsidRPr="000C730F" w:rsidRDefault="000C730F" w:rsidP="000C730F">
            <w:pPr>
              <w:spacing w:before="0" w:after="0" w:line="240" w:lineRule="auto"/>
              <w:rPr>
                <w:rFonts w:ascii="Arial" w:hAnsi="Arial" w:cs="Arial"/>
                <w:sz w:val="16"/>
                <w:szCs w:val="16"/>
              </w:rPr>
            </w:pPr>
            <w:r w:rsidRPr="000C730F">
              <w:rPr>
                <w:rFonts w:ascii="Arial" w:hAnsi="Arial" w:cs="Arial"/>
                <w:sz w:val="16"/>
                <w:szCs w:val="16"/>
              </w:rPr>
              <w:t>Cumulative change in net investments in financial assets(b)</w:t>
            </w:r>
          </w:p>
        </w:tc>
        <w:tc>
          <w:tcPr>
            <w:tcW w:w="518" w:type="pct"/>
            <w:tcBorders>
              <w:top w:val="nil"/>
              <w:left w:val="nil"/>
              <w:bottom w:val="nil"/>
              <w:right w:val="nil"/>
            </w:tcBorders>
            <w:shd w:val="clear" w:color="000000" w:fill="FFFFFF"/>
            <w:noWrap/>
            <w:vAlign w:val="center"/>
            <w:hideMark/>
          </w:tcPr>
          <w:p w14:paraId="18DB2DDC" w14:textId="383ABC95" w:rsidR="000C730F" w:rsidRPr="000C730F" w:rsidRDefault="00B57616" w:rsidP="000C730F">
            <w:pPr>
              <w:spacing w:before="0" w:after="0" w:line="240" w:lineRule="auto"/>
              <w:jc w:val="right"/>
              <w:rPr>
                <w:rFonts w:ascii="Arial" w:hAnsi="Arial" w:cs="Arial"/>
                <w:sz w:val="16"/>
                <w:szCs w:val="16"/>
              </w:rPr>
            </w:pPr>
            <w:r>
              <w:rPr>
                <w:rFonts w:ascii="Arial" w:hAnsi="Arial" w:cs="Arial"/>
                <w:sz w:val="16"/>
                <w:szCs w:val="16"/>
              </w:rPr>
              <w:noBreakHyphen/>
            </w:r>
            <w:r w:rsidR="000C730F" w:rsidRPr="000C730F">
              <w:rPr>
                <w:rFonts w:ascii="Arial" w:hAnsi="Arial" w:cs="Arial"/>
                <w:sz w:val="16"/>
                <w:szCs w:val="16"/>
              </w:rPr>
              <w:t>2.7</w:t>
            </w:r>
          </w:p>
        </w:tc>
        <w:tc>
          <w:tcPr>
            <w:tcW w:w="519" w:type="pct"/>
            <w:tcBorders>
              <w:top w:val="nil"/>
              <w:left w:val="nil"/>
              <w:bottom w:val="nil"/>
              <w:right w:val="nil"/>
            </w:tcBorders>
            <w:shd w:val="clear" w:color="000000" w:fill="E6F2FF"/>
            <w:noWrap/>
            <w:vAlign w:val="center"/>
            <w:hideMark/>
          </w:tcPr>
          <w:p w14:paraId="2B7B1CAD"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2.1</w:t>
            </w:r>
          </w:p>
        </w:tc>
        <w:tc>
          <w:tcPr>
            <w:tcW w:w="519" w:type="pct"/>
            <w:tcBorders>
              <w:top w:val="nil"/>
              <w:left w:val="nil"/>
              <w:bottom w:val="nil"/>
              <w:right w:val="nil"/>
            </w:tcBorders>
            <w:shd w:val="clear" w:color="auto" w:fill="auto"/>
            <w:noWrap/>
            <w:vAlign w:val="center"/>
            <w:hideMark/>
          </w:tcPr>
          <w:p w14:paraId="2D07E4D4"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6.5</w:t>
            </w:r>
          </w:p>
        </w:tc>
        <w:tc>
          <w:tcPr>
            <w:tcW w:w="519" w:type="pct"/>
            <w:tcBorders>
              <w:top w:val="nil"/>
              <w:left w:val="nil"/>
              <w:bottom w:val="nil"/>
              <w:right w:val="nil"/>
            </w:tcBorders>
            <w:shd w:val="clear" w:color="auto" w:fill="auto"/>
            <w:noWrap/>
            <w:vAlign w:val="center"/>
            <w:hideMark/>
          </w:tcPr>
          <w:p w14:paraId="22E25389"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11.6</w:t>
            </w:r>
          </w:p>
        </w:tc>
      </w:tr>
      <w:tr w:rsidR="000C730F" w:rsidRPr="000C730F" w14:paraId="77233E67" w14:textId="77777777" w:rsidTr="000C730F">
        <w:trPr>
          <w:divId w:val="1689521999"/>
          <w:trHeight w:hRule="exact" w:val="255"/>
        </w:trPr>
        <w:tc>
          <w:tcPr>
            <w:tcW w:w="2925" w:type="pct"/>
            <w:tcBorders>
              <w:top w:val="nil"/>
              <w:left w:val="nil"/>
              <w:bottom w:val="nil"/>
              <w:right w:val="nil"/>
            </w:tcBorders>
            <w:shd w:val="clear" w:color="auto" w:fill="auto"/>
            <w:noWrap/>
            <w:vAlign w:val="center"/>
            <w:hideMark/>
          </w:tcPr>
          <w:p w14:paraId="51D88386" w14:textId="77777777" w:rsidR="000C730F" w:rsidRPr="000C730F" w:rsidRDefault="000C730F" w:rsidP="000C730F">
            <w:pPr>
              <w:spacing w:before="0" w:after="0" w:line="240" w:lineRule="auto"/>
              <w:rPr>
                <w:rFonts w:ascii="Arial" w:hAnsi="Arial" w:cs="Arial"/>
                <w:sz w:val="16"/>
                <w:szCs w:val="16"/>
              </w:rPr>
            </w:pPr>
            <w:r w:rsidRPr="000C730F">
              <w:rPr>
                <w:rFonts w:ascii="Arial" w:hAnsi="Arial" w:cs="Arial"/>
                <w:sz w:val="16"/>
                <w:szCs w:val="16"/>
              </w:rPr>
              <w:t>Other contributors</w:t>
            </w:r>
          </w:p>
        </w:tc>
        <w:tc>
          <w:tcPr>
            <w:tcW w:w="518" w:type="pct"/>
            <w:tcBorders>
              <w:top w:val="nil"/>
              <w:left w:val="nil"/>
              <w:bottom w:val="nil"/>
              <w:right w:val="nil"/>
            </w:tcBorders>
            <w:shd w:val="clear" w:color="000000" w:fill="FFFFFF"/>
            <w:noWrap/>
            <w:vAlign w:val="center"/>
            <w:hideMark/>
          </w:tcPr>
          <w:p w14:paraId="7A3A9D1E"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8.1</w:t>
            </w:r>
          </w:p>
        </w:tc>
        <w:tc>
          <w:tcPr>
            <w:tcW w:w="519" w:type="pct"/>
            <w:tcBorders>
              <w:top w:val="nil"/>
              <w:left w:val="nil"/>
              <w:bottom w:val="nil"/>
              <w:right w:val="nil"/>
            </w:tcBorders>
            <w:shd w:val="clear" w:color="000000" w:fill="E6F2FF"/>
            <w:noWrap/>
            <w:vAlign w:val="center"/>
            <w:hideMark/>
          </w:tcPr>
          <w:p w14:paraId="35AA8840" w14:textId="773A9785" w:rsidR="000C730F" w:rsidRPr="000C730F" w:rsidRDefault="00B57616" w:rsidP="000C730F">
            <w:pPr>
              <w:spacing w:before="0" w:after="0" w:line="240" w:lineRule="auto"/>
              <w:jc w:val="right"/>
              <w:rPr>
                <w:rFonts w:ascii="Arial" w:hAnsi="Arial" w:cs="Arial"/>
                <w:sz w:val="16"/>
                <w:szCs w:val="16"/>
              </w:rPr>
            </w:pPr>
            <w:r>
              <w:rPr>
                <w:rFonts w:ascii="Arial" w:hAnsi="Arial" w:cs="Arial"/>
                <w:sz w:val="16"/>
                <w:szCs w:val="16"/>
              </w:rPr>
              <w:noBreakHyphen/>
            </w:r>
            <w:r w:rsidR="000C730F" w:rsidRPr="000C730F">
              <w:rPr>
                <w:rFonts w:ascii="Arial" w:hAnsi="Arial" w:cs="Arial"/>
                <w:sz w:val="16"/>
                <w:szCs w:val="16"/>
              </w:rPr>
              <w:t>1.1</w:t>
            </w:r>
          </w:p>
        </w:tc>
        <w:tc>
          <w:tcPr>
            <w:tcW w:w="519" w:type="pct"/>
            <w:tcBorders>
              <w:top w:val="nil"/>
              <w:left w:val="nil"/>
              <w:bottom w:val="nil"/>
              <w:right w:val="nil"/>
            </w:tcBorders>
            <w:shd w:val="clear" w:color="auto" w:fill="auto"/>
            <w:noWrap/>
            <w:vAlign w:val="center"/>
            <w:hideMark/>
          </w:tcPr>
          <w:p w14:paraId="6A39DEEE" w14:textId="5E2C446A" w:rsidR="000C730F" w:rsidRPr="000C730F" w:rsidRDefault="00B57616" w:rsidP="000C730F">
            <w:pPr>
              <w:spacing w:before="0" w:after="0" w:line="240" w:lineRule="auto"/>
              <w:jc w:val="right"/>
              <w:rPr>
                <w:rFonts w:ascii="Arial" w:hAnsi="Arial" w:cs="Arial"/>
                <w:sz w:val="16"/>
                <w:szCs w:val="16"/>
              </w:rPr>
            </w:pPr>
            <w:r>
              <w:rPr>
                <w:rFonts w:ascii="Arial" w:hAnsi="Arial" w:cs="Arial"/>
                <w:sz w:val="16"/>
                <w:szCs w:val="16"/>
              </w:rPr>
              <w:noBreakHyphen/>
            </w:r>
            <w:r w:rsidR="000C730F" w:rsidRPr="000C730F">
              <w:rPr>
                <w:rFonts w:ascii="Arial" w:hAnsi="Arial" w:cs="Arial"/>
                <w:sz w:val="16"/>
                <w:szCs w:val="16"/>
              </w:rPr>
              <w:t>13.2</w:t>
            </w:r>
          </w:p>
        </w:tc>
        <w:tc>
          <w:tcPr>
            <w:tcW w:w="519" w:type="pct"/>
            <w:tcBorders>
              <w:top w:val="nil"/>
              <w:left w:val="nil"/>
              <w:bottom w:val="nil"/>
              <w:right w:val="nil"/>
            </w:tcBorders>
            <w:shd w:val="clear" w:color="auto" w:fill="auto"/>
            <w:noWrap/>
            <w:vAlign w:val="center"/>
            <w:hideMark/>
          </w:tcPr>
          <w:p w14:paraId="492A4EF1" w14:textId="13EEF1EE" w:rsidR="000C730F" w:rsidRPr="000C730F" w:rsidRDefault="00B57616" w:rsidP="000C730F">
            <w:pPr>
              <w:spacing w:before="0" w:after="0" w:line="240" w:lineRule="auto"/>
              <w:jc w:val="right"/>
              <w:rPr>
                <w:rFonts w:ascii="Arial" w:hAnsi="Arial" w:cs="Arial"/>
                <w:sz w:val="16"/>
                <w:szCs w:val="16"/>
              </w:rPr>
            </w:pPr>
            <w:r>
              <w:rPr>
                <w:rFonts w:ascii="Arial" w:hAnsi="Arial" w:cs="Arial"/>
                <w:sz w:val="16"/>
                <w:szCs w:val="16"/>
              </w:rPr>
              <w:noBreakHyphen/>
            </w:r>
            <w:r w:rsidR="000C730F" w:rsidRPr="000C730F">
              <w:rPr>
                <w:rFonts w:ascii="Arial" w:hAnsi="Arial" w:cs="Arial"/>
                <w:sz w:val="16"/>
                <w:szCs w:val="16"/>
              </w:rPr>
              <w:t>20.0</w:t>
            </w:r>
          </w:p>
        </w:tc>
      </w:tr>
      <w:tr w:rsidR="000C730F" w:rsidRPr="000C730F" w14:paraId="23B33AA4" w14:textId="77777777" w:rsidTr="000C730F">
        <w:trPr>
          <w:divId w:val="1689521999"/>
          <w:trHeight w:hRule="exact" w:val="180"/>
        </w:trPr>
        <w:tc>
          <w:tcPr>
            <w:tcW w:w="2925" w:type="pct"/>
            <w:tcBorders>
              <w:top w:val="nil"/>
              <w:left w:val="nil"/>
              <w:bottom w:val="nil"/>
              <w:right w:val="nil"/>
            </w:tcBorders>
            <w:shd w:val="clear" w:color="auto" w:fill="auto"/>
            <w:noWrap/>
            <w:vAlign w:val="center"/>
            <w:hideMark/>
          </w:tcPr>
          <w:p w14:paraId="1E1DE0DE" w14:textId="77777777" w:rsidR="000C730F" w:rsidRPr="000C730F" w:rsidRDefault="000C730F" w:rsidP="000C730F">
            <w:pPr>
              <w:spacing w:before="0" w:after="0" w:line="240" w:lineRule="auto"/>
              <w:jc w:val="right"/>
              <w:rPr>
                <w:rFonts w:ascii="Arial" w:hAnsi="Arial" w:cs="Arial"/>
                <w:sz w:val="16"/>
                <w:szCs w:val="16"/>
              </w:rPr>
            </w:pPr>
          </w:p>
        </w:tc>
        <w:tc>
          <w:tcPr>
            <w:tcW w:w="518" w:type="pct"/>
            <w:tcBorders>
              <w:top w:val="nil"/>
              <w:left w:val="nil"/>
              <w:bottom w:val="nil"/>
              <w:right w:val="nil"/>
            </w:tcBorders>
            <w:shd w:val="clear" w:color="000000" w:fill="FFFFFF"/>
            <w:noWrap/>
            <w:vAlign w:val="center"/>
            <w:hideMark/>
          </w:tcPr>
          <w:p w14:paraId="7B486A67"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 </w:t>
            </w:r>
          </w:p>
        </w:tc>
        <w:tc>
          <w:tcPr>
            <w:tcW w:w="519" w:type="pct"/>
            <w:tcBorders>
              <w:top w:val="nil"/>
              <w:left w:val="nil"/>
              <w:bottom w:val="nil"/>
              <w:right w:val="nil"/>
            </w:tcBorders>
            <w:shd w:val="clear" w:color="000000" w:fill="E6F2FF"/>
            <w:noWrap/>
            <w:vAlign w:val="center"/>
            <w:hideMark/>
          </w:tcPr>
          <w:p w14:paraId="2426F5BE" w14:textId="77777777" w:rsidR="000C730F" w:rsidRPr="000C730F" w:rsidRDefault="000C730F" w:rsidP="000C730F">
            <w:pPr>
              <w:spacing w:before="0" w:after="0" w:line="240" w:lineRule="auto"/>
              <w:jc w:val="right"/>
              <w:rPr>
                <w:rFonts w:ascii="Arial" w:hAnsi="Arial" w:cs="Arial"/>
                <w:sz w:val="16"/>
                <w:szCs w:val="16"/>
              </w:rPr>
            </w:pPr>
            <w:r w:rsidRPr="000C730F">
              <w:rPr>
                <w:rFonts w:ascii="Arial" w:hAnsi="Arial" w:cs="Arial"/>
                <w:sz w:val="16"/>
                <w:szCs w:val="16"/>
              </w:rPr>
              <w:t> </w:t>
            </w:r>
          </w:p>
        </w:tc>
        <w:tc>
          <w:tcPr>
            <w:tcW w:w="519" w:type="pct"/>
            <w:tcBorders>
              <w:top w:val="nil"/>
              <w:left w:val="nil"/>
              <w:bottom w:val="nil"/>
              <w:right w:val="nil"/>
            </w:tcBorders>
            <w:shd w:val="clear" w:color="auto" w:fill="auto"/>
            <w:noWrap/>
            <w:vAlign w:val="center"/>
            <w:hideMark/>
          </w:tcPr>
          <w:p w14:paraId="05AE4B79" w14:textId="77777777" w:rsidR="000C730F" w:rsidRPr="000C730F" w:rsidRDefault="000C730F" w:rsidP="000C730F">
            <w:pPr>
              <w:spacing w:before="0" w:after="0" w:line="240" w:lineRule="auto"/>
              <w:jc w:val="right"/>
              <w:rPr>
                <w:rFonts w:ascii="Arial" w:hAnsi="Arial" w:cs="Arial"/>
                <w:sz w:val="16"/>
                <w:szCs w:val="16"/>
              </w:rPr>
            </w:pPr>
          </w:p>
        </w:tc>
        <w:tc>
          <w:tcPr>
            <w:tcW w:w="519" w:type="pct"/>
            <w:tcBorders>
              <w:top w:val="nil"/>
              <w:left w:val="nil"/>
              <w:bottom w:val="nil"/>
              <w:right w:val="nil"/>
            </w:tcBorders>
            <w:shd w:val="clear" w:color="auto" w:fill="auto"/>
            <w:noWrap/>
            <w:vAlign w:val="center"/>
            <w:hideMark/>
          </w:tcPr>
          <w:p w14:paraId="0A922572" w14:textId="77777777" w:rsidR="000C730F" w:rsidRPr="000C730F" w:rsidRDefault="000C730F" w:rsidP="000C730F">
            <w:pPr>
              <w:spacing w:before="0" w:after="0" w:line="240" w:lineRule="auto"/>
              <w:jc w:val="right"/>
              <w:rPr>
                <w:rFonts w:ascii="Times New Roman" w:hAnsi="Times New Roman"/>
                <w:sz w:val="20"/>
              </w:rPr>
            </w:pPr>
          </w:p>
        </w:tc>
      </w:tr>
      <w:tr w:rsidR="000C730F" w:rsidRPr="000C730F" w14:paraId="59A0710E" w14:textId="77777777" w:rsidTr="000C730F">
        <w:trPr>
          <w:divId w:val="1689521999"/>
          <w:trHeight w:hRule="exact" w:val="450"/>
        </w:trPr>
        <w:tc>
          <w:tcPr>
            <w:tcW w:w="2925" w:type="pct"/>
            <w:tcBorders>
              <w:top w:val="nil"/>
              <w:left w:val="nil"/>
              <w:bottom w:val="single" w:sz="4" w:space="0" w:color="293F5B"/>
              <w:right w:val="nil"/>
            </w:tcBorders>
            <w:shd w:val="clear" w:color="auto" w:fill="auto"/>
            <w:vAlign w:val="center"/>
            <w:hideMark/>
          </w:tcPr>
          <w:p w14:paraId="2DDD7035" w14:textId="708514E0" w:rsidR="000C730F" w:rsidRPr="000C730F" w:rsidRDefault="000C730F" w:rsidP="000C730F">
            <w:pPr>
              <w:spacing w:before="0" w:after="0" w:line="240" w:lineRule="auto"/>
              <w:rPr>
                <w:rFonts w:ascii="Arial" w:hAnsi="Arial" w:cs="Arial"/>
                <w:b/>
                <w:bCs/>
                <w:sz w:val="16"/>
                <w:szCs w:val="16"/>
              </w:rPr>
            </w:pPr>
            <w:r w:rsidRPr="000C730F">
              <w:rPr>
                <w:rFonts w:ascii="Arial" w:hAnsi="Arial" w:cs="Arial"/>
                <w:b/>
                <w:bCs/>
                <w:sz w:val="16"/>
                <w:szCs w:val="16"/>
              </w:rPr>
              <w:t>Total face value of AGS on issue subject to the Treasurer</w:t>
            </w:r>
            <w:r w:rsidR="00B57616">
              <w:rPr>
                <w:rFonts w:ascii="Arial" w:hAnsi="Arial" w:cs="Arial"/>
                <w:b/>
                <w:bCs/>
                <w:sz w:val="16"/>
                <w:szCs w:val="16"/>
              </w:rPr>
              <w:t>’</w:t>
            </w:r>
            <w:r w:rsidRPr="000C730F">
              <w:rPr>
                <w:rFonts w:ascii="Arial" w:hAnsi="Arial" w:cs="Arial"/>
                <w:b/>
                <w:bCs/>
                <w:sz w:val="16"/>
                <w:szCs w:val="16"/>
              </w:rPr>
              <w:t>s Direction as at 2024</w:t>
            </w:r>
            <w:r w:rsidR="00B57616">
              <w:rPr>
                <w:rFonts w:ascii="Arial" w:hAnsi="Arial" w:cs="Arial"/>
                <w:b/>
                <w:bCs/>
                <w:sz w:val="16"/>
                <w:szCs w:val="16"/>
              </w:rPr>
              <w:noBreakHyphen/>
            </w:r>
            <w:r w:rsidRPr="000C730F">
              <w:rPr>
                <w:rFonts w:ascii="Arial" w:hAnsi="Arial" w:cs="Arial"/>
                <w:b/>
                <w:bCs/>
                <w:sz w:val="16"/>
                <w:szCs w:val="16"/>
              </w:rPr>
              <w:t>25 Budget</w:t>
            </w:r>
          </w:p>
        </w:tc>
        <w:tc>
          <w:tcPr>
            <w:tcW w:w="518" w:type="pct"/>
            <w:tcBorders>
              <w:top w:val="single" w:sz="4" w:space="0" w:color="293F5B"/>
              <w:left w:val="nil"/>
              <w:bottom w:val="single" w:sz="4" w:space="0" w:color="293F5B"/>
              <w:right w:val="nil"/>
            </w:tcBorders>
            <w:shd w:val="clear" w:color="000000" w:fill="FFFFFF"/>
            <w:noWrap/>
            <w:vAlign w:val="bottom"/>
            <w:hideMark/>
          </w:tcPr>
          <w:p w14:paraId="232677CC" w14:textId="77777777" w:rsidR="000C730F" w:rsidRPr="000C730F" w:rsidRDefault="000C730F" w:rsidP="000C730F">
            <w:pPr>
              <w:spacing w:before="0" w:after="0" w:line="240" w:lineRule="auto"/>
              <w:jc w:val="right"/>
              <w:rPr>
                <w:rFonts w:ascii="Arial" w:hAnsi="Arial" w:cs="Arial"/>
                <w:b/>
                <w:bCs/>
                <w:sz w:val="16"/>
                <w:szCs w:val="16"/>
              </w:rPr>
            </w:pPr>
            <w:r w:rsidRPr="000C730F">
              <w:rPr>
                <w:rFonts w:ascii="Arial" w:hAnsi="Arial" w:cs="Arial"/>
                <w:b/>
                <w:bCs/>
                <w:sz w:val="16"/>
                <w:szCs w:val="16"/>
              </w:rPr>
              <w:t>904</w:t>
            </w:r>
          </w:p>
        </w:tc>
        <w:tc>
          <w:tcPr>
            <w:tcW w:w="519" w:type="pct"/>
            <w:tcBorders>
              <w:top w:val="single" w:sz="4" w:space="0" w:color="293F5B"/>
              <w:left w:val="nil"/>
              <w:bottom w:val="single" w:sz="4" w:space="0" w:color="293F5B"/>
              <w:right w:val="nil"/>
            </w:tcBorders>
            <w:shd w:val="clear" w:color="000000" w:fill="E6F2FF"/>
            <w:noWrap/>
            <w:vAlign w:val="bottom"/>
            <w:hideMark/>
          </w:tcPr>
          <w:p w14:paraId="15CE9F15" w14:textId="77777777" w:rsidR="000C730F" w:rsidRPr="000C730F" w:rsidRDefault="000C730F" w:rsidP="000C730F">
            <w:pPr>
              <w:spacing w:before="0" w:after="0" w:line="240" w:lineRule="auto"/>
              <w:jc w:val="right"/>
              <w:rPr>
                <w:rFonts w:ascii="Arial" w:hAnsi="Arial" w:cs="Arial"/>
                <w:b/>
                <w:bCs/>
                <w:sz w:val="16"/>
                <w:szCs w:val="16"/>
              </w:rPr>
            </w:pPr>
            <w:r w:rsidRPr="000C730F">
              <w:rPr>
                <w:rFonts w:ascii="Arial" w:hAnsi="Arial" w:cs="Arial"/>
                <w:b/>
                <w:bCs/>
                <w:sz w:val="16"/>
                <w:szCs w:val="16"/>
              </w:rPr>
              <w:t xml:space="preserve">         934 </w:t>
            </w:r>
          </w:p>
        </w:tc>
        <w:tc>
          <w:tcPr>
            <w:tcW w:w="519" w:type="pct"/>
            <w:tcBorders>
              <w:top w:val="single" w:sz="4" w:space="0" w:color="293F5B"/>
              <w:left w:val="nil"/>
              <w:bottom w:val="single" w:sz="4" w:space="0" w:color="293F5B"/>
              <w:right w:val="nil"/>
            </w:tcBorders>
            <w:shd w:val="clear" w:color="auto" w:fill="auto"/>
            <w:noWrap/>
            <w:vAlign w:val="bottom"/>
            <w:hideMark/>
          </w:tcPr>
          <w:p w14:paraId="32B9B788" w14:textId="77777777" w:rsidR="000C730F" w:rsidRPr="000C730F" w:rsidRDefault="000C730F" w:rsidP="000C730F">
            <w:pPr>
              <w:spacing w:before="0" w:after="0" w:line="240" w:lineRule="auto"/>
              <w:jc w:val="right"/>
              <w:rPr>
                <w:rFonts w:ascii="Arial" w:hAnsi="Arial" w:cs="Arial"/>
                <w:b/>
                <w:bCs/>
                <w:sz w:val="16"/>
                <w:szCs w:val="16"/>
              </w:rPr>
            </w:pPr>
            <w:r w:rsidRPr="000C730F">
              <w:rPr>
                <w:rFonts w:ascii="Arial" w:hAnsi="Arial" w:cs="Arial"/>
                <w:b/>
                <w:bCs/>
                <w:sz w:val="16"/>
                <w:szCs w:val="16"/>
              </w:rPr>
              <w:t xml:space="preserve">         1,007 </w:t>
            </w:r>
          </w:p>
        </w:tc>
        <w:tc>
          <w:tcPr>
            <w:tcW w:w="519" w:type="pct"/>
            <w:tcBorders>
              <w:top w:val="single" w:sz="4" w:space="0" w:color="293F5B"/>
              <w:left w:val="nil"/>
              <w:bottom w:val="single" w:sz="4" w:space="0" w:color="293F5B"/>
              <w:right w:val="nil"/>
            </w:tcBorders>
            <w:shd w:val="clear" w:color="auto" w:fill="auto"/>
            <w:noWrap/>
            <w:vAlign w:val="bottom"/>
            <w:hideMark/>
          </w:tcPr>
          <w:p w14:paraId="19C29A26" w14:textId="77777777" w:rsidR="000C730F" w:rsidRPr="000C730F" w:rsidRDefault="000C730F" w:rsidP="000C730F">
            <w:pPr>
              <w:spacing w:before="0" w:after="0" w:line="240" w:lineRule="auto"/>
              <w:jc w:val="right"/>
              <w:rPr>
                <w:rFonts w:ascii="Arial" w:hAnsi="Arial" w:cs="Arial"/>
                <w:b/>
                <w:bCs/>
                <w:sz w:val="16"/>
                <w:szCs w:val="16"/>
              </w:rPr>
            </w:pPr>
            <w:r w:rsidRPr="000C730F">
              <w:rPr>
                <w:rFonts w:ascii="Arial" w:hAnsi="Arial" w:cs="Arial"/>
                <w:b/>
                <w:bCs/>
                <w:sz w:val="16"/>
                <w:szCs w:val="16"/>
              </w:rPr>
              <w:t xml:space="preserve">         1,064 </w:t>
            </w:r>
          </w:p>
        </w:tc>
      </w:tr>
    </w:tbl>
    <w:p w14:paraId="0121CBBD" w14:textId="3EA1D8CF" w:rsidR="001A4F7E" w:rsidRPr="004C05FA" w:rsidRDefault="001A4F7E" w:rsidP="00D5401C">
      <w:pPr>
        <w:pStyle w:val="ChartandTableFootnoteAlpha"/>
        <w:rPr>
          <w:color w:val="auto"/>
        </w:rPr>
      </w:pPr>
      <w:r w:rsidRPr="004C05FA">
        <w:rPr>
          <w:color w:val="auto"/>
        </w:rPr>
        <w:t>Cumulative impact of decisions and variations from 202</w:t>
      </w:r>
      <w:r w:rsidR="00BE4663" w:rsidRPr="004C05FA">
        <w:rPr>
          <w:color w:val="auto"/>
        </w:rPr>
        <w:t>3</w:t>
      </w:r>
      <w:r w:rsidRPr="004C05FA">
        <w:rPr>
          <w:color w:val="auto"/>
        </w:rPr>
        <w:t>–2</w:t>
      </w:r>
      <w:r w:rsidR="00BE4663" w:rsidRPr="004C05FA">
        <w:rPr>
          <w:color w:val="auto"/>
        </w:rPr>
        <w:t>4</w:t>
      </w:r>
      <w:r w:rsidRPr="004C05FA">
        <w:rPr>
          <w:color w:val="auto"/>
        </w:rPr>
        <w:t xml:space="preserve"> to 202</w:t>
      </w:r>
      <w:r w:rsidR="0021265D" w:rsidRPr="004C05FA">
        <w:rPr>
          <w:color w:val="auto"/>
        </w:rPr>
        <w:t>6</w:t>
      </w:r>
      <w:r w:rsidRPr="004C05FA">
        <w:rPr>
          <w:color w:val="auto"/>
        </w:rPr>
        <w:t>–2</w:t>
      </w:r>
      <w:r w:rsidR="0021265D" w:rsidRPr="004C05FA">
        <w:rPr>
          <w:color w:val="auto"/>
        </w:rPr>
        <w:t>7</w:t>
      </w:r>
      <w:r w:rsidRPr="004C05FA">
        <w:rPr>
          <w:color w:val="auto"/>
        </w:rPr>
        <w:t>. Increases to payments are shown as</w:t>
      </w:r>
      <w:r w:rsidRPr="004C05FA" w:rsidDel="000562B3">
        <w:rPr>
          <w:color w:val="auto"/>
        </w:rPr>
        <w:t xml:space="preserve"> </w:t>
      </w:r>
      <w:r w:rsidRPr="004C05FA">
        <w:rPr>
          <w:color w:val="auto"/>
        </w:rPr>
        <w:t xml:space="preserve">positive and increases to receipts are shown as negative. </w:t>
      </w:r>
    </w:p>
    <w:p w14:paraId="0891D519" w14:textId="42091E2F" w:rsidR="001A4F7E" w:rsidRPr="0098325D" w:rsidRDefault="001A4F7E" w:rsidP="001A4F7E">
      <w:pPr>
        <w:pStyle w:val="ChartandTableFootnoteAlpha"/>
        <w:rPr>
          <w:color w:val="auto"/>
        </w:rPr>
      </w:pPr>
      <w:r w:rsidRPr="0098325D">
        <w:rPr>
          <w:color w:val="auto"/>
        </w:rPr>
        <w:t>Change in net cash flows from investments in financial assets for policy purposes only.</w:t>
      </w:r>
    </w:p>
    <w:p w14:paraId="5DA8E5D7" w14:textId="5E02B22B" w:rsidR="001A4F7E" w:rsidRPr="00997919" w:rsidRDefault="001A4F7E" w:rsidP="00997919">
      <w:pPr>
        <w:pStyle w:val="ChartandTableFootnote"/>
      </w:pPr>
      <w:r w:rsidRPr="0098325D">
        <w:t>Note:</w:t>
      </w:r>
      <w:r w:rsidRPr="0098325D">
        <w:tab/>
        <w:t>End</w:t>
      </w:r>
      <w:r w:rsidR="00B57616">
        <w:noBreakHyphen/>
      </w:r>
      <w:r w:rsidRPr="0098325D">
        <w:t>of</w:t>
      </w:r>
      <w:r w:rsidR="00B57616">
        <w:noBreakHyphen/>
      </w:r>
      <w:r w:rsidRPr="0098325D">
        <w:t>year data.</w:t>
      </w:r>
    </w:p>
    <w:p w14:paraId="33865291" w14:textId="77777777" w:rsidR="001A4F7E" w:rsidRPr="0098325D" w:rsidRDefault="001A4F7E" w:rsidP="001A4F7E">
      <w:pPr>
        <w:pStyle w:val="ChartLine"/>
      </w:pPr>
      <w:bookmarkStart w:id="6" w:name="_Toc67660282"/>
      <w:bookmarkStart w:id="7" w:name="_Toc98531930"/>
      <w:bookmarkStart w:id="8" w:name="_Toc117337745"/>
    </w:p>
    <w:p w14:paraId="431A6496" w14:textId="4BF407AB" w:rsidR="001A4F7E" w:rsidRPr="0098325D" w:rsidRDefault="001A4F7E" w:rsidP="00396838">
      <w:pPr>
        <w:pStyle w:val="Heading3"/>
      </w:pPr>
      <w:bookmarkStart w:id="9" w:name="_Toc166355899"/>
      <w:r w:rsidRPr="0098325D">
        <w:t>Breakdown of AGS currently on issue</w:t>
      </w:r>
      <w:bookmarkEnd w:id="6"/>
      <w:bookmarkEnd w:id="7"/>
      <w:bookmarkEnd w:id="8"/>
      <w:bookmarkEnd w:id="9"/>
    </w:p>
    <w:p w14:paraId="66919526" w14:textId="4773D6ED" w:rsidR="001A4F7E" w:rsidRPr="00DA4572" w:rsidRDefault="001A4F7E" w:rsidP="001A4F7E">
      <w:bookmarkStart w:id="10" w:name="_1709802672"/>
      <w:bookmarkStart w:id="11" w:name="_1709802789"/>
      <w:bookmarkStart w:id="12" w:name="_1709753362"/>
      <w:bookmarkStart w:id="13" w:name="_1709753404"/>
      <w:bookmarkStart w:id="14" w:name="_1709748751"/>
      <w:bookmarkStart w:id="15" w:name="_1709731638"/>
      <w:bookmarkStart w:id="16" w:name="_1709721044"/>
      <w:bookmarkStart w:id="17" w:name="_1709801993"/>
      <w:bookmarkEnd w:id="10"/>
      <w:bookmarkEnd w:id="11"/>
      <w:bookmarkEnd w:id="12"/>
      <w:bookmarkEnd w:id="13"/>
      <w:bookmarkEnd w:id="14"/>
      <w:bookmarkEnd w:id="15"/>
      <w:bookmarkEnd w:id="16"/>
      <w:bookmarkEnd w:id="17"/>
      <w:r w:rsidRPr="004C05FA">
        <w:t xml:space="preserve">Table 7.3 provides a breakdown of the AGS on issue by type of security as at </w:t>
      </w:r>
      <w:r w:rsidR="00C14B8C" w:rsidRPr="004C05FA">
        <w:t>2 May 2024</w:t>
      </w:r>
      <w:r w:rsidRPr="00DA4572">
        <w:t xml:space="preserve">. </w:t>
      </w:r>
    </w:p>
    <w:p w14:paraId="0A21ADF7" w14:textId="6CF2EE03" w:rsidR="00B60A89" w:rsidRPr="00B60A89" w:rsidRDefault="001A4F7E" w:rsidP="00B60A89">
      <w:pPr>
        <w:pStyle w:val="TableHeading"/>
      </w:pPr>
      <w:r w:rsidRPr="004C05FA">
        <w:t>Table 7.3: Breakdown of current Australian Government Securities on issue</w:t>
      </w:r>
    </w:p>
    <w:tbl>
      <w:tblPr>
        <w:tblW w:w="5000" w:type="pct"/>
        <w:tblCellMar>
          <w:left w:w="0" w:type="dxa"/>
          <w:right w:w="28" w:type="dxa"/>
        </w:tblCellMar>
        <w:tblLook w:val="04A0" w:firstRow="1" w:lastRow="0" w:firstColumn="1" w:lastColumn="0" w:noHBand="0" w:noVBand="1"/>
      </w:tblPr>
      <w:tblGrid>
        <w:gridCol w:w="4236"/>
        <w:gridCol w:w="1605"/>
        <w:gridCol w:w="1869"/>
      </w:tblGrid>
      <w:tr w:rsidR="00B60A89" w:rsidRPr="00B60A89" w14:paraId="046CEEAA" w14:textId="77777777" w:rsidTr="0079376E">
        <w:trPr>
          <w:trHeight w:hRule="exact" w:val="225"/>
        </w:trPr>
        <w:tc>
          <w:tcPr>
            <w:tcW w:w="2747" w:type="pct"/>
            <w:tcBorders>
              <w:top w:val="single" w:sz="4" w:space="0" w:color="293F5B"/>
              <w:left w:val="nil"/>
              <w:bottom w:val="nil"/>
              <w:right w:val="nil"/>
            </w:tcBorders>
            <w:shd w:val="clear" w:color="auto" w:fill="auto"/>
            <w:noWrap/>
            <w:vAlign w:val="center"/>
            <w:hideMark/>
          </w:tcPr>
          <w:p w14:paraId="35A30115" w14:textId="516AD2B1" w:rsidR="00B60A89" w:rsidRPr="00B60A89" w:rsidRDefault="00B60A89" w:rsidP="00B60A89">
            <w:pPr>
              <w:spacing w:before="0" w:after="0"/>
              <w:rPr>
                <w:rFonts w:ascii="Arial" w:hAnsi="Arial" w:cs="Arial"/>
                <w:sz w:val="16"/>
                <w:szCs w:val="16"/>
              </w:rPr>
            </w:pPr>
            <w:r w:rsidRPr="00B60A89">
              <w:rPr>
                <w:rFonts w:ascii="Arial" w:hAnsi="Arial" w:cs="Arial"/>
                <w:sz w:val="16"/>
                <w:szCs w:val="16"/>
              </w:rPr>
              <w:t> </w:t>
            </w:r>
          </w:p>
        </w:tc>
        <w:tc>
          <w:tcPr>
            <w:tcW w:w="2253" w:type="pct"/>
            <w:gridSpan w:val="2"/>
            <w:tcBorders>
              <w:top w:val="single" w:sz="4" w:space="0" w:color="293F5B"/>
              <w:left w:val="nil"/>
              <w:bottom w:val="nil"/>
              <w:right w:val="nil"/>
            </w:tcBorders>
            <w:shd w:val="clear" w:color="auto" w:fill="auto"/>
            <w:noWrap/>
            <w:vAlign w:val="center"/>
            <w:hideMark/>
          </w:tcPr>
          <w:p w14:paraId="496D629D" w14:textId="77777777" w:rsidR="00B60A89" w:rsidRPr="00B60A89" w:rsidRDefault="00B60A89" w:rsidP="00B60A89">
            <w:pPr>
              <w:spacing w:before="0" w:after="0" w:line="240" w:lineRule="auto"/>
              <w:jc w:val="center"/>
              <w:rPr>
                <w:rFonts w:ascii="Arial" w:hAnsi="Arial" w:cs="Arial"/>
                <w:sz w:val="16"/>
                <w:szCs w:val="16"/>
              </w:rPr>
            </w:pPr>
            <w:r w:rsidRPr="00B60A89">
              <w:rPr>
                <w:rFonts w:ascii="Arial" w:hAnsi="Arial" w:cs="Arial"/>
                <w:sz w:val="16"/>
                <w:szCs w:val="16"/>
              </w:rPr>
              <w:t>On issue as at 2 May 2024</w:t>
            </w:r>
          </w:p>
        </w:tc>
      </w:tr>
      <w:tr w:rsidR="00B60A89" w:rsidRPr="00B60A89" w14:paraId="29D41E6E" w14:textId="77777777" w:rsidTr="0079376E">
        <w:trPr>
          <w:trHeight w:hRule="exact" w:val="225"/>
        </w:trPr>
        <w:tc>
          <w:tcPr>
            <w:tcW w:w="2747" w:type="pct"/>
            <w:tcBorders>
              <w:top w:val="nil"/>
              <w:left w:val="nil"/>
              <w:bottom w:val="nil"/>
              <w:right w:val="nil"/>
            </w:tcBorders>
            <w:shd w:val="clear" w:color="auto" w:fill="auto"/>
            <w:noWrap/>
            <w:vAlign w:val="center"/>
            <w:hideMark/>
          </w:tcPr>
          <w:p w14:paraId="620CAA20" w14:textId="77777777" w:rsidR="00B60A89" w:rsidRPr="00B60A89" w:rsidRDefault="00B60A89" w:rsidP="00B60A89">
            <w:pPr>
              <w:spacing w:before="0" w:after="0" w:line="240" w:lineRule="auto"/>
              <w:jc w:val="center"/>
              <w:rPr>
                <w:rFonts w:ascii="Arial" w:hAnsi="Arial" w:cs="Arial"/>
                <w:sz w:val="16"/>
                <w:szCs w:val="16"/>
              </w:rPr>
            </w:pPr>
          </w:p>
        </w:tc>
        <w:tc>
          <w:tcPr>
            <w:tcW w:w="1041" w:type="pct"/>
            <w:tcBorders>
              <w:top w:val="single" w:sz="4" w:space="0" w:color="293F5B"/>
              <w:left w:val="nil"/>
              <w:bottom w:val="nil"/>
              <w:right w:val="nil"/>
            </w:tcBorders>
            <w:shd w:val="clear" w:color="auto" w:fill="auto"/>
            <w:noWrap/>
            <w:vAlign w:val="center"/>
            <w:hideMark/>
          </w:tcPr>
          <w:p w14:paraId="1AE77A93" w14:textId="77777777" w:rsidR="00B60A89" w:rsidRPr="00B60A89" w:rsidRDefault="00B60A89" w:rsidP="00B60A89">
            <w:pPr>
              <w:spacing w:before="0" w:after="0" w:line="240" w:lineRule="auto"/>
              <w:jc w:val="right"/>
              <w:rPr>
                <w:rFonts w:ascii="Arial" w:hAnsi="Arial" w:cs="Arial"/>
                <w:sz w:val="16"/>
                <w:szCs w:val="16"/>
              </w:rPr>
            </w:pPr>
            <w:r w:rsidRPr="00B60A89">
              <w:rPr>
                <w:rFonts w:ascii="Arial" w:hAnsi="Arial" w:cs="Arial"/>
                <w:sz w:val="16"/>
                <w:szCs w:val="16"/>
              </w:rPr>
              <w:t>Face value</w:t>
            </w:r>
          </w:p>
        </w:tc>
        <w:tc>
          <w:tcPr>
            <w:tcW w:w="1212" w:type="pct"/>
            <w:tcBorders>
              <w:top w:val="single" w:sz="4" w:space="0" w:color="293F5B"/>
              <w:left w:val="nil"/>
              <w:bottom w:val="nil"/>
              <w:right w:val="nil"/>
            </w:tcBorders>
            <w:shd w:val="clear" w:color="auto" w:fill="auto"/>
            <w:noWrap/>
            <w:vAlign w:val="center"/>
            <w:hideMark/>
          </w:tcPr>
          <w:p w14:paraId="3D5610ED" w14:textId="77777777" w:rsidR="00B60A89" w:rsidRPr="00B60A89" w:rsidRDefault="00B60A89" w:rsidP="00B60A89">
            <w:pPr>
              <w:spacing w:before="0" w:after="0" w:line="240" w:lineRule="auto"/>
              <w:jc w:val="right"/>
              <w:rPr>
                <w:rFonts w:ascii="Arial" w:hAnsi="Arial" w:cs="Arial"/>
                <w:sz w:val="16"/>
                <w:szCs w:val="16"/>
              </w:rPr>
            </w:pPr>
            <w:r w:rsidRPr="00B60A89">
              <w:rPr>
                <w:rFonts w:ascii="Arial" w:hAnsi="Arial" w:cs="Arial"/>
                <w:sz w:val="16"/>
                <w:szCs w:val="16"/>
              </w:rPr>
              <w:t>Market value</w:t>
            </w:r>
          </w:p>
        </w:tc>
      </w:tr>
      <w:tr w:rsidR="00B60A89" w:rsidRPr="00B60A89" w14:paraId="7EFB3A40" w14:textId="77777777" w:rsidTr="0079376E">
        <w:trPr>
          <w:trHeight w:hRule="exact" w:val="225"/>
        </w:trPr>
        <w:tc>
          <w:tcPr>
            <w:tcW w:w="2747" w:type="pct"/>
            <w:tcBorders>
              <w:top w:val="nil"/>
              <w:left w:val="nil"/>
              <w:bottom w:val="nil"/>
              <w:right w:val="nil"/>
            </w:tcBorders>
            <w:shd w:val="clear" w:color="auto" w:fill="auto"/>
            <w:noWrap/>
            <w:vAlign w:val="center"/>
            <w:hideMark/>
          </w:tcPr>
          <w:p w14:paraId="49A01CA1" w14:textId="77777777" w:rsidR="00B60A89" w:rsidRPr="00B60A89" w:rsidRDefault="00B60A89" w:rsidP="00B60A89">
            <w:pPr>
              <w:spacing w:before="0" w:after="0" w:line="240" w:lineRule="auto"/>
              <w:jc w:val="right"/>
              <w:rPr>
                <w:rFonts w:ascii="Arial" w:hAnsi="Arial" w:cs="Arial"/>
                <w:sz w:val="16"/>
                <w:szCs w:val="16"/>
              </w:rPr>
            </w:pPr>
          </w:p>
        </w:tc>
        <w:tc>
          <w:tcPr>
            <w:tcW w:w="1041" w:type="pct"/>
            <w:tcBorders>
              <w:top w:val="nil"/>
              <w:left w:val="nil"/>
              <w:bottom w:val="single" w:sz="4" w:space="0" w:color="293F5B"/>
              <w:right w:val="nil"/>
            </w:tcBorders>
            <w:shd w:val="clear" w:color="auto" w:fill="auto"/>
            <w:noWrap/>
            <w:vAlign w:val="center"/>
            <w:hideMark/>
          </w:tcPr>
          <w:p w14:paraId="1E772EF2" w14:textId="77777777" w:rsidR="00B60A89" w:rsidRPr="00B60A89" w:rsidRDefault="00B60A89" w:rsidP="00B60A89">
            <w:pPr>
              <w:spacing w:before="0" w:after="0" w:line="240" w:lineRule="auto"/>
              <w:jc w:val="right"/>
              <w:rPr>
                <w:rFonts w:ascii="Arial" w:hAnsi="Arial" w:cs="Arial"/>
                <w:sz w:val="16"/>
                <w:szCs w:val="16"/>
              </w:rPr>
            </w:pPr>
            <w:r w:rsidRPr="00B60A89">
              <w:rPr>
                <w:rFonts w:ascii="Arial" w:hAnsi="Arial" w:cs="Arial"/>
                <w:sz w:val="16"/>
                <w:szCs w:val="16"/>
              </w:rPr>
              <w:t>$m</w:t>
            </w:r>
          </w:p>
        </w:tc>
        <w:tc>
          <w:tcPr>
            <w:tcW w:w="1212" w:type="pct"/>
            <w:tcBorders>
              <w:top w:val="nil"/>
              <w:left w:val="nil"/>
              <w:bottom w:val="single" w:sz="4" w:space="0" w:color="293F5B"/>
              <w:right w:val="nil"/>
            </w:tcBorders>
            <w:shd w:val="clear" w:color="auto" w:fill="auto"/>
            <w:noWrap/>
            <w:vAlign w:val="center"/>
            <w:hideMark/>
          </w:tcPr>
          <w:p w14:paraId="5D50C750" w14:textId="77777777" w:rsidR="00B60A89" w:rsidRPr="00B60A89" w:rsidRDefault="00B60A89" w:rsidP="00B60A89">
            <w:pPr>
              <w:spacing w:before="0" w:after="0" w:line="240" w:lineRule="auto"/>
              <w:jc w:val="right"/>
              <w:rPr>
                <w:rFonts w:ascii="Arial" w:hAnsi="Arial" w:cs="Arial"/>
                <w:sz w:val="16"/>
                <w:szCs w:val="16"/>
              </w:rPr>
            </w:pPr>
            <w:r w:rsidRPr="00B60A89">
              <w:rPr>
                <w:rFonts w:ascii="Arial" w:hAnsi="Arial" w:cs="Arial"/>
                <w:sz w:val="16"/>
                <w:szCs w:val="16"/>
              </w:rPr>
              <w:t>$m</w:t>
            </w:r>
          </w:p>
        </w:tc>
      </w:tr>
      <w:tr w:rsidR="00B60A89" w:rsidRPr="00B60A89" w14:paraId="06D6C21B" w14:textId="77777777" w:rsidTr="0079376E">
        <w:trPr>
          <w:trHeight w:hRule="exact" w:val="225"/>
        </w:trPr>
        <w:tc>
          <w:tcPr>
            <w:tcW w:w="2747" w:type="pct"/>
            <w:tcBorders>
              <w:top w:val="nil"/>
              <w:left w:val="nil"/>
              <w:bottom w:val="nil"/>
              <w:right w:val="nil"/>
            </w:tcBorders>
            <w:shd w:val="clear" w:color="auto" w:fill="auto"/>
            <w:noWrap/>
            <w:vAlign w:val="center"/>
            <w:hideMark/>
          </w:tcPr>
          <w:p w14:paraId="06F6A290" w14:textId="77777777" w:rsidR="00B60A89" w:rsidRPr="00B60A89" w:rsidRDefault="00B60A89" w:rsidP="00B60A89">
            <w:pPr>
              <w:spacing w:before="0" w:after="0" w:line="240" w:lineRule="auto"/>
              <w:rPr>
                <w:rFonts w:ascii="Arial" w:hAnsi="Arial" w:cs="Arial"/>
                <w:sz w:val="16"/>
                <w:szCs w:val="16"/>
              </w:rPr>
            </w:pPr>
            <w:r w:rsidRPr="00B60A89">
              <w:rPr>
                <w:rFonts w:ascii="Arial" w:hAnsi="Arial" w:cs="Arial"/>
                <w:sz w:val="16"/>
                <w:szCs w:val="16"/>
              </w:rPr>
              <w:t>Treasury Bonds</w:t>
            </w:r>
          </w:p>
        </w:tc>
        <w:tc>
          <w:tcPr>
            <w:tcW w:w="1041" w:type="pct"/>
            <w:tcBorders>
              <w:top w:val="nil"/>
              <w:left w:val="nil"/>
              <w:bottom w:val="nil"/>
              <w:right w:val="nil"/>
            </w:tcBorders>
            <w:shd w:val="clear" w:color="auto" w:fill="auto"/>
            <w:noWrap/>
            <w:vAlign w:val="center"/>
            <w:hideMark/>
          </w:tcPr>
          <w:p w14:paraId="3EC724C9" w14:textId="77777777" w:rsidR="00B60A89" w:rsidRPr="00B60A89" w:rsidRDefault="00B60A89" w:rsidP="00B60A89">
            <w:pPr>
              <w:spacing w:before="0" w:after="0" w:line="240" w:lineRule="auto"/>
              <w:jc w:val="right"/>
              <w:rPr>
                <w:rFonts w:ascii="Arial" w:hAnsi="Arial" w:cs="Arial"/>
                <w:sz w:val="16"/>
                <w:szCs w:val="16"/>
              </w:rPr>
            </w:pPr>
            <w:r w:rsidRPr="00B60A89">
              <w:rPr>
                <w:rFonts w:ascii="Arial" w:hAnsi="Arial" w:cs="Arial"/>
                <w:sz w:val="16"/>
                <w:szCs w:val="16"/>
              </w:rPr>
              <w:t>823,849</w:t>
            </w:r>
          </w:p>
        </w:tc>
        <w:tc>
          <w:tcPr>
            <w:tcW w:w="1212" w:type="pct"/>
            <w:tcBorders>
              <w:top w:val="nil"/>
              <w:left w:val="nil"/>
              <w:bottom w:val="nil"/>
              <w:right w:val="nil"/>
            </w:tcBorders>
            <w:shd w:val="clear" w:color="auto" w:fill="auto"/>
            <w:noWrap/>
            <w:vAlign w:val="center"/>
            <w:hideMark/>
          </w:tcPr>
          <w:p w14:paraId="78DB0EE1" w14:textId="77777777" w:rsidR="00B60A89" w:rsidRPr="00B60A89" w:rsidRDefault="00B60A89" w:rsidP="00B60A89">
            <w:pPr>
              <w:spacing w:before="0" w:after="0" w:line="240" w:lineRule="auto"/>
              <w:jc w:val="right"/>
              <w:rPr>
                <w:rFonts w:ascii="Arial" w:hAnsi="Arial" w:cs="Arial"/>
                <w:sz w:val="16"/>
                <w:szCs w:val="16"/>
              </w:rPr>
            </w:pPr>
            <w:r w:rsidRPr="00B60A89">
              <w:rPr>
                <w:rFonts w:ascii="Arial" w:hAnsi="Arial" w:cs="Arial"/>
                <w:sz w:val="16"/>
                <w:szCs w:val="16"/>
              </w:rPr>
              <w:t>748,718</w:t>
            </w:r>
          </w:p>
        </w:tc>
      </w:tr>
      <w:tr w:rsidR="00B60A89" w:rsidRPr="00B60A89" w14:paraId="5D35CB5A" w14:textId="77777777" w:rsidTr="0079376E">
        <w:trPr>
          <w:trHeight w:hRule="exact" w:val="225"/>
        </w:trPr>
        <w:tc>
          <w:tcPr>
            <w:tcW w:w="2747" w:type="pct"/>
            <w:tcBorders>
              <w:top w:val="nil"/>
              <w:left w:val="nil"/>
              <w:bottom w:val="nil"/>
              <w:right w:val="nil"/>
            </w:tcBorders>
            <w:shd w:val="clear" w:color="auto" w:fill="auto"/>
            <w:noWrap/>
            <w:vAlign w:val="center"/>
            <w:hideMark/>
          </w:tcPr>
          <w:p w14:paraId="77E13CBA" w14:textId="77777777" w:rsidR="00B60A89" w:rsidRPr="00B60A89" w:rsidRDefault="00B60A89" w:rsidP="00B60A89">
            <w:pPr>
              <w:spacing w:before="0" w:after="0" w:line="240" w:lineRule="auto"/>
              <w:rPr>
                <w:rFonts w:ascii="Arial" w:hAnsi="Arial" w:cs="Arial"/>
                <w:sz w:val="16"/>
                <w:szCs w:val="16"/>
              </w:rPr>
            </w:pPr>
            <w:r w:rsidRPr="00B60A89">
              <w:rPr>
                <w:rFonts w:ascii="Arial" w:hAnsi="Arial" w:cs="Arial"/>
                <w:sz w:val="16"/>
                <w:szCs w:val="16"/>
              </w:rPr>
              <w:t>Treasury Indexed Bonds</w:t>
            </w:r>
          </w:p>
        </w:tc>
        <w:tc>
          <w:tcPr>
            <w:tcW w:w="1041" w:type="pct"/>
            <w:tcBorders>
              <w:top w:val="nil"/>
              <w:left w:val="nil"/>
              <w:bottom w:val="nil"/>
              <w:right w:val="nil"/>
            </w:tcBorders>
            <w:shd w:val="clear" w:color="auto" w:fill="auto"/>
            <w:noWrap/>
            <w:vAlign w:val="center"/>
            <w:hideMark/>
          </w:tcPr>
          <w:p w14:paraId="16E3B13F" w14:textId="77777777" w:rsidR="00B60A89" w:rsidRPr="00B60A89" w:rsidRDefault="00B60A89" w:rsidP="00B60A89">
            <w:pPr>
              <w:spacing w:before="0" w:after="0" w:line="240" w:lineRule="auto"/>
              <w:jc w:val="right"/>
              <w:rPr>
                <w:rFonts w:ascii="Arial" w:hAnsi="Arial" w:cs="Arial"/>
                <w:sz w:val="16"/>
                <w:szCs w:val="16"/>
              </w:rPr>
            </w:pPr>
            <w:r w:rsidRPr="00B60A89">
              <w:rPr>
                <w:rFonts w:ascii="Arial" w:hAnsi="Arial" w:cs="Arial"/>
                <w:sz w:val="16"/>
                <w:szCs w:val="16"/>
              </w:rPr>
              <w:t>40,435</w:t>
            </w:r>
          </w:p>
        </w:tc>
        <w:tc>
          <w:tcPr>
            <w:tcW w:w="1212" w:type="pct"/>
            <w:tcBorders>
              <w:top w:val="nil"/>
              <w:left w:val="nil"/>
              <w:bottom w:val="nil"/>
              <w:right w:val="nil"/>
            </w:tcBorders>
            <w:shd w:val="clear" w:color="auto" w:fill="auto"/>
            <w:noWrap/>
            <w:vAlign w:val="center"/>
            <w:hideMark/>
          </w:tcPr>
          <w:p w14:paraId="38137329" w14:textId="77777777" w:rsidR="00B60A89" w:rsidRPr="00B60A89" w:rsidRDefault="00B60A89" w:rsidP="00B60A89">
            <w:pPr>
              <w:spacing w:before="0" w:after="0" w:line="240" w:lineRule="auto"/>
              <w:jc w:val="right"/>
              <w:rPr>
                <w:rFonts w:ascii="Arial" w:hAnsi="Arial" w:cs="Arial"/>
                <w:sz w:val="16"/>
                <w:szCs w:val="16"/>
              </w:rPr>
            </w:pPr>
            <w:r w:rsidRPr="00B60A89">
              <w:rPr>
                <w:rFonts w:ascii="Arial" w:hAnsi="Arial" w:cs="Arial"/>
                <w:sz w:val="16"/>
                <w:szCs w:val="16"/>
              </w:rPr>
              <w:t>50,922</w:t>
            </w:r>
          </w:p>
        </w:tc>
      </w:tr>
      <w:tr w:rsidR="00B60A89" w:rsidRPr="00B60A89" w14:paraId="026879DC" w14:textId="77777777" w:rsidTr="0079376E">
        <w:trPr>
          <w:trHeight w:hRule="exact" w:val="225"/>
        </w:trPr>
        <w:tc>
          <w:tcPr>
            <w:tcW w:w="2747" w:type="pct"/>
            <w:tcBorders>
              <w:top w:val="nil"/>
              <w:left w:val="nil"/>
              <w:bottom w:val="nil"/>
              <w:right w:val="nil"/>
            </w:tcBorders>
            <w:shd w:val="clear" w:color="auto" w:fill="auto"/>
            <w:noWrap/>
            <w:vAlign w:val="center"/>
            <w:hideMark/>
          </w:tcPr>
          <w:p w14:paraId="73C72544" w14:textId="77777777" w:rsidR="00B60A89" w:rsidRPr="00B60A89" w:rsidRDefault="00B60A89" w:rsidP="00B60A89">
            <w:pPr>
              <w:spacing w:before="0" w:after="0" w:line="240" w:lineRule="auto"/>
              <w:rPr>
                <w:rFonts w:ascii="Arial" w:hAnsi="Arial" w:cs="Arial"/>
                <w:sz w:val="16"/>
                <w:szCs w:val="16"/>
              </w:rPr>
            </w:pPr>
            <w:r w:rsidRPr="00B60A89">
              <w:rPr>
                <w:rFonts w:ascii="Arial" w:hAnsi="Arial" w:cs="Arial"/>
                <w:sz w:val="16"/>
                <w:szCs w:val="16"/>
              </w:rPr>
              <w:t>Treasury Notes</w:t>
            </w:r>
          </w:p>
        </w:tc>
        <w:tc>
          <w:tcPr>
            <w:tcW w:w="1041" w:type="pct"/>
            <w:tcBorders>
              <w:top w:val="nil"/>
              <w:left w:val="nil"/>
              <w:bottom w:val="nil"/>
              <w:right w:val="nil"/>
            </w:tcBorders>
            <w:shd w:val="clear" w:color="auto" w:fill="auto"/>
            <w:noWrap/>
            <w:vAlign w:val="center"/>
            <w:hideMark/>
          </w:tcPr>
          <w:p w14:paraId="39ED9F49" w14:textId="77777777" w:rsidR="00B60A89" w:rsidRPr="00B60A89" w:rsidRDefault="00B60A89" w:rsidP="00B60A89">
            <w:pPr>
              <w:spacing w:before="0" w:after="0" w:line="240" w:lineRule="auto"/>
              <w:jc w:val="right"/>
              <w:rPr>
                <w:rFonts w:ascii="Arial" w:hAnsi="Arial" w:cs="Arial"/>
                <w:sz w:val="16"/>
                <w:szCs w:val="16"/>
              </w:rPr>
            </w:pPr>
            <w:r w:rsidRPr="00B60A89">
              <w:rPr>
                <w:rFonts w:ascii="Arial" w:hAnsi="Arial" w:cs="Arial"/>
                <w:sz w:val="16"/>
                <w:szCs w:val="16"/>
              </w:rPr>
              <w:t>30,000</w:t>
            </w:r>
          </w:p>
        </w:tc>
        <w:tc>
          <w:tcPr>
            <w:tcW w:w="1212" w:type="pct"/>
            <w:tcBorders>
              <w:top w:val="nil"/>
              <w:left w:val="nil"/>
              <w:bottom w:val="nil"/>
              <w:right w:val="nil"/>
            </w:tcBorders>
            <w:shd w:val="clear" w:color="auto" w:fill="auto"/>
            <w:noWrap/>
            <w:vAlign w:val="center"/>
            <w:hideMark/>
          </w:tcPr>
          <w:p w14:paraId="6C04777A" w14:textId="77777777" w:rsidR="00B60A89" w:rsidRPr="00B60A89" w:rsidRDefault="00B60A89" w:rsidP="00B60A89">
            <w:pPr>
              <w:spacing w:before="0" w:after="0" w:line="240" w:lineRule="auto"/>
              <w:jc w:val="right"/>
              <w:rPr>
                <w:rFonts w:ascii="Arial" w:hAnsi="Arial" w:cs="Arial"/>
                <w:sz w:val="16"/>
                <w:szCs w:val="16"/>
              </w:rPr>
            </w:pPr>
            <w:r w:rsidRPr="00B60A89">
              <w:rPr>
                <w:rFonts w:ascii="Arial" w:hAnsi="Arial" w:cs="Arial"/>
                <w:sz w:val="16"/>
                <w:szCs w:val="16"/>
              </w:rPr>
              <w:t>29,817</w:t>
            </w:r>
          </w:p>
        </w:tc>
      </w:tr>
      <w:tr w:rsidR="00B60A89" w:rsidRPr="00B60A89" w14:paraId="1B540B12" w14:textId="77777777" w:rsidTr="0079376E">
        <w:trPr>
          <w:trHeight w:hRule="exact" w:val="225"/>
        </w:trPr>
        <w:tc>
          <w:tcPr>
            <w:tcW w:w="2747" w:type="pct"/>
            <w:tcBorders>
              <w:top w:val="nil"/>
              <w:left w:val="nil"/>
              <w:bottom w:val="nil"/>
              <w:right w:val="nil"/>
            </w:tcBorders>
            <w:shd w:val="clear" w:color="auto" w:fill="auto"/>
            <w:noWrap/>
            <w:vAlign w:val="center"/>
            <w:hideMark/>
          </w:tcPr>
          <w:p w14:paraId="7D17AE2E" w14:textId="64D50E8D" w:rsidR="00B60A89" w:rsidRPr="00B60A89" w:rsidRDefault="00B60A89" w:rsidP="00B60A89">
            <w:pPr>
              <w:spacing w:before="0" w:after="0" w:line="240" w:lineRule="auto"/>
              <w:rPr>
                <w:rFonts w:ascii="Arial" w:hAnsi="Arial" w:cs="Arial"/>
                <w:b/>
                <w:bCs/>
                <w:sz w:val="16"/>
                <w:szCs w:val="16"/>
              </w:rPr>
            </w:pPr>
            <w:r w:rsidRPr="00B60A89">
              <w:rPr>
                <w:rFonts w:ascii="Arial" w:hAnsi="Arial" w:cs="Arial"/>
                <w:b/>
                <w:bCs/>
                <w:sz w:val="16"/>
                <w:szCs w:val="16"/>
              </w:rPr>
              <w:t>Total AGS subject to Treasurer</w:t>
            </w:r>
            <w:r w:rsidR="00B57616">
              <w:rPr>
                <w:rFonts w:ascii="Arial" w:hAnsi="Arial" w:cs="Arial"/>
                <w:b/>
                <w:bCs/>
                <w:sz w:val="16"/>
                <w:szCs w:val="16"/>
              </w:rPr>
              <w:t>’</w:t>
            </w:r>
            <w:r w:rsidRPr="00B60A89">
              <w:rPr>
                <w:rFonts w:ascii="Arial" w:hAnsi="Arial" w:cs="Arial"/>
                <w:b/>
                <w:bCs/>
                <w:sz w:val="16"/>
                <w:szCs w:val="16"/>
              </w:rPr>
              <w:t>s Direction</w:t>
            </w:r>
            <w:r w:rsidR="00E10E67">
              <w:rPr>
                <w:rFonts w:ascii="Arial" w:hAnsi="Arial" w:cs="Arial"/>
                <w:b/>
                <w:bCs/>
                <w:sz w:val="16"/>
                <w:szCs w:val="16"/>
              </w:rPr>
              <w:t xml:space="preserve"> </w:t>
            </w:r>
            <w:r w:rsidRPr="00B60A89">
              <w:rPr>
                <w:rFonts w:ascii="Arial" w:hAnsi="Arial" w:cs="Arial"/>
                <w:b/>
                <w:bCs/>
                <w:sz w:val="16"/>
                <w:szCs w:val="16"/>
              </w:rPr>
              <w:t>(a)</w:t>
            </w:r>
          </w:p>
        </w:tc>
        <w:tc>
          <w:tcPr>
            <w:tcW w:w="1041" w:type="pct"/>
            <w:tcBorders>
              <w:top w:val="nil"/>
              <w:left w:val="nil"/>
              <w:bottom w:val="nil"/>
              <w:right w:val="nil"/>
            </w:tcBorders>
            <w:shd w:val="clear" w:color="auto" w:fill="auto"/>
            <w:noWrap/>
            <w:vAlign w:val="center"/>
            <w:hideMark/>
          </w:tcPr>
          <w:p w14:paraId="108222F0" w14:textId="77777777" w:rsidR="00B60A89" w:rsidRPr="00B60A89" w:rsidRDefault="00B60A89" w:rsidP="00B60A89">
            <w:pPr>
              <w:spacing w:before="0" w:after="0" w:line="240" w:lineRule="auto"/>
              <w:jc w:val="right"/>
              <w:rPr>
                <w:rFonts w:ascii="Arial" w:hAnsi="Arial" w:cs="Arial"/>
                <w:b/>
                <w:bCs/>
                <w:sz w:val="16"/>
                <w:szCs w:val="16"/>
              </w:rPr>
            </w:pPr>
            <w:r w:rsidRPr="00B60A89">
              <w:rPr>
                <w:rFonts w:ascii="Arial" w:hAnsi="Arial" w:cs="Arial"/>
                <w:b/>
                <w:bCs/>
                <w:sz w:val="16"/>
                <w:szCs w:val="16"/>
              </w:rPr>
              <w:t>894,284</w:t>
            </w:r>
          </w:p>
        </w:tc>
        <w:tc>
          <w:tcPr>
            <w:tcW w:w="1212" w:type="pct"/>
            <w:tcBorders>
              <w:top w:val="nil"/>
              <w:left w:val="nil"/>
              <w:bottom w:val="nil"/>
              <w:right w:val="nil"/>
            </w:tcBorders>
            <w:shd w:val="clear" w:color="auto" w:fill="auto"/>
            <w:noWrap/>
            <w:vAlign w:val="center"/>
            <w:hideMark/>
          </w:tcPr>
          <w:p w14:paraId="6B82FDEB" w14:textId="77777777" w:rsidR="00B60A89" w:rsidRPr="00B60A89" w:rsidRDefault="00B60A89" w:rsidP="00B60A89">
            <w:pPr>
              <w:spacing w:before="0" w:after="0" w:line="240" w:lineRule="auto"/>
              <w:jc w:val="right"/>
              <w:rPr>
                <w:rFonts w:ascii="Arial" w:hAnsi="Arial" w:cs="Arial"/>
                <w:b/>
                <w:bCs/>
                <w:sz w:val="16"/>
                <w:szCs w:val="16"/>
              </w:rPr>
            </w:pPr>
            <w:r w:rsidRPr="00B60A89">
              <w:rPr>
                <w:rFonts w:ascii="Arial" w:hAnsi="Arial" w:cs="Arial"/>
                <w:b/>
                <w:bCs/>
                <w:sz w:val="16"/>
                <w:szCs w:val="16"/>
              </w:rPr>
              <w:t>829,458</w:t>
            </w:r>
          </w:p>
        </w:tc>
      </w:tr>
      <w:tr w:rsidR="00B60A89" w:rsidRPr="00B60A89" w14:paraId="7EACAFCF" w14:textId="77777777" w:rsidTr="0079376E">
        <w:trPr>
          <w:trHeight w:hRule="exact" w:val="225"/>
        </w:trPr>
        <w:tc>
          <w:tcPr>
            <w:tcW w:w="2747" w:type="pct"/>
            <w:tcBorders>
              <w:top w:val="nil"/>
              <w:left w:val="nil"/>
              <w:bottom w:val="nil"/>
              <w:right w:val="nil"/>
            </w:tcBorders>
            <w:shd w:val="clear" w:color="auto" w:fill="auto"/>
            <w:noWrap/>
            <w:vAlign w:val="center"/>
            <w:hideMark/>
          </w:tcPr>
          <w:p w14:paraId="02397E32" w14:textId="77777777" w:rsidR="00B60A89" w:rsidRPr="00B60A89" w:rsidRDefault="00B60A89" w:rsidP="00B60A89">
            <w:pPr>
              <w:spacing w:before="0" w:after="0" w:line="240" w:lineRule="auto"/>
              <w:rPr>
                <w:rFonts w:ascii="Arial" w:hAnsi="Arial" w:cs="Arial"/>
                <w:sz w:val="16"/>
                <w:szCs w:val="16"/>
              </w:rPr>
            </w:pPr>
            <w:r w:rsidRPr="00B60A89">
              <w:rPr>
                <w:rFonts w:ascii="Arial" w:hAnsi="Arial" w:cs="Arial"/>
                <w:sz w:val="16"/>
                <w:szCs w:val="16"/>
              </w:rPr>
              <w:t>Other stock and securities</w:t>
            </w:r>
          </w:p>
        </w:tc>
        <w:tc>
          <w:tcPr>
            <w:tcW w:w="1041" w:type="pct"/>
            <w:tcBorders>
              <w:top w:val="nil"/>
              <w:left w:val="nil"/>
              <w:bottom w:val="nil"/>
              <w:right w:val="nil"/>
            </w:tcBorders>
            <w:shd w:val="clear" w:color="auto" w:fill="auto"/>
            <w:noWrap/>
            <w:vAlign w:val="center"/>
            <w:hideMark/>
          </w:tcPr>
          <w:p w14:paraId="72AAF0AB" w14:textId="77777777" w:rsidR="00B60A89" w:rsidRPr="00B60A89" w:rsidRDefault="00B60A89" w:rsidP="00B60A89">
            <w:pPr>
              <w:spacing w:before="0" w:after="0" w:line="240" w:lineRule="auto"/>
              <w:jc w:val="right"/>
              <w:rPr>
                <w:rFonts w:ascii="Arial" w:hAnsi="Arial" w:cs="Arial"/>
                <w:sz w:val="16"/>
                <w:szCs w:val="16"/>
              </w:rPr>
            </w:pPr>
            <w:r w:rsidRPr="00B60A89">
              <w:rPr>
                <w:rFonts w:ascii="Arial" w:hAnsi="Arial" w:cs="Arial"/>
                <w:sz w:val="16"/>
                <w:szCs w:val="16"/>
              </w:rPr>
              <w:t>5</w:t>
            </w:r>
          </w:p>
        </w:tc>
        <w:tc>
          <w:tcPr>
            <w:tcW w:w="1212" w:type="pct"/>
            <w:tcBorders>
              <w:top w:val="nil"/>
              <w:left w:val="nil"/>
              <w:bottom w:val="nil"/>
              <w:right w:val="nil"/>
            </w:tcBorders>
            <w:shd w:val="clear" w:color="auto" w:fill="auto"/>
            <w:noWrap/>
            <w:vAlign w:val="center"/>
            <w:hideMark/>
          </w:tcPr>
          <w:p w14:paraId="22DFCC48" w14:textId="77777777" w:rsidR="00B60A89" w:rsidRPr="00B60A89" w:rsidRDefault="00B60A89" w:rsidP="00B60A89">
            <w:pPr>
              <w:spacing w:before="0" w:after="0" w:line="240" w:lineRule="auto"/>
              <w:jc w:val="right"/>
              <w:rPr>
                <w:rFonts w:ascii="Arial" w:hAnsi="Arial" w:cs="Arial"/>
                <w:sz w:val="16"/>
                <w:szCs w:val="16"/>
              </w:rPr>
            </w:pPr>
            <w:r w:rsidRPr="00B60A89">
              <w:rPr>
                <w:rFonts w:ascii="Arial" w:hAnsi="Arial" w:cs="Arial"/>
                <w:sz w:val="16"/>
                <w:szCs w:val="16"/>
              </w:rPr>
              <w:t>5</w:t>
            </w:r>
          </w:p>
        </w:tc>
      </w:tr>
      <w:tr w:rsidR="00B60A89" w:rsidRPr="00B60A89" w14:paraId="38D3C2F6" w14:textId="77777777" w:rsidTr="0079376E">
        <w:trPr>
          <w:trHeight w:hRule="exact" w:val="225"/>
        </w:trPr>
        <w:tc>
          <w:tcPr>
            <w:tcW w:w="2747" w:type="pct"/>
            <w:tcBorders>
              <w:top w:val="nil"/>
              <w:left w:val="nil"/>
              <w:bottom w:val="single" w:sz="4" w:space="0" w:color="293F5B"/>
              <w:right w:val="nil"/>
            </w:tcBorders>
            <w:shd w:val="clear" w:color="auto" w:fill="auto"/>
            <w:noWrap/>
            <w:vAlign w:val="center"/>
            <w:hideMark/>
          </w:tcPr>
          <w:p w14:paraId="41E1873E" w14:textId="77777777" w:rsidR="00B60A89" w:rsidRPr="00B60A89" w:rsidRDefault="00B60A89" w:rsidP="00B60A89">
            <w:pPr>
              <w:spacing w:before="0" w:after="0" w:line="240" w:lineRule="auto"/>
              <w:rPr>
                <w:rFonts w:ascii="Arial" w:hAnsi="Arial" w:cs="Arial"/>
                <w:b/>
                <w:bCs/>
                <w:sz w:val="16"/>
                <w:szCs w:val="16"/>
              </w:rPr>
            </w:pPr>
            <w:r w:rsidRPr="00B60A89">
              <w:rPr>
                <w:rFonts w:ascii="Arial" w:hAnsi="Arial" w:cs="Arial"/>
                <w:b/>
                <w:bCs/>
                <w:sz w:val="16"/>
                <w:szCs w:val="16"/>
              </w:rPr>
              <w:t>Total AGS on issue</w:t>
            </w:r>
          </w:p>
        </w:tc>
        <w:tc>
          <w:tcPr>
            <w:tcW w:w="1041" w:type="pct"/>
            <w:tcBorders>
              <w:top w:val="nil"/>
              <w:left w:val="nil"/>
              <w:bottom w:val="single" w:sz="4" w:space="0" w:color="293F5B"/>
              <w:right w:val="nil"/>
            </w:tcBorders>
            <w:shd w:val="clear" w:color="auto" w:fill="auto"/>
            <w:noWrap/>
            <w:vAlign w:val="center"/>
            <w:hideMark/>
          </w:tcPr>
          <w:p w14:paraId="040E36DC" w14:textId="77777777" w:rsidR="00B60A89" w:rsidRPr="00B60A89" w:rsidRDefault="00B60A89" w:rsidP="00B60A89">
            <w:pPr>
              <w:spacing w:before="0" w:after="0" w:line="240" w:lineRule="auto"/>
              <w:jc w:val="right"/>
              <w:rPr>
                <w:rFonts w:ascii="Arial" w:hAnsi="Arial" w:cs="Arial"/>
                <w:b/>
                <w:bCs/>
                <w:sz w:val="16"/>
                <w:szCs w:val="16"/>
              </w:rPr>
            </w:pPr>
            <w:r w:rsidRPr="00B60A89">
              <w:rPr>
                <w:rFonts w:ascii="Arial" w:hAnsi="Arial" w:cs="Arial"/>
                <w:b/>
                <w:bCs/>
                <w:sz w:val="16"/>
                <w:szCs w:val="16"/>
              </w:rPr>
              <w:t>894,289</w:t>
            </w:r>
          </w:p>
        </w:tc>
        <w:tc>
          <w:tcPr>
            <w:tcW w:w="1212" w:type="pct"/>
            <w:tcBorders>
              <w:top w:val="nil"/>
              <w:left w:val="nil"/>
              <w:bottom w:val="single" w:sz="4" w:space="0" w:color="293F5B"/>
              <w:right w:val="nil"/>
            </w:tcBorders>
            <w:shd w:val="clear" w:color="auto" w:fill="auto"/>
            <w:noWrap/>
            <w:vAlign w:val="center"/>
            <w:hideMark/>
          </w:tcPr>
          <w:p w14:paraId="305B4787" w14:textId="77777777" w:rsidR="00B60A89" w:rsidRPr="00B60A89" w:rsidRDefault="00B60A89" w:rsidP="00B60A89">
            <w:pPr>
              <w:spacing w:before="0" w:after="0" w:line="240" w:lineRule="auto"/>
              <w:jc w:val="right"/>
              <w:rPr>
                <w:rFonts w:ascii="Arial" w:hAnsi="Arial" w:cs="Arial"/>
                <w:b/>
                <w:bCs/>
                <w:sz w:val="16"/>
                <w:szCs w:val="16"/>
              </w:rPr>
            </w:pPr>
            <w:r w:rsidRPr="00B60A89">
              <w:rPr>
                <w:rFonts w:ascii="Arial" w:hAnsi="Arial" w:cs="Arial"/>
                <w:b/>
                <w:bCs/>
                <w:sz w:val="16"/>
                <w:szCs w:val="16"/>
              </w:rPr>
              <w:t>829,463</w:t>
            </w:r>
          </w:p>
        </w:tc>
      </w:tr>
    </w:tbl>
    <w:p w14:paraId="692D519E" w14:textId="13F9B073" w:rsidR="001A4F7E" w:rsidRPr="0098325D" w:rsidRDefault="001A4F7E" w:rsidP="00294A09">
      <w:pPr>
        <w:pStyle w:val="ChartandTableFootnoteAlpha"/>
        <w:numPr>
          <w:ilvl w:val="0"/>
          <w:numId w:val="39"/>
        </w:numPr>
      </w:pPr>
      <w:r w:rsidRPr="0098325D">
        <w:rPr>
          <w:color w:val="auto"/>
        </w:rPr>
        <w:t>The</w:t>
      </w:r>
      <w:r w:rsidRPr="0098325D">
        <w:t xml:space="preserve"> stock and securities that are excluded from the current limit set by the Treasurer</w:t>
      </w:r>
      <w:r w:rsidR="00B57616">
        <w:t>’</w:t>
      </w:r>
      <w:r w:rsidRPr="0098325D">
        <w:t>s Direction are outlined in subsection 51JA(2A) of the CIS Act.</w:t>
      </w:r>
    </w:p>
    <w:p w14:paraId="0AA11223" w14:textId="77777777" w:rsidR="001A4F7E" w:rsidRPr="0098325D" w:rsidRDefault="001A4F7E" w:rsidP="001A4F7E">
      <w:pPr>
        <w:pStyle w:val="ChartandTableFootnote"/>
        <w:rPr>
          <w:color w:val="auto"/>
        </w:rPr>
      </w:pPr>
      <w:bookmarkStart w:id="18" w:name="_1709665965"/>
      <w:bookmarkStart w:id="19" w:name="_1709724252"/>
      <w:bookmarkStart w:id="20" w:name="_1709703158"/>
      <w:bookmarkStart w:id="21" w:name="_1709802910"/>
      <w:bookmarkEnd w:id="18"/>
      <w:bookmarkEnd w:id="19"/>
      <w:bookmarkEnd w:id="20"/>
      <w:bookmarkEnd w:id="21"/>
      <w:r w:rsidRPr="0098325D">
        <w:rPr>
          <w:color w:val="auto"/>
        </w:rPr>
        <w:t xml:space="preserve">Source: </w:t>
      </w:r>
      <w:r w:rsidRPr="0098325D">
        <w:rPr>
          <w:color w:val="auto"/>
        </w:rPr>
        <w:tab/>
        <w:t>AOFM.</w:t>
      </w:r>
    </w:p>
    <w:p w14:paraId="6041863B" w14:textId="77777777" w:rsidR="001A4F7E" w:rsidRPr="0098325D" w:rsidRDefault="001A4F7E" w:rsidP="001A4F7E">
      <w:pPr>
        <w:pStyle w:val="ChartLine"/>
      </w:pPr>
    </w:p>
    <w:p w14:paraId="4CC76424" w14:textId="77777777" w:rsidR="001A4F7E" w:rsidRPr="0098325D" w:rsidRDefault="001A4F7E" w:rsidP="00396838">
      <w:bookmarkStart w:id="22" w:name="_Toc67660283"/>
      <w:r w:rsidRPr="0098325D">
        <w:t xml:space="preserve">Appendix A provides further information on the different types of securities. </w:t>
      </w:r>
    </w:p>
    <w:p w14:paraId="1859A9B3" w14:textId="77777777" w:rsidR="001A4F7E" w:rsidRPr="0098325D" w:rsidRDefault="001A4F7E" w:rsidP="00396838">
      <w:r w:rsidRPr="0098325D">
        <w:br w:type="page"/>
      </w:r>
    </w:p>
    <w:p w14:paraId="42CFEBBA" w14:textId="77777777" w:rsidR="001A4F7E" w:rsidRPr="0098325D" w:rsidRDefault="001A4F7E" w:rsidP="001A4F7E">
      <w:pPr>
        <w:pStyle w:val="Heading3"/>
      </w:pPr>
      <w:bookmarkStart w:id="23" w:name="_Toc98531931"/>
      <w:bookmarkStart w:id="24" w:name="_Toc117337746"/>
      <w:bookmarkStart w:id="25" w:name="_Toc166355900"/>
      <w:r w:rsidRPr="0098325D">
        <w:lastRenderedPageBreak/>
        <w:t>Treasury Bonds</w:t>
      </w:r>
      <w:bookmarkEnd w:id="22"/>
      <w:bookmarkEnd w:id="23"/>
      <w:bookmarkEnd w:id="24"/>
      <w:bookmarkEnd w:id="25"/>
    </w:p>
    <w:p w14:paraId="3D932526" w14:textId="38F736C6" w:rsidR="001A4F7E" w:rsidRPr="004C05FA" w:rsidRDefault="001A4F7E" w:rsidP="00396838">
      <w:r w:rsidRPr="004C05FA">
        <w:t>As at</w:t>
      </w:r>
      <w:r w:rsidR="0065604D" w:rsidRPr="004C05FA">
        <w:t xml:space="preserve"> </w:t>
      </w:r>
      <w:r w:rsidR="008B4B69" w:rsidRPr="004C05FA">
        <w:t>2 May 2024</w:t>
      </w:r>
      <w:r w:rsidRPr="004C05FA">
        <w:t xml:space="preserve">, there were </w:t>
      </w:r>
      <w:r w:rsidR="008B4B69" w:rsidRPr="004C05FA">
        <w:t>28</w:t>
      </w:r>
      <w:r w:rsidRPr="004C05FA">
        <w:t xml:space="preserve"> Treasury Bond lines on issue, with a weighted average term to maturity of around</w:t>
      </w:r>
      <w:r w:rsidR="0065604D" w:rsidRPr="004C05FA">
        <w:t xml:space="preserve"> </w:t>
      </w:r>
      <w:r w:rsidR="008B4B69" w:rsidRPr="004C05FA">
        <w:t>6.7</w:t>
      </w:r>
      <w:r w:rsidRPr="004C05FA">
        <w:t xml:space="preserve"> years and the longest maturity extending to </w:t>
      </w:r>
      <w:r w:rsidR="008B4B69" w:rsidRPr="004C05FA">
        <w:t>June 2054</w:t>
      </w:r>
      <w:r w:rsidRPr="004C05FA">
        <w:t xml:space="preserve">. </w:t>
      </w:r>
    </w:p>
    <w:p w14:paraId="115F317C" w14:textId="174A2EFF" w:rsidR="00997919" w:rsidRDefault="001A4F7E" w:rsidP="00997919">
      <w:pPr>
        <w:pStyle w:val="TableHeading"/>
        <w:rPr>
          <w:rFonts w:asciiTheme="minorHAnsi" w:eastAsiaTheme="minorHAnsi" w:hAnsiTheme="minorHAnsi" w:cstheme="minorBidi"/>
          <w:sz w:val="22"/>
          <w:szCs w:val="22"/>
          <w:lang w:eastAsia="en-US"/>
        </w:rPr>
      </w:pPr>
      <w:r w:rsidRPr="004C05FA">
        <w:t>Table 7.4: Treasury Bonds on issue</w:t>
      </w:r>
    </w:p>
    <w:tbl>
      <w:tblPr>
        <w:tblW w:w="5000" w:type="pct"/>
        <w:tblCellMar>
          <w:left w:w="0" w:type="dxa"/>
          <w:right w:w="28" w:type="dxa"/>
        </w:tblCellMar>
        <w:tblLook w:val="04A0" w:firstRow="1" w:lastRow="0" w:firstColumn="1" w:lastColumn="0" w:noHBand="0" w:noVBand="1"/>
      </w:tblPr>
      <w:tblGrid>
        <w:gridCol w:w="1059"/>
        <w:gridCol w:w="1246"/>
        <w:gridCol w:w="1562"/>
        <w:gridCol w:w="1725"/>
        <w:gridCol w:w="1059"/>
        <w:gridCol w:w="1059"/>
      </w:tblGrid>
      <w:tr w:rsidR="00997919" w:rsidRPr="00997919" w14:paraId="626763A0" w14:textId="77777777" w:rsidTr="00997919">
        <w:trPr>
          <w:trHeight w:hRule="exact" w:val="225"/>
        </w:trPr>
        <w:tc>
          <w:tcPr>
            <w:tcW w:w="686" w:type="pct"/>
            <w:tcBorders>
              <w:top w:val="single" w:sz="4" w:space="0" w:color="293F5B"/>
              <w:left w:val="nil"/>
              <w:bottom w:val="nil"/>
              <w:right w:val="nil"/>
            </w:tcBorders>
            <w:shd w:val="clear" w:color="auto" w:fill="auto"/>
            <w:noWrap/>
            <w:vAlign w:val="center"/>
            <w:hideMark/>
          </w:tcPr>
          <w:p w14:paraId="01CDF14C" w14:textId="5896198E"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 </w:t>
            </w:r>
          </w:p>
        </w:tc>
        <w:tc>
          <w:tcPr>
            <w:tcW w:w="808" w:type="pct"/>
            <w:tcBorders>
              <w:top w:val="single" w:sz="4" w:space="0" w:color="293F5B"/>
              <w:left w:val="nil"/>
              <w:bottom w:val="nil"/>
              <w:right w:val="nil"/>
            </w:tcBorders>
            <w:shd w:val="clear" w:color="auto" w:fill="auto"/>
            <w:noWrap/>
            <w:vAlign w:val="center"/>
            <w:hideMark/>
          </w:tcPr>
          <w:p w14:paraId="54AE9686"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 </w:t>
            </w:r>
          </w:p>
        </w:tc>
        <w:tc>
          <w:tcPr>
            <w:tcW w:w="1013" w:type="pct"/>
            <w:tcBorders>
              <w:top w:val="single" w:sz="4" w:space="0" w:color="293F5B"/>
              <w:left w:val="nil"/>
              <w:bottom w:val="nil"/>
              <w:right w:val="nil"/>
            </w:tcBorders>
            <w:shd w:val="clear" w:color="auto" w:fill="auto"/>
            <w:noWrap/>
            <w:vAlign w:val="center"/>
            <w:hideMark/>
          </w:tcPr>
          <w:p w14:paraId="48D16913"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On issue as at</w:t>
            </w:r>
          </w:p>
        </w:tc>
        <w:tc>
          <w:tcPr>
            <w:tcW w:w="2493" w:type="pct"/>
            <w:gridSpan w:val="3"/>
            <w:tcBorders>
              <w:top w:val="single" w:sz="4" w:space="0" w:color="293F5B"/>
              <w:left w:val="nil"/>
              <w:bottom w:val="nil"/>
              <w:right w:val="nil"/>
            </w:tcBorders>
            <w:shd w:val="clear" w:color="auto" w:fill="auto"/>
            <w:noWrap/>
            <w:vAlign w:val="center"/>
            <w:hideMark/>
          </w:tcPr>
          <w:p w14:paraId="24B8D8F1" w14:textId="77777777" w:rsidR="00997919" w:rsidRPr="00997919" w:rsidRDefault="00997919" w:rsidP="00997919">
            <w:pPr>
              <w:spacing w:before="0" w:after="0" w:line="240" w:lineRule="auto"/>
              <w:jc w:val="center"/>
              <w:rPr>
                <w:rFonts w:ascii="Arial" w:hAnsi="Arial" w:cs="Arial"/>
                <w:sz w:val="16"/>
                <w:szCs w:val="16"/>
              </w:rPr>
            </w:pPr>
            <w:r w:rsidRPr="00997919">
              <w:rPr>
                <w:rFonts w:ascii="Arial" w:hAnsi="Arial" w:cs="Arial"/>
                <w:sz w:val="16"/>
                <w:szCs w:val="16"/>
              </w:rPr>
              <w:t> </w:t>
            </w:r>
          </w:p>
        </w:tc>
      </w:tr>
      <w:tr w:rsidR="00997919" w:rsidRPr="00997919" w14:paraId="052F36B0" w14:textId="77777777" w:rsidTr="00997919">
        <w:trPr>
          <w:trHeight w:hRule="exact" w:val="225"/>
        </w:trPr>
        <w:tc>
          <w:tcPr>
            <w:tcW w:w="686" w:type="pct"/>
            <w:tcBorders>
              <w:top w:val="nil"/>
              <w:left w:val="nil"/>
              <w:bottom w:val="nil"/>
              <w:right w:val="nil"/>
            </w:tcBorders>
            <w:shd w:val="clear" w:color="auto" w:fill="auto"/>
            <w:noWrap/>
            <w:vAlign w:val="center"/>
            <w:hideMark/>
          </w:tcPr>
          <w:p w14:paraId="3365D54E"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Coupon</w:t>
            </w:r>
          </w:p>
        </w:tc>
        <w:tc>
          <w:tcPr>
            <w:tcW w:w="808" w:type="pct"/>
            <w:tcBorders>
              <w:top w:val="nil"/>
              <w:left w:val="nil"/>
              <w:bottom w:val="nil"/>
              <w:right w:val="nil"/>
            </w:tcBorders>
            <w:shd w:val="clear" w:color="auto" w:fill="auto"/>
            <w:noWrap/>
            <w:vAlign w:val="center"/>
            <w:hideMark/>
          </w:tcPr>
          <w:p w14:paraId="64B4E58E" w14:textId="77777777" w:rsidR="00997919" w:rsidRPr="00997919" w:rsidRDefault="00997919" w:rsidP="00997919">
            <w:pPr>
              <w:spacing w:before="0" w:after="0" w:line="240" w:lineRule="auto"/>
              <w:jc w:val="right"/>
              <w:rPr>
                <w:rFonts w:ascii="Arial" w:hAnsi="Arial" w:cs="Arial"/>
                <w:sz w:val="16"/>
                <w:szCs w:val="16"/>
              </w:rPr>
            </w:pPr>
          </w:p>
        </w:tc>
        <w:tc>
          <w:tcPr>
            <w:tcW w:w="1013" w:type="pct"/>
            <w:tcBorders>
              <w:top w:val="nil"/>
              <w:left w:val="nil"/>
              <w:bottom w:val="nil"/>
              <w:right w:val="nil"/>
            </w:tcBorders>
            <w:shd w:val="clear" w:color="auto" w:fill="auto"/>
            <w:noWrap/>
            <w:vAlign w:val="center"/>
            <w:hideMark/>
          </w:tcPr>
          <w:p w14:paraId="0AD758B9"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 May 2024</w:t>
            </w:r>
          </w:p>
        </w:tc>
        <w:tc>
          <w:tcPr>
            <w:tcW w:w="1119" w:type="pct"/>
            <w:tcBorders>
              <w:top w:val="nil"/>
              <w:left w:val="nil"/>
              <w:bottom w:val="nil"/>
              <w:right w:val="nil"/>
            </w:tcBorders>
            <w:shd w:val="clear" w:color="auto" w:fill="auto"/>
            <w:noWrap/>
            <w:vAlign w:val="center"/>
            <w:hideMark/>
          </w:tcPr>
          <w:p w14:paraId="02736669" w14:textId="77777777" w:rsidR="00997919" w:rsidRPr="00997919" w:rsidRDefault="00997919" w:rsidP="00997919">
            <w:pPr>
              <w:spacing w:before="0" w:after="0" w:line="240" w:lineRule="auto"/>
              <w:jc w:val="right"/>
              <w:rPr>
                <w:rFonts w:ascii="Arial" w:hAnsi="Arial" w:cs="Arial"/>
                <w:sz w:val="16"/>
                <w:szCs w:val="16"/>
              </w:rPr>
            </w:pPr>
          </w:p>
        </w:tc>
        <w:tc>
          <w:tcPr>
            <w:tcW w:w="687" w:type="pct"/>
            <w:tcBorders>
              <w:top w:val="nil"/>
              <w:left w:val="nil"/>
              <w:bottom w:val="nil"/>
              <w:right w:val="nil"/>
            </w:tcBorders>
            <w:shd w:val="clear" w:color="auto" w:fill="auto"/>
            <w:noWrap/>
            <w:vAlign w:val="center"/>
            <w:hideMark/>
          </w:tcPr>
          <w:p w14:paraId="202C7C46" w14:textId="77777777" w:rsidR="00997919" w:rsidRPr="00997919" w:rsidRDefault="00997919" w:rsidP="00997919">
            <w:pPr>
              <w:spacing w:before="0" w:after="0" w:line="240" w:lineRule="auto"/>
              <w:rPr>
                <w:rFonts w:ascii="Times New Roman" w:hAnsi="Times New Roman"/>
                <w:sz w:val="20"/>
              </w:rPr>
            </w:pPr>
          </w:p>
        </w:tc>
        <w:tc>
          <w:tcPr>
            <w:tcW w:w="687" w:type="pct"/>
            <w:tcBorders>
              <w:top w:val="nil"/>
              <w:left w:val="nil"/>
              <w:bottom w:val="nil"/>
              <w:right w:val="nil"/>
            </w:tcBorders>
            <w:shd w:val="clear" w:color="auto" w:fill="auto"/>
            <w:noWrap/>
            <w:vAlign w:val="center"/>
            <w:hideMark/>
          </w:tcPr>
          <w:p w14:paraId="65A850C3" w14:textId="77777777" w:rsidR="00997919" w:rsidRPr="00997919" w:rsidRDefault="00997919" w:rsidP="00997919">
            <w:pPr>
              <w:spacing w:before="0" w:after="0" w:line="240" w:lineRule="auto"/>
              <w:jc w:val="right"/>
              <w:rPr>
                <w:rFonts w:ascii="Times New Roman" w:hAnsi="Times New Roman"/>
                <w:sz w:val="20"/>
              </w:rPr>
            </w:pPr>
          </w:p>
        </w:tc>
      </w:tr>
      <w:tr w:rsidR="00997919" w:rsidRPr="00997919" w14:paraId="0A65800F" w14:textId="77777777" w:rsidTr="00997919">
        <w:trPr>
          <w:trHeight w:hRule="exact" w:val="225"/>
        </w:trPr>
        <w:tc>
          <w:tcPr>
            <w:tcW w:w="686" w:type="pct"/>
            <w:tcBorders>
              <w:top w:val="nil"/>
              <w:left w:val="nil"/>
              <w:bottom w:val="single" w:sz="4" w:space="0" w:color="293F5B"/>
              <w:right w:val="nil"/>
            </w:tcBorders>
            <w:shd w:val="clear" w:color="auto" w:fill="auto"/>
            <w:noWrap/>
            <w:vAlign w:val="center"/>
            <w:hideMark/>
          </w:tcPr>
          <w:p w14:paraId="7F51BC59"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Per cent</w:t>
            </w:r>
          </w:p>
        </w:tc>
        <w:tc>
          <w:tcPr>
            <w:tcW w:w="808" w:type="pct"/>
            <w:tcBorders>
              <w:top w:val="nil"/>
              <w:left w:val="nil"/>
              <w:bottom w:val="single" w:sz="4" w:space="0" w:color="293F5B"/>
              <w:right w:val="nil"/>
            </w:tcBorders>
            <w:shd w:val="clear" w:color="auto" w:fill="auto"/>
            <w:noWrap/>
            <w:vAlign w:val="center"/>
            <w:hideMark/>
          </w:tcPr>
          <w:p w14:paraId="7DB3AE4B"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Maturity</w:t>
            </w:r>
          </w:p>
        </w:tc>
        <w:tc>
          <w:tcPr>
            <w:tcW w:w="1013" w:type="pct"/>
            <w:tcBorders>
              <w:top w:val="nil"/>
              <w:left w:val="nil"/>
              <w:bottom w:val="single" w:sz="4" w:space="0" w:color="293F5B"/>
              <w:right w:val="nil"/>
            </w:tcBorders>
            <w:shd w:val="clear" w:color="auto" w:fill="auto"/>
            <w:noWrap/>
            <w:vAlign w:val="center"/>
            <w:hideMark/>
          </w:tcPr>
          <w:p w14:paraId="71327F22"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$m</w:t>
            </w:r>
          </w:p>
        </w:tc>
        <w:tc>
          <w:tcPr>
            <w:tcW w:w="2493" w:type="pct"/>
            <w:gridSpan w:val="3"/>
            <w:tcBorders>
              <w:top w:val="nil"/>
              <w:left w:val="nil"/>
              <w:bottom w:val="single" w:sz="4" w:space="0" w:color="293F5B"/>
              <w:right w:val="nil"/>
            </w:tcBorders>
            <w:shd w:val="clear" w:color="auto" w:fill="auto"/>
            <w:noWrap/>
            <w:vAlign w:val="center"/>
            <w:hideMark/>
          </w:tcPr>
          <w:p w14:paraId="3944405A" w14:textId="77777777" w:rsidR="00997919" w:rsidRPr="00997919" w:rsidRDefault="00997919" w:rsidP="00997919">
            <w:pPr>
              <w:spacing w:before="0" w:after="0" w:line="240" w:lineRule="auto"/>
              <w:jc w:val="center"/>
              <w:rPr>
                <w:rFonts w:ascii="Arial" w:hAnsi="Arial" w:cs="Arial"/>
                <w:sz w:val="16"/>
                <w:szCs w:val="16"/>
              </w:rPr>
            </w:pPr>
            <w:r w:rsidRPr="00997919">
              <w:rPr>
                <w:rFonts w:ascii="Arial" w:hAnsi="Arial" w:cs="Arial"/>
                <w:sz w:val="16"/>
                <w:szCs w:val="16"/>
              </w:rPr>
              <w:t>Timing of interest payments(a)</w:t>
            </w:r>
          </w:p>
        </w:tc>
      </w:tr>
      <w:tr w:rsidR="00997919" w:rsidRPr="00997919" w14:paraId="537C0015" w14:textId="77777777" w:rsidTr="00997919">
        <w:trPr>
          <w:trHeight w:hRule="exact" w:val="225"/>
        </w:trPr>
        <w:tc>
          <w:tcPr>
            <w:tcW w:w="686" w:type="pct"/>
            <w:tcBorders>
              <w:top w:val="nil"/>
              <w:left w:val="nil"/>
              <w:bottom w:val="nil"/>
              <w:right w:val="nil"/>
            </w:tcBorders>
            <w:shd w:val="clear" w:color="auto" w:fill="auto"/>
            <w:noWrap/>
            <w:vAlign w:val="center"/>
            <w:hideMark/>
          </w:tcPr>
          <w:p w14:paraId="72EE7E3D"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0.25</w:t>
            </w:r>
          </w:p>
        </w:tc>
        <w:tc>
          <w:tcPr>
            <w:tcW w:w="808" w:type="pct"/>
            <w:tcBorders>
              <w:top w:val="nil"/>
              <w:left w:val="nil"/>
              <w:bottom w:val="nil"/>
              <w:right w:val="nil"/>
            </w:tcBorders>
            <w:shd w:val="clear" w:color="auto" w:fill="auto"/>
            <w:noWrap/>
            <w:vAlign w:val="center"/>
            <w:hideMark/>
          </w:tcPr>
          <w:p w14:paraId="426DCC3E" w14:textId="52C8370E"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r w:rsidR="00B57616">
              <w:rPr>
                <w:rFonts w:ascii="Arial" w:hAnsi="Arial" w:cs="Arial"/>
                <w:sz w:val="16"/>
                <w:szCs w:val="16"/>
              </w:rPr>
              <w:noBreakHyphen/>
            </w:r>
            <w:r w:rsidRPr="00997919">
              <w:rPr>
                <w:rFonts w:ascii="Arial" w:hAnsi="Arial" w:cs="Arial"/>
                <w:sz w:val="16"/>
                <w:szCs w:val="16"/>
              </w:rPr>
              <w:t>24</w:t>
            </w:r>
          </w:p>
        </w:tc>
        <w:tc>
          <w:tcPr>
            <w:tcW w:w="1013" w:type="pct"/>
            <w:tcBorders>
              <w:top w:val="nil"/>
              <w:left w:val="nil"/>
              <w:bottom w:val="nil"/>
              <w:right w:val="nil"/>
            </w:tcBorders>
            <w:shd w:val="clear" w:color="auto" w:fill="auto"/>
            <w:noWrap/>
            <w:vAlign w:val="center"/>
            <w:hideMark/>
          </w:tcPr>
          <w:p w14:paraId="09413786"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41,300</w:t>
            </w:r>
          </w:p>
        </w:tc>
        <w:tc>
          <w:tcPr>
            <w:tcW w:w="1119" w:type="pct"/>
            <w:tcBorders>
              <w:top w:val="nil"/>
              <w:left w:val="nil"/>
              <w:bottom w:val="nil"/>
              <w:right w:val="nil"/>
            </w:tcBorders>
            <w:shd w:val="clear" w:color="auto" w:fill="auto"/>
            <w:noWrap/>
            <w:vAlign w:val="center"/>
            <w:hideMark/>
          </w:tcPr>
          <w:p w14:paraId="25FBD0B8"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4882EFCB" w14:textId="7F3BDB92"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p>
        </w:tc>
        <w:tc>
          <w:tcPr>
            <w:tcW w:w="687" w:type="pct"/>
            <w:tcBorders>
              <w:top w:val="nil"/>
              <w:left w:val="nil"/>
              <w:bottom w:val="nil"/>
              <w:right w:val="nil"/>
            </w:tcBorders>
            <w:shd w:val="clear" w:color="auto" w:fill="auto"/>
            <w:noWrap/>
            <w:vAlign w:val="center"/>
            <w:hideMark/>
          </w:tcPr>
          <w:p w14:paraId="62362D7D" w14:textId="1DAB054F"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p>
        </w:tc>
      </w:tr>
      <w:tr w:rsidR="00997919" w:rsidRPr="00997919" w14:paraId="1A333C5B" w14:textId="77777777" w:rsidTr="00997919">
        <w:trPr>
          <w:trHeight w:hRule="exact" w:val="225"/>
        </w:trPr>
        <w:tc>
          <w:tcPr>
            <w:tcW w:w="686" w:type="pct"/>
            <w:tcBorders>
              <w:top w:val="nil"/>
              <w:left w:val="nil"/>
              <w:bottom w:val="nil"/>
              <w:right w:val="nil"/>
            </w:tcBorders>
            <w:shd w:val="clear" w:color="auto" w:fill="auto"/>
            <w:noWrap/>
            <w:vAlign w:val="center"/>
            <w:hideMark/>
          </w:tcPr>
          <w:p w14:paraId="571C0024"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3.25</w:t>
            </w:r>
          </w:p>
        </w:tc>
        <w:tc>
          <w:tcPr>
            <w:tcW w:w="808" w:type="pct"/>
            <w:tcBorders>
              <w:top w:val="nil"/>
              <w:left w:val="nil"/>
              <w:bottom w:val="nil"/>
              <w:right w:val="nil"/>
            </w:tcBorders>
            <w:shd w:val="clear" w:color="auto" w:fill="auto"/>
            <w:noWrap/>
            <w:vAlign w:val="center"/>
            <w:hideMark/>
          </w:tcPr>
          <w:p w14:paraId="683E4F19" w14:textId="3E25A433"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Apr</w:t>
            </w:r>
            <w:r w:rsidR="00B57616">
              <w:rPr>
                <w:rFonts w:ascii="Arial" w:hAnsi="Arial" w:cs="Arial"/>
                <w:sz w:val="16"/>
                <w:szCs w:val="16"/>
              </w:rPr>
              <w:noBreakHyphen/>
            </w:r>
            <w:r w:rsidRPr="00997919">
              <w:rPr>
                <w:rFonts w:ascii="Arial" w:hAnsi="Arial" w:cs="Arial"/>
                <w:sz w:val="16"/>
                <w:szCs w:val="16"/>
              </w:rPr>
              <w:t>25</w:t>
            </w:r>
          </w:p>
        </w:tc>
        <w:tc>
          <w:tcPr>
            <w:tcW w:w="1013" w:type="pct"/>
            <w:tcBorders>
              <w:top w:val="nil"/>
              <w:left w:val="nil"/>
              <w:bottom w:val="nil"/>
              <w:right w:val="nil"/>
            </w:tcBorders>
            <w:shd w:val="clear" w:color="auto" w:fill="auto"/>
            <w:noWrap/>
            <w:vAlign w:val="center"/>
            <w:hideMark/>
          </w:tcPr>
          <w:p w14:paraId="396D731C"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41,500</w:t>
            </w:r>
          </w:p>
        </w:tc>
        <w:tc>
          <w:tcPr>
            <w:tcW w:w="1119" w:type="pct"/>
            <w:tcBorders>
              <w:top w:val="nil"/>
              <w:left w:val="nil"/>
              <w:bottom w:val="nil"/>
              <w:right w:val="nil"/>
            </w:tcBorders>
            <w:shd w:val="clear" w:color="auto" w:fill="auto"/>
            <w:noWrap/>
            <w:vAlign w:val="center"/>
            <w:hideMark/>
          </w:tcPr>
          <w:p w14:paraId="36E5CAC5"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28A0B9FD" w14:textId="6C13A6A4"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Apr</w:t>
            </w:r>
          </w:p>
        </w:tc>
        <w:tc>
          <w:tcPr>
            <w:tcW w:w="687" w:type="pct"/>
            <w:tcBorders>
              <w:top w:val="nil"/>
              <w:left w:val="nil"/>
              <w:bottom w:val="nil"/>
              <w:right w:val="nil"/>
            </w:tcBorders>
            <w:shd w:val="clear" w:color="auto" w:fill="auto"/>
            <w:noWrap/>
            <w:vAlign w:val="center"/>
            <w:hideMark/>
          </w:tcPr>
          <w:p w14:paraId="390BF142" w14:textId="3E7F96CB"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Oct</w:t>
            </w:r>
          </w:p>
        </w:tc>
      </w:tr>
      <w:tr w:rsidR="00997919" w:rsidRPr="00997919" w14:paraId="1EEA8866" w14:textId="77777777" w:rsidTr="00997919">
        <w:trPr>
          <w:trHeight w:hRule="exact" w:val="225"/>
        </w:trPr>
        <w:tc>
          <w:tcPr>
            <w:tcW w:w="686" w:type="pct"/>
            <w:tcBorders>
              <w:top w:val="nil"/>
              <w:left w:val="nil"/>
              <w:bottom w:val="nil"/>
              <w:right w:val="nil"/>
            </w:tcBorders>
            <w:shd w:val="clear" w:color="auto" w:fill="auto"/>
            <w:noWrap/>
            <w:vAlign w:val="center"/>
            <w:hideMark/>
          </w:tcPr>
          <w:p w14:paraId="3A9F3E8F"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0.25</w:t>
            </w:r>
          </w:p>
        </w:tc>
        <w:tc>
          <w:tcPr>
            <w:tcW w:w="808" w:type="pct"/>
            <w:tcBorders>
              <w:top w:val="nil"/>
              <w:left w:val="nil"/>
              <w:bottom w:val="nil"/>
              <w:right w:val="nil"/>
            </w:tcBorders>
            <w:shd w:val="clear" w:color="auto" w:fill="auto"/>
            <w:noWrap/>
            <w:vAlign w:val="center"/>
            <w:hideMark/>
          </w:tcPr>
          <w:p w14:paraId="0A2FC314" w14:textId="49CDF07F"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r w:rsidR="00B57616">
              <w:rPr>
                <w:rFonts w:ascii="Arial" w:hAnsi="Arial" w:cs="Arial"/>
                <w:sz w:val="16"/>
                <w:szCs w:val="16"/>
              </w:rPr>
              <w:noBreakHyphen/>
            </w:r>
            <w:r w:rsidRPr="00997919">
              <w:rPr>
                <w:rFonts w:ascii="Arial" w:hAnsi="Arial" w:cs="Arial"/>
                <w:sz w:val="16"/>
                <w:szCs w:val="16"/>
              </w:rPr>
              <w:t>25</w:t>
            </w:r>
          </w:p>
        </w:tc>
        <w:tc>
          <w:tcPr>
            <w:tcW w:w="1013" w:type="pct"/>
            <w:tcBorders>
              <w:top w:val="nil"/>
              <w:left w:val="nil"/>
              <w:bottom w:val="nil"/>
              <w:right w:val="nil"/>
            </w:tcBorders>
            <w:shd w:val="clear" w:color="auto" w:fill="auto"/>
            <w:noWrap/>
            <w:vAlign w:val="center"/>
            <w:hideMark/>
          </w:tcPr>
          <w:p w14:paraId="655B828C"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39,200</w:t>
            </w:r>
          </w:p>
        </w:tc>
        <w:tc>
          <w:tcPr>
            <w:tcW w:w="1119" w:type="pct"/>
            <w:tcBorders>
              <w:top w:val="nil"/>
              <w:left w:val="nil"/>
              <w:bottom w:val="nil"/>
              <w:right w:val="nil"/>
            </w:tcBorders>
            <w:shd w:val="clear" w:color="auto" w:fill="auto"/>
            <w:noWrap/>
            <w:vAlign w:val="center"/>
            <w:hideMark/>
          </w:tcPr>
          <w:p w14:paraId="02AC1C1D"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1FBF438D" w14:textId="3F928409"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p>
        </w:tc>
        <w:tc>
          <w:tcPr>
            <w:tcW w:w="687" w:type="pct"/>
            <w:tcBorders>
              <w:top w:val="nil"/>
              <w:left w:val="nil"/>
              <w:bottom w:val="nil"/>
              <w:right w:val="nil"/>
            </w:tcBorders>
            <w:shd w:val="clear" w:color="auto" w:fill="auto"/>
            <w:noWrap/>
            <w:vAlign w:val="center"/>
            <w:hideMark/>
          </w:tcPr>
          <w:p w14:paraId="078F48DA" w14:textId="195810BB"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p>
        </w:tc>
      </w:tr>
      <w:tr w:rsidR="00997919" w:rsidRPr="00997919" w14:paraId="64C5016D" w14:textId="77777777" w:rsidTr="00997919">
        <w:trPr>
          <w:trHeight w:hRule="exact" w:val="225"/>
        </w:trPr>
        <w:tc>
          <w:tcPr>
            <w:tcW w:w="686" w:type="pct"/>
            <w:tcBorders>
              <w:top w:val="nil"/>
              <w:left w:val="nil"/>
              <w:bottom w:val="nil"/>
              <w:right w:val="nil"/>
            </w:tcBorders>
            <w:shd w:val="clear" w:color="auto" w:fill="auto"/>
            <w:noWrap/>
            <w:vAlign w:val="center"/>
            <w:hideMark/>
          </w:tcPr>
          <w:p w14:paraId="267F632F"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4.25</w:t>
            </w:r>
          </w:p>
        </w:tc>
        <w:tc>
          <w:tcPr>
            <w:tcW w:w="808" w:type="pct"/>
            <w:tcBorders>
              <w:top w:val="nil"/>
              <w:left w:val="nil"/>
              <w:bottom w:val="nil"/>
              <w:right w:val="nil"/>
            </w:tcBorders>
            <w:shd w:val="clear" w:color="auto" w:fill="auto"/>
            <w:noWrap/>
            <w:vAlign w:val="center"/>
            <w:hideMark/>
          </w:tcPr>
          <w:p w14:paraId="000CC969" w14:textId="6BF84070"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Apr</w:t>
            </w:r>
            <w:r w:rsidR="00B57616">
              <w:rPr>
                <w:rFonts w:ascii="Arial" w:hAnsi="Arial" w:cs="Arial"/>
                <w:sz w:val="16"/>
                <w:szCs w:val="16"/>
              </w:rPr>
              <w:noBreakHyphen/>
            </w:r>
            <w:r w:rsidRPr="00997919">
              <w:rPr>
                <w:rFonts w:ascii="Arial" w:hAnsi="Arial" w:cs="Arial"/>
                <w:sz w:val="16"/>
                <w:szCs w:val="16"/>
              </w:rPr>
              <w:t>26</w:t>
            </w:r>
          </w:p>
        </w:tc>
        <w:tc>
          <w:tcPr>
            <w:tcW w:w="1013" w:type="pct"/>
            <w:tcBorders>
              <w:top w:val="nil"/>
              <w:left w:val="nil"/>
              <w:bottom w:val="nil"/>
              <w:right w:val="nil"/>
            </w:tcBorders>
            <w:shd w:val="clear" w:color="auto" w:fill="auto"/>
            <w:noWrap/>
            <w:vAlign w:val="center"/>
            <w:hideMark/>
          </w:tcPr>
          <w:p w14:paraId="059771A1"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39,600</w:t>
            </w:r>
          </w:p>
        </w:tc>
        <w:tc>
          <w:tcPr>
            <w:tcW w:w="1119" w:type="pct"/>
            <w:tcBorders>
              <w:top w:val="nil"/>
              <w:left w:val="nil"/>
              <w:bottom w:val="nil"/>
              <w:right w:val="nil"/>
            </w:tcBorders>
            <w:shd w:val="clear" w:color="auto" w:fill="auto"/>
            <w:noWrap/>
            <w:vAlign w:val="center"/>
            <w:hideMark/>
          </w:tcPr>
          <w:p w14:paraId="1DEECE9C"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6D7902BE" w14:textId="2A5A0CED"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Apr</w:t>
            </w:r>
          </w:p>
        </w:tc>
        <w:tc>
          <w:tcPr>
            <w:tcW w:w="687" w:type="pct"/>
            <w:tcBorders>
              <w:top w:val="nil"/>
              <w:left w:val="nil"/>
              <w:bottom w:val="nil"/>
              <w:right w:val="nil"/>
            </w:tcBorders>
            <w:shd w:val="clear" w:color="auto" w:fill="auto"/>
            <w:noWrap/>
            <w:vAlign w:val="center"/>
            <w:hideMark/>
          </w:tcPr>
          <w:p w14:paraId="566B1301" w14:textId="575132AE"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Oct</w:t>
            </w:r>
          </w:p>
        </w:tc>
      </w:tr>
      <w:tr w:rsidR="00997919" w:rsidRPr="00997919" w14:paraId="757F7320" w14:textId="77777777" w:rsidTr="00997919">
        <w:trPr>
          <w:trHeight w:hRule="exact" w:val="225"/>
        </w:trPr>
        <w:tc>
          <w:tcPr>
            <w:tcW w:w="686" w:type="pct"/>
            <w:tcBorders>
              <w:top w:val="nil"/>
              <w:left w:val="nil"/>
              <w:bottom w:val="nil"/>
              <w:right w:val="nil"/>
            </w:tcBorders>
            <w:shd w:val="clear" w:color="auto" w:fill="auto"/>
            <w:noWrap/>
            <w:vAlign w:val="center"/>
            <w:hideMark/>
          </w:tcPr>
          <w:p w14:paraId="74D49A4C"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0.50</w:t>
            </w:r>
          </w:p>
        </w:tc>
        <w:tc>
          <w:tcPr>
            <w:tcW w:w="808" w:type="pct"/>
            <w:tcBorders>
              <w:top w:val="nil"/>
              <w:left w:val="nil"/>
              <w:bottom w:val="nil"/>
              <w:right w:val="nil"/>
            </w:tcBorders>
            <w:shd w:val="clear" w:color="auto" w:fill="auto"/>
            <w:noWrap/>
            <w:vAlign w:val="center"/>
            <w:hideMark/>
          </w:tcPr>
          <w:p w14:paraId="1B303E70" w14:textId="577A4441"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Sep</w:t>
            </w:r>
            <w:r w:rsidR="00B57616">
              <w:rPr>
                <w:rFonts w:ascii="Arial" w:hAnsi="Arial" w:cs="Arial"/>
                <w:sz w:val="16"/>
                <w:szCs w:val="16"/>
              </w:rPr>
              <w:noBreakHyphen/>
            </w:r>
            <w:r w:rsidRPr="00997919">
              <w:rPr>
                <w:rFonts w:ascii="Arial" w:hAnsi="Arial" w:cs="Arial"/>
                <w:sz w:val="16"/>
                <w:szCs w:val="16"/>
              </w:rPr>
              <w:t>26</w:t>
            </w:r>
          </w:p>
        </w:tc>
        <w:tc>
          <w:tcPr>
            <w:tcW w:w="1013" w:type="pct"/>
            <w:tcBorders>
              <w:top w:val="nil"/>
              <w:left w:val="nil"/>
              <w:bottom w:val="nil"/>
              <w:right w:val="nil"/>
            </w:tcBorders>
            <w:shd w:val="clear" w:color="auto" w:fill="auto"/>
            <w:noWrap/>
            <w:vAlign w:val="center"/>
            <w:hideMark/>
          </w:tcPr>
          <w:p w14:paraId="24D806A9"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39,400</w:t>
            </w:r>
          </w:p>
        </w:tc>
        <w:tc>
          <w:tcPr>
            <w:tcW w:w="1119" w:type="pct"/>
            <w:tcBorders>
              <w:top w:val="nil"/>
              <w:left w:val="nil"/>
              <w:bottom w:val="nil"/>
              <w:right w:val="nil"/>
            </w:tcBorders>
            <w:shd w:val="clear" w:color="auto" w:fill="auto"/>
            <w:noWrap/>
            <w:vAlign w:val="center"/>
            <w:hideMark/>
          </w:tcPr>
          <w:p w14:paraId="0E844F2C"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04DE134B" w14:textId="7DCABD78"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Sep</w:t>
            </w:r>
          </w:p>
        </w:tc>
        <w:tc>
          <w:tcPr>
            <w:tcW w:w="687" w:type="pct"/>
            <w:tcBorders>
              <w:top w:val="nil"/>
              <w:left w:val="nil"/>
              <w:bottom w:val="nil"/>
              <w:right w:val="nil"/>
            </w:tcBorders>
            <w:shd w:val="clear" w:color="auto" w:fill="auto"/>
            <w:noWrap/>
            <w:vAlign w:val="center"/>
            <w:hideMark/>
          </w:tcPr>
          <w:p w14:paraId="5696E296" w14:textId="04EA067A"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Mar</w:t>
            </w:r>
          </w:p>
        </w:tc>
      </w:tr>
      <w:tr w:rsidR="00997919" w:rsidRPr="00997919" w14:paraId="5AEEA029" w14:textId="77777777" w:rsidTr="00997919">
        <w:trPr>
          <w:trHeight w:hRule="exact" w:val="225"/>
        </w:trPr>
        <w:tc>
          <w:tcPr>
            <w:tcW w:w="686" w:type="pct"/>
            <w:tcBorders>
              <w:top w:val="nil"/>
              <w:left w:val="nil"/>
              <w:bottom w:val="nil"/>
              <w:right w:val="nil"/>
            </w:tcBorders>
            <w:shd w:val="clear" w:color="auto" w:fill="auto"/>
            <w:noWrap/>
            <w:vAlign w:val="center"/>
            <w:hideMark/>
          </w:tcPr>
          <w:p w14:paraId="35707C46"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4.75</w:t>
            </w:r>
          </w:p>
        </w:tc>
        <w:tc>
          <w:tcPr>
            <w:tcW w:w="808" w:type="pct"/>
            <w:tcBorders>
              <w:top w:val="nil"/>
              <w:left w:val="nil"/>
              <w:bottom w:val="nil"/>
              <w:right w:val="nil"/>
            </w:tcBorders>
            <w:shd w:val="clear" w:color="auto" w:fill="auto"/>
            <w:noWrap/>
            <w:vAlign w:val="center"/>
            <w:hideMark/>
          </w:tcPr>
          <w:p w14:paraId="375C67C4" w14:textId="19284CF9"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Apr</w:t>
            </w:r>
            <w:r w:rsidR="00B57616">
              <w:rPr>
                <w:rFonts w:ascii="Arial" w:hAnsi="Arial" w:cs="Arial"/>
                <w:sz w:val="16"/>
                <w:szCs w:val="16"/>
              </w:rPr>
              <w:noBreakHyphen/>
            </w:r>
            <w:r w:rsidRPr="00997919">
              <w:rPr>
                <w:rFonts w:ascii="Arial" w:hAnsi="Arial" w:cs="Arial"/>
                <w:sz w:val="16"/>
                <w:szCs w:val="16"/>
              </w:rPr>
              <w:t>27</w:t>
            </w:r>
          </w:p>
        </w:tc>
        <w:tc>
          <w:tcPr>
            <w:tcW w:w="1013" w:type="pct"/>
            <w:tcBorders>
              <w:top w:val="nil"/>
              <w:left w:val="nil"/>
              <w:bottom w:val="nil"/>
              <w:right w:val="nil"/>
            </w:tcBorders>
            <w:shd w:val="clear" w:color="auto" w:fill="auto"/>
            <w:noWrap/>
            <w:vAlign w:val="center"/>
            <w:hideMark/>
          </w:tcPr>
          <w:p w14:paraId="6F0597FA"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37,500</w:t>
            </w:r>
          </w:p>
        </w:tc>
        <w:tc>
          <w:tcPr>
            <w:tcW w:w="1119" w:type="pct"/>
            <w:tcBorders>
              <w:top w:val="nil"/>
              <w:left w:val="nil"/>
              <w:bottom w:val="nil"/>
              <w:right w:val="nil"/>
            </w:tcBorders>
            <w:shd w:val="clear" w:color="auto" w:fill="auto"/>
            <w:noWrap/>
            <w:vAlign w:val="center"/>
            <w:hideMark/>
          </w:tcPr>
          <w:p w14:paraId="44A4407D"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6C4AE030" w14:textId="21955712"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Apr</w:t>
            </w:r>
          </w:p>
        </w:tc>
        <w:tc>
          <w:tcPr>
            <w:tcW w:w="687" w:type="pct"/>
            <w:tcBorders>
              <w:top w:val="nil"/>
              <w:left w:val="nil"/>
              <w:bottom w:val="nil"/>
              <w:right w:val="nil"/>
            </w:tcBorders>
            <w:shd w:val="clear" w:color="auto" w:fill="auto"/>
            <w:noWrap/>
            <w:vAlign w:val="center"/>
            <w:hideMark/>
          </w:tcPr>
          <w:p w14:paraId="0F87770B" w14:textId="43B58C10"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Oct</w:t>
            </w:r>
          </w:p>
        </w:tc>
      </w:tr>
      <w:tr w:rsidR="00997919" w:rsidRPr="00997919" w14:paraId="4A611256" w14:textId="77777777" w:rsidTr="00997919">
        <w:trPr>
          <w:trHeight w:hRule="exact" w:val="225"/>
        </w:trPr>
        <w:tc>
          <w:tcPr>
            <w:tcW w:w="686" w:type="pct"/>
            <w:tcBorders>
              <w:top w:val="nil"/>
              <w:left w:val="nil"/>
              <w:bottom w:val="nil"/>
              <w:right w:val="nil"/>
            </w:tcBorders>
            <w:shd w:val="clear" w:color="auto" w:fill="auto"/>
            <w:noWrap/>
            <w:vAlign w:val="center"/>
            <w:hideMark/>
          </w:tcPr>
          <w:p w14:paraId="0F832375"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2.75</w:t>
            </w:r>
          </w:p>
        </w:tc>
        <w:tc>
          <w:tcPr>
            <w:tcW w:w="808" w:type="pct"/>
            <w:tcBorders>
              <w:top w:val="nil"/>
              <w:left w:val="nil"/>
              <w:bottom w:val="nil"/>
              <w:right w:val="nil"/>
            </w:tcBorders>
            <w:shd w:val="clear" w:color="auto" w:fill="auto"/>
            <w:noWrap/>
            <w:vAlign w:val="center"/>
            <w:hideMark/>
          </w:tcPr>
          <w:p w14:paraId="34F3FBD2" w14:textId="4780DC9C"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r w:rsidR="00B57616">
              <w:rPr>
                <w:rFonts w:ascii="Arial" w:hAnsi="Arial" w:cs="Arial"/>
                <w:sz w:val="16"/>
                <w:szCs w:val="16"/>
              </w:rPr>
              <w:noBreakHyphen/>
            </w:r>
            <w:r w:rsidRPr="00997919">
              <w:rPr>
                <w:rFonts w:ascii="Arial" w:hAnsi="Arial" w:cs="Arial"/>
                <w:sz w:val="16"/>
                <w:szCs w:val="16"/>
              </w:rPr>
              <w:t>27</w:t>
            </w:r>
          </w:p>
        </w:tc>
        <w:tc>
          <w:tcPr>
            <w:tcW w:w="1013" w:type="pct"/>
            <w:tcBorders>
              <w:top w:val="nil"/>
              <w:left w:val="nil"/>
              <w:bottom w:val="nil"/>
              <w:right w:val="nil"/>
            </w:tcBorders>
            <w:shd w:val="clear" w:color="auto" w:fill="auto"/>
            <w:noWrap/>
            <w:vAlign w:val="center"/>
            <w:hideMark/>
          </w:tcPr>
          <w:p w14:paraId="0F108999"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32,200</w:t>
            </w:r>
          </w:p>
        </w:tc>
        <w:tc>
          <w:tcPr>
            <w:tcW w:w="1119" w:type="pct"/>
            <w:tcBorders>
              <w:top w:val="nil"/>
              <w:left w:val="nil"/>
              <w:bottom w:val="nil"/>
              <w:right w:val="nil"/>
            </w:tcBorders>
            <w:shd w:val="clear" w:color="auto" w:fill="auto"/>
            <w:noWrap/>
            <w:vAlign w:val="center"/>
            <w:hideMark/>
          </w:tcPr>
          <w:p w14:paraId="087B720D"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02D30A6F" w14:textId="40B255F4"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p>
        </w:tc>
        <w:tc>
          <w:tcPr>
            <w:tcW w:w="687" w:type="pct"/>
            <w:tcBorders>
              <w:top w:val="nil"/>
              <w:left w:val="nil"/>
              <w:bottom w:val="nil"/>
              <w:right w:val="nil"/>
            </w:tcBorders>
            <w:shd w:val="clear" w:color="auto" w:fill="auto"/>
            <w:noWrap/>
            <w:vAlign w:val="center"/>
            <w:hideMark/>
          </w:tcPr>
          <w:p w14:paraId="7543F028" w14:textId="329733B8"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p>
        </w:tc>
      </w:tr>
      <w:tr w:rsidR="00997919" w:rsidRPr="00997919" w14:paraId="601A146A" w14:textId="77777777" w:rsidTr="00997919">
        <w:trPr>
          <w:trHeight w:hRule="exact" w:val="225"/>
        </w:trPr>
        <w:tc>
          <w:tcPr>
            <w:tcW w:w="686" w:type="pct"/>
            <w:tcBorders>
              <w:top w:val="nil"/>
              <w:left w:val="nil"/>
              <w:bottom w:val="nil"/>
              <w:right w:val="nil"/>
            </w:tcBorders>
            <w:shd w:val="clear" w:color="auto" w:fill="auto"/>
            <w:noWrap/>
            <w:vAlign w:val="center"/>
            <w:hideMark/>
          </w:tcPr>
          <w:p w14:paraId="09095C11"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2.25</w:t>
            </w:r>
          </w:p>
        </w:tc>
        <w:tc>
          <w:tcPr>
            <w:tcW w:w="808" w:type="pct"/>
            <w:tcBorders>
              <w:top w:val="nil"/>
              <w:left w:val="nil"/>
              <w:bottom w:val="nil"/>
              <w:right w:val="nil"/>
            </w:tcBorders>
            <w:shd w:val="clear" w:color="auto" w:fill="auto"/>
            <w:noWrap/>
            <w:vAlign w:val="center"/>
            <w:hideMark/>
          </w:tcPr>
          <w:p w14:paraId="471D9E17" w14:textId="425B6F32"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r w:rsidR="00B57616">
              <w:rPr>
                <w:rFonts w:ascii="Arial" w:hAnsi="Arial" w:cs="Arial"/>
                <w:sz w:val="16"/>
                <w:szCs w:val="16"/>
              </w:rPr>
              <w:noBreakHyphen/>
            </w:r>
            <w:r w:rsidRPr="00997919">
              <w:rPr>
                <w:rFonts w:ascii="Arial" w:hAnsi="Arial" w:cs="Arial"/>
                <w:sz w:val="16"/>
                <w:szCs w:val="16"/>
              </w:rPr>
              <w:t>28</w:t>
            </w:r>
          </w:p>
        </w:tc>
        <w:tc>
          <w:tcPr>
            <w:tcW w:w="1013" w:type="pct"/>
            <w:tcBorders>
              <w:top w:val="nil"/>
              <w:left w:val="nil"/>
              <w:bottom w:val="nil"/>
              <w:right w:val="nil"/>
            </w:tcBorders>
            <w:shd w:val="clear" w:color="auto" w:fill="auto"/>
            <w:noWrap/>
            <w:vAlign w:val="center"/>
            <w:hideMark/>
          </w:tcPr>
          <w:p w14:paraId="5646AEBF"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32,500</w:t>
            </w:r>
          </w:p>
        </w:tc>
        <w:tc>
          <w:tcPr>
            <w:tcW w:w="1119" w:type="pct"/>
            <w:tcBorders>
              <w:top w:val="nil"/>
              <w:left w:val="nil"/>
              <w:bottom w:val="nil"/>
              <w:right w:val="nil"/>
            </w:tcBorders>
            <w:shd w:val="clear" w:color="auto" w:fill="auto"/>
            <w:noWrap/>
            <w:vAlign w:val="center"/>
            <w:hideMark/>
          </w:tcPr>
          <w:p w14:paraId="70AABFC8"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618C5929" w14:textId="6454BEFB"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p>
        </w:tc>
        <w:tc>
          <w:tcPr>
            <w:tcW w:w="687" w:type="pct"/>
            <w:tcBorders>
              <w:top w:val="nil"/>
              <w:left w:val="nil"/>
              <w:bottom w:val="nil"/>
              <w:right w:val="nil"/>
            </w:tcBorders>
            <w:shd w:val="clear" w:color="auto" w:fill="auto"/>
            <w:noWrap/>
            <w:vAlign w:val="center"/>
            <w:hideMark/>
          </w:tcPr>
          <w:p w14:paraId="60455D53" w14:textId="12E7A056"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p>
        </w:tc>
      </w:tr>
      <w:tr w:rsidR="00997919" w:rsidRPr="00997919" w14:paraId="0719F3C9" w14:textId="77777777" w:rsidTr="00997919">
        <w:trPr>
          <w:trHeight w:hRule="exact" w:val="225"/>
        </w:trPr>
        <w:tc>
          <w:tcPr>
            <w:tcW w:w="686" w:type="pct"/>
            <w:tcBorders>
              <w:top w:val="nil"/>
              <w:left w:val="nil"/>
              <w:bottom w:val="nil"/>
              <w:right w:val="nil"/>
            </w:tcBorders>
            <w:shd w:val="clear" w:color="auto" w:fill="auto"/>
            <w:noWrap/>
            <w:vAlign w:val="center"/>
            <w:hideMark/>
          </w:tcPr>
          <w:p w14:paraId="638E097C"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2.75</w:t>
            </w:r>
          </w:p>
        </w:tc>
        <w:tc>
          <w:tcPr>
            <w:tcW w:w="808" w:type="pct"/>
            <w:tcBorders>
              <w:top w:val="nil"/>
              <w:left w:val="nil"/>
              <w:bottom w:val="nil"/>
              <w:right w:val="nil"/>
            </w:tcBorders>
            <w:shd w:val="clear" w:color="auto" w:fill="auto"/>
            <w:noWrap/>
            <w:vAlign w:val="center"/>
            <w:hideMark/>
          </w:tcPr>
          <w:p w14:paraId="5B0ED83A" w14:textId="04D02744"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r w:rsidR="00B57616">
              <w:rPr>
                <w:rFonts w:ascii="Arial" w:hAnsi="Arial" w:cs="Arial"/>
                <w:sz w:val="16"/>
                <w:szCs w:val="16"/>
              </w:rPr>
              <w:noBreakHyphen/>
            </w:r>
            <w:r w:rsidRPr="00997919">
              <w:rPr>
                <w:rFonts w:ascii="Arial" w:hAnsi="Arial" w:cs="Arial"/>
                <w:sz w:val="16"/>
                <w:szCs w:val="16"/>
              </w:rPr>
              <w:t>28</w:t>
            </w:r>
          </w:p>
        </w:tc>
        <w:tc>
          <w:tcPr>
            <w:tcW w:w="1013" w:type="pct"/>
            <w:tcBorders>
              <w:top w:val="nil"/>
              <w:left w:val="nil"/>
              <w:bottom w:val="nil"/>
              <w:right w:val="nil"/>
            </w:tcBorders>
            <w:shd w:val="clear" w:color="auto" w:fill="auto"/>
            <w:noWrap/>
            <w:vAlign w:val="center"/>
            <w:hideMark/>
          </w:tcPr>
          <w:p w14:paraId="6389FE69"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35,600</w:t>
            </w:r>
          </w:p>
        </w:tc>
        <w:tc>
          <w:tcPr>
            <w:tcW w:w="1119" w:type="pct"/>
            <w:tcBorders>
              <w:top w:val="nil"/>
              <w:left w:val="nil"/>
              <w:bottom w:val="nil"/>
              <w:right w:val="nil"/>
            </w:tcBorders>
            <w:shd w:val="clear" w:color="auto" w:fill="auto"/>
            <w:noWrap/>
            <w:vAlign w:val="center"/>
            <w:hideMark/>
          </w:tcPr>
          <w:p w14:paraId="3FF1FE14"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41AD0960" w14:textId="62F2465A"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p>
        </w:tc>
        <w:tc>
          <w:tcPr>
            <w:tcW w:w="687" w:type="pct"/>
            <w:tcBorders>
              <w:top w:val="nil"/>
              <w:left w:val="nil"/>
              <w:bottom w:val="nil"/>
              <w:right w:val="nil"/>
            </w:tcBorders>
            <w:shd w:val="clear" w:color="auto" w:fill="auto"/>
            <w:noWrap/>
            <w:vAlign w:val="center"/>
            <w:hideMark/>
          </w:tcPr>
          <w:p w14:paraId="264D85FD" w14:textId="24A84A15"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p>
        </w:tc>
      </w:tr>
      <w:tr w:rsidR="00997919" w:rsidRPr="00997919" w14:paraId="188FAABD" w14:textId="77777777" w:rsidTr="00997919">
        <w:trPr>
          <w:trHeight w:hRule="exact" w:val="225"/>
        </w:trPr>
        <w:tc>
          <w:tcPr>
            <w:tcW w:w="686" w:type="pct"/>
            <w:tcBorders>
              <w:top w:val="nil"/>
              <w:left w:val="nil"/>
              <w:bottom w:val="nil"/>
              <w:right w:val="nil"/>
            </w:tcBorders>
            <w:shd w:val="clear" w:color="auto" w:fill="auto"/>
            <w:noWrap/>
            <w:vAlign w:val="center"/>
            <w:hideMark/>
          </w:tcPr>
          <w:p w14:paraId="09AA1454"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3.25</w:t>
            </w:r>
          </w:p>
        </w:tc>
        <w:tc>
          <w:tcPr>
            <w:tcW w:w="808" w:type="pct"/>
            <w:tcBorders>
              <w:top w:val="nil"/>
              <w:left w:val="nil"/>
              <w:bottom w:val="nil"/>
              <w:right w:val="nil"/>
            </w:tcBorders>
            <w:shd w:val="clear" w:color="auto" w:fill="auto"/>
            <w:noWrap/>
            <w:vAlign w:val="center"/>
            <w:hideMark/>
          </w:tcPr>
          <w:p w14:paraId="5CDA97BB" w14:textId="21544F68"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Apr</w:t>
            </w:r>
            <w:r w:rsidR="00B57616">
              <w:rPr>
                <w:rFonts w:ascii="Arial" w:hAnsi="Arial" w:cs="Arial"/>
                <w:sz w:val="16"/>
                <w:szCs w:val="16"/>
              </w:rPr>
              <w:noBreakHyphen/>
            </w:r>
            <w:r w:rsidRPr="00997919">
              <w:rPr>
                <w:rFonts w:ascii="Arial" w:hAnsi="Arial" w:cs="Arial"/>
                <w:sz w:val="16"/>
                <w:szCs w:val="16"/>
              </w:rPr>
              <w:t>29</w:t>
            </w:r>
          </w:p>
        </w:tc>
        <w:tc>
          <w:tcPr>
            <w:tcW w:w="1013" w:type="pct"/>
            <w:tcBorders>
              <w:top w:val="nil"/>
              <w:left w:val="nil"/>
              <w:bottom w:val="nil"/>
              <w:right w:val="nil"/>
            </w:tcBorders>
            <w:shd w:val="clear" w:color="auto" w:fill="auto"/>
            <w:noWrap/>
            <w:vAlign w:val="center"/>
            <w:hideMark/>
          </w:tcPr>
          <w:p w14:paraId="48FBCA22"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36,600</w:t>
            </w:r>
          </w:p>
        </w:tc>
        <w:tc>
          <w:tcPr>
            <w:tcW w:w="1119" w:type="pct"/>
            <w:tcBorders>
              <w:top w:val="nil"/>
              <w:left w:val="nil"/>
              <w:bottom w:val="nil"/>
              <w:right w:val="nil"/>
            </w:tcBorders>
            <w:shd w:val="clear" w:color="auto" w:fill="auto"/>
            <w:noWrap/>
            <w:vAlign w:val="center"/>
            <w:hideMark/>
          </w:tcPr>
          <w:p w14:paraId="7E865516"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027B2BED" w14:textId="045323A6"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Apr</w:t>
            </w:r>
          </w:p>
        </w:tc>
        <w:tc>
          <w:tcPr>
            <w:tcW w:w="687" w:type="pct"/>
            <w:tcBorders>
              <w:top w:val="nil"/>
              <w:left w:val="nil"/>
              <w:bottom w:val="nil"/>
              <w:right w:val="nil"/>
            </w:tcBorders>
            <w:shd w:val="clear" w:color="auto" w:fill="auto"/>
            <w:noWrap/>
            <w:vAlign w:val="center"/>
            <w:hideMark/>
          </w:tcPr>
          <w:p w14:paraId="4A50CB2F" w14:textId="6F2267EE"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Oct</w:t>
            </w:r>
          </w:p>
        </w:tc>
      </w:tr>
      <w:tr w:rsidR="00997919" w:rsidRPr="00997919" w14:paraId="68C2BD05" w14:textId="77777777" w:rsidTr="00997919">
        <w:trPr>
          <w:trHeight w:hRule="exact" w:val="225"/>
        </w:trPr>
        <w:tc>
          <w:tcPr>
            <w:tcW w:w="686" w:type="pct"/>
            <w:tcBorders>
              <w:top w:val="nil"/>
              <w:left w:val="nil"/>
              <w:bottom w:val="nil"/>
              <w:right w:val="nil"/>
            </w:tcBorders>
            <w:shd w:val="clear" w:color="auto" w:fill="auto"/>
            <w:noWrap/>
            <w:vAlign w:val="center"/>
            <w:hideMark/>
          </w:tcPr>
          <w:p w14:paraId="5A95C4EA"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2.75</w:t>
            </w:r>
          </w:p>
        </w:tc>
        <w:tc>
          <w:tcPr>
            <w:tcW w:w="808" w:type="pct"/>
            <w:tcBorders>
              <w:top w:val="nil"/>
              <w:left w:val="nil"/>
              <w:bottom w:val="nil"/>
              <w:right w:val="nil"/>
            </w:tcBorders>
            <w:shd w:val="clear" w:color="auto" w:fill="auto"/>
            <w:noWrap/>
            <w:vAlign w:val="center"/>
            <w:hideMark/>
          </w:tcPr>
          <w:p w14:paraId="3EB01DF3" w14:textId="05065CE0"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r w:rsidR="00B57616">
              <w:rPr>
                <w:rFonts w:ascii="Arial" w:hAnsi="Arial" w:cs="Arial"/>
                <w:sz w:val="16"/>
                <w:szCs w:val="16"/>
              </w:rPr>
              <w:noBreakHyphen/>
            </w:r>
            <w:r w:rsidRPr="00997919">
              <w:rPr>
                <w:rFonts w:ascii="Arial" w:hAnsi="Arial" w:cs="Arial"/>
                <w:sz w:val="16"/>
                <w:szCs w:val="16"/>
              </w:rPr>
              <w:t>29</w:t>
            </w:r>
          </w:p>
        </w:tc>
        <w:tc>
          <w:tcPr>
            <w:tcW w:w="1013" w:type="pct"/>
            <w:tcBorders>
              <w:top w:val="nil"/>
              <w:left w:val="nil"/>
              <w:bottom w:val="nil"/>
              <w:right w:val="nil"/>
            </w:tcBorders>
            <w:shd w:val="clear" w:color="auto" w:fill="auto"/>
            <w:noWrap/>
            <w:vAlign w:val="center"/>
            <w:hideMark/>
          </w:tcPr>
          <w:p w14:paraId="0579BE0F"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35,500</w:t>
            </w:r>
          </w:p>
        </w:tc>
        <w:tc>
          <w:tcPr>
            <w:tcW w:w="1119" w:type="pct"/>
            <w:tcBorders>
              <w:top w:val="nil"/>
              <w:left w:val="nil"/>
              <w:bottom w:val="nil"/>
              <w:right w:val="nil"/>
            </w:tcBorders>
            <w:shd w:val="clear" w:color="auto" w:fill="auto"/>
            <w:noWrap/>
            <w:vAlign w:val="center"/>
            <w:hideMark/>
          </w:tcPr>
          <w:p w14:paraId="2A7D0391"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18FE9B68" w14:textId="2026D692"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p>
        </w:tc>
        <w:tc>
          <w:tcPr>
            <w:tcW w:w="687" w:type="pct"/>
            <w:tcBorders>
              <w:top w:val="nil"/>
              <w:left w:val="nil"/>
              <w:bottom w:val="nil"/>
              <w:right w:val="nil"/>
            </w:tcBorders>
            <w:shd w:val="clear" w:color="auto" w:fill="auto"/>
            <w:noWrap/>
            <w:vAlign w:val="center"/>
            <w:hideMark/>
          </w:tcPr>
          <w:p w14:paraId="7A9CB46D" w14:textId="2D6680A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p>
        </w:tc>
      </w:tr>
      <w:tr w:rsidR="00997919" w:rsidRPr="00997919" w14:paraId="75C8083F" w14:textId="77777777" w:rsidTr="00997919">
        <w:trPr>
          <w:trHeight w:hRule="exact" w:val="225"/>
        </w:trPr>
        <w:tc>
          <w:tcPr>
            <w:tcW w:w="686" w:type="pct"/>
            <w:tcBorders>
              <w:top w:val="nil"/>
              <w:left w:val="nil"/>
              <w:bottom w:val="nil"/>
              <w:right w:val="nil"/>
            </w:tcBorders>
            <w:shd w:val="clear" w:color="auto" w:fill="auto"/>
            <w:noWrap/>
            <w:vAlign w:val="center"/>
            <w:hideMark/>
          </w:tcPr>
          <w:p w14:paraId="11DA59BD"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2.50</w:t>
            </w:r>
          </w:p>
        </w:tc>
        <w:tc>
          <w:tcPr>
            <w:tcW w:w="808" w:type="pct"/>
            <w:tcBorders>
              <w:top w:val="nil"/>
              <w:left w:val="nil"/>
              <w:bottom w:val="nil"/>
              <w:right w:val="nil"/>
            </w:tcBorders>
            <w:shd w:val="clear" w:color="auto" w:fill="auto"/>
            <w:noWrap/>
            <w:vAlign w:val="center"/>
            <w:hideMark/>
          </w:tcPr>
          <w:p w14:paraId="00B150E0" w14:textId="38034C0F"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r w:rsidR="00B57616">
              <w:rPr>
                <w:rFonts w:ascii="Arial" w:hAnsi="Arial" w:cs="Arial"/>
                <w:sz w:val="16"/>
                <w:szCs w:val="16"/>
              </w:rPr>
              <w:noBreakHyphen/>
            </w:r>
            <w:r w:rsidRPr="00997919">
              <w:rPr>
                <w:rFonts w:ascii="Arial" w:hAnsi="Arial" w:cs="Arial"/>
                <w:sz w:val="16"/>
                <w:szCs w:val="16"/>
              </w:rPr>
              <w:t>30</w:t>
            </w:r>
          </w:p>
        </w:tc>
        <w:tc>
          <w:tcPr>
            <w:tcW w:w="1013" w:type="pct"/>
            <w:tcBorders>
              <w:top w:val="nil"/>
              <w:left w:val="nil"/>
              <w:bottom w:val="nil"/>
              <w:right w:val="nil"/>
            </w:tcBorders>
            <w:shd w:val="clear" w:color="auto" w:fill="auto"/>
            <w:noWrap/>
            <w:vAlign w:val="center"/>
            <w:hideMark/>
          </w:tcPr>
          <w:p w14:paraId="2D78511B"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37,900</w:t>
            </w:r>
          </w:p>
        </w:tc>
        <w:tc>
          <w:tcPr>
            <w:tcW w:w="1119" w:type="pct"/>
            <w:tcBorders>
              <w:top w:val="nil"/>
              <w:left w:val="nil"/>
              <w:bottom w:val="nil"/>
              <w:right w:val="nil"/>
            </w:tcBorders>
            <w:shd w:val="clear" w:color="auto" w:fill="auto"/>
            <w:noWrap/>
            <w:vAlign w:val="center"/>
            <w:hideMark/>
          </w:tcPr>
          <w:p w14:paraId="7BCC4755"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66D97B01" w14:textId="47003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p>
        </w:tc>
        <w:tc>
          <w:tcPr>
            <w:tcW w:w="687" w:type="pct"/>
            <w:tcBorders>
              <w:top w:val="nil"/>
              <w:left w:val="nil"/>
              <w:bottom w:val="nil"/>
              <w:right w:val="nil"/>
            </w:tcBorders>
            <w:shd w:val="clear" w:color="auto" w:fill="auto"/>
            <w:noWrap/>
            <w:vAlign w:val="center"/>
            <w:hideMark/>
          </w:tcPr>
          <w:p w14:paraId="4050C5FB" w14:textId="74AD3DEE"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p>
        </w:tc>
      </w:tr>
      <w:tr w:rsidR="00997919" w:rsidRPr="00997919" w14:paraId="6067F992" w14:textId="77777777" w:rsidTr="00997919">
        <w:trPr>
          <w:trHeight w:hRule="exact" w:val="225"/>
        </w:trPr>
        <w:tc>
          <w:tcPr>
            <w:tcW w:w="686" w:type="pct"/>
            <w:tcBorders>
              <w:top w:val="nil"/>
              <w:left w:val="nil"/>
              <w:bottom w:val="nil"/>
              <w:right w:val="nil"/>
            </w:tcBorders>
            <w:shd w:val="clear" w:color="auto" w:fill="auto"/>
            <w:noWrap/>
            <w:vAlign w:val="center"/>
            <w:hideMark/>
          </w:tcPr>
          <w:p w14:paraId="15F13F77"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1.00</w:t>
            </w:r>
          </w:p>
        </w:tc>
        <w:tc>
          <w:tcPr>
            <w:tcW w:w="808" w:type="pct"/>
            <w:tcBorders>
              <w:top w:val="nil"/>
              <w:left w:val="nil"/>
              <w:bottom w:val="nil"/>
              <w:right w:val="nil"/>
            </w:tcBorders>
            <w:shd w:val="clear" w:color="auto" w:fill="auto"/>
            <w:noWrap/>
            <w:vAlign w:val="center"/>
            <w:hideMark/>
          </w:tcPr>
          <w:p w14:paraId="631C8554" w14:textId="4EB663FA"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Dec</w:t>
            </w:r>
            <w:r w:rsidR="00B57616">
              <w:rPr>
                <w:rFonts w:ascii="Arial" w:hAnsi="Arial" w:cs="Arial"/>
                <w:sz w:val="16"/>
                <w:szCs w:val="16"/>
              </w:rPr>
              <w:noBreakHyphen/>
            </w:r>
            <w:r w:rsidRPr="00997919">
              <w:rPr>
                <w:rFonts w:ascii="Arial" w:hAnsi="Arial" w:cs="Arial"/>
                <w:sz w:val="16"/>
                <w:szCs w:val="16"/>
              </w:rPr>
              <w:t>30</w:t>
            </w:r>
          </w:p>
        </w:tc>
        <w:tc>
          <w:tcPr>
            <w:tcW w:w="1013" w:type="pct"/>
            <w:tcBorders>
              <w:top w:val="nil"/>
              <w:left w:val="nil"/>
              <w:bottom w:val="nil"/>
              <w:right w:val="nil"/>
            </w:tcBorders>
            <w:shd w:val="clear" w:color="auto" w:fill="auto"/>
            <w:noWrap/>
            <w:vAlign w:val="center"/>
            <w:hideMark/>
          </w:tcPr>
          <w:p w14:paraId="5833E432"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39,500</w:t>
            </w:r>
          </w:p>
        </w:tc>
        <w:tc>
          <w:tcPr>
            <w:tcW w:w="1119" w:type="pct"/>
            <w:tcBorders>
              <w:top w:val="nil"/>
              <w:left w:val="nil"/>
              <w:bottom w:val="nil"/>
              <w:right w:val="nil"/>
            </w:tcBorders>
            <w:shd w:val="clear" w:color="auto" w:fill="auto"/>
            <w:noWrap/>
            <w:vAlign w:val="center"/>
            <w:hideMark/>
          </w:tcPr>
          <w:p w14:paraId="59C63598"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2402E37C" w14:textId="465E5E25"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Dec</w:t>
            </w:r>
          </w:p>
        </w:tc>
        <w:tc>
          <w:tcPr>
            <w:tcW w:w="687" w:type="pct"/>
            <w:tcBorders>
              <w:top w:val="nil"/>
              <w:left w:val="nil"/>
              <w:bottom w:val="nil"/>
              <w:right w:val="nil"/>
            </w:tcBorders>
            <w:shd w:val="clear" w:color="auto" w:fill="auto"/>
            <w:noWrap/>
            <w:vAlign w:val="center"/>
            <w:hideMark/>
          </w:tcPr>
          <w:p w14:paraId="1DDDC8AB" w14:textId="3B364453"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Jun</w:t>
            </w:r>
          </w:p>
        </w:tc>
      </w:tr>
      <w:tr w:rsidR="00997919" w:rsidRPr="00997919" w14:paraId="3BF4CB09" w14:textId="77777777" w:rsidTr="00997919">
        <w:trPr>
          <w:trHeight w:hRule="exact" w:val="225"/>
        </w:trPr>
        <w:tc>
          <w:tcPr>
            <w:tcW w:w="686" w:type="pct"/>
            <w:tcBorders>
              <w:top w:val="nil"/>
              <w:left w:val="nil"/>
              <w:bottom w:val="nil"/>
              <w:right w:val="nil"/>
            </w:tcBorders>
            <w:shd w:val="clear" w:color="auto" w:fill="auto"/>
            <w:noWrap/>
            <w:vAlign w:val="center"/>
            <w:hideMark/>
          </w:tcPr>
          <w:p w14:paraId="0FDE51C0"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1.50</w:t>
            </w:r>
          </w:p>
        </w:tc>
        <w:tc>
          <w:tcPr>
            <w:tcW w:w="808" w:type="pct"/>
            <w:tcBorders>
              <w:top w:val="nil"/>
              <w:left w:val="nil"/>
              <w:bottom w:val="nil"/>
              <w:right w:val="nil"/>
            </w:tcBorders>
            <w:shd w:val="clear" w:color="auto" w:fill="auto"/>
            <w:noWrap/>
            <w:vAlign w:val="center"/>
            <w:hideMark/>
          </w:tcPr>
          <w:p w14:paraId="5EF2E1F4" w14:textId="25CD4075"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Jun</w:t>
            </w:r>
            <w:r w:rsidR="00B57616">
              <w:rPr>
                <w:rFonts w:ascii="Arial" w:hAnsi="Arial" w:cs="Arial"/>
                <w:sz w:val="16"/>
                <w:szCs w:val="16"/>
              </w:rPr>
              <w:noBreakHyphen/>
            </w:r>
            <w:r w:rsidRPr="00997919">
              <w:rPr>
                <w:rFonts w:ascii="Arial" w:hAnsi="Arial" w:cs="Arial"/>
                <w:sz w:val="16"/>
                <w:szCs w:val="16"/>
              </w:rPr>
              <w:t>31</w:t>
            </w:r>
          </w:p>
        </w:tc>
        <w:tc>
          <w:tcPr>
            <w:tcW w:w="1013" w:type="pct"/>
            <w:tcBorders>
              <w:top w:val="nil"/>
              <w:left w:val="nil"/>
              <w:bottom w:val="nil"/>
              <w:right w:val="nil"/>
            </w:tcBorders>
            <w:shd w:val="clear" w:color="auto" w:fill="auto"/>
            <w:noWrap/>
            <w:vAlign w:val="center"/>
            <w:hideMark/>
          </w:tcPr>
          <w:p w14:paraId="26D3381E"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38,100</w:t>
            </w:r>
          </w:p>
        </w:tc>
        <w:tc>
          <w:tcPr>
            <w:tcW w:w="1119" w:type="pct"/>
            <w:tcBorders>
              <w:top w:val="nil"/>
              <w:left w:val="nil"/>
              <w:bottom w:val="nil"/>
              <w:right w:val="nil"/>
            </w:tcBorders>
            <w:shd w:val="clear" w:color="auto" w:fill="auto"/>
            <w:noWrap/>
            <w:vAlign w:val="center"/>
            <w:hideMark/>
          </w:tcPr>
          <w:p w14:paraId="101C8EA6"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32992F2D" w14:textId="6D4AC4D2"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Jun</w:t>
            </w:r>
          </w:p>
        </w:tc>
        <w:tc>
          <w:tcPr>
            <w:tcW w:w="687" w:type="pct"/>
            <w:tcBorders>
              <w:top w:val="nil"/>
              <w:left w:val="nil"/>
              <w:bottom w:val="nil"/>
              <w:right w:val="nil"/>
            </w:tcBorders>
            <w:shd w:val="clear" w:color="auto" w:fill="auto"/>
            <w:noWrap/>
            <w:vAlign w:val="center"/>
            <w:hideMark/>
          </w:tcPr>
          <w:p w14:paraId="39B3A604" w14:textId="5048E912"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Dec</w:t>
            </w:r>
          </w:p>
        </w:tc>
      </w:tr>
      <w:tr w:rsidR="00997919" w:rsidRPr="00997919" w14:paraId="131FFD91" w14:textId="77777777" w:rsidTr="00997919">
        <w:trPr>
          <w:trHeight w:hRule="exact" w:val="225"/>
        </w:trPr>
        <w:tc>
          <w:tcPr>
            <w:tcW w:w="686" w:type="pct"/>
            <w:tcBorders>
              <w:top w:val="nil"/>
              <w:left w:val="nil"/>
              <w:bottom w:val="nil"/>
              <w:right w:val="nil"/>
            </w:tcBorders>
            <w:shd w:val="clear" w:color="auto" w:fill="auto"/>
            <w:noWrap/>
            <w:vAlign w:val="center"/>
            <w:hideMark/>
          </w:tcPr>
          <w:p w14:paraId="391DDB1B"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1.00</w:t>
            </w:r>
          </w:p>
        </w:tc>
        <w:tc>
          <w:tcPr>
            <w:tcW w:w="808" w:type="pct"/>
            <w:tcBorders>
              <w:top w:val="nil"/>
              <w:left w:val="nil"/>
              <w:bottom w:val="nil"/>
              <w:right w:val="nil"/>
            </w:tcBorders>
            <w:shd w:val="clear" w:color="auto" w:fill="auto"/>
            <w:noWrap/>
            <w:vAlign w:val="center"/>
            <w:hideMark/>
          </w:tcPr>
          <w:p w14:paraId="496B758C" w14:textId="27C55FD3"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r w:rsidR="00B57616">
              <w:rPr>
                <w:rFonts w:ascii="Arial" w:hAnsi="Arial" w:cs="Arial"/>
                <w:sz w:val="16"/>
                <w:szCs w:val="16"/>
              </w:rPr>
              <w:noBreakHyphen/>
            </w:r>
            <w:r w:rsidRPr="00997919">
              <w:rPr>
                <w:rFonts w:ascii="Arial" w:hAnsi="Arial" w:cs="Arial"/>
                <w:sz w:val="16"/>
                <w:szCs w:val="16"/>
              </w:rPr>
              <w:t>31</w:t>
            </w:r>
          </w:p>
        </w:tc>
        <w:tc>
          <w:tcPr>
            <w:tcW w:w="1013" w:type="pct"/>
            <w:tcBorders>
              <w:top w:val="nil"/>
              <w:left w:val="nil"/>
              <w:bottom w:val="nil"/>
              <w:right w:val="nil"/>
            </w:tcBorders>
            <w:shd w:val="clear" w:color="auto" w:fill="auto"/>
            <w:noWrap/>
            <w:vAlign w:val="center"/>
            <w:hideMark/>
          </w:tcPr>
          <w:p w14:paraId="3A89546D"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41,800</w:t>
            </w:r>
          </w:p>
        </w:tc>
        <w:tc>
          <w:tcPr>
            <w:tcW w:w="1119" w:type="pct"/>
            <w:tcBorders>
              <w:top w:val="nil"/>
              <w:left w:val="nil"/>
              <w:bottom w:val="nil"/>
              <w:right w:val="nil"/>
            </w:tcBorders>
            <w:shd w:val="clear" w:color="auto" w:fill="auto"/>
            <w:noWrap/>
            <w:vAlign w:val="center"/>
            <w:hideMark/>
          </w:tcPr>
          <w:p w14:paraId="4178A7E6"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4CCDF546" w14:textId="6343A433"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p>
        </w:tc>
        <w:tc>
          <w:tcPr>
            <w:tcW w:w="687" w:type="pct"/>
            <w:tcBorders>
              <w:top w:val="nil"/>
              <w:left w:val="nil"/>
              <w:bottom w:val="nil"/>
              <w:right w:val="nil"/>
            </w:tcBorders>
            <w:shd w:val="clear" w:color="auto" w:fill="auto"/>
            <w:noWrap/>
            <w:vAlign w:val="center"/>
            <w:hideMark/>
          </w:tcPr>
          <w:p w14:paraId="14476CA7" w14:textId="3895D024"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p>
        </w:tc>
      </w:tr>
      <w:tr w:rsidR="00997919" w:rsidRPr="00997919" w14:paraId="5266B8C6" w14:textId="77777777" w:rsidTr="00997919">
        <w:trPr>
          <w:trHeight w:hRule="exact" w:val="225"/>
        </w:trPr>
        <w:tc>
          <w:tcPr>
            <w:tcW w:w="686" w:type="pct"/>
            <w:tcBorders>
              <w:top w:val="nil"/>
              <w:left w:val="nil"/>
              <w:bottom w:val="nil"/>
              <w:right w:val="nil"/>
            </w:tcBorders>
            <w:shd w:val="clear" w:color="auto" w:fill="auto"/>
            <w:noWrap/>
            <w:vAlign w:val="center"/>
            <w:hideMark/>
          </w:tcPr>
          <w:p w14:paraId="4D4F4E4F"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1.25</w:t>
            </w:r>
          </w:p>
        </w:tc>
        <w:tc>
          <w:tcPr>
            <w:tcW w:w="808" w:type="pct"/>
            <w:tcBorders>
              <w:top w:val="nil"/>
              <w:left w:val="nil"/>
              <w:bottom w:val="nil"/>
              <w:right w:val="nil"/>
            </w:tcBorders>
            <w:shd w:val="clear" w:color="auto" w:fill="auto"/>
            <w:noWrap/>
            <w:vAlign w:val="center"/>
            <w:hideMark/>
          </w:tcPr>
          <w:p w14:paraId="767C1419" w14:textId="461263D0"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r w:rsidR="00B57616">
              <w:rPr>
                <w:rFonts w:ascii="Arial" w:hAnsi="Arial" w:cs="Arial"/>
                <w:sz w:val="16"/>
                <w:szCs w:val="16"/>
              </w:rPr>
              <w:noBreakHyphen/>
            </w:r>
            <w:r w:rsidRPr="00997919">
              <w:rPr>
                <w:rFonts w:ascii="Arial" w:hAnsi="Arial" w:cs="Arial"/>
                <w:sz w:val="16"/>
                <w:szCs w:val="16"/>
              </w:rPr>
              <w:t>32</w:t>
            </w:r>
          </w:p>
        </w:tc>
        <w:tc>
          <w:tcPr>
            <w:tcW w:w="1013" w:type="pct"/>
            <w:tcBorders>
              <w:top w:val="nil"/>
              <w:left w:val="nil"/>
              <w:bottom w:val="nil"/>
              <w:right w:val="nil"/>
            </w:tcBorders>
            <w:shd w:val="clear" w:color="auto" w:fill="auto"/>
            <w:noWrap/>
            <w:vAlign w:val="center"/>
            <w:hideMark/>
          </w:tcPr>
          <w:p w14:paraId="111BF666"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39,300</w:t>
            </w:r>
          </w:p>
        </w:tc>
        <w:tc>
          <w:tcPr>
            <w:tcW w:w="1119" w:type="pct"/>
            <w:tcBorders>
              <w:top w:val="nil"/>
              <w:left w:val="nil"/>
              <w:bottom w:val="nil"/>
              <w:right w:val="nil"/>
            </w:tcBorders>
            <w:shd w:val="clear" w:color="auto" w:fill="auto"/>
            <w:noWrap/>
            <w:vAlign w:val="center"/>
            <w:hideMark/>
          </w:tcPr>
          <w:p w14:paraId="78C86F82"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3C6AC0DE" w14:textId="7653791D"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p>
        </w:tc>
        <w:tc>
          <w:tcPr>
            <w:tcW w:w="687" w:type="pct"/>
            <w:tcBorders>
              <w:top w:val="nil"/>
              <w:left w:val="nil"/>
              <w:bottom w:val="nil"/>
              <w:right w:val="nil"/>
            </w:tcBorders>
            <w:shd w:val="clear" w:color="auto" w:fill="auto"/>
            <w:noWrap/>
            <w:vAlign w:val="center"/>
            <w:hideMark/>
          </w:tcPr>
          <w:p w14:paraId="6675DB30" w14:textId="52457EC1"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p>
        </w:tc>
      </w:tr>
      <w:tr w:rsidR="00997919" w:rsidRPr="00997919" w14:paraId="1E62A9EF" w14:textId="77777777" w:rsidTr="00997919">
        <w:trPr>
          <w:trHeight w:hRule="exact" w:val="225"/>
        </w:trPr>
        <w:tc>
          <w:tcPr>
            <w:tcW w:w="686" w:type="pct"/>
            <w:tcBorders>
              <w:top w:val="nil"/>
              <w:left w:val="nil"/>
              <w:bottom w:val="nil"/>
              <w:right w:val="nil"/>
            </w:tcBorders>
            <w:shd w:val="clear" w:color="auto" w:fill="auto"/>
            <w:noWrap/>
            <w:vAlign w:val="center"/>
            <w:hideMark/>
          </w:tcPr>
          <w:p w14:paraId="49CB52D4"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1.75</w:t>
            </w:r>
          </w:p>
        </w:tc>
        <w:tc>
          <w:tcPr>
            <w:tcW w:w="808" w:type="pct"/>
            <w:tcBorders>
              <w:top w:val="nil"/>
              <w:left w:val="nil"/>
              <w:bottom w:val="nil"/>
              <w:right w:val="nil"/>
            </w:tcBorders>
            <w:shd w:val="clear" w:color="auto" w:fill="auto"/>
            <w:noWrap/>
            <w:vAlign w:val="center"/>
            <w:hideMark/>
          </w:tcPr>
          <w:p w14:paraId="1835731F" w14:textId="1B6A2936"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r w:rsidR="00B57616">
              <w:rPr>
                <w:rFonts w:ascii="Arial" w:hAnsi="Arial" w:cs="Arial"/>
                <w:sz w:val="16"/>
                <w:szCs w:val="16"/>
              </w:rPr>
              <w:noBreakHyphen/>
            </w:r>
            <w:r w:rsidRPr="00997919">
              <w:rPr>
                <w:rFonts w:ascii="Arial" w:hAnsi="Arial" w:cs="Arial"/>
                <w:sz w:val="16"/>
                <w:szCs w:val="16"/>
              </w:rPr>
              <w:t>32</w:t>
            </w:r>
          </w:p>
        </w:tc>
        <w:tc>
          <w:tcPr>
            <w:tcW w:w="1013" w:type="pct"/>
            <w:tcBorders>
              <w:top w:val="nil"/>
              <w:left w:val="nil"/>
              <w:bottom w:val="nil"/>
              <w:right w:val="nil"/>
            </w:tcBorders>
            <w:shd w:val="clear" w:color="auto" w:fill="auto"/>
            <w:noWrap/>
            <w:vAlign w:val="center"/>
            <w:hideMark/>
          </w:tcPr>
          <w:p w14:paraId="558E3983"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29,000</w:t>
            </w:r>
          </w:p>
        </w:tc>
        <w:tc>
          <w:tcPr>
            <w:tcW w:w="1119" w:type="pct"/>
            <w:tcBorders>
              <w:top w:val="nil"/>
              <w:left w:val="nil"/>
              <w:bottom w:val="nil"/>
              <w:right w:val="nil"/>
            </w:tcBorders>
            <w:shd w:val="clear" w:color="auto" w:fill="auto"/>
            <w:noWrap/>
            <w:vAlign w:val="center"/>
            <w:hideMark/>
          </w:tcPr>
          <w:p w14:paraId="4C413AD8"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7D7B4BA7" w14:textId="088FB5AA"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p>
        </w:tc>
        <w:tc>
          <w:tcPr>
            <w:tcW w:w="687" w:type="pct"/>
            <w:tcBorders>
              <w:top w:val="nil"/>
              <w:left w:val="nil"/>
              <w:bottom w:val="nil"/>
              <w:right w:val="nil"/>
            </w:tcBorders>
            <w:shd w:val="clear" w:color="auto" w:fill="auto"/>
            <w:noWrap/>
            <w:vAlign w:val="center"/>
            <w:hideMark/>
          </w:tcPr>
          <w:p w14:paraId="7E12480A" w14:textId="01DB65A9"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p>
        </w:tc>
      </w:tr>
      <w:tr w:rsidR="00997919" w:rsidRPr="00997919" w14:paraId="2EEAF62A" w14:textId="77777777" w:rsidTr="00997919">
        <w:trPr>
          <w:trHeight w:hRule="exact" w:val="225"/>
        </w:trPr>
        <w:tc>
          <w:tcPr>
            <w:tcW w:w="686" w:type="pct"/>
            <w:tcBorders>
              <w:top w:val="nil"/>
              <w:left w:val="nil"/>
              <w:bottom w:val="nil"/>
              <w:right w:val="nil"/>
            </w:tcBorders>
            <w:shd w:val="clear" w:color="auto" w:fill="auto"/>
            <w:noWrap/>
            <w:vAlign w:val="center"/>
            <w:hideMark/>
          </w:tcPr>
          <w:p w14:paraId="4A1E0ADE"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4.50</w:t>
            </w:r>
          </w:p>
        </w:tc>
        <w:tc>
          <w:tcPr>
            <w:tcW w:w="808" w:type="pct"/>
            <w:tcBorders>
              <w:top w:val="nil"/>
              <w:left w:val="nil"/>
              <w:bottom w:val="nil"/>
              <w:right w:val="nil"/>
            </w:tcBorders>
            <w:shd w:val="clear" w:color="auto" w:fill="auto"/>
            <w:noWrap/>
            <w:vAlign w:val="center"/>
            <w:hideMark/>
          </w:tcPr>
          <w:p w14:paraId="7D93C6B4" w14:textId="3B8355D5"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Apr</w:t>
            </w:r>
            <w:r w:rsidR="00B57616">
              <w:rPr>
                <w:rFonts w:ascii="Arial" w:hAnsi="Arial" w:cs="Arial"/>
                <w:sz w:val="16"/>
                <w:szCs w:val="16"/>
              </w:rPr>
              <w:noBreakHyphen/>
            </w:r>
            <w:r w:rsidRPr="00997919">
              <w:rPr>
                <w:rFonts w:ascii="Arial" w:hAnsi="Arial" w:cs="Arial"/>
                <w:sz w:val="16"/>
                <w:szCs w:val="16"/>
              </w:rPr>
              <w:t>33</w:t>
            </w:r>
          </w:p>
        </w:tc>
        <w:tc>
          <w:tcPr>
            <w:tcW w:w="1013" w:type="pct"/>
            <w:tcBorders>
              <w:top w:val="nil"/>
              <w:left w:val="nil"/>
              <w:bottom w:val="nil"/>
              <w:right w:val="nil"/>
            </w:tcBorders>
            <w:shd w:val="clear" w:color="auto" w:fill="auto"/>
            <w:noWrap/>
            <w:vAlign w:val="center"/>
            <w:hideMark/>
          </w:tcPr>
          <w:p w14:paraId="293AE25A"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26,700</w:t>
            </w:r>
          </w:p>
        </w:tc>
        <w:tc>
          <w:tcPr>
            <w:tcW w:w="1119" w:type="pct"/>
            <w:tcBorders>
              <w:top w:val="nil"/>
              <w:left w:val="nil"/>
              <w:bottom w:val="nil"/>
              <w:right w:val="nil"/>
            </w:tcBorders>
            <w:shd w:val="clear" w:color="auto" w:fill="auto"/>
            <w:noWrap/>
            <w:vAlign w:val="center"/>
            <w:hideMark/>
          </w:tcPr>
          <w:p w14:paraId="530A4D04"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4D3986BE" w14:textId="3BB495A9"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Apr</w:t>
            </w:r>
          </w:p>
        </w:tc>
        <w:tc>
          <w:tcPr>
            <w:tcW w:w="687" w:type="pct"/>
            <w:tcBorders>
              <w:top w:val="nil"/>
              <w:left w:val="nil"/>
              <w:bottom w:val="nil"/>
              <w:right w:val="nil"/>
            </w:tcBorders>
            <w:shd w:val="clear" w:color="auto" w:fill="auto"/>
            <w:noWrap/>
            <w:vAlign w:val="center"/>
            <w:hideMark/>
          </w:tcPr>
          <w:p w14:paraId="32F2FD44" w14:textId="00CB0135"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Oct</w:t>
            </w:r>
          </w:p>
        </w:tc>
      </w:tr>
      <w:tr w:rsidR="00997919" w:rsidRPr="00997919" w14:paraId="0375296B" w14:textId="77777777" w:rsidTr="00997919">
        <w:trPr>
          <w:trHeight w:hRule="exact" w:val="225"/>
        </w:trPr>
        <w:tc>
          <w:tcPr>
            <w:tcW w:w="686" w:type="pct"/>
            <w:tcBorders>
              <w:top w:val="nil"/>
              <w:left w:val="nil"/>
              <w:bottom w:val="nil"/>
              <w:right w:val="nil"/>
            </w:tcBorders>
            <w:shd w:val="clear" w:color="auto" w:fill="auto"/>
            <w:noWrap/>
            <w:vAlign w:val="center"/>
            <w:hideMark/>
          </w:tcPr>
          <w:p w14:paraId="06F288A5"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3.00</w:t>
            </w:r>
          </w:p>
        </w:tc>
        <w:tc>
          <w:tcPr>
            <w:tcW w:w="808" w:type="pct"/>
            <w:tcBorders>
              <w:top w:val="nil"/>
              <w:left w:val="nil"/>
              <w:bottom w:val="nil"/>
              <w:right w:val="nil"/>
            </w:tcBorders>
            <w:shd w:val="clear" w:color="auto" w:fill="auto"/>
            <w:noWrap/>
            <w:vAlign w:val="center"/>
            <w:hideMark/>
          </w:tcPr>
          <w:p w14:paraId="2170DE30" w14:textId="514E4E93"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r w:rsidR="00B57616">
              <w:rPr>
                <w:rFonts w:ascii="Arial" w:hAnsi="Arial" w:cs="Arial"/>
                <w:sz w:val="16"/>
                <w:szCs w:val="16"/>
              </w:rPr>
              <w:noBreakHyphen/>
            </w:r>
            <w:r w:rsidRPr="00997919">
              <w:rPr>
                <w:rFonts w:ascii="Arial" w:hAnsi="Arial" w:cs="Arial"/>
                <w:sz w:val="16"/>
                <w:szCs w:val="16"/>
              </w:rPr>
              <w:t>33</w:t>
            </w:r>
          </w:p>
        </w:tc>
        <w:tc>
          <w:tcPr>
            <w:tcW w:w="1013" w:type="pct"/>
            <w:tcBorders>
              <w:top w:val="nil"/>
              <w:left w:val="nil"/>
              <w:bottom w:val="nil"/>
              <w:right w:val="nil"/>
            </w:tcBorders>
            <w:shd w:val="clear" w:color="auto" w:fill="auto"/>
            <w:noWrap/>
            <w:vAlign w:val="center"/>
            <w:hideMark/>
          </w:tcPr>
          <w:p w14:paraId="02088C6A"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24,100</w:t>
            </w:r>
          </w:p>
        </w:tc>
        <w:tc>
          <w:tcPr>
            <w:tcW w:w="1119" w:type="pct"/>
            <w:tcBorders>
              <w:top w:val="nil"/>
              <w:left w:val="nil"/>
              <w:bottom w:val="nil"/>
              <w:right w:val="nil"/>
            </w:tcBorders>
            <w:shd w:val="clear" w:color="auto" w:fill="auto"/>
            <w:noWrap/>
            <w:vAlign w:val="center"/>
            <w:hideMark/>
          </w:tcPr>
          <w:p w14:paraId="1CFF8218"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112EA66B" w14:textId="7D7548F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p>
        </w:tc>
        <w:tc>
          <w:tcPr>
            <w:tcW w:w="687" w:type="pct"/>
            <w:tcBorders>
              <w:top w:val="nil"/>
              <w:left w:val="nil"/>
              <w:bottom w:val="nil"/>
              <w:right w:val="nil"/>
            </w:tcBorders>
            <w:shd w:val="clear" w:color="auto" w:fill="auto"/>
            <w:noWrap/>
            <w:vAlign w:val="center"/>
            <w:hideMark/>
          </w:tcPr>
          <w:p w14:paraId="45B31D3B" w14:textId="39083631"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p>
        </w:tc>
      </w:tr>
      <w:tr w:rsidR="00997919" w:rsidRPr="00997919" w14:paraId="2FC29373" w14:textId="77777777" w:rsidTr="00997919">
        <w:trPr>
          <w:trHeight w:hRule="exact" w:val="225"/>
        </w:trPr>
        <w:tc>
          <w:tcPr>
            <w:tcW w:w="686" w:type="pct"/>
            <w:tcBorders>
              <w:top w:val="nil"/>
              <w:left w:val="nil"/>
              <w:bottom w:val="nil"/>
              <w:right w:val="nil"/>
            </w:tcBorders>
            <w:shd w:val="clear" w:color="auto" w:fill="auto"/>
            <w:noWrap/>
            <w:vAlign w:val="center"/>
            <w:hideMark/>
          </w:tcPr>
          <w:p w14:paraId="40C29E33"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3.75</w:t>
            </w:r>
          </w:p>
        </w:tc>
        <w:tc>
          <w:tcPr>
            <w:tcW w:w="808" w:type="pct"/>
            <w:tcBorders>
              <w:top w:val="nil"/>
              <w:left w:val="nil"/>
              <w:bottom w:val="nil"/>
              <w:right w:val="nil"/>
            </w:tcBorders>
            <w:shd w:val="clear" w:color="auto" w:fill="auto"/>
            <w:noWrap/>
            <w:vAlign w:val="center"/>
            <w:hideMark/>
          </w:tcPr>
          <w:p w14:paraId="053BEA71" w14:textId="7DBAFC66"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r w:rsidR="00B57616">
              <w:rPr>
                <w:rFonts w:ascii="Arial" w:hAnsi="Arial" w:cs="Arial"/>
                <w:sz w:val="16"/>
                <w:szCs w:val="16"/>
              </w:rPr>
              <w:noBreakHyphen/>
            </w:r>
            <w:r w:rsidRPr="00997919">
              <w:rPr>
                <w:rFonts w:ascii="Arial" w:hAnsi="Arial" w:cs="Arial"/>
                <w:sz w:val="16"/>
                <w:szCs w:val="16"/>
              </w:rPr>
              <w:t>34</w:t>
            </w:r>
          </w:p>
        </w:tc>
        <w:tc>
          <w:tcPr>
            <w:tcW w:w="1013" w:type="pct"/>
            <w:tcBorders>
              <w:top w:val="nil"/>
              <w:left w:val="nil"/>
              <w:bottom w:val="nil"/>
              <w:right w:val="nil"/>
            </w:tcBorders>
            <w:shd w:val="clear" w:color="auto" w:fill="auto"/>
            <w:noWrap/>
            <w:vAlign w:val="center"/>
            <w:hideMark/>
          </w:tcPr>
          <w:p w14:paraId="669D9158"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21,200</w:t>
            </w:r>
          </w:p>
        </w:tc>
        <w:tc>
          <w:tcPr>
            <w:tcW w:w="1119" w:type="pct"/>
            <w:tcBorders>
              <w:top w:val="nil"/>
              <w:left w:val="nil"/>
              <w:bottom w:val="nil"/>
              <w:right w:val="nil"/>
            </w:tcBorders>
            <w:shd w:val="clear" w:color="auto" w:fill="auto"/>
            <w:noWrap/>
            <w:vAlign w:val="center"/>
            <w:hideMark/>
          </w:tcPr>
          <w:p w14:paraId="45DDC1D2"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676181DC" w14:textId="6EBBBA8C"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p>
        </w:tc>
        <w:tc>
          <w:tcPr>
            <w:tcW w:w="687" w:type="pct"/>
            <w:tcBorders>
              <w:top w:val="nil"/>
              <w:left w:val="nil"/>
              <w:bottom w:val="nil"/>
              <w:right w:val="nil"/>
            </w:tcBorders>
            <w:shd w:val="clear" w:color="auto" w:fill="auto"/>
            <w:noWrap/>
            <w:vAlign w:val="center"/>
            <w:hideMark/>
          </w:tcPr>
          <w:p w14:paraId="22BFB655" w14:textId="4E4FB3F1"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p>
        </w:tc>
      </w:tr>
      <w:tr w:rsidR="00997919" w:rsidRPr="00997919" w14:paraId="7F7DDEA3" w14:textId="77777777" w:rsidTr="00997919">
        <w:trPr>
          <w:trHeight w:hRule="exact" w:val="225"/>
        </w:trPr>
        <w:tc>
          <w:tcPr>
            <w:tcW w:w="686" w:type="pct"/>
            <w:tcBorders>
              <w:top w:val="nil"/>
              <w:left w:val="nil"/>
              <w:bottom w:val="nil"/>
              <w:right w:val="nil"/>
            </w:tcBorders>
            <w:shd w:val="clear" w:color="auto" w:fill="auto"/>
            <w:noWrap/>
            <w:vAlign w:val="center"/>
            <w:hideMark/>
          </w:tcPr>
          <w:p w14:paraId="569F81EF"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3.50</w:t>
            </w:r>
          </w:p>
        </w:tc>
        <w:tc>
          <w:tcPr>
            <w:tcW w:w="808" w:type="pct"/>
            <w:tcBorders>
              <w:top w:val="nil"/>
              <w:left w:val="nil"/>
              <w:bottom w:val="nil"/>
              <w:right w:val="nil"/>
            </w:tcBorders>
            <w:shd w:val="clear" w:color="auto" w:fill="auto"/>
            <w:noWrap/>
            <w:vAlign w:val="center"/>
            <w:hideMark/>
          </w:tcPr>
          <w:p w14:paraId="4048A1E3" w14:textId="76BAA218"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Dec</w:t>
            </w:r>
            <w:r w:rsidR="00B57616">
              <w:rPr>
                <w:rFonts w:ascii="Arial" w:hAnsi="Arial" w:cs="Arial"/>
                <w:sz w:val="16"/>
                <w:szCs w:val="16"/>
              </w:rPr>
              <w:noBreakHyphen/>
            </w:r>
            <w:r w:rsidRPr="00997919">
              <w:rPr>
                <w:rFonts w:ascii="Arial" w:hAnsi="Arial" w:cs="Arial"/>
                <w:sz w:val="16"/>
                <w:szCs w:val="16"/>
              </w:rPr>
              <w:t>34</w:t>
            </w:r>
          </w:p>
        </w:tc>
        <w:tc>
          <w:tcPr>
            <w:tcW w:w="1013" w:type="pct"/>
            <w:tcBorders>
              <w:top w:val="nil"/>
              <w:left w:val="nil"/>
              <w:bottom w:val="nil"/>
              <w:right w:val="nil"/>
            </w:tcBorders>
            <w:shd w:val="clear" w:color="auto" w:fill="auto"/>
            <w:noWrap/>
            <w:vAlign w:val="center"/>
            <w:hideMark/>
          </w:tcPr>
          <w:p w14:paraId="3D77692B"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18,600</w:t>
            </w:r>
          </w:p>
        </w:tc>
        <w:tc>
          <w:tcPr>
            <w:tcW w:w="1119" w:type="pct"/>
            <w:tcBorders>
              <w:top w:val="nil"/>
              <w:left w:val="nil"/>
              <w:bottom w:val="nil"/>
              <w:right w:val="nil"/>
            </w:tcBorders>
            <w:shd w:val="clear" w:color="auto" w:fill="auto"/>
            <w:noWrap/>
            <w:vAlign w:val="center"/>
            <w:hideMark/>
          </w:tcPr>
          <w:p w14:paraId="290A5916"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0D0858E4" w14:textId="45A5C82B"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Dec</w:t>
            </w:r>
          </w:p>
        </w:tc>
        <w:tc>
          <w:tcPr>
            <w:tcW w:w="687" w:type="pct"/>
            <w:tcBorders>
              <w:top w:val="nil"/>
              <w:left w:val="nil"/>
              <w:bottom w:val="nil"/>
              <w:right w:val="nil"/>
            </w:tcBorders>
            <w:shd w:val="clear" w:color="auto" w:fill="auto"/>
            <w:noWrap/>
            <w:vAlign w:val="center"/>
            <w:hideMark/>
          </w:tcPr>
          <w:p w14:paraId="1446E9A3" w14:textId="1CE926F4"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Jun</w:t>
            </w:r>
          </w:p>
        </w:tc>
      </w:tr>
      <w:tr w:rsidR="00997919" w:rsidRPr="00997919" w14:paraId="3C8D363A" w14:textId="77777777" w:rsidTr="00997919">
        <w:trPr>
          <w:trHeight w:hRule="exact" w:val="225"/>
        </w:trPr>
        <w:tc>
          <w:tcPr>
            <w:tcW w:w="686" w:type="pct"/>
            <w:tcBorders>
              <w:top w:val="nil"/>
              <w:left w:val="nil"/>
              <w:bottom w:val="nil"/>
              <w:right w:val="nil"/>
            </w:tcBorders>
            <w:shd w:val="clear" w:color="auto" w:fill="auto"/>
            <w:noWrap/>
            <w:vAlign w:val="center"/>
            <w:hideMark/>
          </w:tcPr>
          <w:p w14:paraId="1AD31DE9"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2.75</w:t>
            </w:r>
          </w:p>
        </w:tc>
        <w:tc>
          <w:tcPr>
            <w:tcW w:w="808" w:type="pct"/>
            <w:tcBorders>
              <w:top w:val="nil"/>
              <w:left w:val="nil"/>
              <w:bottom w:val="nil"/>
              <w:right w:val="nil"/>
            </w:tcBorders>
            <w:shd w:val="clear" w:color="auto" w:fill="auto"/>
            <w:noWrap/>
            <w:vAlign w:val="center"/>
            <w:hideMark/>
          </w:tcPr>
          <w:p w14:paraId="302F2F83" w14:textId="0631DDC0"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Jun</w:t>
            </w:r>
            <w:r w:rsidR="00B57616">
              <w:rPr>
                <w:rFonts w:ascii="Arial" w:hAnsi="Arial" w:cs="Arial"/>
                <w:sz w:val="16"/>
                <w:szCs w:val="16"/>
              </w:rPr>
              <w:noBreakHyphen/>
            </w:r>
            <w:r w:rsidRPr="00997919">
              <w:rPr>
                <w:rFonts w:ascii="Arial" w:hAnsi="Arial" w:cs="Arial"/>
                <w:sz w:val="16"/>
                <w:szCs w:val="16"/>
              </w:rPr>
              <w:t>35</w:t>
            </w:r>
          </w:p>
        </w:tc>
        <w:tc>
          <w:tcPr>
            <w:tcW w:w="1013" w:type="pct"/>
            <w:tcBorders>
              <w:top w:val="nil"/>
              <w:left w:val="nil"/>
              <w:bottom w:val="nil"/>
              <w:right w:val="nil"/>
            </w:tcBorders>
            <w:shd w:val="clear" w:color="auto" w:fill="auto"/>
            <w:noWrap/>
            <w:vAlign w:val="center"/>
            <w:hideMark/>
          </w:tcPr>
          <w:p w14:paraId="1D3E9374"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16,250</w:t>
            </w:r>
          </w:p>
        </w:tc>
        <w:tc>
          <w:tcPr>
            <w:tcW w:w="1119" w:type="pct"/>
            <w:tcBorders>
              <w:top w:val="nil"/>
              <w:left w:val="nil"/>
              <w:bottom w:val="nil"/>
              <w:right w:val="nil"/>
            </w:tcBorders>
            <w:shd w:val="clear" w:color="auto" w:fill="auto"/>
            <w:noWrap/>
            <w:vAlign w:val="center"/>
            <w:hideMark/>
          </w:tcPr>
          <w:p w14:paraId="04AB7AF9"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41994DEA" w14:textId="2F863299"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Jun</w:t>
            </w:r>
          </w:p>
        </w:tc>
        <w:tc>
          <w:tcPr>
            <w:tcW w:w="687" w:type="pct"/>
            <w:tcBorders>
              <w:top w:val="nil"/>
              <w:left w:val="nil"/>
              <w:bottom w:val="nil"/>
              <w:right w:val="nil"/>
            </w:tcBorders>
            <w:shd w:val="clear" w:color="auto" w:fill="auto"/>
            <w:noWrap/>
            <w:vAlign w:val="center"/>
            <w:hideMark/>
          </w:tcPr>
          <w:p w14:paraId="314EF156" w14:textId="78BF6476"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Dec</w:t>
            </w:r>
          </w:p>
        </w:tc>
      </w:tr>
      <w:tr w:rsidR="00997919" w:rsidRPr="00997919" w14:paraId="1FA9BB82" w14:textId="77777777" w:rsidTr="00997919">
        <w:trPr>
          <w:trHeight w:hRule="exact" w:val="225"/>
        </w:trPr>
        <w:tc>
          <w:tcPr>
            <w:tcW w:w="686" w:type="pct"/>
            <w:tcBorders>
              <w:top w:val="nil"/>
              <w:left w:val="nil"/>
              <w:bottom w:val="nil"/>
              <w:right w:val="nil"/>
            </w:tcBorders>
            <w:shd w:val="clear" w:color="auto" w:fill="auto"/>
            <w:noWrap/>
            <w:vAlign w:val="center"/>
            <w:hideMark/>
          </w:tcPr>
          <w:p w14:paraId="10661B93"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3.75</w:t>
            </w:r>
          </w:p>
        </w:tc>
        <w:tc>
          <w:tcPr>
            <w:tcW w:w="808" w:type="pct"/>
            <w:tcBorders>
              <w:top w:val="nil"/>
              <w:left w:val="nil"/>
              <w:bottom w:val="nil"/>
              <w:right w:val="nil"/>
            </w:tcBorders>
            <w:shd w:val="clear" w:color="auto" w:fill="auto"/>
            <w:noWrap/>
            <w:vAlign w:val="center"/>
            <w:hideMark/>
          </w:tcPr>
          <w:p w14:paraId="383C9B56" w14:textId="63C7ADF0"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Apr</w:t>
            </w:r>
            <w:r w:rsidR="00B57616">
              <w:rPr>
                <w:rFonts w:ascii="Arial" w:hAnsi="Arial" w:cs="Arial"/>
                <w:sz w:val="16"/>
                <w:szCs w:val="16"/>
              </w:rPr>
              <w:noBreakHyphen/>
            </w:r>
            <w:r w:rsidRPr="00997919">
              <w:rPr>
                <w:rFonts w:ascii="Arial" w:hAnsi="Arial" w:cs="Arial"/>
                <w:sz w:val="16"/>
                <w:szCs w:val="16"/>
              </w:rPr>
              <w:t>37</w:t>
            </w:r>
          </w:p>
        </w:tc>
        <w:tc>
          <w:tcPr>
            <w:tcW w:w="1013" w:type="pct"/>
            <w:tcBorders>
              <w:top w:val="nil"/>
              <w:left w:val="nil"/>
              <w:bottom w:val="nil"/>
              <w:right w:val="nil"/>
            </w:tcBorders>
            <w:shd w:val="clear" w:color="auto" w:fill="auto"/>
            <w:noWrap/>
            <w:vAlign w:val="center"/>
            <w:hideMark/>
          </w:tcPr>
          <w:p w14:paraId="08201048"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13,800</w:t>
            </w:r>
          </w:p>
        </w:tc>
        <w:tc>
          <w:tcPr>
            <w:tcW w:w="1119" w:type="pct"/>
            <w:tcBorders>
              <w:top w:val="nil"/>
              <w:left w:val="nil"/>
              <w:bottom w:val="nil"/>
              <w:right w:val="nil"/>
            </w:tcBorders>
            <w:shd w:val="clear" w:color="auto" w:fill="auto"/>
            <w:noWrap/>
            <w:vAlign w:val="center"/>
            <w:hideMark/>
          </w:tcPr>
          <w:p w14:paraId="511D4C0F"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6BFBB43D" w14:textId="14B94D65"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Apr</w:t>
            </w:r>
          </w:p>
        </w:tc>
        <w:tc>
          <w:tcPr>
            <w:tcW w:w="687" w:type="pct"/>
            <w:tcBorders>
              <w:top w:val="nil"/>
              <w:left w:val="nil"/>
              <w:bottom w:val="nil"/>
              <w:right w:val="nil"/>
            </w:tcBorders>
            <w:shd w:val="clear" w:color="auto" w:fill="auto"/>
            <w:noWrap/>
            <w:vAlign w:val="center"/>
            <w:hideMark/>
          </w:tcPr>
          <w:p w14:paraId="323E6B5E" w14:textId="1AFD054C"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Oct</w:t>
            </w:r>
          </w:p>
        </w:tc>
      </w:tr>
      <w:tr w:rsidR="00997919" w:rsidRPr="00997919" w14:paraId="21529B28" w14:textId="77777777" w:rsidTr="00997919">
        <w:trPr>
          <w:trHeight w:hRule="exact" w:val="225"/>
        </w:trPr>
        <w:tc>
          <w:tcPr>
            <w:tcW w:w="686" w:type="pct"/>
            <w:tcBorders>
              <w:top w:val="nil"/>
              <w:left w:val="nil"/>
              <w:bottom w:val="nil"/>
              <w:right w:val="nil"/>
            </w:tcBorders>
            <w:shd w:val="clear" w:color="auto" w:fill="auto"/>
            <w:noWrap/>
            <w:vAlign w:val="center"/>
            <w:hideMark/>
          </w:tcPr>
          <w:p w14:paraId="4D8B3335"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3.25</w:t>
            </w:r>
          </w:p>
        </w:tc>
        <w:tc>
          <w:tcPr>
            <w:tcW w:w="808" w:type="pct"/>
            <w:tcBorders>
              <w:top w:val="nil"/>
              <w:left w:val="nil"/>
              <w:bottom w:val="nil"/>
              <w:right w:val="nil"/>
            </w:tcBorders>
            <w:shd w:val="clear" w:color="auto" w:fill="auto"/>
            <w:noWrap/>
            <w:vAlign w:val="center"/>
            <w:hideMark/>
          </w:tcPr>
          <w:p w14:paraId="70384EF1" w14:textId="2AF502AB"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Jun</w:t>
            </w:r>
            <w:r w:rsidR="00B57616">
              <w:rPr>
                <w:rFonts w:ascii="Arial" w:hAnsi="Arial" w:cs="Arial"/>
                <w:sz w:val="16"/>
                <w:szCs w:val="16"/>
              </w:rPr>
              <w:noBreakHyphen/>
            </w:r>
            <w:r w:rsidRPr="00997919">
              <w:rPr>
                <w:rFonts w:ascii="Arial" w:hAnsi="Arial" w:cs="Arial"/>
                <w:sz w:val="16"/>
                <w:szCs w:val="16"/>
              </w:rPr>
              <w:t>39</w:t>
            </w:r>
          </w:p>
        </w:tc>
        <w:tc>
          <w:tcPr>
            <w:tcW w:w="1013" w:type="pct"/>
            <w:tcBorders>
              <w:top w:val="nil"/>
              <w:left w:val="nil"/>
              <w:bottom w:val="nil"/>
              <w:right w:val="nil"/>
            </w:tcBorders>
            <w:shd w:val="clear" w:color="auto" w:fill="auto"/>
            <w:noWrap/>
            <w:vAlign w:val="center"/>
            <w:hideMark/>
          </w:tcPr>
          <w:p w14:paraId="3B3979D3"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10,300</w:t>
            </w:r>
          </w:p>
        </w:tc>
        <w:tc>
          <w:tcPr>
            <w:tcW w:w="1119" w:type="pct"/>
            <w:tcBorders>
              <w:top w:val="nil"/>
              <w:left w:val="nil"/>
              <w:bottom w:val="nil"/>
              <w:right w:val="nil"/>
            </w:tcBorders>
            <w:shd w:val="clear" w:color="auto" w:fill="auto"/>
            <w:noWrap/>
            <w:vAlign w:val="center"/>
            <w:hideMark/>
          </w:tcPr>
          <w:p w14:paraId="27035A50"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46AC6D8D" w14:textId="463CD598"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Jun</w:t>
            </w:r>
          </w:p>
        </w:tc>
        <w:tc>
          <w:tcPr>
            <w:tcW w:w="687" w:type="pct"/>
            <w:tcBorders>
              <w:top w:val="nil"/>
              <w:left w:val="nil"/>
              <w:bottom w:val="nil"/>
              <w:right w:val="nil"/>
            </w:tcBorders>
            <w:shd w:val="clear" w:color="auto" w:fill="auto"/>
            <w:noWrap/>
            <w:vAlign w:val="center"/>
            <w:hideMark/>
          </w:tcPr>
          <w:p w14:paraId="5FF3A6CB" w14:textId="3C0FFDEE"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Dec</w:t>
            </w:r>
          </w:p>
        </w:tc>
      </w:tr>
      <w:tr w:rsidR="00997919" w:rsidRPr="00997919" w14:paraId="396CC0E1" w14:textId="77777777" w:rsidTr="00997919">
        <w:trPr>
          <w:trHeight w:hRule="exact" w:val="225"/>
        </w:trPr>
        <w:tc>
          <w:tcPr>
            <w:tcW w:w="686" w:type="pct"/>
            <w:tcBorders>
              <w:top w:val="nil"/>
              <w:left w:val="nil"/>
              <w:bottom w:val="nil"/>
              <w:right w:val="nil"/>
            </w:tcBorders>
            <w:shd w:val="clear" w:color="auto" w:fill="auto"/>
            <w:noWrap/>
            <w:vAlign w:val="center"/>
            <w:hideMark/>
          </w:tcPr>
          <w:p w14:paraId="79170619"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2.75</w:t>
            </w:r>
          </w:p>
        </w:tc>
        <w:tc>
          <w:tcPr>
            <w:tcW w:w="808" w:type="pct"/>
            <w:tcBorders>
              <w:top w:val="nil"/>
              <w:left w:val="nil"/>
              <w:bottom w:val="nil"/>
              <w:right w:val="nil"/>
            </w:tcBorders>
            <w:shd w:val="clear" w:color="auto" w:fill="auto"/>
            <w:noWrap/>
            <w:vAlign w:val="center"/>
            <w:hideMark/>
          </w:tcPr>
          <w:p w14:paraId="0351F29C" w14:textId="39908959"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r w:rsidR="00B57616">
              <w:rPr>
                <w:rFonts w:ascii="Arial" w:hAnsi="Arial" w:cs="Arial"/>
                <w:sz w:val="16"/>
                <w:szCs w:val="16"/>
              </w:rPr>
              <w:noBreakHyphen/>
            </w:r>
            <w:r w:rsidRPr="00997919">
              <w:rPr>
                <w:rFonts w:ascii="Arial" w:hAnsi="Arial" w:cs="Arial"/>
                <w:sz w:val="16"/>
                <w:szCs w:val="16"/>
              </w:rPr>
              <w:t>41</w:t>
            </w:r>
          </w:p>
        </w:tc>
        <w:tc>
          <w:tcPr>
            <w:tcW w:w="1013" w:type="pct"/>
            <w:tcBorders>
              <w:top w:val="nil"/>
              <w:left w:val="nil"/>
              <w:bottom w:val="nil"/>
              <w:right w:val="nil"/>
            </w:tcBorders>
            <w:shd w:val="clear" w:color="auto" w:fill="auto"/>
            <w:noWrap/>
            <w:vAlign w:val="center"/>
            <w:hideMark/>
          </w:tcPr>
          <w:p w14:paraId="79D4F228"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14,600</w:t>
            </w:r>
          </w:p>
        </w:tc>
        <w:tc>
          <w:tcPr>
            <w:tcW w:w="1119" w:type="pct"/>
            <w:tcBorders>
              <w:top w:val="nil"/>
              <w:left w:val="nil"/>
              <w:bottom w:val="nil"/>
              <w:right w:val="nil"/>
            </w:tcBorders>
            <w:shd w:val="clear" w:color="auto" w:fill="auto"/>
            <w:noWrap/>
            <w:vAlign w:val="center"/>
            <w:hideMark/>
          </w:tcPr>
          <w:p w14:paraId="795ADE2B"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2E0A0F48" w14:textId="7648DFCA"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May</w:t>
            </w:r>
          </w:p>
        </w:tc>
        <w:tc>
          <w:tcPr>
            <w:tcW w:w="687" w:type="pct"/>
            <w:tcBorders>
              <w:top w:val="nil"/>
              <w:left w:val="nil"/>
              <w:bottom w:val="nil"/>
              <w:right w:val="nil"/>
            </w:tcBorders>
            <w:shd w:val="clear" w:color="auto" w:fill="auto"/>
            <w:noWrap/>
            <w:vAlign w:val="center"/>
            <w:hideMark/>
          </w:tcPr>
          <w:p w14:paraId="52F91A24" w14:textId="72C5764E"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Nov</w:t>
            </w:r>
          </w:p>
        </w:tc>
      </w:tr>
      <w:tr w:rsidR="00997919" w:rsidRPr="00997919" w14:paraId="53B57CA1" w14:textId="77777777" w:rsidTr="00997919">
        <w:trPr>
          <w:trHeight w:hRule="exact" w:val="225"/>
        </w:trPr>
        <w:tc>
          <w:tcPr>
            <w:tcW w:w="686" w:type="pct"/>
            <w:tcBorders>
              <w:top w:val="nil"/>
              <w:left w:val="nil"/>
              <w:bottom w:val="nil"/>
              <w:right w:val="nil"/>
            </w:tcBorders>
            <w:shd w:val="clear" w:color="auto" w:fill="auto"/>
            <w:noWrap/>
            <w:vAlign w:val="center"/>
            <w:hideMark/>
          </w:tcPr>
          <w:p w14:paraId="1C303D80"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3.00</w:t>
            </w:r>
          </w:p>
        </w:tc>
        <w:tc>
          <w:tcPr>
            <w:tcW w:w="808" w:type="pct"/>
            <w:tcBorders>
              <w:top w:val="nil"/>
              <w:left w:val="nil"/>
              <w:bottom w:val="nil"/>
              <w:right w:val="nil"/>
            </w:tcBorders>
            <w:shd w:val="clear" w:color="auto" w:fill="auto"/>
            <w:noWrap/>
            <w:vAlign w:val="center"/>
            <w:hideMark/>
          </w:tcPr>
          <w:p w14:paraId="01B40F1A" w14:textId="2790CC85"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Mar</w:t>
            </w:r>
            <w:r w:rsidR="00B57616">
              <w:rPr>
                <w:rFonts w:ascii="Arial" w:hAnsi="Arial" w:cs="Arial"/>
                <w:sz w:val="16"/>
                <w:szCs w:val="16"/>
              </w:rPr>
              <w:noBreakHyphen/>
            </w:r>
            <w:r w:rsidRPr="00997919">
              <w:rPr>
                <w:rFonts w:ascii="Arial" w:hAnsi="Arial" w:cs="Arial"/>
                <w:sz w:val="16"/>
                <w:szCs w:val="16"/>
              </w:rPr>
              <w:t>47</w:t>
            </w:r>
          </w:p>
        </w:tc>
        <w:tc>
          <w:tcPr>
            <w:tcW w:w="1013" w:type="pct"/>
            <w:tcBorders>
              <w:top w:val="nil"/>
              <w:left w:val="nil"/>
              <w:bottom w:val="nil"/>
              <w:right w:val="nil"/>
            </w:tcBorders>
            <w:shd w:val="clear" w:color="auto" w:fill="auto"/>
            <w:noWrap/>
            <w:vAlign w:val="center"/>
            <w:hideMark/>
          </w:tcPr>
          <w:p w14:paraId="73B40360"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14,200</w:t>
            </w:r>
          </w:p>
        </w:tc>
        <w:tc>
          <w:tcPr>
            <w:tcW w:w="1119" w:type="pct"/>
            <w:tcBorders>
              <w:top w:val="nil"/>
              <w:left w:val="nil"/>
              <w:bottom w:val="nil"/>
              <w:right w:val="nil"/>
            </w:tcBorders>
            <w:shd w:val="clear" w:color="auto" w:fill="auto"/>
            <w:noWrap/>
            <w:vAlign w:val="center"/>
            <w:hideMark/>
          </w:tcPr>
          <w:p w14:paraId="5BF27D26"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00B814B8" w14:textId="7E50EBB3"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Mar</w:t>
            </w:r>
          </w:p>
        </w:tc>
        <w:tc>
          <w:tcPr>
            <w:tcW w:w="687" w:type="pct"/>
            <w:tcBorders>
              <w:top w:val="nil"/>
              <w:left w:val="nil"/>
              <w:bottom w:val="nil"/>
              <w:right w:val="nil"/>
            </w:tcBorders>
            <w:shd w:val="clear" w:color="auto" w:fill="auto"/>
            <w:noWrap/>
            <w:vAlign w:val="center"/>
            <w:hideMark/>
          </w:tcPr>
          <w:p w14:paraId="30FF7843" w14:textId="2328C4B3"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Sep</w:t>
            </w:r>
          </w:p>
        </w:tc>
      </w:tr>
      <w:tr w:rsidR="00997919" w:rsidRPr="00997919" w14:paraId="031035A6" w14:textId="77777777" w:rsidTr="00997919">
        <w:trPr>
          <w:trHeight w:hRule="exact" w:val="225"/>
        </w:trPr>
        <w:tc>
          <w:tcPr>
            <w:tcW w:w="686" w:type="pct"/>
            <w:tcBorders>
              <w:top w:val="nil"/>
              <w:left w:val="nil"/>
              <w:bottom w:val="nil"/>
              <w:right w:val="nil"/>
            </w:tcBorders>
            <w:shd w:val="clear" w:color="auto" w:fill="auto"/>
            <w:noWrap/>
            <w:vAlign w:val="center"/>
            <w:hideMark/>
          </w:tcPr>
          <w:p w14:paraId="747B0D1B"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1.75</w:t>
            </w:r>
          </w:p>
        </w:tc>
        <w:tc>
          <w:tcPr>
            <w:tcW w:w="808" w:type="pct"/>
            <w:tcBorders>
              <w:top w:val="nil"/>
              <w:left w:val="nil"/>
              <w:bottom w:val="nil"/>
              <w:right w:val="nil"/>
            </w:tcBorders>
            <w:shd w:val="clear" w:color="auto" w:fill="auto"/>
            <w:noWrap/>
            <w:vAlign w:val="center"/>
            <w:hideMark/>
          </w:tcPr>
          <w:p w14:paraId="2FB2BA73" w14:textId="4BE5B48A"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Jun</w:t>
            </w:r>
            <w:r w:rsidR="00B57616">
              <w:rPr>
                <w:rFonts w:ascii="Arial" w:hAnsi="Arial" w:cs="Arial"/>
                <w:sz w:val="16"/>
                <w:szCs w:val="16"/>
              </w:rPr>
              <w:noBreakHyphen/>
            </w:r>
            <w:r w:rsidRPr="00997919">
              <w:rPr>
                <w:rFonts w:ascii="Arial" w:hAnsi="Arial" w:cs="Arial"/>
                <w:sz w:val="16"/>
                <w:szCs w:val="16"/>
              </w:rPr>
              <w:t>51</w:t>
            </w:r>
          </w:p>
        </w:tc>
        <w:tc>
          <w:tcPr>
            <w:tcW w:w="1013" w:type="pct"/>
            <w:tcBorders>
              <w:top w:val="nil"/>
              <w:left w:val="nil"/>
              <w:bottom w:val="nil"/>
              <w:right w:val="nil"/>
            </w:tcBorders>
            <w:shd w:val="clear" w:color="auto" w:fill="auto"/>
            <w:noWrap/>
            <w:vAlign w:val="center"/>
            <w:hideMark/>
          </w:tcPr>
          <w:p w14:paraId="76A78825"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19,600</w:t>
            </w:r>
          </w:p>
        </w:tc>
        <w:tc>
          <w:tcPr>
            <w:tcW w:w="1119" w:type="pct"/>
            <w:tcBorders>
              <w:top w:val="nil"/>
              <w:left w:val="nil"/>
              <w:bottom w:val="nil"/>
              <w:right w:val="nil"/>
            </w:tcBorders>
            <w:shd w:val="clear" w:color="auto" w:fill="auto"/>
            <w:noWrap/>
            <w:vAlign w:val="center"/>
            <w:hideMark/>
          </w:tcPr>
          <w:p w14:paraId="141EE064"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nil"/>
              <w:right w:val="nil"/>
            </w:tcBorders>
            <w:shd w:val="clear" w:color="auto" w:fill="auto"/>
            <w:noWrap/>
            <w:vAlign w:val="center"/>
            <w:hideMark/>
          </w:tcPr>
          <w:p w14:paraId="7F9313FF" w14:textId="6963843B"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Jun</w:t>
            </w:r>
          </w:p>
        </w:tc>
        <w:tc>
          <w:tcPr>
            <w:tcW w:w="687" w:type="pct"/>
            <w:tcBorders>
              <w:top w:val="nil"/>
              <w:left w:val="nil"/>
              <w:bottom w:val="nil"/>
              <w:right w:val="nil"/>
            </w:tcBorders>
            <w:shd w:val="clear" w:color="auto" w:fill="auto"/>
            <w:noWrap/>
            <w:vAlign w:val="center"/>
            <w:hideMark/>
          </w:tcPr>
          <w:p w14:paraId="48731C44" w14:textId="6116DA98"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Dec</w:t>
            </w:r>
          </w:p>
        </w:tc>
      </w:tr>
      <w:tr w:rsidR="00997919" w:rsidRPr="00997919" w14:paraId="1511C6F6" w14:textId="77777777" w:rsidTr="00997919">
        <w:trPr>
          <w:trHeight w:hRule="exact" w:val="225"/>
        </w:trPr>
        <w:tc>
          <w:tcPr>
            <w:tcW w:w="686" w:type="pct"/>
            <w:tcBorders>
              <w:top w:val="nil"/>
              <w:left w:val="nil"/>
              <w:bottom w:val="single" w:sz="4" w:space="0" w:color="293F5B"/>
              <w:right w:val="nil"/>
            </w:tcBorders>
            <w:shd w:val="clear" w:color="auto" w:fill="auto"/>
            <w:noWrap/>
            <w:vAlign w:val="center"/>
            <w:hideMark/>
          </w:tcPr>
          <w:p w14:paraId="1FE6C5B9"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4.75</w:t>
            </w:r>
          </w:p>
        </w:tc>
        <w:tc>
          <w:tcPr>
            <w:tcW w:w="808" w:type="pct"/>
            <w:tcBorders>
              <w:top w:val="nil"/>
              <w:left w:val="nil"/>
              <w:bottom w:val="single" w:sz="4" w:space="0" w:color="293F5B"/>
              <w:right w:val="nil"/>
            </w:tcBorders>
            <w:shd w:val="clear" w:color="auto" w:fill="auto"/>
            <w:noWrap/>
            <w:vAlign w:val="center"/>
            <w:hideMark/>
          </w:tcPr>
          <w:p w14:paraId="733C0852" w14:textId="600429AD"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Jun</w:t>
            </w:r>
            <w:r w:rsidR="00B57616">
              <w:rPr>
                <w:rFonts w:ascii="Arial" w:hAnsi="Arial" w:cs="Arial"/>
                <w:sz w:val="16"/>
                <w:szCs w:val="16"/>
              </w:rPr>
              <w:noBreakHyphen/>
            </w:r>
            <w:r w:rsidRPr="00997919">
              <w:rPr>
                <w:rFonts w:ascii="Arial" w:hAnsi="Arial" w:cs="Arial"/>
                <w:sz w:val="16"/>
                <w:szCs w:val="16"/>
              </w:rPr>
              <w:t>54</w:t>
            </w:r>
          </w:p>
        </w:tc>
        <w:tc>
          <w:tcPr>
            <w:tcW w:w="1013" w:type="pct"/>
            <w:tcBorders>
              <w:top w:val="nil"/>
              <w:left w:val="nil"/>
              <w:bottom w:val="single" w:sz="4" w:space="0" w:color="293F5B"/>
              <w:right w:val="nil"/>
            </w:tcBorders>
            <w:shd w:val="clear" w:color="auto" w:fill="auto"/>
            <w:noWrap/>
            <w:vAlign w:val="center"/>
            <w:hideMark/>
          </w:tcPr>
          <w:p w14:paraId="611838E2"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8,000</w:t>
            </w:r>
          </w:p>
        </w:tc>
        <w:tc>
          <w:tcPr>
            <w:tcW w:w="1119" w:type="pct"/>
            <w:tcBorders>
              <w:top w:val="nil"/>
              <w:left w:val="nil"/>
              <w:bottom w:val="single" w:sz="4" w:space="0" w:color="293F5B"/>
              <w:right w:val="nil"/>
            </w:tcBorders>
            <w:shd w:val="clear" w:color="auto" w:fill="auto"/>
            <w:noWrap/>
            <w:vAlign w:val="center"/>
            <w:hideMark/>
          </w:tcPr>
          <w:p w14:paraId="794B231E" w14:textId="77777777"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Twice yearly</w:t>
            </w:r>
          </w:p>
        </w:tc>
        <w:tc>
          <w:tcPr>
            <w:tcW w:w="687" w:type="pct"/>
            <w:tcBorders>
              <w:top w:val="nil"/>
              <w:left w:val="nil"/>
              <w:bottom w:val="single" w:sz="4" w:space="0" w:color="293F5B"/>
              <w:right w:val="nil"/>
            </w:tcBorders>
            <w:shd w:val="clear" w:color="auto" w:fill="auto"/>
            <w:noWrap/>
            <w:vAlign w:val="center"/>
            <w:hideMark/>
          </w:tcPr>
          <w:p w14:paraId="528F411D" w14:textId="482439D9"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Jun</w:t>
            </w:r>
          </w:p>
        </w:tc>
        <w:tc>
          <w:tcPr>
            <w:tcW w:w="687" w:type="pct"/>
            <w:tcBorders>
              <w:top w:val="nil"/>
              <w:left w:val="nil"/>
              <w:bottom w:val="single" w:sz="4" w:space="0" w:color="293F5B"/>
              <w:right w:val="nil"/>
            </w:tcBorders>
            <w:shd w:val="clear" w:color="auto" w:fill="auto"/>
            <w:noWrap/>
            <w:vAlign w:val="center"/>
            <w:hideMark/>
          </w:tcPr>
          <w:p w14:paraId="5CC1E241" w14:textId="209439BA" w:rsidR="00997919" w:rsidRPr="00997919" w:rsidRDefault="00997919" w:rsidP="00997919">
            <w:pPr>
              <w:spacing w:before="0" w:after="0" w:line="240" w:lineRule="auto"/>
              <w:jc w:val="right"/>
              <w:rPr>
                <w:rFonts w:ascii="Arial" w:hAnsi="Arial" w:cs="Arial"/>
                <w:sz w:val="16"/>
                <w:szCs w:val="16"/>
              </w:rPr>
            </w:pPr>
            <w:r w:rsidRPr="00997919">
              <w:rPr>
                <w:rFonts w:ascii="Arial" w:hAnsi="Arial" w:cs="Arial"/>
                <w:sz w:val="16"/>
                <w:szCs w:val="16"/>
              </w:rPr>
              <w:t>21</w:t>
            </w:r>
            <w:r w:rsidR="00B57616">
              <w:rPr>
                <w:rFonts w:ascii="Arial" w:hAnsi="Arial" w:cs="Arial"/>
                <w:sz w:val="16"/>
                <w:szCs w:val="16"/>
              </w:rPr>
              <w:noBreakHyphen/>
            </w:r>
            <w:r w:rsidRPr="00997919">
              <w:rPr>
                <w:rFonts w:ascii="Arial" w:hAnsi="Arial" w:cs="Arial"/>
                <w:sz w:val="16"/>
                <w:szCs w:val="16"/>
              </w:rPr>
              <w:t>Dec</w:t>
            </w:r>
          </w:p>
        </w:tc>
      </w:tr>
    </w:tbl>
    <w:p w14:paraId="35FED0B9" w14:textId="400EEA95" w:rsidR="001A4F7E" w:rsidRPr="0098325D" w:rsidRDefault="001A4F7E" w:rsidP="00997919">
      <w:pPr>
        <w:pStyle w:val="ChartandTableFootnoteAlpha"/>
        <w:numPr>
          <w:ilvl w:val="0"/>
          <w:numId w:val="45"/>
        </w:numPr>
      </w:pPr>
      <w:bookmarkStart w:id="26" w:name="_Hlk165231264"/>
      <w:r w:rsidRPr="0098325D">
        <w:t>Where the timing of an interest payment falls on a non</w:t>
      </w:r>
      <w:r w:rsidR="00B57616">
        <w:noBreakHyphen/>
      </w:r>
      <w:r w:rsidRPr="0098325D">
        <w:t>business day, the payment will occur on the following business day.</w:t>
      </w:r>
    </w:p>
    <w:p w14:paraId="0B9A0E98" w14:textId="77777777" w:rsidR="001A4F7E" w:rsidRPr="0098325D" w:rsidRDefault="001A4F7E" w:rsidP="001A4F7E">
      <w:pPr>
        <w:pStyle w:val="ChartandTableFootnote"/>
        <w:rPr>
          <w:color w:val="auto"/>
        </w:rPr>
      </w:pPr>
      <w:r w:rsidRPr="0098325D">
        <w:rPr>
          <w:color w:val="auto"/>
        </w:rPr>
        <w:t>Source:</w:t>
      </w:r>
      <w:r w:rsidRPr="0098325D">
        <w:rPr>
          <w:color w:val="auto"/>
        </w:rPr>
        <w:tab/>
        <w:t xml:space="preserve">AOFM. </w:t>
      </w:r>
    </w:p>
    <w:p w14:paraId="302E9857" w14:textId="77777777" w:rsidR="001A4F7E" w:rsidRPr="0098325D" w:rsidRDefault="001A4F7E" w:rsidP="001A4F7E">
      <w:pPr>
        <w:pStyle w:val="ChartLine"/>
      </w:pPr>
    </w:p>
    <w:bookmarkEnd w:id="26"/>
    <w:p w14:paraId="06970126" w14:textId="77777777" w:rsidR="001A4F7E" w:rsidRPr="0098325D" w:rsidRDefault="001A4F7E" w:rsidP="00396838">
      <w:r w:rsidRPr="0098325D">
        <w:br w:type="page"/>
      </w:r>
    </w:p>
    <w:p w14:paraId="6A13C37A" w14:textId="77777777" w:rsidR="001A4F7E" w:rsidRPr="0098325D" w:rsidRDefault="001A4F7E" w:rsidP="001A4F7E">
      <w:pPr>
        <w:pStyle w:val="Heading3"/>
      </w:pPr>
      <w:bookmarkStart w:id="27" w:name="_Toc67660284"/>
      <w:bookmarkStart w:id="28" w:name="_Toc98531932"/>
      <w:bookmarkStart w:id="29" w:name="_Toc117337747"/>
      <w:bookmarkStart w:id="30" w:name="_Toc166355901"/>
      <w:r w:rsidRPr="0098325D">
        <w:lastRenderedPageBreak/>
        <w:t>Treasury Indexed Bonds</w:t>
      </w:r>
      <w:bookmarkEnd w:id="27"/>
      <w:bookmarkEnd w:id="28"/>
      <w:bookmarkEnd w:id="29"/>
      <w:bookmarkEnd w:id="30"/>
    </w:p>
    <w:p w14:paraId="133F13C3" w14:textId="66509432" w:rsidR="001A4F7E" w:rsidRPr="004C05FA" w:rsidRDefault="001A4F7E" w:rsidP="001A4F7E">
      <w:r w:rsidRPr="004C05FA">
        <w:t xml:space="preserve">As at </w:t>
      </w:r>
      <w:r w:rsidR="00B14AFD" w:rsidRPr="004C05FA">
        <w:t>2 May 2024</w:t>
      </w:r>
      <w:r w:rsidRPr="004C05FA">
        <w:t xml:space="preserve">, there were </w:t>
      </w:r>
      <w:r w:rsidR="00B14AFD" w:rsidRPr="004C05FA">
        <w:t>7</w:t>
      </w:r>
      <w:r w:rsidR="0038198E" w:rsidRPr="004C05FA">
        <w:t> </w:t>
      </w:r>
      <w:r w:rsidRPr="004C05FA">
        <w:t>Treasury</w:t>
      </w:r>
      <w:r w:rsidR="0038198E" w:rsidRPr="004C05FA">
        <w:t> </w:t>
      </w:r>
      <w:r w:rsidRPr="004C05FA">
        <w:t>Indexed</w:t>
      </w:r>
      <w:r w:rsidR="0038198E" w:rsidRPr="004C05FA">
        <w:t> </w:t>
      </w:r>
      <w:r w:rsidRPr="004C05FA">
        <w:t>Bond</w:t>
      </w:r>
      <w:r w:rsidR="0038198E" w:rsidRPr="004C05FA">
        <w:t> </w:t>
      </w:r>
      <w:r w:rsidRPr="004C05FA">
        <w:t xml:space="preserve">(TIB) lines on issue, with a weighted average term to maturity of around </w:t>
      </w:r>
      <w:r w:rsidR="00B14AFD" w:rsidRPr="004C05FA">
        <w:t>9.0</w:t>
      </w:r>
      <w:r w:rsidRPr="004C05FA">
        <w:t xml:space="preserve"> years and the longest maturity extending to </w:t>
      </w:r>
      <w:r w:rsidR="00B14AFD" w:rsidRPr="004C05FA">
        <w:t>February 20</w:t>
      </w:r>
      <w:r w:rsidR="00EC361E" w:rsidRPr="004C05FA">
        <w:t>50</w:t>
      </w:r>
      <w:r w:rsidRPr="004C05FA">
        <w:t>.</w:t>
      </w:r>
      <w:r w:rsidR="003F1AF2" w:rsidRPr="004C05FA" w:rsidDel="003F1AF2">
        <w:rPr>
          <w:rStyle w:val="FootnoteReference"/>
        </w:rPr>
        <w:t xml:space="preserve"> </w:t>
      </w:r>
    </w:p>
    <w:p w14:paraId="304CC56C" w14:textId="34266574" w:rsidR="003463B9" w:rsidRPr="005758F8" w:rsidRDefault="001A4F7E" w:rsidP="007E54B4">
      <w:pPr>
        <w:pStyle w:val="TableHeading"/>
      </w:pPr>
      <w:r w:rsidRPr="004C05FA">
        <w:t>Table 7.5: Treasury Indexed Bonds on issue</w:t>
      </w:r>
    </w:p>
    <w:tbl>
      <w:tblPr>
        <w:tblW w:w="5000" w:type="pct"/>
        <w:tblCellMar>
          <w:left w:w="0" w:type="dxa"/>
          <w:right w:w="28" w:type="dxa"/>
        </w:tblCellMar>
        <w:tblLook w:val="04A0" w:firstRow="1" w:lastRow="0" w:firstColumn="1" w:lastColumn="0" w:noHBand="0" w:noVBand="1"/>
      </w:tblPr>
      <w:tblGrid>
        <w:gridCol w:w="792"/>
        <w:gridCol w:w="1061"/>
        <w:gridCol w:w="1696"/>
        <w:gridCol w:w="976"/>
        <w:gridCol w:w="776"/>
        <w:gridCol w:w="802"/>
        <w:gridCol w:w="802"/>
        <w:gridCol w:w="805"/>
      </w:tblGrid>
      <w:tr w:rsidR="003463B9" w:rsidRPr="003463B9" w14:paraId="7EB9C778" w14:textId="77777777" w:rsidTr="0079376E">
        <w:trPr>
          <w:divId w:val="616912416"/>
          <w:trHeight w:hRule="exact" w:val="225"/>
        </w:trPr>
        <w:tc>
          <w:tcPr>
            <w:tcW w:w="514" w:type="pct"/>
            <w:tcBorders>
              <w:top w:val="single" w:sz="4" w:space="0" w:color="293F5B"/>
              <w:left w:val="nil"/>
              <w:bottom w:val="nil"/>
              <w:right w:val="nil"/>
            </w:tcBorders>
            <w:shd w:val="clear" w:color="auto" w:fill="auto"/>
            <w:noWrap/>
            <w:vAlign w:val="center"/>
            <w:hideMark/>
          </w:tcPr>
          <w:p w14:paraId="1F3A852A" w14:textId="264B42C2" w:rsidR="003463B9" w:rsidRPr="003463B9" w:rsidRDefault="003463B9" w:rsidP="005758F8">
            <w:pPr>
              <w:spacing w:before="0" w:after="0" w:line="240" w:lineRule="auto"/>
              <w:jc w:val="right"/>
              <w:rPr>
                <w:rFonts w:ascii="Arial" w:hAnsi="Arial" w:cs="Arial"/>
                <w:sz w:val="16"/>
                <w:szCs w:val="16"/>
              </w:rPr>
            </w:pPr>
            <w:r w:rsidRPr="003463B9">
              <w:rPr>
                <w:rFonts w:ascii="Arial" w:hAnsi="Arial" w:cs="Arial"/>
                <w:sz w:val="16"/>
                <w:szCs w:val="16"/>
              </w:rPr>
              <w:t> </w:t>
            </w:r>
          </w:p>
        </w:tc>
        <w:tc>
          <w:tcPr>
            <w:tcW w:w="688" w:type="pct"/>
            <w:tcBorders>
              <w:top w:val="single" w:sz="4" w:space="0" w:color="293F5B"/>
              <w:left w:val="nil"/>
              <w:bottom w:val="nil"/>
              <w:right w:val="nil"/>
            </w:tcBorders>
            <w:shd w:val="clear" w:color="auto" w:fill="auto"/>
            <w:noWrap/>
            <w:vAlign w:val="center"/>
            <w:hideMark/>
          </w:tcPr>
          <w:p w14:paraId="23135A86" w14:textId="77777777" w:rsidR="003463B9" w:rsidRPr="005758F8" w:rsidRDefault="003463B9" w:rsidP="005758F8">
            <w:pPr>
              <w:spacing w:before="0" w:after="0" w:line="240" w:lineRule="auto"/>
              <w:jc w:val="right"/>
              <w:rPr>
                <w:rFonts w:ascii="Arial" w:hAnsi="Arial" w:cs="Arial"/>
                <w:sz w:val="16"/>
                <w:szCs w:val="16"/>
              </w:rPr>
            </w:pPr>
            <w:r w:rsidRPr="005758F8">
              <w:rPr>
                <w:rFonts w:ascii="Arial" w:hAnsi="Arial" w:cs="Arial"/>
                <w:sz w:val="16"/>
                <w:szCs w:val="16"/>
              </w:rPr>
              <w:t> </w:t>
            </w:r>
          </w:p>
        </w:tc>
        <w:tc>
          <w:tcPr>
            <w:tcW w:w="1100" w:type="pct"/>
            <w:tcBorders>
              <w:top w:val="single" w:sz="4" w:space="0" w:color="293F5B"/>
              <w:left w:val="nil"/>
              <w:bottom w:val="nil"/>
              <w:right w:val="nil"/>
            </w:tcBorders>
            <w:shd w:val="clear" w:color="auto" w:fill="auto"/>
            <w:noWrap/>
            <w:vAlign w:val="bottom"/>
            <w:hideMark/>
          </w:tcPr>
          <w:p w14:paraId="38849E59" w14:textId="77777777" w:rsidR="003463B9" w:rsidRPr="005758F8" w:rsidRDefault="003463B9" w:rsidP="005758F8">
            <w:pPr>
              <w:spacing w:before="0" w:after="0" w:line="240" w:lineRule="auto"/>
              <w:jc w:val="right"/>
              <w:rPr>
                <w:rFonts w:ascii="Arial" w:hAnsi="Arial" w:cs="Arial"/>
                <w:sz w:val="16"/>
                <w:szCs w:val="16"/>
              </w:rPr>
            </w:pPr>
            <w:r w:rsidRPr="005758F8">
              <w:rPr>
                <w:rFonts w:ascii="Arial" w:hAnsi="Arial" w:cs="Arial"/>
                <w:sz w:val="16"/>
                <w:szCs w:val="16"/>
              </w:rPr>
              <w:t xml:space="preserve"> On issue as at </w:t>
            </w:r>
          </w:p>
        </w:tc>
        <w:tc>
          <w:tcPr>
            <w:tcW w:w="2698" w:type="pct"/>
            <w:gridSpan w:val="5"/>
            <w:tcBorders>
              <w:top w:val="single" w:sz="4" w:space="0" w:color="293F5B"/>
              <w:left w:val="nil"/>
              <w:bottom w:val="nil"/>
              <w:right w:val="nil"/>
            </w:tcBorders>
            <w:shd w:val="clear" w:color="auto" w:fill="auto"/>
            <w:noWrap/>
            <w:vAlign w:val="center"/>
            <w:hideMark/>
          </w:tcPr>
          <w:p w14:paraId="52BB83BD" w14:textId="77777777" w:rsidR="003463B9" w:rsidRPr="005758F8" w:rsidRDefault="003463B9" w:rsidP="005758F8">
            <w:pPr>
              <w:spacing w:before="0" w:after="0" w:line="240" w:lineRule="auto"/>
              <w:jc w:val="center"/>
              <w:rPr>
                <w:rFonts w:ascii="Arial" w:hAnsi="Arial" w:cs="Arial"/>
                <w:sz w:val="16"/>
                <w:szCs w:val="16"/>
              </w:rPr>
            </w:pPr>
            <w:r w:rsidRPr="005758F8">
              <w:rPr>
                <w:rFonts w:ascii="Arial" w:hAnsi="Arial" w:cs="Arial"/>
                <w:sz w:val="16"/>
                <w:szCs w:val="16"/>
              </w:rPr>
              <w:t> </w:t>
            </w:r>
          </w:p>
        </w:tc>
      </w:tr>
      <w:tr w:rsidR="003463B9" w:rsidRPr="003463B9" w14:paraId="073E3631" w14:textId="77777777" w:rsidTr="0079376E">
        <w:trPr>
          <w:divId w:val="616912416"/>
          <w:trHeight w:hRule="exact" w:val="225"/>
        </w:trPr>
        <w:tc>
          <w:tcPr>
            <w:tcW w:w="514" w:type="pct"/>
            <w:tcBorders>
              <w:top w:val="nil"/>
              <w:left w:val="nil"/>
              <w:bottom w:val="nil"/>
              <w:right w:val="nil"/>
            </w:tcBorders>
            <w:shd w:val="clear" w:color="auto" w:fill="auto"/>
            <w:noWrap/>
            <w:vAlign w:val="center"/>
            <w:hideMark/>
          </w:tcPr>
          <w:p w14:paraId="38263052" w14:textId="77777777" w:rsidR="003463B9" w:rsidRPr="00CC2FA0" w:rsidRDefault="003463B9" w:rsidP="00CC2FA0">
            <w:pPr>
              <w:spacing w:before="0" w:after="0" w:line="240" w:lineRule="auto"/>
              <w:jc w:val="right"/>
              <w:rPr>
                <w:rFonts w:ascii="Arial" w:hAnsi="Arial" w:cs="Arial"/>
                <w:sz w:val="16"/>
                <w:szCs w:val="16"/>
              </w:rPr>
            </w:pPr>
            <w:r w:rsidRPr="00CC2FA0">
              <w:rPr>
                <w:rFonts w:ascii="Arial" w:hAnsi="Arial" w:cs="Arial"/>
                <w:sz w:val="16"/>
                <w:szCs w:val="16"/>
              </w:rPr>
              <w:t>Coupon</w:t>
            </w:r>
          </w:p>
        </w:tc>
        <w:tc>
          <w:tcPr>
            <w:tcW w:w="688" w:type="pct"/>
            <w:tcBorders>
              <w:top w:val="nil"/>
              <w:left w:val="nil"/>
              <w:bottom w:val="nil"/>
              <w:right w:val="nil"/>
            </w:tcBorders>
            <w:shd w:val="clear" w:color="auto" w:fill="auto"/>
            <w:noWrap/>
            <w:vAlign w:val="center"/>
            <w:hideMark/>
          </w:tcPr>
          <w:p w14:paraId="2C1878A8" w14:textId="77777777" w:rsidR="003463B9" w:rsidRPr="00CC2FA0" w:rsidRDefault="003463B9" w:rsidP="00CC2FA0">
            <w:pPr>
              <w:spacing w:before="0" w:after="0" w:line="240" w:lineRule="auto"/>
              <w:jc w:val="right"/>
              <w:rPr>
                <w:rFonts w:ascii="Arial" w:hAnsi="Arial" w:cs="Arial"/>
                <w:sz w:val="16"/>
                <w:szCs w:val="16"/>
              </w:rPr>
            </w:pPr>
          </w:p>
        </w:tc>
        <w:tc>
          <w:tcPr>
            <w:tcW w:w="1100" w:type="pct"/>
            <w:tcBorders>
              <w:top w:val="nil"/>
              <w:left w:val="nil"/>
              <w:bottom w:val="nil"/>
              <w:right w:val="nil"/>
            </w:tcBorders>
            <w:shd w:val="clear" w:color="auto" w:fill="auto"/>
            <w:noWrap/>
            <w:vAlign w:val="bottom"/>
            <w:hideMark/>
          </w:tcPr>
          <w:p w14:paraId="41D987B8" w14:textId="001320F2" w:rsidR="003463B9" w:rsidRPr="00CC2FA0" w:rsidRDefault="00CD1BE9" w:rsidP="00CC2FA0">
            <w:pPr>
              <w:spacing w:before="0" w:after="0" w:line="240" w:lineRule="auto"/>
              <w:jc w:val="right"/>
              <w:rPr>
                <w:rFonts w:ascii="Arial" w:hAnsi="Arial" w:cs="Arial"/>
                <w:sz w:val="16"/>
                <w:szCs w:val="16"/>
              </w:rPr>
            </w:pPr>
            <w:r>
              <w:rPr>
                <w:rFonts w:ascii="Arial" w:hAnsi="Arial" w:cs="Arial"/>
                <w:sz w:val="16"/>
                <w:szCs w:val="16"/>
              </w:rPr>
              <w:t>2 May 2024</w:t>
            </w:r>
          </w:p>
        </w:tc>
        <w:tc>
          <w:tcPr>
            <w:tcW w:w="633" w:type="pct"/>
            <w:tcBorders>
              <w:top w:val="nil"/>
              <w:left w:val="nil"/>
              <w:bottom w:val="nil"/>
              <w:right w:val="nil"/>
            </w:tcBorders>
            <w:shd w:val="clear" w:color="auto" w:fill="auto"/>
            <w:noWrap/>
            <w:vAlign w:val="center"/>
            <w:hideMark/>
          </w:tcPr>
          <w:p w14:paraId="51386AA5" w14:textId="77777777" w:rsidR="003463B9" w:rsidRPr="00CC2FA0" w:rsidRDefault="003463B9" w:rsidP="00CC2FA0">
            <w:pPr>
              <w:spacing w:before="0" w:after="0" w:line="240" w:lineRule="auto"/>
              <w:jc w:val="right"/>
              <w:rPr>
                <w:rFonts w:ascii="Arial" w:hAnsi="Arial" w:cs="Arial"/>
                <w:sz w:val="16"/>
                <w:szCs w:val="16"/>
              </w:rPr>
            </w:pPr>
          </w:p>
        </w:tc>
        <w:tc>
          <w:tcPr>
            <w:tcW w:w="503" w:type="pct"/>
            <w:tcBorders>
              <w:top w:val="nil"/>
              <w:left w:val="nil"/>
              <w:bottom w:val="nil"/>
              <w:right w:val="nil"/>
            </w:tcBorders>
            <w:shd w:val="clear" w:color="auto" w:fill="auto"/>
            <w:noWrap/>
            <w:vAlign w:val="center"/>
            <w:hideMark/>
          </w:tcPr>
          <w:p w14:paraId="7C601CBF" w14:textId="77777777" w:rsidR="003463B9" w:rsidRPr="00DA0460" w:rsidRDefault="003463B9" w:rsidP="00CC2FA0">
            <w:pPr>
              <w:spacing w:before="0" w:after="0" w:line="240" w:lineRule="auto"/>
              <w:jc w:val="right"/>
              <w:rPr>
                <w:rFonts w:ascii="Times New Roman" w:hAnsi="Times New Roman"/>
                <w:sz w:val="20"/>
              </w:rPr>
            </w:pPr>
          </w:p>
        </w:tc>
        <w:tc>
          <w:tcPr>
            <w:tcW w:w="520" w:type="pct"/>
            <w:tcBorders>
              <w:top w:val="nil"/>
              <w:left w:val="nil"/>
              <w:bottom w:val="nil"/>
              <w:right w:val="nil"/>
            </w:tcBorders>
            <w:shd w:val="clear" w:color="auto" w:fill="auto"/>
            <w:noWrap/>
            <w:vAlign w:val="center"/>
            <w:hideMark/>
          </w:tcPr>
          <w:p w14:paraId="0E3BBF4E" w14:textId="77777777" w:rsidR="003463B9" w:rsidRPr="00DA0460" w:rsidRDefault="003463B9" w:rsidP="00CC2FA0">
            <w:pPr>
              <w:spacing w:before="0" w:after="0" w:line="240" w:lineRule="auto"/>
              <w:jc w:val="right"/>
              <w:rPr>
                <w:rFonts w:ascii="Times New Roman" w:hAnsi="Times New Roman"/>
                <w:sz w:val="20"/>
              </w:rPr>
            </w:pPr>
          </w:p>
        </w:tc>
        <w:tc>
          <w:tcPr>
            <w:tcW w:w="520" w:type="pct"/>
            <w:tcBorders>
              <w:top w:val="nil"/>
              <w:left w:val="nil"/>
              <w:bottom w:val="nil"/>
              <w:right w:val="nil"/>
            </w:tcBorders>
            <w:shd w:val="clear" w:color="auto" w:fill="auto"/>
            <w:noWrap/>
            <w:vAlign w:val="center"/>
            <w:hideMark/>
          </w:tcPr>
          <w:p w14:paraId="2526C6D0" w14:textId="77777777" w:rsidR="003463B9" w:rsidRPr="00DA0460" w:rsidRDefault="003463B9" w:rsidP="00CC2FA0">
            <w:pPr>
              <w:spacing w:before="0" w:after="0" w:line="240" w:lineRule="auto"/>
              <w:jc w:val="right"/>
              <w:rPr>
                <w:rFonts w:ascii="Times New Roman" w:hAnsi="Times New Roman"/>
                <w:sz w:val="20"/>
              </w:rPr>
            </w:pPr>
          </w:p>
        </w:tc>
        <w:tc>
          <w:tcPr>
            <w:tcW w:w="522" w:type="pct"/>
            <w:tcBorders>
              <w:top w:val="nil"/>
              <w:left w:val="nil"/>
              <w:bottom w:val="nil"/>
              <w:right w:val="nil"/>
            </w:tcBorders>
            <w:shd w:val="clear" w:color="auto" w:fill="auto"/>
            <w:noWrap/>
            <w:vAlign w:val="center"/>
            <w:hideMark/>
          </w:tcPr>
          <w:p w14:paraId="5BA5EB3C" w14:textId="77777777" w:rsidR="003463B9" w:rsidRPr="00DA0460" w:rsidRDefault="003463B9" w:rsidP="00CC2FA0">
            <w:pPr>
              <w:spacing w:before="0" w:after="0" w:line="240" w:lineRule="auto"/>
              <w:jc w:val="right"/>
              <w:rPr>
                <w:rFonts w:ascii="Times New Roman" w:hAnsi="Times New Roman"/>
                <w:sz w:val="20"/>
              </w:rPr>
            </w:pPr>
          </w:p>
        </w:tc>
      </w:tr>
      <w:tr w:rsidR="003463B9" w:rsidRPr="003463B9" w14:paraId="03BF165D" w14:textId="77777777" w:rsidTr="0079376E">
        <w:trPr>
          <w:divId w:val="616912416"/>
          <w:trHeight w:hRule="exact" w:val="225"/>
        </w:trPr>
        <w:tc>
          <w:tcPr>
            <w:tcW w:w="514" w:type="pct"/>
            <w:tcBorders>
              <w:top w:val="nil"/>
              <w:left w:val="nil"/>
              <w:bottom w:val="nil"/>
              <w:right w:val="nil"/>
            </w:tcBorders>
            <w:shd w:val="clear" w:color="auto" w:fill="auto"/>
            <w:noWrap/>
            <w:vAlign w:val="center"/>
            <w:hideMark/>
          </w:tcPr>
          <w:p w14:paraId="78B19DA9" w14:textId="77777777" w:rsidR="003463B9" w:rsidRPr="00DA0460" w:rsidRDefault="003463B9" w:rsidP="00022961">
            <w:pPr>
              <w:spacing w:before="0" w:after="0" w:line="240" w:lineRule="auto"/>
              <w:jc w:val="right"/>
              <w:rPr>
                <w:rFonts w:ascii="Arial" w:hAnsi="Arial" w:cs="Arial"/>
                <w:sz w:val="16"/>
                <w:szCs w:val="16"/>
              </w:rPr>
            </w:pPr>
            <w:r w:rsidRPr="00DA0460">
              <w:rPr>
                <w:rFonts w:ascii="Arial" w:hAnsi="Arial" w:cs="Arial"/>
                <w:sz w:val="16"/>
                <w:szCs w:val="16"/>
              </w:rPr>
              <w:t>Per cent</w:t>
            </w:r>
          </w:p>
        </w:tc>
        <w:tc>
          <w:tcPr>
            <w:tcW w:w="688" w:type="pct"/>
            <w:tcBorders>
              <w:top w:val="nil"/>
              <w:left w:val="nil"/>
              <w:bottom w:val="nil"/>
              <w:right w:val="nil"/>
            </w:tcBorders>
            <w:shd w:val="clear" w:color="auto" w:fill="auto"/>
            <w:noWrap/>
            <w:vAlign w:val="center"/>
            <w:hideMark/>
          </w:tcPr>
          <w:p w14:paraId="50FA4E82" w14:textId="77777777" w:rsidR="003463B9" w:rsidRPr="00DA0460" w:rsidRDefault="003463B9" w:rsidP="00022961">
            <w:pPr>
              <w:spacing w:before="0" w:after="0" w:line="240" w:lineRule="auto"/>
              <w:jc w:val="right"/>
              <w:rPr>
                <w:rFonts w:ascii="Arial" w:hAnsi="Arial" w:cs="Arial"/>
                <w:sz w:val="16"/>
                <w:szCs w:val="16"/>
              </w:rPr>
            </w:pPr>
            <w:r w:rsidRPr="00DA0460">
              <w:rPr>
                <w:rFonts w:ascii="Arial" w:hAnsi="Arial" w:cs="Arial"/>
                <w:sz w:val="16"/>
                <w:szCs w:val="16"/>
              </w:rPr>
              <w:t>Maturity</w:t>
            </w:r>
          </w:p>
        </w:tc>
        <w:tc>
          <w:tcPr>
            <w:tcW w:w="1100" w:type="pct"/>
            <w:tcBorders>
              <w:top w:val="nil"/>
              <w:left w:val="nil"/>
              <w:bottom w:val="nil"/>
              <w:right w:val="nil"/>
            </w:tcBorders>
            <w:shd w:val="clear" w:color="auto" w:fill="auto"/>
            <w:noWrap/>
            <w:vAlign w:val="bottom"/>
            <w:hideMark/>
          </w:tcPr>
          <w:p w14:paraId="2DA2C3A5" w14:textId="77777777" w:rsidR="003463B9" w:rsidRPr="00DA0460" w:rsidRDefault="003463B9" w:rsidP="00022961">
            <w:pPr>
              <w:spacing w:before="0" w:after="0" w:line="240" w:lineRule="auto"/>
              <w:jc w:val="right"/>
              <w:rPr>
                <w:rFonts w:ascii="Arial" w:hAnsi="Arial" w:cs="Arial"/>
                <w:sz w:val="16"/>
                <w:szCs w:val="16"/>
              </w:rPr>
            </w:pPr>
            <w:r w:rsidRPr="00DA0460">
              <w:rPr>
                <w:rFonts w:ascii="Arial" w:hAnsi="Arial" w:cs="Arial"/>
                <w:sz w:val="16"/>
                <w:szCs w:val="16"/>
              </w:rPr>
              <w:t xml:space="preserve"> $m </w:t>
            </w:r>
          </w:p>
        </w:tc>
        <w:tc>
          <w:tcPr>
            <w:tcW w:w="2698" w:type="pct"/>
            <w:gridSpan w:val="5"/>
            <w:tcBorders>
              <w:top w:val="nil"/>
              <w:left w:val="nil"/>
              <w:bottom w:val="nil"/>
              <w:right w:val="nil"/>
            </w:tcBorders>
            <w:shd w:val="clear" w:color="auto" w:fill="auto"/>
            <w:noWrap/>
            <w:vAlign w:val="center"/>
            <w:hideMark/>
          </w:tcPr>
          <w:p w14:paraId="5838526D" w14:textId="2380C436" w:rsidR="003463B9" w:rsidRPr="00DA0460" w:rsidRDefault="003463B9" w:rsidP="00022961">
            <w:pPr>
              <w:spacing w:before="0" w:after="0" w:line="240" w:lineRule="auto"/>
              <w:jc w:val="center"/>
              <w:rPr>
                <w:rFonts w:ascii="Arial" w:hAnsi="Arial" w:cs="Arial"/>
                <w:sz w:val="16"/>
                <w:szCs w:val="16"/>
              </w:rPr>
            </w:pPr>
            <w:r w:rsidRPr="00DA0460">
              <w:rPr>
                <w:rFonts w:ascii="Arial" w:hAnsi="Arial" w:cs="Arial"/>
                <w:sz w:val="16"/>
                <w:szCs w:val="16"/>
              </w:rPr>
              <w:t>Timing of interest payments</w:t>
            </w:r>
            <w:r w:rsidR="00B117CA">
              <w:rPr>
                <w:rFonts w:ascii="Arial" w:hAnsi="Arial" w:cs="Arial"/>
                <w:sz w:val="16"/>
                <w:szCs w:val="16"/>
              </w:rPr>
              <w:t xml:space="preserve"> </w:t>
            </w:r>
            <w:r w:rsidRPr="00DA0460">
              <w:rPr>
                <w:rFonts w:ascii="Arial" w:hAnsi="Arial" w:cs="Arial"/>
                <w:sz w:val="16"/>
                <w:szCs w:val="16"/>
              </w:rPr>
              <w:t>(a)</w:t>
            </w:r>
          </w:p>
        </w:tc>
      </w:tr>
      <w:tr w:rsidR="003463B9" w:rsidRPr="003463B9" w14:paraId="3A53C73E" w14:textId="77777777" w:rsidTr="0079376E">
        <w:trPr>
          <w:divId w:val="616912416"/>
          <w:trHeight w:hRule="exact" w:val="225"/>
        </w:trPr>
        <w:tc>
          <w:tcPr>
            <w:tcW w:w="514" w:type="pct"/>
            <w:tcBorders>
              <w:top w:val="single" w:sz="4" w:space="0" w:color="293F5B"/>
              <w:left w:val="nil"/>
              <w:bottom w:val="nil"/>
              <w:right w:val="nil"/>
            </w:tcBorders>
            <w:shd w:val="clear" w:color="auto" w:fill="auto"/>
            <w:noWrap/>
            <w:vAlign w:val="center"/>
            <w:hideMark/>
          </w:tcPr>
          <w:p w14:paraId="54C99D70" w14:textId="77777777" w:rsidR="003463B9" w:rsidRPr="00022961" w:rsidRDefault="003463B9" w:rsidP="00296E60">
            <w:pPr>
              <w:spacing w:before="0" w:after="0" w:line="240" w:lineRule="auto"/>
              <w:jc w:val="right"/>
              <w:rPr>
                <w:rFonts w:ascii="Arial" w:hAnsi="Arial" w:cs="Arial"/>
                <w:sz w:val="16"/>
                <w:szCs w:val="16"/>
              </w:rPr>
            </w:pPr>
            <w:r w:rsidRPr="00022961">
              <w:rPr>
                <w:rFonts w:ascii="Arial" w:hAnsi="Arial" w:cs="Arial"/>
                <w:sz w:val="16"/>
                <w:szCs w:val="16"/>
              </w:rPr>
              <w:t>3.00</w:t>
            </w:r>
          </w:p>
        </w:tc>
        <w:tc>
          <w:tcPr>
            <w:tcW w:w="688" w:type="pct"/>
            <w:tcBorders>
              <w:top w:val="single" w:sz="4" w:space="0" w:color="293F5B"/>
              <w:left w:val="nil"/>
              <w:bottom w:val="nil"/>
              <w:right w:val="nil"/>
            </w:tcBorders>
            <w:shd w:val="clear" w:color="auto" w:fill="auto"/>
            <w:noWrap/>
            <w:vAlign w:val="center"/>
            <w:hideMark/>
          </w:tcPr>
          <w:p w14:paraId="55A9BF9B" w14:textId="2F31FEE2" w:rsidR="003463B9" w:rsidRPr="00022961" w:rsidRDefault="003463B9" w:rsidP="00296E60">
            <w:pPr>
              <w:spacing w:before="0" w:after="0" w:line="240" w:lineRule="auto"/>
              <w:jc w:val="right"/>
              <w:rPr>
                <w:rFonts w:ascii="Arial" w:hAnsi="Arial" w:cs="Arial"/>
                <w:sz w:val="16"/>
                <w:szCs w:val="16"/>
              </w:rPr>
            </w:pPr>
            <w:r w:rsidRPr="00022961">
              <w:rPr>
                <w:rFonts w:ascii="Arial" w:hAnsi="Arial" w:cs="Arial"/>
                <w:sz w:val="16"/>
                <w:szCs w:val="16"/>
              </w:rPr>
              <w:t>20</w:t>
            </w:r>
            <w:r w:rsidR="00B57616">
              <w:rPr>
                <w:rFonts w:ascii="Arial" w:hAnsi="Arial" w:cs="Arial"/>
                <w:sz w:val="16"/>
                <w:szCs w:val="16"/>
              </w:rPr>
              <w:noBreakHyphen/>
            </w:r>
            <w:r w:rsidRPr="00022961">
              <w:rPr>
                <w:rFonts w:ascii="Arial" w:hAnsi="Arial" w:cs="Arial"/>
                <w:sz w:val="16"/>
                <w:szCs w:val="16"/>
              </w:rPr>
              <w:t>Sep</w:t>
            </w:r>
            <w:r w:rsidR="00B57616">
              <w:rPr>
                <w:rFonts w:ascii="Arial" w:hAnsi="Arial" w:cs="Arial"/>
                <w:sz w:val="16"/>
                <w:szCs w:val="16"/>
              </w:rPr>
              <w:noBreakHyphen/>
            </w:r>
            <w:r w:rsidRPr="00022961">
              <w:rPr>
                <w:rFonts w:ascii="Arial" w:hAnsi="Arial" w:cs="Arial"/>
                <w:sz w:val="16"/>
                <w:szCs w:val="16"/>
              </w:rPr>
              <w:t>25</w:t>
            </w:r>
          </w:p>
        </w:tc>
        <w:tc>
          <w:tcPr>
            <w:tcW w:w="1100" w:type="pct"/>
            <w:tcBorders>
              <w:top w:val="single" w:sz="4" w:space="0" w:color="293F5B"/>
              <w:left w:val="nil"/>
              <w:bottom w:val="nil"/>
              <w:right w:val="nil"/>
            </w:tcBorders>
            <w:shd w:val="clear" w:color="auto" w:fill="auto"/>
            <w:noWrap/>
            <w:vAlign w:val="center"/>
            <w:hideMark/>
          </w:tcPr>
          <w:p w14:paraId="6C28890E" w14:textId="77777777" w:rsidR="003463B9" w:rsidRPr="00022961" w:rsidRDefault="003463B9" w:rsidP="00296E60">
            <w:pPr>
              <w:spacing w:before="0" w:after="0" w:line="240" w:lineRule="auto"/>
              <w:jc w:val="right"/>
              <w:rPr>
                <w:rFonts w:ascii="Arial" w:hAnsi="Arial" w:cs="Arial"/>
                <w:sz w:val="16"/>
                <w:szCs w:val="16"/>
              </w:rPr>
            </w:pPr>
            <w:r w:rsidRPr="00022961">
              <w:rPr>
                <w:rFonts w:ascii="Arial" w:hAnsi="Arial" w:cs="Arial"/>
                <w:sz w:val="16"/>
                <w:szCs w:val="16"/>
              </w:rPr>
              <w:t>6,042</w:t>
            </w:r>
          </w:p>
        </w:tc>
        <w:tc>
          <w:tcPr>
            <w:tcW w:w="633" w:type="pct"/>
            <w:tcBorders>
              <w:top w:val="single" w:sz="4" w:space="0" w:color="293F5B"/>
              <w:left w:val="nil"/>
              <w:bottom w:val="nil"/>
              <w:right w:val="nil"/>
            </w:tcBorders>
            <w:shd w:val="clear" w:color="auto" w:fill="auto"/>
            <w:noWrap/>
            <w:vAlign w:val="center"/>
            <w:hideMark/>
          </w:tcPr>
          <w:p w14:paraId="6A1EBF91" w14:textId="77777777" w:rsidR="003463B9" w:rsidRPr="00022961" w:rsidRDefault="003463B9" w:rsidP="00296E60">
            <w:pPr>
              <w:spacing w:before="0" w:after="0" w:line="240" w:lineRule="auto"/>
              <w:jc w:val="right"/>
              <w:rPr>
                <w:rFonts w:ascii="Arial" w:hAnsi="Arial" w:cs="Arial"/>
                <w:sz w:val="16"/>
                <w:szCs w:val="16"/>
              </w:rPr>
            </w:pPr>
            <w:r w:rsidRPr="00022961">
              <w:rPr>
                <w:rFonts w:ascii="Arial" w:hAnsi="Arial" w:cs="Arial"/>
                <w:sz w:val="16"/>
                <w:szCs w:val="16"/>
              </w:rPr>
              <w:t>Quarterly</w:t>
            </w:r>
          </w:p>
        </w:tc>
        <w:tc>
          <w:tcPr>
            <w:tcW w:w="503" w:type="pct"/>
            <w:tcBorders>
              <w:top w:val="single" w:sz="4" w:space="0" w:color="293F5B"/>
              <w:left w:val="nil"/>
              <w:bottom w:val="nil"/>
              <w:right w:val="nil"/>
            </w:tcBorders>
            <w:shd w:val="clear" w:color="auto" w:fill="auto"/>
            <w:noWrap/>
            <w:vAlign w:val="center"/>
            <w:hideMark/>
          </w:tcPr>
          <w:p w14:paraId="38A803A7" w14:textId="605F57A6" w:rsidR="003463B9" w:rsidRPr="00022961" w:rsidRDefault="003463B9" w:rsidP="00296E60">
            <w:pPr>
              <w:spacing w:before="0" w:after="0" w:line="240" w:lineRule="auto"/>
              <w:jc w:val="right"/>
              <w:rPr>
                <w:rFonts w:ascii="Arial" w:hAnsi="Arial" w:cs="Arial"/>
                <w:sz w:val="16"/>
                <w:szCs w:val="16"/>
              </w:rPr>
            </w:pPr>
            <w:r w:rsidRPr="00022961">
              <w:rPr>
                <w:rFonts w:ascii="Arial" w:hAnsi="Arial" w:cs="Arial"/>
                <w:sz w:val="16"/>
                <w:szCs w:val="16"/>
              </w:rPr>
              <w:t>20</w:t>
            </w:r>
            <w:r w:rsidR="00B57616">
              <w:rPr>
                <w:rFonts w:ascii="Arial" w:hAnsi="Arial" w:cs="Arial"/>
                <w:sz w:val="16"/>
                <w:szCs w:val="16"/>
              </w:rPr>
              <w:noBreakHyphen/>
            </w:r>
            <w:r w:rsidRPr="00022961">
              <w:rPr>
                <w:rFonts w:ascii="Arial" w:hAnsi="Arial" w:cs="Arial"/>
                <w:sz w:val="16"/>
                <w:szCs w:val="16"/>
              </w:rPr>
              <w:t>Sep</w:t>
            </w:r>
          </w:p>
        </w:tc>
        <w:tc>
          <w:tcPr>
            <w:tcW w:w="520" w:type="pct"/>
            <w:tcBorders>
              <w:top w:val="single" w:sz="4" w:space="0" w:color="293F5B"/>
              <w:left w:val="nil"/>
              <w:bottom w:val="nil"/>
              <w:right w:val="nil"/>
            </w:tcBorders>
            <w:shd w:val="clear" w:color="auto" w:fill="auto"/>
            <w:noWrap/>
            <w:vAlign w:val="center"/>
            <w:hideMark/>
          </w:tcPr>
          <w:p w14:paraId="20A0FFAD" w14:textId="0900580A" w:rsidR="003463B9" w:rsidRPr="00022961" w:rsidRDefault="003463B9" w:rsidP="00296E60">
            <w:pPr>
              <w:spacing w:before="0" w:after="0" w:line="240" w:lineRule="auto"/>
              <w:jc w:val="right"/>
              <w:rPr>
                <w:rFonts w:ascii="Arial" w:hAnsi="Arial" w:cs="Arial"/>
                <w:sz w:val="16"/>
                <w:szCs w:val="16"/>
              </w:rPr>
            </w:pPr>
            <w:r w:rsidRPr="00022961">
              <w:rPr>
                <w:rFonts w:ascii="Arial" w:hAnsi="Arial" w:cs="Arial"/>
                <w:sz w:val="16"/>
                <w:szCs w:val="16"/>
              </w:rPr>
              <w:t>20</w:t>
            </w:r>
            <w:r w:rsidR="00B57616">
              <w:rPr>
                <w:rFonts w:ascii="Arial" w:hAnsi="Arial" w:cs="Arial"/>
                <w:sz w:val="16"/>
                <w:szCs w:val="16"/>
              </w:rPr>
              <w:noBreakHyphen/>
            </w:r>
            <w:r w:rsidRPr="00022961">
              <w:rPr>
                <w:rFonts w:ascii="Arial" w:hAnsi="Arial" w:cs="Arial"/>
                <w:sz w:val="16"/>
                <w:szCs w:val="16"/>
              </w:rPr>
              <w:t>Dec</w:t>
            </w:r>
          </w:p>
        </w:tc>
        <w:tc>
          <w:tcPr>
            <w:tcW w:w="520" w:type="pct"/>
            <w:tcBorders>
              <w:top w:val="single" w:sz="4" w:space="0" w:color="293F5B"/>
              <w:left w:val="nil"/>
              <w:bottom w:val="nil"/>
              <w:right w:val="nil"/>
            </w:tcBorders>
            <w:shd w:val="clear" w:color="auto" w:fill="auto"/>
            <w:noWrap/>
            <w:vAlign w:val="center"/>
            <w:hideMark/>
          </w:tcPr>
          <w:p w14:paraId="5B7D59CD" w14:textId="04AF86DB" w:rsidR="003463B9" w:rsidRPr="00022961" w:rsidRDefault="003463B9" w:rsidP="00296E60">
            <w:pPr>
              <w:spacing w:before="0" w:after="0" w:line="240" w:lineRule="auto"/>
              <w:jc w:val="right"/>
              <w:rPr>
                <w:rFonts w:ascii="Arial" w:hAnsi="Arial" w:cs="Arial"/>
                <w:sz w:val="16"/>
                <w:szCs w:val="16"/>
              </w:rPr>
            </w:pPr>
            <w:r w:rsidRPr="00022961">
              <w:rPr>
                <w:rFonts w:ascii="Arial" w:hAnsi="Arial" w:cs="Arial"/>
                <w:sz w:val="16"/>
                <w:szCs w:val="16"/>
              </w:rPr>
              <w:t>20</w:t>
            </w:r>
            <w:r w:rsidR="00B57616">
              <w:rPr>
                <w:rFonts w:ascii="Arial" w:hAnsi="Arial" w:cs="Arial"/>
                <w:sz w:val="16"/>
                <w:szCs w:val="16"/>
              </w:rPr>
              <w:noBreakHyphen/>
            </w:r>
            <w:r w:rsidRPr="00022961">
              <w:rPr>
                <w:rFonts w:ascii="Arial" w:hAnsi="Arial" w:cs="Arial"/>
                <w:sz w:val="16"/>
                <w:szCs w:val="16"/>
              </w:rPr>
              <w:t>Mar</w:t>
            </w:r>
          </w:p>
        </w:tc>
        <w:tc>
          <w:tcPr>
            <w:tcW w:w="522" w:type="pct"/>
            <w:tcBorders>
              <w:top w:val="single" w:sz="4" w:space="0" w:color="293F5B"/>
              <w:left w:val="nil"/>
              <w:bottom w:val="nil"/>
              <w:right w:val="nil"/>
            </w:tcBorders>
            <w:shd w:val="clear" w:color="auto" w:fill="auto"/>
            <w:noWrap/>
            <w:vAlign w:val="center"/>
            <w:hideMark/>
          </w:tcPr>
          <w:p w14:paraId="72EAF206" w14:textId="7BEB1CBB" w:rsidR="003463B9" w:rsidRPr="00022961" w:rsidRDefault="003463B9" w:rsidP="00B117CA">
            <w:pPr>
              <w:spacing w:before="0" w:after="0" w:line="240" w:lineRule="auto"/>
              <w:jc w:val="right"/>
              <w:rPr>
                <w:rFonts w:ascii="Arial" w:hAnsi="Arial" w:cs="Arial"/>
                <w:sz w:val="16"/>
                <w:szCs w:val="16"/>
              </w:rPr>
            </w:pPr>
            <w:r w:rsidRPr="00022961">
              <w:rPr>
                <w:rFonts w:ascii="Arial" w:hAnsi="Arial" w:cs="Arial"/>
                <w:sz w:val="16"/>
                <w:szCs w:val="16"/>
              </w:rPr>
              <w:t>20</w:t>
            </w:r>
            <w:r w:rsidR="00B57616">
              <w:rPr>
                <w:rFonts w:ascii="Arial" w:hAnsi="Arial" w:cs="Arial"/>
                <w:sz w:val="16"/>
                <w:szCs w:val="16"/>
              </w:rPr>
              <w:noBreakHyphen/>
            </w:r>
            <w:r w:rsidRPr="00022961">
              <w:rPr>
                <w:rFonts w:ascii="Arial" w:hAnsi="Arial" w:cs="Arial"/>
                <w:sz w:val="16"/>
                <w:szCs w:val="16"/>
              </w:rPr>
              <w:t>Jun</w:t>
            </w:r>
          </w:p>
        </w:tc>
      </w:tr>
      <w:tr w:rsidR="003463B9" w:rsidRPr="003463B9" w14:paraId="7E1B9831" w14:textId="77777777" w:rsidTr="0079376E">
        <w:trPr>
          <w:divId w:val="616912416"/>
          <w:trHeight w:hRule="exact" w:val="225"/>
        </w:trPr>
        <w:tc>
          <w:tcPr>
            <w:tcW w:w="514" w:type="pct"/>
            <w:tcBorders>
              <w:top w:val="nil"/>
              <w:left w:val="nil"/>
              <w:bottom w:val="nil"/>
              <w:right w:val="nil"/>
            </w:tcBorders>
            <w:shd w:val="clear" w:color="auto" w:fill="auto"/>
            <w:noWrap/>
            <w:vAlign w:val="center"/>
            <w:hideMark/>
          </w:tcPr>
          <w:p w14:paraId="3B0F6120" w14:textId="77777777"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0.75</w:t>
            </w:r>
          </w:p>
        </w:tc>
        <w:tc>
          <w:tcPr>
            <w:tcW w:w="688" w:type="pct"/>
            <w:tcBorders>
              <w:top w:val="nil"/>
              <w:left w:val="nil"/>
              <w:bottom w:val="nil"/>
              <w:right w:val="nil"/>
            </w:tcBorders>
            <w:shd w:val="clear" w:color="auto" w:fill="auto"/>
            <w:noWrap/>
            <w:vAlign w:val="center"/>
            <w:hideMark/>
          </w:tcPr>
          <w:p w14:paraId="580DED07" w14:textId="291E16E3"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21</w:t>
            </w:r>
            <w:r w:rsidR="00B57616">
              <w:rPr>
                <w:rFonts w:ascii="Arial" w:hAnsi="Arial" w:cs="Arial"/>
                <w:sz w:val="16"/>
                <w:szCs w:val="16"/>
              </w:rPr>
              <w:noBreakHyphen/>
            </w:r>
            <w:r w:rsidRPr="00296E60">
              <w:rPr>
                <w:rFonts w:ascii="Arial" w:hAnsi="Arial" w:cs="Arial"/>
                <w:sz w:val="16"/>
                <w:szCs w:val="16"/>
              </w:rPr>
              <w:t>Nov</w:t>
            </w:r>
            <w:r w:rsidR="00B57616">
              <w:rPr>
                <w:rFonts w:ascii="Arial" w:hAnsi="Arial" w:cs="Arial"/>
                <w:sz w:val="16"/>
                <w:szCs w:val="16"/>
              </w:rPr>
              <w:noBreakHyphen/>
            </w:r>
            <w:r w:rsidRPr="00296E60">
              <w:rPr>
                <w:rFonts w:ascii="Arial" w:hAnsi="Arial" w:cs="Arial"/>
                <w:sz w:val="16"/>
                <w:szCs w:val="16"/>
              </w:rPr>
              <w:t>27</w:t>
            </w:r>
          </w:p>
        </w:tc>
        <w:tc>
          <w:tcPr>
            <w:tcW w:w="1100" w:type="pct"/>
            <w:tcBorders>
              <w:top w:val="nil"/>
              <w:left w:val="nil"/>
              <w:bottom w:val="nil"/>
              <w:right w:val="nil"/>
            </w:tcBorders>
            <w:shd w:val="clear" w:color="auto" w:fill="auto"/>
            <w:noWrap/>
            <w:vAlign w:val="center"/>
            <w:hideMark/>
          </w:tcPr>
          <w:p w14:paraId="294B0EAB" w14:textId="77777777"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7,150</w:t>
            </w:r>
          </w:p>
        </w:tc>
        <w:tc>
          <w:tcPr>
            <w:tcW w:w="633" w:type="pct"/>
            <w:tcBorders>
              <w:top w:val="nil"/>
              <w:left w:val="nil"/>
              <w:bottom w:val="nil"/>
              <w:right w:val="nil"/>
            </w:tcBorders>
            <w:shd w:val="clear" w:color="auto" w:fill="auto"/>
            <w:noWrap/>
            <w:vAlign w:val="center"/>
            <w:hideMark/>
          </w:tcPr>
          <w:p w14:paraId="3F7E89E4" w14:textId="77777777"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Quarterly</w:t>
            </w:r>
          </w:p>
        </w:tc>
        <w:tc>
          <w:tcPr>
            <w:tcW w:w="503" w:type="pct"/>
            <w:tcBorders>
              <w:top w:val="nil"/>
              <w:left w:val="nil"/>
              <w:bottom w:val="nil"/>
              <w:right w:val="nil"/>
            </w:tcBorders>
            <w:shd w:val="clear" w:color="auto" w:fill="auto"/>
            <w:noWrap/>
            <w:vAlign w:val="center"/>
            <w:hideMark/>
          </w:tcPr>
          <w:p w14:paraId="747CCC83" w14:textId="5458C2E7"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21</w:t>
            </w:r>
            <w:r w:rsidR="00B57616">
              <w:rPr>
                <w:rFonts w:ascii="Arial" w:hAnsi="Arial" w:cs="Arial"/>
                <w:sz w:val="16"/>
                <w:szCs w:val="16"/>
              </w:rPr>
              <w:noBreakHyphen/>
            </w:r>
            <w:r w:rsidRPr="00296E60">
              <w:rPr>
                <w:rFonts w:ascii="Arial" w:hAnsi="Arial" w:cs="Arial"/>
                <w:sz w:val="16"/>
                <w:szCs w:val="16"/>
              </w:rPr>
              <w:t>Nov</w:t>
            </w:r>
          </w:p>
        </w:tc>
        <w:tc>
          <w:tcPr>
            <w:tcW w:w="520" w:type="pct"/>
            <w:tcBorders>
              <w:top w:val="nil"/>
              <w:left w:val="nil"/>
              <w:bottom w:val="nil"/>
              <w:right w:val="nil"/>
            </w:tcBorders>
            <w:shd w:val="clear" w:color="auto" w:fill="auto"/>
            <w:noWrap/>
            <w:vAlign w:val="center"/>
            <w:hideMark/>
          </w:tcPr>
          <w:p w14:paraId="72BEB1E0" w14:textId="058C6D33"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21</w:t>
            </w:r>
            <w:r w:rsidR="00B57616">
              <w:rPr>
                <w:rFonts w:ascii="Arial" w:hAnsi="Arial" w:cs="Arial"/>
                <w:sz w:val="16"/>
                <w:szCs w:val="16"/>
              </w:rPr>
              <w:noBreakHyphen/>
            </w:r>
            <w:r w:rsidRPr="00296E60">
              <w:rPr>
                <w:rFonts w:ascii="Arial" w:hAnsi="Arial" w:cs="Arial"/>
                <w:sz w:val="16"/>
                <w:szCs w:val="16"/>
              </w:rPr>
              <w:t>Feb</w:t>
            </w:r>
          </w:p>
        </w:tc>
        <w:tc>
          <w:tcPr>
            <w:tcW w:w="520" w:type="pct"/>
            <w:tcBorders>
              <w:top w:val="nil"/>
              <w:left w:val="nil"/>
              <w:bottom w:val="nil"/>
              <w:right w:val="nil"/>
            </w:tcBorders>
            <w:shd w:val="clear" w:color="auto" w:fill="auto"/>
            <w:noWrap/>
            <w:vAlign w:val="center"/>
            <w:hideMark/>
          </w:tcPr>
          <w:p w14:paraId="18BADAFC" w14:textId="50EB08A8"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21</w:t>
            </w:r>
            <w:r w:rsidR="00B57616">
              <w:rPr>
                <w:rFonts w:ascii="Arial" w:hAnsi="Arial" w:cs="Arial"/>
                <w:sz w:val="16"/>
                <w:szCs w:val="16"/>
              </w:rPr>
              <w:noBreakHyphen/>
            </w:r>
            <w:r w:rsidRPr="00296E60">
              <w:rPr>
                <w:rFonts w:ascii="Arial" w:hAnsi="Arial" w:cs="Arial"/>
                <w:sz w:val="16"/>
                <w:szCs w:val="16"/>
              </w:rPr>
              <w:t>May</w:t>
            </w:r>
          </w:p>
        </w:tc>
        <w:tc>
          <w:tcPr>
            <w:tcW w:w="522" w:type="pct"/>
            <w:tcBorders>
              <w:top w:val="nil"/>
              <w:left w:val="nil"/>
              <w:bottom w:val="nil"/>
              <w:right w:val="nil"/>
            </w:tcBorders>
            <w:shd w:val="clear" w:color="auto" w:fill="auto"/>
            <w:noWrap/>
            <w:vAlign w:val="center"/>
            <w:hideMark/>
          </w:tcPr>
          <w:p w14:paraId="536FABB8" w14:textId="2253B2B0" w:rsidR="003463B9" w:rsidRPr="00296E60" w:rsidRDefault="003463B9" w:rsidP="00B117CA">
            <w:pPr>
              <w:spacing w:before="0" w:after="0" w:line="240" w:lineRule="auto"/>
              <w:jc w:val="right"/>
              <w:rPr>
                <w:rFonts w:ascii="Arial" w:hAnsi="Arial" w:cs="Arial"/>
                <w:sz w:val="16"/>
                <w:szCs w:val="16"/>
              </w:rPr>
            </w:pPr>
            <w:r w:rsidRPr="00296E60">
              <w:rPr>
                <w:rFonts w:ascii="Arial" w:hAnsi="Arial" w:cs="Arial"/>
                <w:sz w:val="16"/>
                <w:szCs w:val="16"/>
              </w:rPr>
              <w:t>21</w:t>
            </w:r>
            <w:r w:rsidR="00B57616">
              <w:rPr>
                <w:rFonts w:ascii="Arial" w:hAnsi="Arial" w:cs="Arial"/>
                <w:sz w:val="16"/>
                <w:szCs w:val="16"/>
              </w:rPr>
              <w:noBreakHyphen/>
            </w:r>
            <w:r w:rsidRPr="00296E60">
              <w:rPr>
                <w:rFonts w:ascii="Arial" w:hAnsi="Arial" w:cs="Arial"/>
                <w:sz w:val="16"/>
                <w:szCs w:val="16"/>
              </w:rPr>
              <w:t>Aug</w:t>
            </w:r>
          </w:p>
        </w:tc>
      </w:tr>
      <w:tr w:rsidR="003463B9" w:rsidRPr="003463B9" w14:paraId="74FEEB54" w14:textId="77777777" w:rsidTr="0079376E">
        <w:trPr>
          <w:divId w:val="616912416"/>
          <w:trHeight w:hRule="exact" w:val="225"/>
        </w:trPr>
        <w:tc>
          <w:tcPr>
            <w:tcW w:w="514" w:type="pct"/>
            <w:tcBorders>
              <w:top w:val="nil"/>
              <w:left w:val="nil"/>
              <w:bottom w:val="nil"/>
              <w:right w:val="nil"/>
            </w:tcBorders>
            <w:shd w:val="clear" w:color="auto" w:fill="auto"/>
            <w:noWrap/>
            <w:vAlign w:val="center"/>
            <w:hideMark/>
          </w:tcPr>
          <w:p w14:paraId="03AA94A7" w14:textId="77777777"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2.50</w:t>
            </w:r>
          </w:p>
        </w:tc>
        <w:tc>
          <w:tcPr>
            <w:tcW w:w="688" w:type="pct"/>
            <w:tcBorders>
              <w:top w:val="nil"/>
              <w:left w:val="nil"/>
              <w:bottom w:val="nil"/>
              <w:right w:val="nil"/>
            </w:tcBorders>
            <w:shd w:val="clear" w:color="auto" w:fill="auto"/>
            <w:noWrap/>
            <w:vAlign w:val="center"/>
            <w:hideMark/>
          </w:tcPr>
          <w:p w14:paraId="42158018" w14:textId="3CA1DD74"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20</w:t>
            </w:r>
            <w:r w:rsidR="00B57616">
              <w:rPr>
                <w:rFonts w:ascii="Arial" w:hAnsi="Arial" w:cs="Arial"/>
                <w:sz w:val="16"/>
                <w:szCs w:val="16"/>
              </w:rPr>
              <w:noBreakHyphen/>
            </w:r>
            <w:r w:rsidRPr="00296E60">
              <w:rPr>
                <w:rFonts w:ascii="Arial" w:hAnsi="Arial" w:cs="Arial"/>
                <w:sz w:val="16"/>
                <w:szCs w:val="16"/>
              </w:rPr>
              <w:t>Sep</w:t>
            </w:r>
            <w:r w:rsidR="00B57616">
              <w:rPr>
                <w:rFonts w:ascii="Arial" w:hAnsi="Arial" w:cs="Arial"/>
                <w:sz w:val="16"/>
                <w:szCs w:val="16"/>
              </w:rPr>
              <w:noBreakHyphen/>
            </w:r>
            <w:r w:rsidRPr="00296E60">
              <w:rPr>
                <w:rFonts w:ascii="Arial" w:hAnsi="Arial" w:cs="Arial"/>
                <w:sz w:val="16"/>
                <w:szCs w:val="16"/>
              </w:rPr>
              <w:t>30</w:t>
            </w:r>
          </w:p>
        </w:tc>
        <w:tc>
          <w:tcPr>
            <w:tcW w:w="1100" w:type="pct"/>
            <w:tcBorders>
              <w:top w:val="nil"/>
              <w:left w:val="nil"/>
              <w:bottom w:val="nil"/>
              <w:right w:val="nil"/>
            </w:tcBorders>
            <w:shd w:val="clear" w:color="auto" w:fill="auto"/>
            <w:noWrap/>
            <w:vAlign w:val="center"/>
            <w:hideMark/>
          </w:tcPr>
          <w:p w14:paraId="4DDFDFC0" w14:textId="77777777"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7,042</w:t>
            </w:r>
          </w:p>
        </w:tc>
        <w:tc>
          <w:tcPr>
            <w:tcW w:w="633" w:type="pct"/>
            <w:tcBorders>
              <w:top w:val="nil"/>
              <w:left w:val="nil"/>
              <w:bottom w:val="nil"/>
              <w:right w:val="nil"/>
            </w:tcBorders>
            <w:shd w:val="clear" w:color="auto" w:fill="auto"/>
            <w:noWrap/>
            <w:vAlign w:val="center"/>
            <w:hideMark/>
          </w:tcPr>
          <w:p w14:paraId="2097AA16" w14:textId="77777777"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Quarterly</w:t>
            </w:r>
          </w:p>
        </w:tc>
        <w:tc>
          <w:tcPr>
            <w:tcW w:w="503" w:type="pct"/>
            <w:tcBorders>
              <w:top w:val="nil"/>
              <w:left w:val="nil"/>
              <w:bottom w:val="nil"/>
              <w:right w:val="nil"/>
            </w:tcBorders>
            <w:shd w:val="clear" w:color="auto" w:fill="auto"/>
            <w:noWrap/>
            <w:vAlign w:val="center"/>
            <w:hideMark/>
          </w:tcPr>
          <w:p w14:paraId="7564BF97" w14:textId="713D96B2"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20</w:t>
            </w:r>
            <w:r w:rsidR="00B57616">
              <w:rPr>
                <w:rFonts w:ascii="Arial" w:hAnsi="Arial" w:cs="Arial"/>
                <w:sz w:val="16"/>
                <w:szCs w:val="16"/>
              </w:rPr>
              <w:noBreakHyphen/>
            </w:r>
            <w:r w:rsidRPr="00296E60">
              <w:rPr>
                <w:rFonts w:ascii="Arial" w:hAnsi="Arial" w:cs="Arial"/>
                <w:sz w:val="16"/>
                <w:szCs w:val="16"/>
              </w:rPr>
              <w:t>Sep</w:t>
            </w:r>
          </w:p>
        </w:tc>
        <w:tc>
          <w:tcPr>
            <w:tcW w:w="520" w:type="pct"/>
            <w:tcBorders>
              <w:top w:val="nil"/>
              <w:left w:val="nil"/>
              <w:bottom w:val="nil"/>
              <w:right w:val="nil"/>
            </w:tcBorders>
            <w:shd w:val="clear" w:color="auto" w:fill="auto"/>
            <w:noWrap/>
            <w:vAlign w:val="center"/>
            <w:hideMark/>
          </w:tcPr>
          <w:p w14:paraId="35170D80" w14:textId="26975FA4"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20</w:t>
            </w:r>
            <w:r w:rsidR="00B57616">
              <w:rPr>
                <w:rFonts w:ascii="Arial" w:hAnsi="Arial" w:cs="Arial"/>
                <w:sz w:val="16"/>
                <w:szCs w:val="16"/>
              </w:rPr>
              <w:noBreakHyphen/>
            </w:r>
            <w:r w:rsidRPr="00296E60">
              <w:rPr>
                <w:rFonts w:ascii="Arial" w:hAnsi="Arial" w:cs="Arial"/>
                <w:sz w:val="16"/>
                <w:szCs w:val="16"/>
              </w:rPr>
              <w:t>Dec</w:t>
            </w:r>
          </w:p>
        </w:tc>
        <w:tc>
          <w:tcPr>
            <w:tcW w:w="520" w:type="pct"/>
            <w:tcBorders>
              <w:top w:val="nil"/>
              <w:left w:val="nil"/>
              <w:bottom w:val="nil"/>
              <w:right w:val="nil"/>
            </w:tcBorders>
            <w:shd w:val="clear" w:color="auto" w:fill="auto"/>
            <w:noWrap/>
            <w:vAlign w:val="center"/>
            <w:hideMark/>
          </w:tcPr>
          <w:p w14:paraId="506DB4E6" w14:textId="70316078"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20</w:t>
            </w:r>
            <w:r w:rsidR="00B57616">
              <w:rPr>
                <w:rFonts w:ascii="Arial" w:hAnsi="Arial" w:cs="Arial"/>
                <w:sz w:val="16"/>
                <w:szCs w:val="16"/>
              </w:rPr>
              <w:noBreakHyphen/>
            </w:r>
            <w:r w:rsidRPr="00296E60">
              <w:rPr>
                <w:rFonts w:ascii="Arial" w:hAnsi="Arial" w:cs="Arial"/>
                <w:sz w:val="16"/>
                <w:szCs w:val="16"/>
              </w:rPr>
              <w:t>Mar</w:t>
            </w:r>
          </w:p>
        </w:tc>
        <w:tc>
          <w:tcPr>
            <w:tcW w:w="522" w:type="pct"/>
            <w:tcBorders>
              <w:top w:val="nil"/>
              <w:left w:val="nil"/>
              <w:bottom w:val="nil"/>
              <w:right w:val="nil"/>
            </w:tcBorders>
            <w:shd w:val="clear" w:color="auto" w:fill="auto"/>
            <w:noWrap/>
            <w:vAlign w:val="center"/>
            <w:hideMark/>
          </w:tcPr>
          <w:p w14:paraId="1BC1CDBF" w14:textId="3813E123" w:rsidR="003463B9" w:rsidRPr="00296E60" w:rsidRDefault="003463B9" w:rsidP="00B117CA">
            <w:pPr>
              <w:spacing w:before="0" w:after="0" w:line="240" w:lineRule="auto"/>
              <w:jc w:val="right"/>
              <w:rPr>
                <w:rFonts w:ascii="Arial" w:hAnsi="Arial" w:cs="Arial"/>
                <w:sz w:val="16"/>
                <w:szCs w:val="16"/>
              </w:rPr>
            </w:pPr>
            <w:r w:rsidRPr="00296E60">
              <w:rPr>
                <w:rFonts w:ascii="Arial" w:hAnsi="Arial" w:cs="Arial"/>
                <w:sz w:val="16"/>
                <w:szCs w:val="16"/>
              </w:rPr>
              <w:t>20</w:t>
            </w:r>
            <w:r w:rsidR="00B57616">
              <w:rPr>
                <w:rFonts w:ascii="Arial" w:hAnsi="Arial" w:cs="Arial"/>
                <w:sz w:val="16"/>
                <w:szCs w:val="16"/>
              </w:rPr>
              <w:noBreakHyphen/>
            </w:r>
            <w:r w:rsidRPr="00296E60">
              <w:rPr>
                <w:rFonts w:ascii="Arial" w:hAnsi="Arial" w:cs="Arial"/>
                <w:sz w:val="16"/>
                <w:szCs w:val="16"/>
              </w:rPr>
              <w:t>Jun</w:t>
            </w:r>
          </w:p>
        </w:tc>
      </w:tr>
      <w:tr w:rsidR="003463B9" w:rsidRPr="003463B9" w14:paraId="67E357FF" w14:textId="77777777" w:rsidTr="0079376E">
        <w:trPr>
          <w:divId w:val="616912416"/>
          <w:trHeight w:hRule="exact" w:val="225"/>
        </w:trPr>
        <w:tc>
          <w:tcPr>
            <w:tcW w:w="514" w:type="pct"/>
            <w:tcBorders>
              <w:top w:val="nil"/>
              <w:left w:val="nil"/>
              <w:bottom w:val="nil"/>
              <w:right w:val="nil"/>
            </w:tcBorders>
            <w:shd w:val="clear" w:color="auto" w:fill="auto"/>
            <w:noWrap/>
            <w:vAlign w:val="center"/>
            <w:hideMark/>
          </w:tcPr>
          <w:p w14:paraId="7296F8A3" w14:textId="77777777"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0.25</w:t>
            </w:r>
          </w:p>
        </w:tc>
        <w:tc>
          <w:tcPr>
            <w:tcW w:w="688" w:type="pct"/>
            <w:tcBorders>
              <w:top w:val="nil"/>
              <w:left w:val="nil"/>
              <w:bottom w:val="nil"/>
              <w:right w:val="nil"/>
            </w:tcBorders>
            <w:shd w:val="clear" w:color="auto" w:fill="auto"/>
            <w:noWrap/>
            <w:vAlign w:val="center"/>
            <w:hideMark/>
          </w:tcPr>
          <w:p w14:paraId="24CD80A0" w14:textId="391B1E1F"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21</w:t>
            </w:r>
            <w:r w:rsidR="00B57616">
              <w:rPr>
                <w:rFonts w:ascii="Arial" w:hAnsi="Arial" w:cs="Arial"/>
                <w:sz w:val="16"/>
                <w:szCs w:val="16"/>
              </w:rPr>
              <w:noBreakHyphen/>
            </w:r>
            <w:r w:rsidRPr="00296E60">
              <w:rPr>
                <w:rFonts w:ascii="Arial" w:hAnsi="Arial" w:cs="Arial"/>
                <w:sz w:val="16"/>
                <w:szCs w:val="16"/>
              </w:rPr>
              <w:t>Nov</w:t>
            </w:r>
            <w:r w:rsidR="00B57616">
              <w:rPr>
                <w:rFonts w:ascii="Arial" w:hAnsi="Arial" w:cs="Arial"/>
                <w:sz w:val="16"/>
                <w:szCs w:val="16"/>
              </w:rPr>
              <w:noBreakHyphen/>
            </w:r>
            <w:r w:rsidRPr="00296E60">
              <w:rPr>
                <w:rFonts w:ascii="Arial" w:hAnsi="Arial" w:cs="Arial"/>
                <w:sz w:val="16"/>
                <w:szCs w:val="16"/>
              </w:rPr>
              <w:t>32</w:t>
            </w:r>
          </w:p>
        </w:tc>
        <w:tc>
          <w:tcPr>
            <w:tcW w:w="1100" w:type="pct"/>
            <w:tcBorders>
              <w:top w:val="nil"/>
              <w:left w:val="nil"/>
              <w:bottom w:val="nil"/>
              <w:right w:val="nil"/>
            </w:tcBorders>
            <w:shd w:val="clear" w:color="auto" w:fill="auto"/>
            <w:noWrap/>
            <w:vAlign w:val="center"/>
            <w:hideMark/>
          </w:tcPr>
          <w:p w14:paraId="7ACC33E4" w14:textId="77777777"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4,950</w:t>
            </w:r>
          </w:p>
        </w:tc>
        <w:tc>
          <w:tcPr>
            <w:tcW w:w="633" w:type="pct"/>
            <w:tcBorders>
              <w:top w:val="nil"/>
              <w:left w:val="nil"/>
              <w:bottom w:val="nil"/>
              <w:right w:val="nil"/>
            </w:tcBorders>
            <w:shd w:val="clear" w:color="auto" w:fill="auto"/>
            <w:noWrap/>
            <w:vAlign w:val="center"/>
            <w:hideMark/>
          </w:tcPr>
          <w:p w14:paraId="06EFB3C2" w14:textId="77777777"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Quarterly</w:t>
            </w:r>
          </w:p>
        </w:tc>
        <w:tc>
          <w:tcPr>
            <w:tcW w:w="503" w:type="pct"/>
            <w:tcBorders>
              <w:top w:val="nil"/>
              <w:left w:val="nil"/>
              <w:bottom w:val="nil"/>
              <w:right w:val="nil"/>
            </w:tcBorders>
            <w:shd w:val="clear" w:color="auto" w:fill="auto"/>
            <w:noWrap/>
            <w:vAlign w:val="center"/>
            <w:hideMark/>
          </w:tcPr>
          <w:p w14:paraId="34CFCBC1" w14:textId="44BC7EE1"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21</w:t>
            </w:r>
            <w:r w:rsidR="00B57616">
              <w:rPr>
                <w:rFonts w:ascii="Arial" w:hAnsi="Arial" w:cs="Arial"/>
                <w:sz w:val="16"/>
                <w:szCs w:val="16"/>
              </w:rPr>
              <w:noBreakHyphen/>
            </w:r>
            <w:r w:rsidRPr="00296E60">
              <w:rPr>
                <w:rFonts w:ascii="Arial" w:hAnsi="Arial" w:cs="Arial"/>
                <w:sz w:val="16"/>
                <w:szCs w:val="16"/>
              </w:rPr>
              <w:t>Nov</w:t>
            </w:r>
          </w:p>
        </w:tc>
        <w:tc>
          <w:tcPr>
            <w:tcW w:w="520" w:type="pct"/>
            <w:tcBorders>
              <w:top w:val="nil"/>
              <w:left w:val="nil"/>
              <w:bottom w:val="nil"/>
              <w:right w:val="nil"/>
            </w:tcBorders>
            <w:shd w:val="clear" w:color="auto" w:fill="auto"/>
            <w:noWrap/>
            <w:vAlign w:val="center"/>
            <w:hideMark/>
          </w:tcPr>
          <w:p w14:paraId="22C88062" w14:textId="06FD616D"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21</w:t>
            </w:r>
            <w:r w:rsidR="00B57616">
              <w:rPr>
                <w:rFonts w:ascii="Arial" w:hAnsi="Arial" w:cs="Arial"/>
                <w:sz w:val="16"/>
                <w:szCs w:val="16"/>
              </w:rPr>
              <w:noBreakHyphen/>
            </w:r>
            <w:r w:rsidRPr="00296E60">
              <w:rPr>
                <w:rFonts w:ascii="Arial" w:hAnsi="Arial" w:cs="Arial"/>
                <w:sz w:val="16"/>
                <w:szCs w:val="16"/>
              </w:rPr>
              <w:t>Feb</w:t>
            </w:r>
          </w:p>
        </w:tc>
        <w:tc>
          <w:tcPr>
            <w:tcW w:w="520" w:type="pct"/>
            <w:tcBorders>
              <w:top w:val="nil"/>
              <w:left w:val="nil"/>
              <w:bottom w:val="nil"/>
              <w:right w:val="nil"/>
            </w:tcBorders>
            <w:shd w:val="clear" w:color="auto" w:fill="auto"/>
            <w:noWrap/>
            <w:vAlign w:val="center"/>
            <w:hideMark/>
          </w:tcPr>
          <w:p w14:paraId="00F1FE35" w14:textId="2F49A68B" w:rsidR="003463B9" w:rsidRPr="00296E60" w:rsidRDefault="003463B9" w:rsidP="00296E60">
            <w:pPr>
              <w:spacing w:before="0" w:after="0" w:line="240" w:lineRule="auto"/>
              <w:jc w:val="right"/>
              <w:rPr>
                <w:rFonts w:ascii="Arial" w:hAnsi="Arial" w:cs="Arial"/>
                <w:sz w:val="16"/>
                <w:szCs w:val="16"/>
              </w:rPr>
            </w:pPr>
            <w:r w:rsidRPr="00296E60">
              <w:rPr>
                <w:rFonts w:ascii="Arial" w:hAnsi="Arial" w:cs="Arial"/>
                <w:sz w:val="16"/>
                <w:szCs w:val="16"/>
              </w:rPr>
              <w:t>21</w:t>
            </w:r>
            <w:r w:rsidR="00B57616">
              <w:rPr>
                <w:rFonts w:ascii="Arial" w:hAnsi="Arial" w:cs="Arial"/>
                <w:sz w:val="16"/>
                <w:szCs w:val="16"/>
              </w:rPr>
              <w:noBreakHyphen/>
            </w:r>
            <w:r w:rsidRPr="00296E60">
              <w:rPr>
                <w:rFonts w:ascii="Arial" w:hAnsi="Arial" w:cs="Arial"/>
                <w:sz w:val="16"/>
                <w:szCs w:val="16"/>
              </w:rPr>
              <w:t>May</w:t>
            </w:r>
          </w:p>
        </w:tc>
        <w:tc>
          <w:tcPr>
            <w:tcW w:w="522" w:type="pct"/>
            <w:tcBorders>
              <w:top w:val="nil"/>
              <w:left w:val="nil"/>
              <w:bottom w:val="nil"/>
              <w:right w:val="nil"/>
            </w:tcBorders>
            <w:shd w:val="clear" w:color="auto" w:fill="auto"/>
            <w:noWrap/>
            <w:vAlign w:val="center"/>
            <w:hideMark/>
          </w:tcPr>
          <w:p w14:paraId="5EB1D91F" w14:textId="4E2F9C12" w:rsidR="003463B9" w:rsidRPr="00296E60" w:rsidRDefault="003463B9" w:rsidP="00B117CA">
            <w:pPr>
              <w:spacing w:before="0" w:after="0" w:line="240" w:lineRule="auto"/>
              <w:jc w:val="right"/>
              <w:rPr>
                <w:rFonts w:ascii="Arial" w:hAnsi="Arial" w:cs="Arial"/>
                <w:sz w:val="16"/>
                <w:szCs w:val="16"/>
              </w:rPr>
            </w:pPr>
            <w:r w:rsidRPr="00296E60">
              <w:rPr>
                <w:rFonts w:ascii="Arial" w:hAnsi="Arial" w:cs="Arial"/>
                <w:sz w:val="16"/>
                <w:szCs w:val="16"/>
              </w:rPr>
              <w:t>21</w:t>
            </w:r>
            <w:r w:rsidR="00B57616">
              <w:rPr>
                <w:rFonts w:ascii="Arial" w:hAnsi="Arial" w:cs="Arial"/>
                <w:sz w:val="16"/>
                <w:szCs w:val="16"/>
              </w:rPr>
              <w:noBreakHyphen/>
            </w:r>
            <w:r w:rsidRPr="00296E60">
              <w:rPr>
                <w:rFonts w:ascii="Arial" w:hAnsi="Arial" w:cs="Arial"/>
                <w:sz w:val="16"/>
                <w:szCs w:val="16"/>
              </w:rPr>
              <w:t>Aug</w:t>
            </w:r>
          </w:p>
        </w:tc>
      </w:tr>
      <w:tr w:rsidR="003463B9" w:rsidRPr="003463B9" w14:paraId="116388F2" w14:textId="77777777" w:rsidTr="0079376E">
        <w:trPr>
          <w:divId w:val="616912416"/>
          <w:trHeight w:hRule="exact" w:val="225"/>
        </w:trPr>
        <w:tc>
          <w:tcPr>
            <w:tcW w:w="514" w:type="pct"/>
            <w:tcBorders>
              <w:top w:val="nil"/>
              <w:left w:val="nil"/>
              <w:bottom w:val="nil"/>
              <w:right w:val="nil"/>
            </w:tcBorders>
            <w:shd w:val="clear" w:color="auto" w:fill="auto"/>
            <w:noWrap/>
            <w:vAlign w:val="center"/>
            <w:hideMark/>
          </w:tcPr>
          <w:p w14:paraId="17B3BFDC" w14:textId="77777777" w:rsidR="003463B9" w:rsidRPr="0087707B" w:rsidRDefault="003463B9" w:rsidP="00930F44">
            <w:pPr>
              <w:spacing w:before="0" w:after="0" w:line="240" w:lineRule="auto"/>
              <w:jc w:val="right"/>
              <w:rPr>
                <w:rFonts w:ascii="Arial" w:hAnsi="Arial" w:cs="Arial"/>
                <w:sz w:val="16"/>
                <w:szCs w:val="16"/>
              </w:rPr>
            </w:pPr>
            <w:r w:rsidRPr="0087707B">
              <w:rPr>
                <w:rFonts w:ascii="Arial" w:hAnsi="Arial" w:cs="Arial"/>
                <w:sz w:val="16"/>
                <w:szCs w:val="16"/>
              </w:rPr>
              <w:t>2.00</w:t>
            </w:r>
          </w:p>
        </w:tc>
        <w:tc>
          <w:tcPr>
            <w:tcW w:w="688" w:type="pct"/>
            <w:tcBorders>
              <w:top w:val="nil"/>
              <w:left w:val="nil"/>
              <w:bottom w:val="nil"/>
              <w:right w:val="nil"/>
            </w:tcBorders>
            <w:shd w:val="clear" w:color="auto" w:fill="auto"/>
            <w:noWrap/>
            <w:vAlign w:val="center"/>
            <w:hideMark/>
          </w:tcPr>
          <w:p w14:paraId="65D415D0" w14:textId="5B33D645" w:rsidR="003463B9" w:rsidRPr="0087707B" w:rsidRDefault="003463B9" w:rsidP="00930F44">
            <w:pPr>
              <w:spacing w:before="0" w:after="0" w:line="240" w:lineRule="auto"/>
              <w:jc w:val="right"/>
              <w:rPr>
                <w:rFonts w:ascii="Arial" w:hAnsi="Arial" w:cs="Arial"/>
                <w:sz w:val="16"/>
                <w:szCs w:val="16"/>
              </w:rPr>
            </w:pPr>
            <w:r w:rsidRPr="0087707B">
              <w:rPr>
                <w:rFonts w:ascii="Arial" w:hAnsi="Arial" w:cs="Arial"/>
                <w:sz w:val="16"/>
                <w:szCs w:val="16"/>
              </w:rPr>
              <w:t>21</w:t>
            </w:r>
            <w:r w:rsidR="00B57616">
              <w:rPr>
                <w:rFonts w:ascii="Arial" w:hAnsi="Arial" w:cs="Arial"/>
                <w:sz w:val="16"/>
                <w:szCs w:val="16"/>
              </w:rPr>
              <w:noBreakHyphen/>
            </w:r>
            <w:r w:rsidRPr="0087707B">
              <w:rPr>
                <w:rFonts w:ascii="Arial" w:hAnsi="Arial" w:cs="Arial"/>
                <w:sz w:val="16"/>
                <w:szCs w:val="16"/>
              </w:rPr>
              <w:t>Aug</w:t>
            </w:r>
            <w:r w:rsidR="00B57616">
              <w:rPr>
                <w:rFonts w:ascii="Arial" w:hAnsi="Arial" w:cs="Arial"/>
                <w:sz w:val="16"/>
                <w:szCs w:val="16"/>
              </w:rPr>
              <w:noBreakHyphen/>
            </w:r>
            <w:r w:rsidRPr="0087707B">
              <w:rPr>
                <w:rFonts w:ascii="Arial" w:hAnsi="Arial" w:cs="Arial"/>
                <w:sz w:val="16"/>
                <w:szCs w:val="16"/>
              </w:rPr>
              <w:t>35</w:t>
            </w:r>
          </w:p>
        </w:tc>
        <w:tc>
          <w:tcPr>
            <w:tcW w:w="1100" w:type="pct"/>
            <w:tcBorders>
              <w:top w:val="nil"/>
              <w:left w:val="nil"/>
              <w:bottom w:val="nil"/>
              <w:right w:val="nil"/>
            </w:tcBorders>
            <w:shd w:val="clear" w:color="auto" w:fill="auto"/>
            <w:noWrap/>
            <w:vAlign w:val="center"/>
            <w:hideMark/>
          </w:tcPr>
          <w:p w14:paraId="1455C3ED" w14:textId="77777777" w:rsidR="003463B9" w:rsidRPr="0087707B" w:rsidRDefault="003463B9" w:rsidP="00930F44">
            <w:pPr>
              <w:spacing w:before="0" w:after="0" w:line="240" w:lineRule="auto"/>
              <w:jc w:val="right"/>
              <w:rPr>
                <w:rFonts w:ascii="Arial" w:hAnsi="Arial" w:cs="Arial"/>
                <w:sz w:val="16"/>
                <w:szCs w:val="16"/>
              </w:rPr>
            </w:pPr>
            <w:r w:rsidRPr="0087707B">
              <w:rPr>
                <w:rFonts w:ascii="Arial" w:hAnsi="Arial" w:cs="Arial"/>
                <w:sz w:val="16"/>
                <w:szCs w:val="16"/>
              </w:rPr>
              <w:t>6,050</w:t>
            </w:r>
          </w:p>
        </w:tc>
        <w:tc>
          <w:tcPr>
            <w:tcW w:w="633" w:type="pct"/>
            <w:tcBorders>
              <w:top w:val="nil"/>
              <w:left w:val="nil"/>
              <w:bottom w:val="nil"/>
              <w:right w:val="nil"/>
            </w:tcBorders>
            <w:shd w:val="clear" w:color="auto" w:fill="auto"/>
            <w:noWrap/>
            <w:vAlign w:val="center"/>
            <w:hideMark/>
          </w:tcPr>
          <w:p w14:paraId="394A1C23" w14:textId="77777777" w:rsidR="003463B9" w:rsidRPr="0087707B" w:rsidRDefault="003463B9" w:rsidP="00930F44">
            <w:pPr>
              <w:spacing w:before="0" w:after="0" w:line="240" w:lineRule="auto"/>
              <w:jc w:val="right"/>
              <w:rPr>
                <w:rFonts w:ascii="Arial" w:hAnsi="Arial" w:cs="Arial"/>
                <w:sz w:val="16"/>
                <w:szCs w:val="16"/>
              </w:rPr>
            </w:pPr>
            <w:r w:rsidRPr="0087707B">
              <w:rPr>
                <w:rFonts w:ascii="Arial" w:hAnsi="Arial" w:cs="Arial"/>
                <w:sz w:val="16"/>
                <w:szCs w:val="16"/>
              </w:rPr>
              <w:t>Quarterly</w:t>
            </w:r>
          </w:p>
        </w:tc>
        <w:tc>
          <w:tcPr>
            <w:tcW w:w="503" w:type="pct"/>
            <w:tcBorders>
              <w:top w:val="nil"/>
              <w:left w:val="nil"/>
              <w:bottom w:val="nil"/>
              <w:right w:val="nil"/>
            </w:tcBorders>
            <w:shd w:val="clear" w:color="auto" w:fill="auto"/>
            <w:noWrap/>
            <w:vAlign w:val="center"/>
            <w:hideMark/>
          </w:tcPr>
          <w:p w14:paraId="6B2637AA" w14:textId="6E05909B" w:rsidR="003463B9" w:rsidRPr="0087707B" w:rsidRDefault="003463B9" w:rsidP="00930F44">
            <w:pPr>
              <w:spacing w:before="0" w:after="0" w:line="240" w:lineRule="auto"/>
              <w:jc w:val="right"/>
              <w:rPr>
                <w:rFonts w:ascii="Arial" w:hAnsi="Arial" w:cs="Arial"/>
                <w:sz w:val="16"/>
                <w:szCs w:val="16"/>
              </w:rPr>
            </w:pPr>
            <w:r w:rsidRPr="0087707B">
              <w:rPr>
                <w:rFonts w:ascii="Arial" w:hAnsi="Arial" w:cs="Arial"/>
                <w:sz w:val="16"/>
                <w:szCs w:val="16"/>
              </w:rPr>
              <w:t>21</w:t>
            </w:r>
            <w:r w:rsidR="00B57616">
              <w:rPr>
                <w:rFonts w:ascii="Arial" w:hAnsi="Arial" w:cs="Arial"/>
                <w:sz w:val="16"/>
                <w:szCs w:val="16"/>
              </w:rPr>
              <w:noBreakHyphen/>
            </w:r>
            <w:r w:rsidRPr="0087707B">
              <w:rPr>
                <w:rFonts w:ascii="Arial" w:hAnsi="Arial" w:cs="Arial"/>
                <w:sz w:val="16"/>
                <w:szCs w:val="16"/>
              </w:rPr>
              <w:t>Aug</w:t>
            </w:r>
          </w:p>
        </w:tc>
        <w:tc>
          <w:tcPr>
            <w:tcW w:w="520" w:type="pct"/>
            <w:tcBorders>
              <w:top w:val="nil"/>
              <w:left w:val="nil"/>
              <w:bottom w:val="nil"/>
              <w:right w:val="nil"/>
            </w:tcBorders>
            <w:shd w:val="clear" w:color="auto" w:fill="auto"/>
            <w:noWrap/>
            <w:vAlign w:val="center"/>
            <w:hideMark/>
          </w:tcPr>
          <w:p w14:paraId="34326381" w14:textId="44C49EA6" w:rsidR="003463B9" w:rsidRPr="0087707B" w:rsidRDefault="003463B9" w:rsidP="00930F44">
            <w:pPr>
              <w:spacing w:before="0" w:after="0" w:line="240" w:lineRule="auto"/>
              <w:jc w:val="right"/>
              <w:rPr>
                <w:rFonts w:ascii="Arial" w:hAnsi="Arial" w:cs="Arial"/>
                <w:sz w:val="16"/>
                <w:szCs w:val="16"/>
              </w:rPr>
            </w:pPr>
            <w:r w:rsidRPr="0087707B">
              <w:rPr>
                <w:rFonts w:ascii="Arial" w:hAnsi="Arial" w:cs="Arial"/>
                <w:sz w:val="16"/>
                <w:szCs w:val="16"/>
              </w:rPr>
              <w:t>21</w:t>
            </w:r>
            <w:r w:rsidR="00B57616">
              <w:rPr>
                <w:rFonts w:ascii="Arial" w:hAnsi="Arial" w:cs="Arial"/>
                <w:sz w:val="16"/>
                <w:szCs w:val="16"/>
              </w:rPr>
              <w:noBreakHyphen/>
            </w:r>
            <w:r w:rsidRPr="0087707B">
              <w:rPr>
                <w:rFonts w:ascii="Arial" w:hAnsi="Arial" w:cs="Arial"/>
                <w:sz w:val="16"/>
                <w:szCs w:val="16"/>
              </w:rPr>
              <w:t>Nov</w:t>
            </w:r>
          </w:p>
        </w:tc>
        <w:tc>
          <w:tcPr>
            <w:tcW w:w="520" w:type="pct"/>
            <w:tcBorders>
              <w:top w:val="nil"/>
              <w:left w:val="nil"/>
              <w:bottom w:val="nil"/>
              <w:right w:val="nil"/>
            </w:tcBorders>
            <w:shd w:val="clear" w:color="auto" w:fill="auto"/>
            <w:noWrap/>
            <w:vAlign w:val="center"/>
            <w:hideMark/>
          </w:tcPr>
          <w:p w14:paraId="0C201153" w14:textId="19DC2374" w:rsidR="003463B9" w:rsidRPr="0087707B" w:rsidRDefault="003463B9" w:rsidP="00930F44">
            <w:pPr>
              <w:spacing w:before="0" w:after="0" w:line="240" w:lineRule="auto"/>
              <w:jc w:val="right"/>
              <w:rPr>
                <w:rFonts w:ascii="Arial" w:hAnsi="Arial" w:cs="Arial"/>
                <w:sz w:val="16"/>
                <w:szCs w:val="16"/>
              </w:rPr>
            </w:pPr>
            <w:r w:rsidRPr="0087707B">
              <w:rPr>
                <w:rFonts w:ascii="Arial" w:hAnsi="Arial" w:cs="Arial"/>
                <w:sz w:val="16"/>
                <w:szCs w:val="16"/>
              </w:rPr>
              <w:t>21</w:t>
            </w:r>
            <w:r w:rsidR="00B57616">
              <w:rPr>
                <w:rFonts w:ascii="Arial" w:hAnsi="Arial" w:cs="Arial"/>
                <w:sz w:val="16"/>
                <w:szCs w:val="16"/>
              </w:rPr>
              <w:noBreakHyphen/>
            </w:r>
            <w:r w:rsidRPr="0087707B">
              <w:rPr>
                <w:rFonts w:ascii="Arial" w:hAnsi="Arial" w:cs="Arial"/>
                <w:sz w:val="16"/>
                <w:szCs w:val="16"/>
              </w:rPr>
              <w:t>Feb</w:t>
            </w:r>
          </w:p>
        </w:tc>
        <w:tc>
          <w:tcPr>
            <w:tcW w:w="522" w:type="pct"/>
            <w:tcBorders>
              <w:top w:val="nil"/>
              <w:left w:val="nil"/>
              <w:bottom w:val="nil"/>
              <w:right w:val="nil"/>
            </w:tcBorders>
            <w:shd w:val="clear" w:color="auto" w:fill="auto"/>
            <w:noWrap/>
            <w:vAlign w:val="center"/>
            <w:hideMark/>
          </w:tcPr>
          <w:p w14:paraId="45455F3D" w14:textId="5E516A63" w:rsidR="003463B9" w:rsidRPr="0087707B" w:rsidRDefault="003463B9" w:rsidP="00B117CA">
            <w:pPr>
              <w:spacing w:before="0" w:after="0" w:line="240" w:lineRule="auto"/>
              <w:jc w:val="right"/>
              <w:rPr>
                <w:rFonts w:ascii="Arial" w:hAnsi="Arial" w:cs="Arial"/>
                <w:sz w:val="16"/>
                <w:szCs w:val="16"/>
              </w:rPr>
            </w:pPr>
            <w:r w:rsidRPr="0087707B">
              <w:rPr>
                <w:rFonts w:ascii="Arial" w:hAnsi="Arial" w:cs="Arial"/>
                <w:sz w:val="16"/>
                <w:szCs w:val="16"/>
              </w:rPr>
              <w:t>21</w:t>
            </w:r>
            <w:r w:rsidR="00B57616">
              <w:rPr>
                <w:rFonts w:ascii="Arial" w:hAnsi="Arial" w:cs="Arial"/>
                <w:sz w:val="16"/>
                <w:szCs w:val="16"/>
              </w:rPr>
              <w:noBreakHyphen/>
            </w:r>
            <w:r w:rsidRPr="0087707B">
              <w:rPr>
                <w:rFonts w:ascii="Arial" w:hAnsi="Arial" w:cs="Arial"/>
                <w:sz w:val="16"/>
                <w:szCs w:val="16"/>
              </w:rPr>
              <w:t>May</w:t>
            </w:r>
          </w:p>
        </w:tc>
      </w:tr>
      <w:tr w:rsidR="003463B9" w:rsidRPr="003463B9" w14:paraId="644EFC11" w14:textId="77777777" w:rsidTr="0079376E">
        <w:trPr>
          <w:divId w:val="616912416"/>
          <w:trHeight w:hRule="exact" w:val="225"/>
        </w:trPr>
        <w:tc>
          <w:tcPr>
            <w:tcW w:w="514" w:type="pct"/>
            <w:tcBorders>
              <w:top w:val="nil"/>
              <w:left w:val="nil"/>
              <w:bottom w:val="nil"/>
              <w:right w:val="nil"/>
            </w:tcBorders>
            <w:shd w:val="clear" w:color="auto" w:fill="auto"/>
            <w:noWrap/>
            <w:vAlign w:val="center"/>
            <w:hideMark/>
          </w:tcPr>
          <w:p w14:paraId="328960F7" w14:textId="77777777" w:rsidR="003463B9" w:rsidRPr="005121DE" w:rsidRDefault="003463B9" w:rsidP="000242F5">
            <w:pPr>
              <w:spacing w:before="0" w:after="0" w:line="240" w:lineRule="auto"/>
              <w:jc w:val="right"/>
              <w:rPr>
                <w:rFonts w:ascii="Arial" w:hAnsi="Arial" w:cs="Arial"/>
                <w:sz w:val="16"/>
                <w:szCs w:val="16"/>
              </w:rPr>
            </w:pPr>
            <w:r w:rsidRPr="005121DE">
              <w:rPr>
                <w:rFonts w:ascii="Arial" w:hAnsi="Arial" w:cs="Arial"/>
                <w:sz w:val="16"/>
                <w:szCs w:val="16"/>
              </w:rPr>
              <w:t>1.25</w:t>
            </w:r>
          </w:p>
        </w:tc>
        <w:tc>
          <w:tcPr>
            <w:tcW w:w="688" w:type="pct"/>
            <w:tcBorders>
              <w:top w:val="nil"/>
              <w:left w:val="nil"/>
              <w:bottom w:val="nil"/>
              <w:right w:val="nil"/>
            </w:tcBorders>
            <w:shd w:val="clear" w:color="auto" w:fill="auto"/>
            <w:noWrap/>
            <w:vAlign w:val="center"/>
            <w:hideMark/>
          </w:tcPr>
          <w:p w14:paraId="5B59AE48" w14:textId="6CF40214" w:rsidR="003463B9" w:rsidRPr="005121DE" w:rsidRDefault="003463B9" w:rsidP="000242F5">
            <w:pPr>
              <w:spacing w:before="0" w:after="0" w:line="240" w:lineRule="auto"/>
              <w:jc w:val="right"/>
              <w:rPr>
                <w:rFonts w:ascii="Arial" w:hAnsi="Arial" w:cs="Arial"/>
                <w:sz w:val="16"/>
                <w:szCs w:val="16"/>
              </w:rPr>
            </w:pPr>
            <w:r w:rsidRPr="005121DE">
              <w:rPr>
                <w:rFonts w:ascii="Arial" w:hAnsi="Arial" w:cs="Arial"/>
                <w:sz w:val="16"/>
                <w:szCs w:val="16"/>
              </w:rPr>
              <w:t>21</w:t>
            </w:r>
            <w:r w:rsidR="00B57616">
              <w:rPr>
                <w:rFonts w:ascii="Arial" w:hAnsi="Arial" w:cs="Arial"/>
                <w:sz w:val="16"/>
                <w:szCs w:val="16"/>
              </w:rPr>
              <w:noBreakHyphen/>
            </w:r>
            <w:r w:rsidRPr="005121DE">
              <w:rPr>
                <w:rFonts w:ascii="Arial" w:hAnsi="Arial" w:cs="Arial"/>
                <w:sz w:val="16"/>
                <w:szCs w:val="16"/>
              </w:rPr>
              <w:t>Aug</w:t>
            </w:r>
            <w:r w:rsidR="00B57616">
              <w:rPr>
                <w:rFonts w:ascii="Arial" w:hAnsi="Arial" w:cs="Arial"/>
                <w:sz w:val="16"/>
                <w:szCs w:val="16"/>
              </w:rPr>
              <w:noBreakHyphen/>
            </w:r>
            <w:r w:rsidRPr="005121DE">
              <w:rPr>
                <w:rFonts w:ascii="Arial" w:hAnsi="Arial" w:cs="Arial"/>
                <w:sz w:val="16"/>
                <w:szCs w:val="16"/>
              </w:rPr>
              <w:t>40</w:t>
            </w:r>
          </w:p>
        </w:tc>
        <w:tc>
          <w:tcPr>
            <w:tcW w:w="1100" w:type="pct"/>
            <w:tcBorders>
              <w:top w:val="nil"/>
              <w:left w:val="nil"/>
              <w:bottom w:val="nil"/>
              <w:right w:val="nil"/>
            </w:tcBorders>
            <w:shd w:val="clear" w:color="auto" w:fill="auto"/>
            <w:noWrap/>
            <w:vAlign w:val="center"/>
            <w:hideMark/>
          </w:tcPr>
          <w:p w14:paraId="1A7FF619" w14:textId="77777777" w:rsidR="003463B9" w:rsidRPr="005121DE" w:rsidRDefault="003463B9" w:rsidP="000242F5">
            <w:pPr>
              <w:spacing w:before="0" w:after="0" w:line="240" w:lineRule="auto"/>
              <w:jc w:val="right"/>
              <w:rPr>
                <w:rFonts w:ascii="Arial" w:hAnsi="Arial" w:cs="Arial"/>
                <w:sz w:val="16"/>
                <w:szCs w:val="16"/>
              </w:rPr>
            </w:pPr>
            <w:r w:rsidRPr="005121DE">
              <w:rPr>
                <w:rFonts w:ascii="Arial" w:hAnsi="Arial" w:cs="Arial"/>
                <w:sz w:val="16"/>
                <w:szCs w:val="16"/>
              </w:rPr>
              <w:t>4,850</w:t>
            </w:r>
          </w:p>
        </w:tc>
        <w:tc>
          <w:tcPr>
            <w:tcW w:w="633" w:type="pct"/>
            <w:tcBorders>
              <w:top w:val="nil"/>
              <w:left w:val="nil"/>
              <w:bottom w:val="nil"/>
              <w:right w:val="nil"/>
            </w:tcBorders>
            <w:shd w:val="clear" w:color="auto" w:fill="auto"/>
            <w:noWrap/>
            <w:vAlign w:val="center"/>
            <w:hideMark/>
          </w:tcPr>
          <w:p w14:paraId="3A10CCD0" w14:textId="77777777" w:rsidR="003463B9" w:rsidRPr="005121DE" w:rsidRDefault="003463B9" w:rsidP="000242F5">
            <w:pPr>
              <w:spacing w:before="0" w:after="0" w:line="240" w:lineRule="auto"/>
              <w:jc w:val="right"/>
              <w:rPr>
                <w:rFonts w:ascii="Arial" w:hAnsi="Arial" w:cs="Arial"/>
                <w:sz w:val="16"/>
                <w:szCs w:val="16"/>
              </w:rPr>
            </w:pPr>
            <w:r w:rsidRPr="005121DE">
              <w:rPr>
                <w:rFonts w:ascii="Arial" w:hAnsi="Arial" w:cs="Arial"/>
                <w:sz w:val="16"/>
                <w:szCs w:val="16"/>
              </w:rPr>
              <w:t>Quarterly</w:t>
            </w:r>
          </w:p>
        </w:tc>
        <w:tc>
          <w:tcPr>
            <w:tcW w:w="503" w:type="pct"/>
            <w:tcBorders>
              <w:top w:val="nil"/>
              <w:left w:val="nil"/>
              <w:bottom w:val="nil"/>
              <w:right w:val="nil"/>
            </w:tcBorders>
            <w:shd w:val="clear" w:color="auto" w:fill="auto"/>
            <w:noWrap/>
            <w:vAlign w:val="center"/>
            <w:hideMark/>
          </w:tcPr>
          <w:p w14:paraId="318E1617" w14:textId="7B402BB9" w:rsidR="003463B9" w:rsidRPr="005121DE" w:rsidRDefault="003463B9" w:rsidP="000242F5">
            <w:pPr>
              <w:spacing w:before="0" w:after="0" w:line="240" w:lineRule="auto"/>
              <w:jc w:val="right"/>
              <w:rPr>
                <w:rFonts w:ascii="Arial" w:hAnsi="Arial" w:cs="Arial"/>
                <w:sz w:val="16"/>
                <w:szCs w:val="16"/>
              </w:rPr>
            </w:pPr>
            <w:r w:rsidRPr="005121DE">
              <w:rPr>
                <w:rFonts w:ascii="Arial" w:hAnsi="Arial" w:cs="Arial"/>
                <w:sz w:val="16"/>
                <w:szCs w:val="16"/>
              </w:rPr>
              <w:t>21</w:t>
            </w:r>
            <w:r w:rsidR="00B57616">
              <w:rPr>
                <w:rFonts w:ascii="Arial" w:hAnsi="Arial" w:cs="Arial"/>
                <w:sz w:val="16"/>
                <w:szCs w:val="16"/>
              </w:rPr>
              <w:noBreakHyphen/>
            </w:r>
            <w:r w:rsidRPr="005121DE">
              <w:rPr>
                <w:rFonts w:ascii="Arial" w:hAnsi="Arial" w:cs="Arial"/>
                <w:sz w:val="16"/>
                <w:szCs w:val="16"/>
              </w:rPr>
              <w:t>Aug</w:t>
            </w:r>
          </w:p>
        </w:tc>
        <w:tc>
          <w:tcPr>
            <w:tcW w:w="520" w:type="pct"/>
            <w:tcBorders>
              <w:top w:val="nil"/>
              <w:left w:val="nil"/>
              <w:bottom w:val="nil"/>
              <w:right w:val="nil"/>
            </w:tcBorders>
            <w:shd w:val="clear" w:color="auto" w:fill="auto"/>
            <w:noWrap/>
            <w:vAlign w:val="center"/>
            <w:hideMark/>
          </w:tcPr>
          <w:p w14:paraId="32F2319E" w14:textId="3BE0C41A" w:rsidR="003463B9" w:rsidRPr="005121DE" w:rsidRDefault="003463B9" w:rsidP="000242F5">
            <w:pPr>
              <w:spacing w:before="0" w:after="0" w:line="240" w:lineRule="auto"/>
              <w:jc w:val="right"/>
              <w:rPr>
                <w:rFonts w:ascii="Arial" w:hAnsi="Arial" w:cs="Arial"/>
                <w:sz w:val="16"/>
                <w:szCs w:val="16"/>
              </w:rPr>
            </w:pPr>
            <w:r w:rsidRPr="005121DE">
              <w:rPr>
                <w:rFonts w:ascii="Arial" w:hAnsi="Arial" w:cs="Arial"/>
                <w:sz w:val="16"/>
                <w:szCs w:val="16"/>
              </w:rPr>
              <w:t>21</w:t>
            </w:r>
            <w:r w:rsidR="00B57616">
              <w:rPr>
                <w:rFonts w:ascii="Arial" w:hAnsi="Arial" w:cs="Arial"/>
                <w:sz w:val="16"/>
                <w:szCs w:val="16"/>
              </w:rPr>
              <w:noBreakHyphen/>
            </w:r>
            <w:r w:rsidRPr="005121DE">
              <w:rPr>
                <w:rFonts w:ascii="Arial" w:hAnsi="Arial" w:cs="Arial"/>
                <w:sz w:val="16"/>
                <w:szCs w:val="16"/>
              </w:rPr>
              <w:t>Nov</w:t>
            </w:r>
          </w:p>
        </w:tc>
        <w:tc>
          <w:tcPr>
            <w:tcW w:w="520" w:type="pct"/>
            <w:tcBorders>
              <w:top w:val="nil"/>
              <w:left w:val="nil"/>
              <w:bottom w:val="nil"/>
              <w:right w:val="nil"/>
            </w:tcBorders>
            <w:shd w:val="clear" w:color="auto" w:fill="auto"/>
            <w:noWrap/>
            <w:vAlign w:val="center"/>
            <w:hideMark/>
          </w:tcPr>
          <w:p w14:paraId="10665C42" w14:textId="1925D231" w:rsidR="003463B9" w:rsidRPr="005121DE" w:rsidRDefault="003463B9" w:rsidP="000242F5">
            <w:pPr>
              <w:spacing w:before="0" w:after="0" w:line="240" w:lineRule="auto"/>
              <w:jc w:val="right"/>
              <w:rPr>
                <w:rFonts w:ascii="Arial" w:hAnsi="Arial" w:cs="Arial"/>
                <w:sz w:val="16"/>
                <w:szCs w:val="16"/>
              </w:rPr>
            </w:pPr>
            <w:r w:rsidRPr="005121DE">
              <w:rPr>
                <w:rFonts w:ascii="Arial" w:hAnsi="Arial" w:cs="Arial"/>
                <w:sz w:val="16"/>
                <w:szCs w:val="16"/>
              </w:rPr>
              <w:t>21</w:t>
            </w:r>
            <w:r w:rsidR="00B57616">
              <w:rPr>
                <w:rFonts w:ascii="Arial" w:hAnsi="Arial" w:cs="Arial"/>
                <w:sz w:val="16"/>
                <w:szCs w:val="16"/>
              </w:rPr>
              <w:noBreakHyphen/>
            </w:r>
            <w:r w:rsidRPr="005121DE">
              <w:rPr>
                <w:rFonts w:ascii="Arial" w:hAnsi="Arial" w:cs="Arial"/>
                <w:sz w:val="16"/>
                <w:szCs w:val="16"/>
              </w:rPr>
              <w:t>Feb</w:t>
            </w:r>
          </w:p>
        </w:tc>
        <w:tc>
          <w:tcPr>
            <w:tcW w:w="522" w:type="pct"/>
            <w:tcBorders>
              <w:top w:val="nil"/>
              <w:left w:val="nil"/>
              <w:bottom w:val="nil"/>
              <w:right w:val="nil"/>
            </w:tcBorders>
            <w:shd w:val="clear" w:color="auto" w:fill="auto"/>
            <w:noWrap/>
            <w:vAlign w:val="center"/>
            <w:hideMark/>
          </w:tcPr>
          <w:p w14:paraId="41EE0BFF" w14:textId="43F9B3C0" w:rsidR="003463B9" w:rsidRPr="005121DE" w:rsidRDefault="003463B9" w:rsidP="00B117CA">
            <w:pPr>
              <w:spacing w:before="0" w:after="0" w:line="240" w:lineRule="auto"/>
              <w:jc w:val="right"/>
              <w:rPr>
                <w:rFonts w:ascii="Arial" w:hAnsi="Arial" w:cs="Arial"/>
                <w:sz w:val="16"/>
                <w:szCs w:val="16"/>
              </w:rPr>
            </w:pPr>
            <w:r w:rsidRPr="005121DE">
              <w:rPr>
                <w:rFonts w:ascii="Arial" w:hAnsi="Arial" w:cs="Arial"/>
                <w:sz w:val="16"/>
                <w:szCs w:val="16"/>
              </w:rPr>
              <w:t>21</w:t>
            </w:r>
            <w:r w:rsidR="00B57616">
              <w:rPr>
                <w:rFonts w:ascii="Arial" w:hAnsi="Arial" w:cs="Arial"/>
                <w:sz w:val="16"/>
                <w:szCs w:val="16"/>
              </w:rPr>
              <w:noBreakHyphen/>
            </w:r>
            <w:r w:rsidRPr="005121DE">
              <w:rPr>
                <w:rFonts w:ascii="Arial" w:hAnsi="Arial" w:cs="Arial"/>
                <w:sz w:val="16"/>
                <w:szCs w:val="16"/>
              </w:rPr>
              <w:t>May</w:t>
            </w:r>
          </w:p>
        </w:tc>
      </w:tr>
      <w:tr w:rsidR="003463B9" w:rsidRPr="003463B9" w14:paraId="424A53FC" w14:textId="77777777" w:rsidTr="0079376E">
        <w:trPr>
          <w:divId w:val="616912416"/>
          <w:trHeight w:hRule="exact" w:val="225"/>
        </w:trPr>
        <w:tc>
          <w:tcPr>
            <w:tcW w:w="514" w:type="pct"/>
            <w:tcBorders>
              <w:top w:val="nil"/>
              <w:left w:val="nil"/>
              <w:bottom w:val="single" w:sz="4" w:space="0" w:color="293F5B"/>
              <w:right w:val="nil"/>
            </w:tcBorders>
            <w:shd w:val="clear" w:color="auto" w:fill="auto"/>
            <w:noWrap/>
            <w:vAlign w:val="center"/>
            <w:hideMark/>
          </w:tcPr>
          <w:p w14:paraId="45290E7D" w14:textId="77777777" w:rsidR="003463B9" w:rsidRPr="000242F5" w:rsidRDefault="003463B9" w:rsidP="00A01FBF">
            <w:pPr>
              <w:spacing w:before="0" w:after="0" w:line="240" w:lineRule="auto"/>
              <w:jc w:val="right"/>
              <w:rPr>
                <w:rFonts w:ascii="Arial" w:hAnsi="Arial" w:cs="Arial"/>
                <w:sz w:val="16"/>
                <w:szCs w:val="16"/>
              </w:rPr>
            </w:pPr>
            <w:r w:rsidRPr="000242F5">
              <w:rPr>
                <w:rFonts w:ascii="Arial" w:hAnsi="Arial" w:cs="Arial"/>
                <w:sz w:val="16"/>
                <w:szCs w:val="16"/>
              </w:rPr>
              <w:t>1.00</w:t>
            </w:r>
          </w:p>
        </w:tc>
        <w:tc>
          <w:tcPr>
            <w:tcW w:w="688" w:type="pct"/>
            <w:tcBorders>
              <w:top w:val="nil"/>
              <w:left w:val="nil"/>
              <w:bottom w:val="single" w:sz="4" w:space="0" w:color="293F5B"/>
              <w:right w:val="nil"/>
            </w:tcBorders>
            <w:shd w:val="clear" w:color="auto" w:fill="auto"/>
            <w:noWrap/>
            <w:vAlign w:val="center"/>
            <w:hideMark/>
          </w:tcPr>
          <w:p w14:paraId="531DA3FB" w14:textId="122988C6" w:rsidR="003463B9" w:rsidRPr="000242F5" w:rsidRDefault="003463B9" w:rsidP="00A01FBF">
            <w:pPr>
              <w:spacing w:before="0" w:after="0" w:line="240" w:lineRule="auto"/>
              <w:jc w:val="right"/>
              <w:rPr>
                <w:rFonts w:ascii="Arial" w:hAnsi="Arial" w:cs="Arial"/>
                <w:sz w:val="16"/>
                <w:szCs w:val="16"/>
              </w:rPr>
            </w:pPr>
            <w:r w:rsidRPr="000242F5">
              <w:rPr>
                <w:rFonts w:ascii="Arial" w:hAnsi="Arial" w:cs="Arial"/>
                <w:sz w:val="16"/>
                <w:szCs w:val="16"/>
              </w:rPr>
              <w:t>21</w:t>
            </w:r>
            <w:r w:rsidR="00B57616">
              <w:rPr>
                <w:rFonts w:ascii="Arial" w:hAnsi="Arial" w:cs="Arial"/>
                <w:sz w:val="16"/>
                <w:szCs w:val="16"/>
              </w:rPr>
              <w:noBreakHyphen/>
            </w:r>
            <w:r w:rsidRPr="000242F5">
              <w:rPr>
                <w:rFonts w:ascii="Arial" w:hAnsi="Arial" w:cs="Arial"/>
                <w:sz w:val="16"/>
                <w:szCs w:val="16"/>
              </w:rPr>
              <w:t>Feb</w:t>
            </w:r>
            <w:r w:rsidR="00B57616">
              <w:rPr>
                <w:rFonts w:ascii="Arial" w:hAnsi="Arial" w:cs="Arial"/>
                <w:sz w:val="16"/>
                <w:szCs w:val="16"/>
              </w:rPr>
              <w:noBreakHyphen/>
            </w:r>
            <w:r w:rsidRPr="000242F5">
              <w:rPr>
                <w:rFonts w:ascii="Arial" w:hAnsi="Arial" w:cs="Arial"/>
                <w:sz w:val="16"/>
                <w:szCs w:val="16"/>
              </w:rPr>
              <w:t>50</w:t>
            </w:r>
          </w:p>
        </w:tc>
        <w:tc>
          <w:tcPr>
            <w:tcW w:w="1100" w:type="pct"/>
            <w:tcBorders>
              <w:top w:val="nil"/>
              <w:left w:val="nil"/>
              <w:bottom w:val="single" w:sz="4" w:space="0" w:color="293F5B"/>
              <w:right w:val="nil"/>
            </w:tcBorders>
            <w:shd w:val="clear" w:color="auto" w:fill="auto"/>
            <w:noWrap/>
            <w:vAlign w:val="center"/>
            <w:hideMark/>
          </w:tcPr>
          <w:p w14:paraId="3328B478" w14:textId="77777777" w:rsidR="003463B9" w:rsidRPr="000242F5" w:rsidRDefault="003463B9" w:rsidP="00A01FBF">
            <w:pPr>
              <w:spacing w:before="0" w:after="0" w:line="240" w:lineRule="auto"/>
              <w:jc w:val="right"/>
              <w:rPr>
                <w:rFonts w:ascii="Arial" w:hAnsi="Arial" w:cs="Arial"/>
                <w:sz w:val="16"/>
                <w:szCs w:val="16"/>
              </w:rPr>
            </w:pPr>
            <w:r w:rsidRPr="000242F5">
              <w:rPr>
                <w:rFonts w:ascii="Arial" w:hAnsi="Arial" w:cs="Arial"/>
                <w:sz w:val="16"/>
                <w:szCs w:val="16"/>
              </w:rPr>
              <w:t>4,350</w:t>
            </w:r>
          </w:p>
        </w:tc>
        <w:tc>
          <w:tcPr>
            <w:tcW w:w="633" w:type="pct"/>
            <w:tcBorders>
              <w:top w:val="nil"/>
              <w:left w:val="nil"/>
              <w:bottom w:val="single" w:sz="4" w:space="0" w:color="293F5B"/>
              <w:right w:val="nil"/>
            </w:tcBorders>
            <w:shd w:val="clear" w:color="auto" w:fill="auto"/>
            <w:noWrap/>
            <w:vAlign w:val="center"/>
            <w:hideMark/>
          </w:tcPr>
          <w:p w14:paraId="3BA022BB" w14:textId="77777777" w:rsidR="003463B9" w:rsidRPr="000242F5" w:rsidRDefault="003463B9" w:rsidP="00A01FBF">
            <w:pPr>
              <w:spacing w:before="0" w:after="0" w:line="240" w:lineRule="auto"/>
              <w:jc w:val="right"/>
              <w:rPr>
                <w:rFonts w:ascii="Arial" w:hAnsi="Arial" w:cs="Arial"/>
                <w:sz w:val="16"/>
                <w:szCs w:val="16"/>
              </w:rPr>
            </w:pPr>
            <w:r w:rsidRPr="000242F5">
              <w:rPr>
                <w:rFonts w:ascii="Arial" w:hAnsi="Arial" w:cs="Arial"/>
                <w:sz w:val="16"/>
                <w:szCs w:val="16"/>
              </w:rPr>
              <w:t>Quarterly</w:t>
            </w:r>
          </w:p>
        </w:tc>
        <w:tc>
          <w:tcPr>
            <w:tcW w:w="503" w:type="pct"/>
            <w:tcBorders>
              <w:top w:val="nil"/>
              <w:left w:val="nil"/>
              <w:bottom w:val="single" w:sz="4" w:space="0" w:color="293F5B"/>
              <w:right w:val="nil"/>
            </w:tcBorders>
            <w:shd w:val="clear" w:color="auto" w:fill="auto"/>
            <w:noWrap/>
            <w:vAlign w:val="center"/>
            <w:hideMark/>
          </w:tcPr>
          <w:p w14:paraId="0961302F" w14:textId="28D2449E" w:rsidR="003463B9" w:rsidRPr="000242F5" w:rsidRDefault="003463B9" w:rsidP="00A01FBF">
            <w:pPr>
              <w:spacing w:before="0" w:after="0" w:line="240" w:lineRule="auto"/>
              <w:jc w:val="right"/>
              <w:rPr>
                <w:rFonts w:ascii="Arial" w:hAnsi="Arial" w:cs="Arial"/>
                <w:sz w:val="16"/>
                <w:szCs w:val="16"/>
              </w:rPr>
            </w:pPr>
            <w:r w:rsidRPr="000242F5">
              <w:rPr>
                <w:rFonts w:ascii="Arial" w:hAnsi="Arial" w:cs="Arial"/>
                <w:sz w:val="16"/>
                <w:szCs w:val="16"/>
              </w:rPr>
              <w:t>21</w:t>
            </w:r>
            <w:r w:rsidR="00B57616">
              <w:rPr>
                <w:rFonts w:ascii="Arial" w:hAnsi="Arial" w:cs="Arial"/>
                <w:sz w:val="16"/>
                <w:szCs w:val="16"/>
              </w:rPr>
              <w:noBreakHyphen/>
            </w:r>
            <w:r w:rsidRPr="000242F5">
              <w:rPr>
                <w:rFonts w:ascii="Arial" w:hAnsi="Arial" w:cs="Arial"/>
                <w:sz w:val="16"/>
                <w:szCs w:val="16"/>
              </w:rPr>
              <w:t>Feb</w:t>
            </w:r>
          </w:p>
        </w:tc>
        <w:tc>
          <w:tcPr>
            <w:tcW w:w="520" w:type="pct"/>
            <w:tcBorders>
              <w:top w:val="nil"/>
              <w:left w:val="nil"/>
              <w:bottom w:val="single" w:sz="4" w:space="0" w:color="293F5B"/>
              <w:right w:val="nil"/>
            </w:tcBorders>
            <w:shd w:val="clear" w:color="auto" w:fill="auto"/>
            <w:noWrap/>
            <w:vAlign w:val="center"/>
            <w:hideMark/>
          </w:tcPr>
          <w:p w14:paraId="70824327" w14:textId="65C7E653" w:rsidR="003463B9" w:rsidRPr="000242F5" w:rsidRDefault="003463B9" w:rsidP="00A01FBF">
            <w:pPr>
              <w:spacing w:before="0" w:after="0" w:line="240" w:lineRule="auto"/>
              <w:jc w:val="right"/>
              <w:rPr>
                <w:rFonts w:ascii="Arial" w:hAnsi="Arial" w:cs="Arial"/>
                <w:sz w:val="16"/>
                <w:szCs w:val="16"/>
              </w:rPr>
            </w:pPr>
            <w:r w:rsidRPr="000242F5">
              <w:rPr>
                <w:rFonts w:ascii="Arial" w:hAnsi="Arial" w:cs="Arial"/>
                <w:sz w:val="16"/>
                <w:szCs w:val="16"/>
              </w:rPr>
              <w:t>21</w:t>
            </w:r>
            <w:r w:rsidR="00B57616">
              <w:rPr>
                <w:rFonts w:ascii="Arial" w:hAnsi="Arial" w:cs="Arial"/>
                <w:sz w:val="16"/>
                <w:szCs w:val="16"/>
              </w:rPr>
              <w:noBreakHyphen/>
            </w:r>
            <w:r w:rsidRPr="000242F5">
              <w:rPr>
                <w:rFonts w:ascii="Arial" w:hAnsi="Arial" w:cs="Arial"/>
                <w:sz w:val="16"/>
                <w:szCs w:val="16"/>
              </w:rPr>
              <w:t>May</w:t>
            </w:r>
          </w:p>
        </w:tc>
        <w:tc>
          <w:tcPr>
            <w:tcW w:w="520" w:type="pct"/>
            <w:tcBorders>
              <w:top w:val="nil"/>
              <w:left w:val="nil"/>
              <w:bottom w:val="single" w:sz="4" w:space="0" w:color="293F5B"/>
              <w:right w:val="nil"/>
            </w:tcBorders>
            <w:shd w:val="clear" w:color="auto" w:fill="auto"/>
            <w:noWrap/>
            <w:vAlign w:val="center"/>
            <w:hideMark/>
          </w:tcPr>
          <w:p w14:paraId="50572554" w14:textId="51A2E746" w:rsidR="003463B9" w:rsidRPr="000242F5" w:rsidRDefault="003463B9" w:rsidP="00A01FBF">
            <w:pPr>
              <w:spacing w:before="0" w:after="0" w:line="240" w:lineRule="auto"/>
              <w:jc w:val="right"/>
              <w:rPr>
                <w:rFonts w:ascii="Arial" w:hAnsi="Arial" w:cs="Arial"/>
                <w:sz w:val="16"/>
                <w:szCs w:val="16"/>
              </w:rPr>
            </w:pPr>
            <w:r w:rsidRPr="000242F5">
              <w:rPr>
                <w:rFonts w:ascii="Arial" w:hAnsi="Arial" w:cs="Arial"/>
                <w:sz w:val="16"/>
                <w:szCs w:val="16"/>
              </w:rPr>
              <w:t>21</w:t>
            </w:r>
            <w:r w:rsidR="00B57616">
              <w:rPr>
                <w:rFonts w:ascii="Arial" w:hAnsi="Arial" w:cs="Arial"/>
                <w:sz w:val="16"/>
                <w:szCs w:val="16"/>
              </w:rPr>
              <w:noBreakHyphen/>
            </w:r>
            <w:r w:rsidRPr="000242F5">
              <w:rPr>
                <w:rFonts w:ascii="Arial" w:hAnsi="Arial" w:cs="Arial"/>
                <w:sz w:val="16"/>
                <w:szCs w:val="16"/>
              </w:rPr>
              <w:t>Aug</w:t>
            </w:r>
          </w:p>
        </w:tc>
        <w:tc>
          <w:tcPr>
            <w:tcW w:w="522" w:type="pct"/>
            <w:tcBorders>
              <w:top w:val="nil"/>
              <w:left w:val="nil"/>
              <w:bottom w:val="single" w:sz="4" w:space="0" w:color="293F5B"/>
              <w:right w:val="nil"/>
            </w:tcBorders>
            <w:shd w:val="clear" w:color="auto" w:fill="auto"/>
            <w:noWrap/>
            <w:vAlign w:val="center"/>
            <w:hideMark/>
          </w:tcPr>
          <w:p w14:paraId="3A3FF297" w14:textId="2246E7B6" w:rsidR="003463B9" w:rsidRPr="000242F5" w:rsidRDefault="003463B9" w:rsidP="00B117CA">
            <w:pPr>
              <w:spacing w:before="0" w:after="0" w:line="240" w:lineRule="auto"/>
              <w:jc w:val="right"/>
              <w:rPr>
                <w:rFonts w:ascii="Arial" w:hAnsi="Arial" w:cs="Arial"/>
                <w:sz w:val="16"/>
                <w:szCs w:val="16"/>
              </w:rPr>
            </w:pPr>
            <w:r w:rsidRPr="000242F5">
              <w:rPr>
                <w:rFonts w:ascii="Arial" w:hAnsi="Arial" w:cs="Arial"/>
                <w:sz w:val="16"/>
                <w:szCs w:val="16"/>
              </w:rPr>
              <w:t>21</w:t>
            </w:r>
            <w:r w:rsidR="00B57616">
              <w:rPr>
                <w:rFonts w:ascii="Arial" w:hAnsi="Arial" w:cs="Arial"/>
                <w:sz w:val="16"/>
                <w:szCs w:val="16"/>
              </w:rPr>
              <w:noBreakHyphen/>
            </w:r>
            <w:r w:rsidRPr="000242F5">
              <w:rPr>
                <w:rFonts w:ascii="Arial" w:hAnsi="Arial" w:cs="Arial"/>
                <w:sz w:val="16"/>
                <w:szCs w:val="16"/>
              </w:rPr>
              <w:t>Nov</w:t>
            </w:r>
          </w:p>
        </w:tc>
      </w:tr>
    </w:tbl>
    <w:p w14:paraId="35E1A50E" w14:textId="42939E22" w:rsidR="0065604D" w:rsidRPr="0098325D" w:rsidRDefault="0065604D" w:rsidP="0065604D">
      <w:pPr>
        <w:pStyle w:val="ChartandTableFootnoteAlpha"/>
        <w:numPr>
          <w:ilvl w:val="0"/>
          <w:numId w:val="40"/>
        </w:numPr>
      </w:pPr>
      <w:bookmarkStart w:id="31" w:name="_Toc67660285"/>
      <w:bookmarkStart w:id="32" w:name="_Toc98531933"/>
      <w:bookmarkStart w:id="33" w:name="_Toc117337748"/>
      <w:r w:rsidRPr="0098325D">
        <w:t>Where the timing of an interest payment falls on a non</w:t>
      </w:r>
      <w:r w:rsidR="00B57616">
        <w:noBreakHyphen/>
      </w:r>
      <w:r w:rsidRPr="0098325D">
        <w:t>business day, the payment will occur on the following business day.</w:t>
      </w:r>
    </w:p>
    <w:p w14:paraId="2C85C941" w14:textId="77777777" w:rsidR="0065604D" w:rsidRPr="0098325D" w:rsidRDefault="0065604D" w:rsidP="0065604D">
      <w:pPr>
        <w:pStyle w:val="ChartandTableFootnote"/>
        <w:rPr>
          <w:color w:val="auto"/>
        </w:rPr>
      </w:pPr>
      <w:r w:rsidRPr="0098325D">
        <w:rPr>
          <w:color w:val="auto"/>
        </w:rPr>
        <w:t>Source:</w:t>
      </w:r>
      <w:r w:rsidRPr="0098325D">
        <w:rPr>
          <w:color w:val="auto"/>
        </w:rPr>
        <w:tab/>
        <w:t xml:space="preserve">AOFM. </w:t>
      </w:r>
    </w:p>
    <w:p w14:paraId="23867AD0" w14:textId="77777777" w:rsidR="0065604D" w:rsidRPr="0098325D" w:rsidRDefault="0065604D" w:rsidP="0065604D">
      <w:pPr>
        <w:pStyle w:val="ChartLine"/>
      </w:pPr>
    </w:p>
    <w:p w14:paraId="29133455" w14:textId="0E9E9EC5" w:rsidR="001A4F7E" w:rsidRPr="0098325D" w:rsidRDefault="001A4F7E" w:rsidP="00396838">
      <w:pPr>
        <w:pStyle w:val="Heading3"/>
      </w:pPr>
      <w:bookmarkStart w:id="34" w:name="_Toc166355902"/>
      <w:r w:rsidRPr="0098325D">
        <w:t>Treasury Notes</w:t>
      </w:r>
      <w:bookmarkEnd w:id="31"/>
      <w:bookmarkEnd w:id="32"/>
      <w:bookmarkEnd w:id="33"/>
      <w:bookmarkEnd w:id="34"/>
    </w:p>
    <w:p w14:paraId="60CB7C38" w14:textId="3A151BFF" w:rsidR="001A4F7E" w:rsidRPr="004C05FA" w:rsidRDefault="001A4F7E" w:rsidP="001A4F7E">
      <w:pPr>
        <w:spacing w:after="220"/>
      </w:pPr>
      <w:r w:rsidRPr="004C05FA">
        <w:t xml:space="preserve">As at </w:t>
      </w:r>
      <w:r w:rsidR="00707A32" w:rsidRPr="004C05FA">
        <w:t>2 May 202</w:t>
      </w:r>
      <w:r w:rsidR="00BC4A3F" w:rsidRPr="004C05FA">
        <w:t>4</w:t>
      </w:r>
      <w:r w:rsidRPr="004C05FA">
        <w:t xml:space="preserve">, there were </w:t>
      </w:r>
      <w:r w:rsidR="00997919" w:rsidRPr="004C05FA">
        <w:t>nine</w:t>
      </w:r>
      <w:r w:rsidRPr="004C05FA">
        <w:t> Treasury Note lines on issue. Treasury Notes do not pay a coupon.</w:t>
      </w:r>
    </w:p>
    <w:p w14:paraId="7197BA53" w14:textId="4B34C5C3" w:rsidR="00550317" w:rsidRDefault="001A4F7E" w:rsidP="0010674E">
      <w:pPr>
        <w:pStyle w:val="TableHeading"/>
        <w:rPr>
          <w:rFonts w:asciiTheme="minorHAnsi" w:eastAsiaTheme="minorHAnsi" w:hAnsiTheme="minorHAnsi" w:cstheme="minorBidi"/>
          <w:sz w:val="22"/>
          <w:szCs w:val="22"/>
          <w:lang w:eastAsia="en-US"/>
        </w:rPr>
      </w:pPr>
      <w:r w:rsidRPr="004C05FA">
        <w:t>Table 7.6: Treasury Notes on issue</w:t>
      </w:r>
    </w:p>
    <w:tbl>
      <w:tblPr>
        <w:tblW w:w="5000" w:type="pct"/>
        <w:tblCellMar>
          <w:left w:w="0" w:type="dxa"/>
          <w:right w:w="28" w:type="dxa"/>
        </w:tblCellMar>
        <w:tblLook w:val="04A0" w:firstRow="1" w:lastRow="0" w:firstColumn="1" w:lastColumn="0" w:noHBand="0" w:noVBand="1"/>
      </w:tblPr>
      <w:tblGrid>
        <w:gridCol w:w="1235"/>
        <w:gridCol w:w="2984"/>
        <w:gridCol w:w="2042"/>
        <w:gridCol w:w="1449"/>
      </w:tblGrid>
      <w:tr w:rsidR="008E6809" w:rsidRPr="008E6809" w14:paraId="44F9A78A" w14:textId="77777777" w:rsidTr="0079376E">
        <w:trPr>
          <w:trHeight w:hRule="exact" w:val="225"/>
        </w:trPr>
        <w:tc>
          <w:tcPr>
            <w:tcW w:w="2736" w:type="pct"/>
            <w:gridSpan w:val="2"/>
            <w:tcBorders>
              <w:top w:val="single" w:sz="4" w:space="0" w:color="293F5B"/>
              <w:left w:val="nil"/>
              <w:bottom w:val="nil"/>
              <w:right w:val="nil"/>
            </w:tcBorders>
            <w:shd w:val="clear" w:color="auto" w:fill="auto"/>
            <w:noWrap/>
            <w:vAlign w:val="center"/>
            <w:hideMark/>
          </w:tcPr>
          <w:p w14:paraId="7561BBCC" w14:textId="4FB178D0" w:rsidR="008E6809" w:rsidRPr="002022A5" w:rsidRDefault="008E6809" w:rsidP="002022A5">
            <w:pPr>
              <w:spacing w:before="0" w:after="0" w:line="240" w:lineRule="auto"/>
              <w:jc w:val="right"/>
              <w:rPr>
                <w:rFonts w:ascii="Arial" w:hAnsi="Arial" w:cs="Arial"/>
                <w:sz w:val="16"/>
                <w:szCs w:val="16"/>
              </w:rPr>
            </w:pPr>
            <w:r w:rsidRPr="002022A5">
              <w:rPr>
                <w:rFonts w:ascii="Arial" w:hAnsi="Arial" w:cs="Arial"/>
                <w:sz w:val="16"/>
                <w:szCs w:val="16"/>
              </w:rPr>
              <w:t>On issue as at 2 May 2024</w:t>
            </w:r>
          </w:p>
        </w:tc>
        <w:tc>
          <w:tcPr>
            <w:tcW w:w="2264" w:type="pct"/>
            <w:gridSpan w:val="2"/>
            <w:tcBorders>
              <w:top w:val="single" w:sz="4" w:space="0" w:color="293F5B"/>
              <w:left w:val="nil"/>
              <w:bottom w:val="nil"/>
              <w:right w:val="nil"/>
            </w:tcBorders>
            <w:shd w:val="clear" w:color="auto" w:fill="auto"/>
            <w:noWrap/>
            <w:vAlign w:val="center"/>
            <w:hideMark/>
          </w:tcPr>
          <w:p w14:paraId="416E7134" w14:textId="77777777" w:rsidR="008E6809" w:rsidRPr="002022A5" w:rsidRDefault="008E6809" w:rsidP="002022A5">
            <w:pPr>
              <w:spacing w:before="0" w:after="0" w:line="240" w:lineRule="auto"/>
              <w:jc w:val="center"/>
              <w:rPr>
                <w:rFonts w:ascii="Arial" w:hAnsi="Arial" w:cs="Arial"/>
                <w:sz w:val="16"/>
                <w:szCs w:val="16"/>
              </w:rPr>
            </w:pPr>
            <w:r w:rsidRPr="002022A5">
              <w:rPr>
                <w:rFonts w:ascii="Arial" w:hAnsi="Arial" w:cs="Arial"/>
                <w:sz w:val="16"/>
                <w:szCs w:val="16"/>
              </w:rPr>
              <w:t> </w:t>
            </w:r>
          </w:p>
        </w:tc>
      </w:tr>
      <w:tr w:rsidR="008E6809" w:rsidRPr="008E6809" w14:paraId="4BA2F2B7" w14:textId="77777777" w:rsidTr="0079376E">
        <w:trPr>
          <w:trHeight w:hRule="exact" w:val="225"/>
        </w:trPr>
        <w:tc>
          <w:tcPr>
            <w:tcW w:w="801" w:type="pct"/>
            <w:tcBorders>
              <w:top w:val="nil"/>
              <w:left w:val="nil"/>
              <w:bottom w:val="single" w:sz="4" w:space="0" w:color="293F5B"/>
              <w:right w:val="nil"/>
            </w:tcBorders>
            <w:shd w:val="clear" w:color="auto" w:fill="auto"/>
            <w:noWrap/>
            <w:vAlign w:val="center"/>
            <w:hideMark/>
          </w:tcPr>
          <w:p w14:paraId="389D3632"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Maturity</w:t>
            </w:r>
          </w:p>
        </w:tc>
        <w:tc>
          <w:tcPr>
            <w:tcW w:w="1935" w:type="pct"/>
            <w:tcBorders>
              <w:top w:val="nil"/>
              <w:left w:val="nil"/>
              <w:bottom w:val="single" w:sz="4" w:space="0" w:color="293F5B"/>
              <w:right w:val="nil"/>
            </w:tcBorders>
            <w:shd w:val="clear" w:color="auto" w:fill="auto"/>
            <w:noWrap/>
            <w:vAlign w:val="center"/>
            <w:hideMark/>
          </w:tcPr>
          <w:p w14:paraId="0234E692"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$m</w:t>
            </w:r>
          </w:p>
        </w:tc>
        <w:tc>
          <w:tcPr>
            <w:tcW w:w="2264" w:type="pct"/>
            <w:gridSpan w:val="2"/>
            <w:tcBorders>
              <w:top w:val="nil"/>
              <w:left w:val="nil"/>
              <w:bottom w:val="single" w:sz="4" w:space="0" w:color="293F5B"/>
              <w:right w:val="nil"/>
            </w:tcBorders>
            <w:shd w:val="clear" w:color="auto" w:fill="auto"/>
            <w:noWrap/>
            <w:vAlign w:val="center"/>
            <w:hideMark/>
          </w:tcPr>
          <w:p w14:paraId="427E30AD" w14:textId="77777777" w:rsidR="00550317" w:rsidRPr="002022A5" w:rsidRDefault="00550317" w:rsidP="002022A5">
            <w:pPr>
              <w:spacing w:before="0" w:after="0" w:line="240" w:lineRule="auto"/>
              <w:jc w:val="center"/>
              <w:rPr>
                <w:rFonts w:ascii="Arial" w:hAnsi="Arial" w:cs="Arial"/>
                <w:sz w:val="16"/>
                <w:szCs w:val="16"/>
              </w:rPr>
            </w:pPr>
            <w:r w:rsidRPr="002022A5">
              <w:rPr>
                <w:rFonts w:ascii="Arial" w:hAnsi="Arial" w:cs="Arial"/>
                <w:sz w:val="16"/>
                <w:szCs w:val="16"/>
              </w:rPr>
              <w:t>Timing of interest payment</w:t>
            </w:r>
          </w:p>
        </w:tc>
      </w:tr>
      <w:tr w:rsidR="00550317" w:rsidRPr="002022A5" w14:paraId="19441AD1" w14:textId="77777777" w:rsidTr="0079376E">
        <w:trPr>
          <w:trHeight w:hRule="exact" w:val="225"/>
        </w:trPr>
        <w:tc>
          <w:tcPr>
            <w:tcW w:w="801" w:type="pct"/>
            <w:tcBorders>
              <w:top w:val="nil"/>
              <w:left w:val="nil"/>
              <w:bottom w:val="nil"/>
              <w:right w:val="nil"/>
            </w:tcBorders>
            <w:shd w:val="clear" w:color="auto" w:fill="auto"/>
            <w:noWrap/>
            <w:vAlign w:val="center"/>
            <w:hideMark/>
          </w:tcPr>
          <w:p w14:paraId="68D15EDA" w14:textId="1ECBA701"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10</w:t>
            </w:r>
            <w:r w:rsidR="00B57616">
              <w:rPr>
                <w:rFonts w:ascii="Arial" w:hAnsi="Arial" w:cs="Arial"/>
                <w:sz w:val="16"/>
                <w:szCs w:val="16"/>
              </w:rPr>
              <w:noBreakHyphen/>
            </w:r>
            <w:r w:rsidRPr="002022A5">
              <w:rPr>
                <w:rFonts w:ascii="Arial" w:hAnsi="Arial" w:cs="Arial"/>
                <w:sz w:val="16"/>
                <w:szCs w:val="16"/>
              </w:rPr>
              <w:t>May</w:t>
            </w:r>
            <w:r w:rsidR="00B57616">
              <w:rPr>
                <w:rFonts w:ascii="Arial" w:hAnsi="Arial" w:cs="Arial"/>
                <w:sz w:val="16"/>
                <w:szCs w:val="16"/>
              </w:rPr>
              <w:noBreakHyphen/>
            </w:r>
            <w:r w:rsidRPr="002022A5">
              <w:rPr>
                <w:rFonts w:ascii="Arial" w:hAnsi="Arial" w:cs="Arial"/>
                <w:sz w:val="16"/>
                <w:szCs w:val="16"/>
              </w:rPr>
              <w:t>24</w:t>
            </w:r>
          </w:p>
        </w:tc>
        <w:tc>
          <w:tcPr>
            <w:tcW w:w="1935" w:type="pct"/>
            <w:tcBorders>
              <w:top w:val="nil"/>
              <w:left w:val="nil"/>
              <w:bottom w:val="nil"/>
              <w:right w:val="nil"/>
            </w:tcBorders>
            <w:shd w:val="clear" w:color="auto" w:fill="auto"/>
            <w:noWrap/>
            <w:vAlign w:val="center"/>
            <w:hideMark/>
          </w:tcPr>
          <w:p w14:paraId="4330B6E0"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5,000</w:t>
            </w:r>
          </w:p>
        </w:tc>
        <w:tc>
          <w:tcPr>
            <w:tcW w:w="1324" w:type="pct"/>
            <w:tcBorders>
              <w:top w:val="nil"/>
              <w:left w:val="nil"/>
              <w:bottom w:val="nil"/>
              <w:right w:val="nil"/>
            </w:tcBorders>
            <w:shd w:val="clear" w:color="auto" w:fill="auto"/>
            <w:noWrap/>
            <w:vAlign w:val="center"/>
            <w:hideMark/>
          </w:tcPr>
          <w:p w14:paraId="3EE47582"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At maturity</w:t>
            </w:r>
          </w:p>
        </w:tc>
        <w:tc>
          <w:tcPr>
            <w:tcW w:w="940" w:type="pct"/>
            <w:tcBorders>
              <w:top w:val="nil"/>
              <w:left w:val="nil"/>
              <w:bottom w:val="nil"/>
              <w:right w:val="nil"/>
            </w:tcBorders>
            <w:shd w:val="clear" w:color="auto" w:fill="auto"/>
            <w:noWrap/>
            <w:vAlign w:val="center"/>
            <w:hideMark/>
          </w:tcPr>
          <w:p w14:paraId="5D7CD6AA" w14:textId="7C948BDB"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10</w:t>
            </w:r>
            <w:r w:rsidR="00B57616">
              <w:rPr>
                <w:rFonts w:ascii="Arial" w:hAnsi="Arial" w:cs="Arial"/>
                <w:sz w:val="16"/>
                <w:szCs w:val="16"/>
              </w:rPr>
              <w:noBreakHyphen/>
            </w:r>
            <w:r w:rsidRPr="002022A5">
              <w:rPr>
                <w:rFonts w:ascii="Arial" w:hAnsi="Arial" w:cs="Arial"/>
                <w:sz w:val="16"/>
                <w:szCs w:val="16"/>
              </w:rPr>
              <w:t>May</w:t>
            </w:r>
          </w:p>
        </w:tc>
      </w:tr>
      <w:tr w:rsidR="00550317" w:rsidRPr="002022A5" w14:paraId="566CC124" w14:textId="77777777" w:rsidTr="0079376E">
        <w:trPr>
          <w:trHeight w:hRule="exact" w:val="225"/>
        </w:trPr>
        <w:tc>
          <w:tcPr>
            <w:tcW w:w="801" w:type="pct"/>
            <w:tcBorders>
              <w:top w:val="nil"/>
              <w:left w:val="nil"/>
              <w:bottom w:val="nil"/>
              <w:right w:val="nil"/>
            </w:tcBorders>
            <w:shd w:val="clear" w:color="auto" w:fill="auto"/>
            <w:noWrap/>
            <w:vAlign w:val="center"/>
            <w:hideMark/>
          </w:tcPr>
          <w:p w14:paraId="64C57C58" w14:textId="54681FF9"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24</w:t>
            </w:r>
            <w:r w:rsidR="00B57616">
              <w:rPr>
                <w:rFonts w:ascii="Arial" w:hAnsi="Arial" w:cs="Arial"/>
                <w:sz w:val="16"/>
                <w:szCs w:val="16"/>
              </w:rPr>
              <w:noBreakHyphen/>
            </w:r>
            <w:r w:rsidRPr="002022A5">
              <w:rPr>
                <w:rFonts w:ascii="Arial" w:hAnsi="Arial" w:cs="Arial"/>
                <w:sz w:val="16"/>
                <w:szCs w:val="16"/>
              </w:rPr>
              <w:t>May</w:t>
            </w:r>
            <w:r w:rsidR="00B57616">
              <w:rPr>
                <w:rFonts w:ascii="Arial" w:hAnsi="Arial" w:cs="Arial"/>
                <w:sz w:val="16"/>
                <w:szCs w:val="16"/>
              </w:rPr>
              <w:noBreakHyphen/>
            </w:r>
            <w:r w:rsidRPr="002022A5">
              <w:rPr>
                <w:rFonts w:ascii="Arial" w:hAnsi="Arial" w:cs="Arial"/>
                <w:sz w:val="16"/>
                <w:szCs w:val="16"/>
              </w:rPr>
              <w:t>24</w:t>
            </w:r>
          </w:p>
        </w:tc>
        <w:tc>
          <w:tcPr>
            <w:tcW w:w="1935" w:type="pct"/>
            <w:tcBorders>
              <w:top w:val="nil"/>
              <w:left w:val="nil"/>
              <w:bottom w:val="nil"/>
              <w:right w:val="nil"/>
            </w:tcBorders>
            <w:shd w:val="clear" w:color="auto" w:fill="auto"/>
            <w:noWrap/>
            <w:vAlign w:val="center"/>
            <w:hideMark/>
          </w:tcPr>
          <w:p w14:paraId="0740338F"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5,000</w:t>
            </w:r>
          </w:p>
        </w:tc>
        <w:tc>
          <w:tcPr>
            <w:tcW w:w="1324" w:type="pct"/>
            <w:tcBorders>
              <w:top w:val="nil"/>
              <w:left w:val="nil"/>
              <w:bottom w:val="nil"/>
              <w:right w:val="nil"/>
            </w:tcBorders>
            <w:shd w:val="clear" w:color="auto" w:fill="auto"/>
            <w:noWrap/>
            <w:vAlign w:val="center"/>
            <w:hideMark/>
          </w:tcPr>
          <w:p w14:paraId="4506A487"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At maturity</w:t>
            </w:r>
          </w:p>
        </w:tc>
        <w:tc>
          <w:tcPr>
            <w:tcW w:w="940" w:type="pct"/>
            <w:tcBorders>
              <w:top w:val="nil"/>
              <w:left w:val="nil"/>
              <w:bottom w:val="nil"/>
              <w:right w:val="nil"/>
            </w:tcBorders>
            <w:shd w:val="clear" w:color="auto" w:fill="auto"/>
            <w:noWrap/>
            <w:vAlign w:val="center"/>
            <w:hideMark/>
          </w:tcPr>
          <w:p w14:paraId="2AE2B5FF" w14:textId="3683D383"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24</w:t>
            </w:r>
            <w:r w:rsidR="00B57616">
              <w:rPr>
                <w:rFonts w:ascii="Arial" w:hAnsi="Arial" w:cs="Arial"/>
                <w:sz w:val="16"/>
                <w:szCs w:val="16"/>
              </w:rPr>
              <w:noBreakHyphen/>
            </w:r>
            <w:r w:rsidRPr="002022A5">
              <w:rPr>
                <w:rFonts w:ascii="Arial" w:hAnsi="Arial" w:cs="Arial"/>
                <w:sz w:val="16"/>
                <w:szCs w:val="16"/>
              </w:rPr>
              <w:t>May</w:t>
            </w:r>
          </w:p>
        </w:tc>
      </w:tr>
      <w:tr w:rsidR="00550317" w:rsidRPr="002022A5" w14:paraId="7DC68158" w14:textId="77777777" w:rsidTr="0079376E">
        <w:trPr>
          <w:trHeight w:hRule="exact" w:val="225"/>
        </w:trPr>
        <w:tc>
          <w:tcPr>
            <w:tcW w:w="801" w:type="pct"/>
            <w:tcBorders>
              <w:top w:val="nil"/>
              <w:left w:val="nil"/>
              <w:bottom w:val="nil"/>
              <w:right w:val="nil"/>
            </w:tcBorders>
            <w:shd w:val="clear" w:color="auto" w:fill="auto"/>
            <w:noWrap/>
            <w:vAlign w:val="center"/>
            <w:hideMark/>
          </w:tcPr>
          <w:p w14:paraId="253A6330" w14:textId="6A92EDDE"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7</w:t>
            </w:r>
            <w:r w:rsidR="00B57616">
              <w:rPr>
                <w:rFonts w:ascii="Arial" w:hAnsi="Arial" w:cs="Arial"/>
                <w:sz w:val="16"/>
                <w:szCs w:val="16"/>
              </w:rPr>
              <w:noBreakHyphen/>
            </w:r>
            <w:r w:rsidRPr="002022A5">
              <w:rPr>
                <w:rFonts w:ascii="Arial" w:hAnsi="Arial" w:cs="Arial"/>
                <w:sz w:val="16"/>
                <w:szCs w:val="16"/>
              </w:rPr>
              <w:t>Jun</w:t>
            </w:r>
            <w:r w:rsidR="00B57616">
              <w:rPr>
                <w:rFonts w:ascii="Arial" w:hAnsi="Arial" w:cs="Arial"/>
                <w:sz w:val="16"/>
                <w:szCs w:val="16"/>
              </w:rPr>
              <w:noBreakHyphen/>
            </w:r>
            <w:r w:rsidRPr="002022A5">
              <w:rPr>
                <w:rFonts w:ascii="Arial" w:hAnsi="Arial" w:cs="Arial"/>
                <w:sz w:val="16"/>
                <w:szCs w:val="16"/>
              </w:rPr>
              <w:t>24</w:t>
            </w:r>
          </w:p>
        </w:tc>
        <w:tc>
          <w:tcPr>
            <w:tcW w:w="1935" w:type="pct"/>
            <w:tcBorders>
              <w:top w:val="nil"/>
              <w:left w:val="nil"/>
              <w:bottom w:val="nil"/>
              <w:right w:val="nil"/>
            </w:tcBorders>
            <w:shd w:val="clear" w:color="auto" w:fill="auto"/>
            <w:noWrap/>
            <w:vAlign w:val="center"/>
            <w:hideMark/>
          </w:tcPr>
          <w:p w14:paraId="4BFBEB7F"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4,000</w:t>
            </w:r>
          </w:p>
        </w:tc>
        <w:tc>
          <w:tcPr>
            <w:tcW w:w="1324" w:type="pct"/>
            <w:tcBorders>
              <w:top w:val="nil"/>
              <w:left w:val="nil"/>
              <w:bottom w:val="nil"/>
              <w:right w:val="nil"/>
            </w:tcBorders>
            <w:shd w:val="clear" w:color="auto" w:fill="auto"/>
            <w:noWrap/>
            <w:vAlign w:val="center"/>
            <w:hideMark/>
          </w:tcPr>
          <w:p w14:paraId="1A8656C8"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At maturity</w:t>
            </w:r>
          </w:p>
        </w:tc>
        <w:tc>
          <w:tcPr>
            <w:tcW w:w="940" w:type="pct"/>
            <w:tcBorders>
              <w:top w:val="nil"/>
              <w:left w:val="nil"/>
              <w:bottom w:val="nil"/>
              <w:right w:val="nil"/>
            </w:tcBorders>
            <w:shd w:val="clear" w:color="auto" w:fill="auto"/>
            <w:noWrap/>
            <w:vAlign w:val="center"/>
            <w:hideMark/>
          </w:tcPr>
          <w:p w14:paraId="2EBC02DC" w14:textId="4DB7BBED"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7</w:t>
            </w:r>
            <w:r w:rsidR="00B57616">
              <w:rPr>
                <w:rFonts w:ascii="Arial" w:hAnsi="Arial" w:cs="Arial"/>
                <w:sz w:val="16"/>
                <w:szCs w:val="16"/>
              </w:rPr>
              <w:noBreakHyphen/>
            </w:r>
            <w:r w:rsidRPr="002022A5">
              <w:rPr>
                <w:rFonts w:ascii="Arial" w:hAnsi="Arial" w:cs="Arial"/>
                <w:sz w:val="16"/>
                <w:szCs w:val="16"/>
              </w:rPr>
              <w:t>Jun</w:t>
            </w:r>
          </w:p>
        </w:tc>
      </w:tr>
      <w:tr w:rsidR="00550317" w:rsidRPr="002022A5" w14:paraId="521E88D0" w14:textId="77777777" w:rsidTr="0079376E">
        <w:trPr>
          <w:trHeight w:hRule="exact" w:val="225"/>
        </w:trPr>
        <w:tc>
          <w:tcPr>
            <w:tcW w:w="801" w:type="pct"/>
            <w:tcBorders>
              <w:top w:val="nil"/>
              <w:left w:val="nil"/>
              <w:bottom w:val="nil"/>
              <w:right w:val="nil"/>
            </w:tcBorders>
            <w:shd w:val="clear" w:color="auto" w:fill="auto"/>
            <w:noWrap/>
            <w:vAlign w:val="center"/>
            <w:hideMark/>
          </w:tcPr>
          <w:p w14:paraId="435CFB7D" w14:textId="5ADDB0EE"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21</w:t>
            </w:r>
            <w:r w:rsidR="00B57616">
              <w:rPr>
                <w:rFonts w:ascii="Arial" w:hAnsi="Arial" w:cs="Arial"/>
                <w:sz w:val="16"/>
                <w:szCs w:val="16"/>
              </w:rPr>
              <w:noBreakHyphen/>
            </w:r>
            <w:r w:rsidRPr="002022A5">
              <w:rPr>
                <w:rFonts w:ascii="Arial" w:hAnsi="Arial" w:cs="Arial"/>
                <w:sz w:val="16"/>
                <w:szCs w:val="16"/>
              </w:rPr>
              <w:t>Jun</w:t>
            </w:r>
            <w:r w:rsidR="00B57616">
              <w:rPr>
                <w:rFonts w:ascii="Arial" w:hAnsi="Arial" w:cs="Arial"/>
                <w:sz w:val="16"/>
                <w:szCs w:val="16"/>
              </w:rPr>
              <w:noBreakHyphen/>
            </w:r>
            <w:r w:rsidRPr="002022A5">
              <w:rPr>
                <w:rFonts w:ascii="Arial" w:hAnsi="Arial" w:cs="Arial"/>
                <w:sz w:val="16"/>
                <w:szCs w:val="16"/>
              </w:rPr>
              <w:t>24</w:t>
            </w:r>
          </w:p>
        </w:tc>
        <w:tc>
          <w:tcPr>
            <w:tcW w:w="1935" w:type="pct"/>
            <w:tcBorders>
              <w:top w:val="nil"/>
              <w:left w:val="nil"/>
              <w:bottom w:val="nil"/>
              <w:right w:val="nil"/>
            </w:tcBorders>
            <w:shd w:val="clear" w:color="auto" w:fill="auto"/>
            <w:noWrap/>
            <w:vAlign w:val="center"/>
            <w:hideMark/>
          </w:tcPr>
          <w:p w14:paraId="6128C140"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4,000</w:t>
            </w:r>
          </w:p>
        </w:tc>
        <w:tc>
          <w:tcPr>
            <w:tcW w:w="1324" w:type="pct"/>
            <w:tcBorders>
              <w:top w:val="nil"/>
              <w:left w:val="nil"/>
              <w:bottom w:val="nil"/>
              <w:right w:val="nil"/>
            </w:tcBorders>
            <w:shd w:val="clear" w:color="auto" w:fill="auto"/>
            <w:noWrap/>
            <w:vAlign w:val="center"/>
            <w:hideMark/>
          </w:tcPr>
          <w:p w14:paraId="738AA218"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At maturity</w:t>
            </w:r>
          </w:p>
        </w:tc>
        <w:tc>
          <w:tcPr>
            <w:tcW w:w="940" w:type="pct"/>
            <w:tcBorders>
              <w:top w:val="nil"/>
              <w:left w:val="nil"/>
              <w:bottom w:val="nil"/>
              <w:right w:val="nil"/>
            </w:tcBorders>
            <w:shd w:val="clear" w:color="auto" w:fill="auto"/>
            <w:noWrap/>
            <w:vAlign w:val="center"/>
            <w:hideMark/>
          </w:tcPr>
          <w:p w14:paraId="28795780" w14:textId="06C1CC6F"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21</w:t>
            </w:r>
            <w:r w:rsidR="00B57616">
              <w:rPr>
                <w:rFonts w:ascii="Arial" w:hAnsi="Arial" w:cs="Arial"/>
                <w:sz w:val="16"/>
                <w:szCs w:val="16"/>
              </w:rPr>
              <w:noBreakHyphen/>
            </w:r>
            <w:r w:rsidRPr="002022A5">
              <w:rPr>
                <w:rFonts w:ascii="Arial" w:hAnsi="Arial" w:cs="Arial"/>
                <w:sz w:val="16"/>
                <w:szCs w:val="16"/>
              </w:rPr>
              <w:t>Jun</w:t>
            </w:r>
          </w:p>
        </w:tc>
      </w:tr>
      <w:tr w:rsidR="00550317" w:rsidRPr="002022A5" w14:paraId="50AD0C8D" w14:textId="77777777" w:rsidTr="0079376E">
        <w:trPr>
          <w:trHeight w:hRule="exact" w:val="225"/>
        </w:trPr>
        <w:tc>
          <w:tcPr>
            <w:tcW w:w="801" w:type="pct"/>
            <w:tcBorders>
              <w:top w:val="nil"/>
              <w:left w:val="nil"/>
              <w:bottom w:val="nil"/>
              <w:right w:val="nil"/>
            </w:tcBorders>
            <w:shd w:val="clear" w:color="auto" w:fill="auto"/>
            <w:noWrap/>
            <w:vAlign w:val="center"/>
            <w:hideMark/>
          </w:tcPr>
          <w:p w14:paraId="7873800E" w14:textId="109AAB3E"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12</w:t>
            </w:r>
            <w:r w:rsidR="00B57616">
              <w:rPr>
                <w:rFonts w:ascii="Arial" w:hAnsi="Arial" w:cs="Arial"/>
                <w:sz w:val="16"/>
                <w:szCs w:val="16"/>
              </w:rPr>
              <w:noBreakHyphen/>
            </w:r>
            <w:r w:rsidRPr="002022A5">
              <w:rPr>
                <w:rFonts w:ascii="Arial" w:hAnsi="Arial" w:cs="Arial"/>
                <w:sz w:val="16"/>
                <w:szCs w:val="16"/>
              </w:rPr>
              <w:t>Jul</w:t>
            </w:r>
            <w:r w:rsidR="00B57616">
              <w:rPr>
                <w:rFonts w:ascii="Arial" w:hAnsi="Arial" w:cs="Arial"/>
                <w:sz w:val="16"/>
                <w:szCs w:val="16"/>
              </w:rPr>
              <w:noBreakHyphen/>
            </w:r>
            <w:r w:rsidRPr="002022A5">
              <w:rPr>
                <w:rFonts w:ascii="Arial" w:hAnsi="Arial" w:cs="Arial"/>
                <w:sz w:val="16"/>
                <w:szCs w:val="16"/>
              </w:rPr>
              <w:t>24</w:t>
            </w:r>
          </w:p>
        </w:tc>
        <w:tc>
          <w:tcPr>
            <w:tcW w:w="1935" w:type="pct"/>
            <w:tcBorders>
              <w:top w:val="nil"/>
              <w:left w:val="nil"/>
              <w:bottom w:val="nil"/>
              <w:right w:val="nil"/>
            </w:tcBorders>
            <w:shd w:val="clear" w:color="auto" w:fill="auto"/>
            <w:noWrap/>
            <w:vAlign w:val="center"/>
            <w:hideMark/>
          </w:tcPr>
          <w:p w14:paraId="020499E4"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4,000</w:t>
            </w:r>
          </w:p>
        </w:tc>
        <w:tc>
          <w:tcPr>
            <w:tcW w:w="1324" w:type="pct"/>
            <w:tcBorders>
              <w:top w:val="nil"/>
              <w:left w:val="nil"/>
              <w:bottom w:val="nil"/>
              <w:right w:val="nil"/>
            </w:tcBorders>
            <w:shd w:val="clear" w:color="auto" w:fill="auto"/>
            <w:noWrap/>
            <w:vAlign w:val="center"/>
            <w:hideMark/>
          </w:tcPr>
          <w:p w14:paraId="05907C99"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At maturity</w:t>
            </w:r>
          </w:p>
        </w:tc>
        <w:tc>
          <w:tcPr>
            <w:tcW w:w="940" w:type="pct"/>
            <w:tcBorders>
              <w:top w:val="nil"/>
              <w:left w:val="nil"/>
              <w:bottom w:val="nil"/>
              <w:right w:val="nil"/>
            </w:tcBorders>
            <w:shd w:val="clear" w:color="auto" w:fill="auto"/>
            <w:noWrap/>
            <w:vAlign w:val="center"/>
            <w:hideMark/>
          </w:tcPr>
          <w:p w14:paraId="1308B8FA" w14:textId="0769F846"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12</w:t>
            </w:r>
            <w:r w:rsidR="00B57616">
              <w:rPr>
                <w:rFonts w:ascii="Arial" w:hAnsi="Arial" w:cs="Arial"/>
                <w:sz w:val="16"/>
                <w:szCs w:val="16"/>
              </w:rPr>
              <w:noBreakHyphen/>
            </w:r>
            <w:r w:rsidRPr="002022A5">
              <w:rPr>
                <w:rFonts w:ascii="Arial" w:hAnsi="Arial" w:cs="Arial"/>
                <w:sz w:val="16"/>
                <w:szCs w:val="16"/>
              </w:rPr>
              <w:t>Jul</w:t>
            </w:r>
          </w:p>
        </w:tc>
      </w:tr>
      <w:tr w:rsidR="00550317" w:rsidRPr="002022A5" w14:paraId="2BB9DE01" w14:textId="77777777" w:rsidTr="0079376E">
        <w:trPr>
          <w:trHeight w:hRule="exact" w:val="225"/>
        </w:trPr>
        <w:tc>
          <w:tcPr>
            <w:tcW w:w="801" w:type="pct"/>
            <w:tcBorders>
              <w:top w:val="nil"/>
              <w:left w:val="nil"/>
              <w:bottom w:val="nil"/>
              <w:right w:val="nil"/>
            </w:tcBorders>
            <w:shd w:val="clear" w:color="auto" w:fill="auto"/>
            <w:noWrap/>
            <w:vAlign w:val="center"/>
            <w:hideMark/>
          </w:tcPr>
          <w:p w14:paraId="19C76197" w14:textId="168C5332"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26</w:t>
            </w:r>
            <w:r w:rsidR="00B57616">
              <w:rPr>
                <w:rFonts w:ascii="Arial" w:hAnsi="Arial" w:cs="Arial"/>
                <w:sz w:val="16"/>
                <w:szCs w:val="16"/>
              </w:rPr>
              <w:noBreakHyphen/>
            </w:r>
            <w:r w:rsidRPr="002022A5">
              <w:rPr>
                <w:rFonts w:ascii="Arial" w:hAnsi="Arial" w:cs="Arial"/>
                <w:sz w:val="16"/>
                <w:szCs w:val="16"/>
              </w:rPr>
              <w:t>Jul</w:t>
            </w:r>
            <w:r w:rsidR="00B57616">
              <w:rPr>
                <w:rFonts w:ascii="Arial" w:hAnsi="Arial" w:cs="Arial"/>
                <w:sz w:val="16"/>
                <w:szCs w:val="16"/>
              </w:rPr>
              <w:noBreakHyphen/>
            </w:r>
            <w:r w:rsidRPr="002022A5">
              <w:rPr>
                <w:rFonts w:ascii="Arial" w:hAnsi="Arial" w:cs="Arial"/>
                <w:sz w:val="16"/>
                <w:szCs w:val="16"/>
              </w:rPr>
              <w:t>24</w:t>
            </w:r>
          </w:p>
        </w:tc>
        <w:tc>
          <w:tcPr>
            <w:tcW w:w="1935" w:type="pct"/>
            <w:tcBorders>
              <w:top w:val="nil"/>
              <w:left w:val="nil"/>
              <w:bottom w:val="nil"/>
              <w:right w:val="nil"/>
            </w:tcBorders>
            <w:shd w:val="clear" w:color="auto" w:fill="auto"/>
            <w:noWrap/>
            <w:vAlign w:val="center"/>
            <w:hideMark/>
          </w:tcPr>
          <w:p w14:paraId="10F7B048"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3,000</w:t>
            </w:r>
          </w:p>
        </w:tc>
        <w:tc>
          <w:tcPr>
            <w:tcW w:w="1324" w:type="pct"/>
            <w:tcBorders>
              <w:top w:val="nil"/>
              <w:left w:val="nil"/>
              <w:bottom w:val="nil"/>
              <w:right w:val="nil"/>
            </w:tcBorders>
            <w:shd w:val="clear" w:color="auto" w:fill="auto"/>
            <w:noWrap/>
            <w:vAlign w:val="center"/>
            <w:hideMark/>
          </w:tcPr>
          <w:p w14:paraId="09326625"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At maturity</w:t>
            </w:r>
          </w:p>
        </w:tc>
        <w:tc>
          <w:tcPr>
            <w:tcW w:w="940" w:type="pct"/>
            <w:tcBorders>
              <w:top w:val="nil"/>
              <w:left w:val="nil"/>
              <w:bottom w:val="nil"/>
              <w:right w:val="nil"/>
            </w:tcBorders>
            <w:shd w:val="clear" w:color="auto" w:fill="auto"/>
            <w:noWrap/>
            <w:vAlign w:val="center"/>
            <w:hideMark/>
          </w:tcPr>
          <w:p w14:paraId="6D853E74" w14:textId="2D3DA5D8"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26</w:t>
            </w:r>
            <w:r w:rsidR="00B57616">
              <w:rPr>
                <w:rFonts w:ascii="Arial" w:hAnsi="Arial" w:cs="Arial"/>
                <w:sz w:val="16"/>
                <w:szCs w:val="16"/>
              </w:rPr>
              <w:noBreakHyphen/>
            </w:r>
            <w:r w:rsidRPr="002022A5">
              <w:rPr>
                <w:rFonts w:ascii="Arial" w:hAnsi="Arial" w:cs="Arial"/>
                <w:sz w:val="16"/>
                <w:szCs w:val="16"/>
              </w:rPr>
              <w:t>Jul</w:t>
            </w:r>
          </w:p>
        </w:tc>
      </w:tr>
      <w:tr w:rsidR="00550317" w:rsidRPr="002022A5" w14:paraId="226974C1" w14:textId="77777777" w:rsidTr="0079376E">
        <w:trPr>
          <w:trHeight w:hRule="exact" w:val="225"/>
        </w:trPr>
        <w:tc>
          <w:tcPr>
            <w:tcW w:w="801" w:type="pct"/>
            <w:tcBorders>
              <w:top w:val="nil"/>
              <w:left w:val="nil"/>
              <w:bottom w:val="nil"/>
              <w:right w:val="nil"/>
            </w:tcBorders>
            <w:shd w:val="clear" w:color="auto" w:fill="auto"/>
            <w:noWrap/>
            <w:vAlign w:val="center"/>
            <w:hideMark/>
          </w:tcPr>
          <w:p w14:paraId="14869B91" w14:textId="2B6BC2E6"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9</w:t>
            </w:r>
            <w:r w:rsidR="00B57616">
              <w:rPr>
                <w:rFonts w:ascii="Arial" w:hAnsi="Arial" w:cs="Arial"/>
                <w:sz w:val="16"/>
                <w:szCs w:val="16"/>
              </w:rPr>
              <w:noBreakHyphen/>
            </w:r>
            <w:r w:rsidRPr="002022A5">
              <w:rPr>
                <w:rFonts w:ascii="Arial" w:hAnsi="Arial" w:cs="Arial"/>
                <w:sz w:val="16"/>
                <w:szCs w:val="16"/>
              </w:rPr>
              <w:t>Aug</w:t>
            </w:r>
            <w:r w:rsidR="00B57616">
              <w:rPr>
                <w:rFonts w:ascii="Arial" w:hAnsi="Arial" w:cs="Arial"/>
                <w:sz w:val="16"/>
                <w:szCs w:val="16"/>
              </w:rPr>
              <w:noBreakHyphen/>
            </w:r>
            <w:r w:rsidRPr="002022A5">
              <w:rPr>
                <w:rFonts w:ascii="Arial" w:hAnsi="Arial" w:cs="Arial"/>
                <w:sz w:val="16"/>
                <w:szCs w:val="16"/>
              </w:rPr>
              <w:t>24</w:t>
            </w:r>
          </w:p>
        </w:tc>
        <w:tc>
          <w:tcPr>
            <w:tcW w:w="1935" w:type="pct"/>
            <w:tcBorders>
              <w:top w:val="nil"/>
              <w:left w:val="nil"/>
              <w:bottom w:val="nil"/>
              <w:right w:val="nil"/>
            </w:tcBorders>
            <w:shd w:val="clear" w:color="auto" w:fill="auto"/>
            <w:noWrap/>
            <w:vAlign w:val="center"/>
            <w:hideMark/>
          </w:tcPr>
          <w:p w14:paraId="0B0ABCEE"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2,000</w:t>
            </w:r>
          </w:p>
        </w:tc>
        <w:tc>
          <w:tcPr>
            <w:tcW w:w="1324" w:type="pct"/>
            <w:tcBorders>
              <w:top w:val="nil"/>
              <w:left w:val="nil"/>
              <w:bottom w:val="nil"/>
              <w:right w:val="nil"/>
            </w:tcBorders>
            <w:shd w:val="clear" w:color="auto" w:fill="auto"/>
            <w:noWrap/>
            <w:vAlign w:val="center"/>
            <w:hideMark/>
          </w:tcPr>
          <w:p w14:paraId="35FEB33B"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At maturity</w:t>
            </w:r>
          </w:p>
        </w:tc>
        <w:tc>
          <w:tcPr>
            <w:tcW w:w="940" w:type="pct"/>
            <w:tcBorders>
              <w:top w:val="nil"/>
              <w:left w:val="nil"/>
              <w:bottom w:val="nil"/>
              <w:right w:val="nil"/>
            </w:tcBorders>
            <w:shd w:val="clear" w:color="auto" w:fill="auto"/>
            <w:noWrap/>
            <w:vAlign w:val="center"/>
            <w:hideMark/>
          </w:tcPr>
          <w:p w14:paraId="072E9DD4" w14:textId="654751F0"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9</w:t>
            </w:r>
            <w:r w:rsidR="00B57616">
              <w:rPr>
                <w:rFonts w:ascii="Arial" w:hAnsi="Arial" w:cs="Arial"/>
                <w:sz w:val="16"/>
                <w:szCs w:val="16"/>
              </w:rPr>
              <w:noBreakHyphen/>
            </w:r>
            <w:r w:rsidRPr="002022A5">
              <w:rPr>
                <w:rFonts w:ascii="Arial" w:hAnsi="Arial" w:cs="Arial"/>
                <w:sz w:val="16"/>
                <w:szCs w:val="16"/>
              </w:rPr>
              <w:t>Aug</w:t>
            </w:r>
          </w:p>
        </w:tc>
      </w:tr>
      <w:tr w:rsidR="00550317" w:rsidRPr="002022A5" w14:paraId="21DCF08F" w14:textId="77777777" w:rsidTr="0079376E">
        <w:trPr>
          <w:trHeight w:hRule="exact" w:val="225"/>
        </w:trPr>
        <w:tc>
          <w:tcPr>
            <w:tcW w:w="801" w:type="pct"/>
            <w:tcBorders>
              <w:top w:val="nil"/>
              <w:left w:val="nil"/>
              <w:bottom w:val="nil"/>
              <w:right w:val="nil"/>
            </w:tcBorders>
            <w:shd w:val="clear" w:color="auto" w:fill="auto"/>
            <w:noWrap/>
            <w:vAlign w:val="center"/>
            <w:hideMark/>
          </w:tcPr>
          <w:p w14:paraId="42B0E66E" w14:textId="71242D59"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23</w:t>
            </w:r>
            <w:r w:rsidR="00B57616">
              <w:rPr>
                <w:rFonts w:ascii="Arial" w:hAnsi="Arial" w:cs="Arial"/>
                <w:sz w:val="16"/>
                <w:szCs w:val="16"/>
              </w:rPr>
              <w:noBreakHyphen/>
            </w:r>
            <w:r w:rsidRPr="002022A5">
              <w:rPr>
                <w:rFonts w:ascii="Arial" w:hAnsi="Arial" w:cs="Arial"/>
                <w:sz w:val="16"/>
                <w:szCs w:val="16"/>
              </w:rPr>
              <w:t>Aug</w:t>
            </w:r>
            <w:r w:rsidR="00B57616">
              <w:rPr>
                <w:rFonts w:ascii="Arial" w:hAnsi="Arial" w:cs="Arial"/>
                <w:sz w:val="16"/>
                <w:szCs w:val="16"/>
              </w:rPr>
              <w:noBreakHyphen/>
            </w:r>
            <w:r w:rsidRPr="002022A5">
              <w:rPr>
                <w:rFonts w:ascii="Arial" w:hAnsi="Arial" w:cs="Arial"/>
                <w:sz w:val="16"/>
                <w:szCs w:val="16"/>
              </w:rPr>
              <w:t>24</w:t>
            </w:r>
          </w:p>
        </w:tc>
        <w:tc>
          <w:tcPr>
            <w:tcW w:w="1935" w:type="pct"/>
            <w:tcBorders>
              <w:top w:val="nil"/>
              <w:left w:val="nil"/>
              <w:bottom w:val="nil"/>
              <w:right w:val="nil"/>
            </w:tcBorders>
            <w:shd w:val="clear" w:color="auto" w:fill="auto"/>
            <w:noWrap/>
            <w:vAlign w:val="center"/>
            <w:hideMark/>
          </w:tcPr>
          <w:p w14:paraId="1784ED65"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2,000</w:t>
            </w:r>
          </w:p>
        </w:tc>
        <w:tc>
          <w:tcPr>
            <w:tcW w:w="1324" w:type="pct"/>
            <w:tcBorders>
              <w:top w:val="nil"/>
              <w:left w:val="nil"/>
              <w:bottom w:val="nil"/>
              <w:right w:val="nil"/>
            </w:tcBorders>
            <w:shd w:val="clear" w:color="auto" w:fill="auto"/>
            <w:noWrap/>
            <w:vAlign w:val="center"/>
            <w:hideMark/>
          </w:tcPr>
          <w:p w14:paraId="6193F097"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At maturity</w:t>
            </w:r>
          </w:p>
        </w:tc>
        <w:tc>
          <w:tcPr>
            <w:tcW w:w="940" w:type="pct"/>
            <w:tcBorders>
              <w:top w:val="nil"/>
              <w:left w:val="nil"/>
              <w:bottom w:val="nil"/>
              <w:right w:val="nil"/>
            </w:tcBorders>
            <w:shd w:val="clear" w:color="auto" w:fill="auto"/>
            <w:noWrap/>
            <w:vAlign w:val="center"/>
            <w:hideMark/>
          </w:tcPr>
          <w:p w14:paraId="0381B3D7" w14:textId="77DDC61F"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23</w:t>
            </w:r>
            <w:r w:rsidR="00B57616">
              <w:rPr>
                <w:rFonts w:ascii="Arial" w:hAnsi="Arial" w:cs="Arial"/>
                <w:sz w:val="16"/>
                <w:szCs w:val="16"/>
              </w:rPr>
              <w:noBreakHyphen/>
            </w:r>
            <w:r w:rsidRPr="002022A5">
              <w:rPr>
                <w:rFonts w:ascii="Arial" w:hAnsi="Arial" w:cs="Arial"/>
                <w:sz w:val="16"/>
                <w:szCs w:val="16"/>
              </w:rPr>
              <w:t>Aug</w:t>
            </w:r>
          </w:p>
        </w:tc>
      </w:tr>
      <w:tr w:rsidR="00550317" w:rsidRPr="00291745" w14:paraId="0C8AE67A" w14:textId="77777777" w:rsidTr="0079376E">
        <w:trPr>
          <w:trHeight w:hRule="exact" w:val="225"/>
        </w:trPr>
        <w:tc>
          <w:tcPr>
            <w:tcW w:w="801" w:type="pct"/>
            <w:tcBorders>
              <w:top w:val="nil"/>
              <w:left w:val="nil"/>
              <w:bottom w:val="single" w:sz="4" w:space="0" w:color="293F5B"/>
              <w:right w:val="nil"/>
            </w:tcBorders>
            <w:shd w:val="clear" w:color="auto" w:fill="auto"/>
            <w:noWrap/>
            <w:vAlign w:val="center"/>
            <w:hideMark/>
          </w:tcPr>
          <w:p w14:paraId="3405734B" w14:textId="400A2ABB"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13</w:t>
            </w:r>
            <w:r w:rsidR="00B57616">
              <w:rPr>
                <w:rFonts w:ascii="Arial" w:hAnsi="Arial" w:cs="Arial"/>
                <w:sz w:val="16"/>
                <w:szCs w:val="16"/>
              </w:rPr>
              <w:noBreakHyphen/>
            </w:r>
            <w:r w:rsidRPr="002022A5">
              <w:rPr>
                <w:rFonts w:ascii="Arial" w:hAnsi="Arial" w:cs="Arial"/>
                <w:sz w:val="16"/>
                <w:szCs w:val="16"/>
              </w:rPr>
              <w:t>Sep</w:t>
            </w:r>
            <w:r w:rsidR="00B57616">
              <w:rPr>
                <w:rFonts w:ascii="Arial" w:hAnsi="Arial" w:cs="Arial"/>
                <w:sz w:val="16"/>
                <w:szCs w:val="16"/>
              </w:rPr>
              <w:noBreakHyphen/>
            </w:r>
            <w:r w:rsidRPr="002022A5">
              <w:rPr>
                <w:rFonts w:ascii="Arial" w:hAnsi="Arial" w:cs="Arial"/>
                <w:sz w:val="16"/>
                <w:szCs w:val="16"/>
              </w:rPr>
              <w:t>24</w:t>
            </w:r>
          </w:p>
        </w:tc>
        <w:tc>
          <w:tcPr>
            <w:tcW w:w="1935" w:type="pct"/>
            <w:tcBorders>
              <w:top w:val="nil"/>
              <w:left w:val="nil"/>
              <w:bottom w:val="single" w:sz="4" w:space="0" w:color="293F5B"/>
              <w:right w:val="nil"/>
            </w:tcBorders>
            <w:shd w:val="clear" w:color="auto" w:fill="auto"/>
            <w:noWrap/>
            <w:vAlign w:val="center"/>
            <w:hideMark/>
          </w:tcPr>
          <w:p w14:paraId="5024D9D0"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1,000</w:t>
            </w:r>
          </w:p>
        </w:tc>
        <w:tc>
          <w:tcPr>
            <w:tcW w:w="1324" w:type="pct"/>
            <w:tcBorders>
              <w:top w:val="nil"/>
              <w:left w:val="nil"/>
              <w:bottom w:val="single" w:sz="4" w:space="0" w:color="293F5B"/>
              <w:right w:val="nil"/>
            </w:tcBorders>
            <w:shd w:val="clear" w:color="auto" w:fill="auto"/>
            <w:noWrap/>
            <w:vAlign w:val="center"/>
            <w:hideMark/>
          </w:tcPr>
          <w:p w14:paraId="30C4EB09" w14:textId="7777777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At maturity</w:t>
            </w:r>
          </w:p>
        </w:tc>
        <w:tc>
          <w:tcPr>
            <w:tcW w:w="940" w:type="pct"/>
            <w:tcBorders>
              <w:top w:val="nil"/>
              <w:left w:val="nil"/>
              <w:bottom w:val="single" w:sz="4" w:space="0" w:color="293F5B"/>
              <w:right w:val="nil"/>
            </w:tcBorders>
            <w:shd w:val="clear" w:color="auto" w:fill="auto"/>
            <w:noWrap/>
            <w:vAlign w:val="center"/>
            <w:hideMark/>
          </w:tcPr>
          <w:p w14:paraId="0D799662" w14:textId="28FADC07" w:rsidR="00550317" w:rsidRPr="002022A5" w:rsidRDefault="00550317" w:rsidP="002022A5">
            <w:pPr>
              <w:spacing w:before="0" w:after="0" w:line="240" w:lineRule="auto"/>
              <w:jc w:val="right"/>
              <w:rPr>
                <w:rFonts w:ascii="Arial" w:hAnsi="Arial" w:cs="Arial"/>
                <w:sz w:val="16"/>
                <w:szCs w:val="16"/>
              </w:rPr>
            </w:pPr>
            <w:r w:rsidRPr="002022A5">
              <w:rPr>
                <w:rFonts w:ascii="Arial" w:hAnsi="Arial" w:cs="Arial"/>
                <w:sz w:val="16"/>
                <w:szCs w:val="16"/>
              </w:rPr>
              <w:t>13</w:t>
            </w:r>
            <w:r w:rsidR="00B57616">
              <w:rPr>
                <w:rFonts w:ascii="Arial" w:hAnsi="Arial" w:cs="Arial"/>
                <w:sz w:val="16"/>
                <w:szCs w:val="16"/>
              </w:rPr>
              <w:noBreakHyphen/>
            </w:r>
            <w:r w:rsidRPr="002022A5">
              <w:rPr>
                <w:rFonts w:ascii="Arial" w:hAnsi="Arial" w:cs="Arial"/>
                <w:sz w:val="16"/>
                <w:szCs w:val="16"/>
              </w:rPr>
              <w:t>Sep</w:t>
            </w:r>
          </w:p>
        </w:tc>
      </w:tr>
    </w:tbl>
    <w:p w14:paraId="23A0603F" w14:textId="3A077588" w:rsidR="00C12E5E" w:rsidRPr="00725CB8" w:rsidRDefault="00550317" w:rsidP="00725CB8">
      <w:pPr>
        <w:pStyle w:val="ChartandTableFootnote"/>
      </w:pPr>
      <w:r w:rsidRPr="00291745">
        <w:t xml:space="preserve">Source: </w:t>
      </w:r>
      <w:r w:rsidRPr="00291745">
        <w:tab/>
        <w:t>AOFM.</w:t>
      </w:r>
    </w:p>
    <w:p w14:paraId="2F4AB61A" w14:textId="77777777" w:rsidR="001A4F7E" w:rsidRPr="0098325D" w:rsidRDefault="001A4F7E" w:rsidP="001A4F7E">
      <w:pPr>
        <w:pStyle w:val="ChartLine"/>
      </w:pPr>
    </w:p>
    <w:p w14:paraId="2B661489" w14:textId="77777777" w:rsidR="00F05937" w:rsidRPr="0098325D" w:rsidRDefault="00F05937" w:rsidP="00396838">
      <w:bookmarkStart w:id="35" w:name="_Toc51582828"/>
      <w:bookmarkStart w:id="36" w:name="_Toc98531934"/>
      <w:r w:rsidRPr="0098325D">
        <w:br w:type="page"/>
      </w:r>
    </w:p>
    <w:p w14:paraId="512DE074" w14:textId="40A28D47" w:rsidR="0036215C" w:rsidRPr="0098325D" w:rsidRDefault="0036215C" w:rsidP="0036215C">
      <w:pPr>
        <w:pStyle w:val="Heading2"/>
      </w:pPr>
      <w:bookmarkStart w:id="37" w:name="_Toc166355903"/>
      <w:r w:rsidRPr="0098325D">
        <w:lastRenderedPageBreak/>
        <w:t xml:space="preserve">Green </w:t>
      </w:r>
      <w:r w:rsidR="005D7E3B" w:rsidRPr="0098325D">
        <w:t xml:space="preserve">Treasury </w:t>
      </w:r>
      <w:r w:rsidRPr="0098325D">
        <w:t>Bonds</w:t>
      </w:r>
      <w:bookmarkEnd w:id="37"/>
    </w:p>
    <w:p w14:paraId="5023E6CE" w14:textId="475273A5" w:rsidR="00766E8C" w:rsidRPr="004C05FA" w:rsidRDefault="00E20E72" w:rsidP="00BF2177">
      <w:r w:rsidRPr="004C05FA">
        <w:t xml:space="preserve">The Government </w:t>
      </w:r>
      <w:r w:rsidR="00936655" w:rsidRPr="004C05FA">
        <w:t>will begin issuing Green Treasury Bonds b</w:t>
      </w:r>
      <w:r w:rsidR="00D91537" w:rsidRPr="004C05FA">
        <w:t>efore</w:t>
      </w:r>
      <w:r w:rsidR="00936655" w:rsidRPr="004C05FA">
        <w:t xml:space="preserve"> 30 June 2024. The </w:t>
      </w:r>
      <w:r w:rsidR="00933E0D" w:rsidRPr="004C05FA">
        <w:t xml:space="preserve">initial </w:t>
      </w:r>
      <w:r w:rsidR="00BF2F2F" w:rsidRPr="004C05FA">
        <w:t xml:space="preserve">bond </w:t>
      </w:r>
      <w:r w:rsidR="00933E0D" w:rsidRPr="004C05FA">
        <w:t xml:space="preserve">line </w:t>
      </w:r>
      <w:r w:rsidR="00BF2F2F" w:rsidRPr="004C05FA">
        <w:t xml:space="preserve">will </w:t>
      </w:r>
      <w:r w:rsidR="00933E0D" w:rsidRPr="004C05FA">
        <w:t>be around $7</w:t>
      </w:r>
      <w:r w:rsidR="003E5F52" w:rsidRPr="004C05FA">
        <w:t> </w:t>
      </w:r>
      <w:r w:rsidR="00933E0D" w:rsidRPr="004C05FA">
        <w:t xml:space="preserve">billion in size and will </w:t>
      </w:r>
      <w:r w:rsidR="00BF2F2F" w:rsidRPr="004C05FA">
        <w:t>mature in June 2034.</w:t>
      </w:r>
      <w:r w:rsidR="00BF2177" w:rsidRPr="004C05FA">
        <w:t xml:space="preserve"> </w:t>
      </w:r>
      <w:r w:rsidR="00766E8C" w:rsidRPr="004C05FA">
        <w:t xml:space="preserve">Issuance of green bonds will not impact gross debt estimates as it will replace issuance of </w:t>
      </w:r>
      <w:r w:rsidR="00B34699" w:rsidRPr="004C05FA">
        <w:t>other</w:t>
      </w:r>
      <w:r w:rsidR="00766E8C" w:rsidRPr="004C05FA">
        <w:t xml:space="preserve"> AGS.</w:t>
      </w:r>
    </w:p>
    <w:p w14:paraId="00A7EF1C" w14:textId="11ED0A7F" w:rsidR="00BF2177" w:rsidRPr="004C05FA" w:rsidRDefault="008C3D00" w:rsidP="00BF2177">
      <w:pPr>
        <w:rPr>
          <w:szCs w:val="19"/>
        </w:rPr>
      </w:pPr>
      <w:r w:rsidRPr="004C05FA">
        <w:t xml:space="preserve">Green </w:t>
      </w:r>
      <w:r w:rsidR="00521FE7" w:rsidRPr="004C05FA">
        <w:t>b</w:t>
      </w:r>
      <w:r w:rsidRPr="004C05FA">
        <w:t>onds</w:t>
      </w:r>
      <w:r w:rsidR="00BF2177" w:rsidRPr="004C05FA">
        <w:t xml:space="preserve"> provide financing or refinancing for specific government programs with positive climate change and environmental outcomes. </w:t>
      </w:r>
      <w:r w:rsidRPr="004C05FA">
        <w:t xml:space="preserve">Green </w:t>
      </w:r>
      <w:r w:rsidR="00521FE7" w:rsidRPr="004C05FA">
        <w:t>b</w:t>
      </w:r>
      <w:r w:rsidRPr="004C05FA">
        <w:t xml:space="preserve">onds </w:t>
      </w:r>
      <w:r w:rsidR="00BF2177" w:rsidRPr="004C05FA">
        <w:t>will enable investors to back public projects that drive Australia</w:t>
      </w:r>
      <w:r w:rsidR="00B57616" w:rsidRPr="004C05FA">
        <w:t>’</w:t>
      </w:r>
      <w:r w:rsidR="00BF2177" w:rsidRPr="004C05FA">
        <w:t>s net zero transformation and progress the Government</w:t>
      </w:r>
      <w:r w:rsidR="00B57616" w:rsidRPr="004C05FA">
        <w:t>’</w:t>
      </w:r>
      <w:r w:rsidR="00BF2177" w:rsidRPr="004C05FA">
        <w:t>s environment</w:t>
      </w:r>
      <w:r w:rsidR="000A1FE3" w:rsidRPr="004C05FA">
        <w:t>al</w:t>
      </w:r>
      <w:r w:rsidR="00BF2177" w:rsidRPr="004C05FA">
        <w:t xml:space="preserve"> agenda. </w:t>
      </w:r>
      <w:r w:rsidRPr="004C05FA">
        <w:t xml:space="preserve">Green </w:t>
      </w:r>
      <w:r w:rsidR="00521FE7" w:rsidRPr="004C05FA">
        <w:t>b</w:t>
      </w:r>
      <w:r w:rsidRPr="004C05FA">
        <w:t xml:space="preserve">onds </w:t>
      </w:r>
      <w:r w:rsidR="00BF2177" w:rsidRPr="004C05FA">
        <w:t>will boost the scale and credibility of Australia</w:t>
      </w:r>
      <w:r w:rsidR="00B57616" w:rsidRPr="004C05FA">
        <w:t>’</w:t>
      </w:r>
      <w:r w:rsidR="00BF2177" w:rsidRPr="004C05FA">
        <w:t xml:space="preserve">s green finance market and attract more green capital to Australia by increasing transparency around climate outcomes and the availability of green investments. </w:t>
      </w:r>
    </w:p>
    <w:p w14:paraId="305CDAF0" w14:textId="3C41E747" w:rsidR="0036215C" w:rsidRPr="0098325D" w:rsidRDefault="008C3D00" w:rsidP="0036215C">
      <w:r w:rsidRPr="004C05FA">
        <w:t xml:space="preserve">The Government </w:t>
      </w:r>
      <w:r w:rsidR="00B74CC9" w:rsidRPr="004C05FA">
        <w:t>will publi</w:t>
      </w:r>
      <w:r w:rsidR="005F7E0F" w:rsidRPr="004C05FA">
        <w:t xml:space="preserve">sh annual </w:t>
      </w:r>
      <w:r w:rsidR="000C5EC1" w:rsidRPr="004C05FA">
        <w:t>A</w:t>
      </w:r>
      <w:r w:rsidR="005F7E0F" w:rsidRPr="004C05FA">
        <w:t xml:space="preserve">llocation and </w:t>
      </w:r>
      <w:r w:rsidR="000C5EC1" w:rsidRPr="004C05FA">
        <w:t>I</w:t>
      </w:r>
      <w:r w:rsidR="005F7E0F" w:rsidRPr="004C05FA">
        <w:t xml:space="preserve">mpact </w:t>
      </w:r>
      <w:r w:rsidR="000C5EC1" w:rsidRPr="004C05FA">
        <w:t>R</w:t>
      </w:r>
      <w:r w:rsidR="005F7E0F" w:rsidRPr="004C05FA">
        <w:t>eport</w:t>
      </w:r>
      <w:r w:rsidR="0086472C" w:rsidRPr="004C05FA">
        <w:t>s</w:t>
      </w:r>
      <w:r w:rsidR="005F7E0F" w:rsidRPr="004C05FA">
        <w:t xml:space="preserve"> for </w:t>
      </w:r>
      <w:r w:rsidR="001D762B" w:rsidRPr="004C05FA">
        <w:t>green b</w:t>
      </w:r>
      <w:r w:rsidR="005F7E0F" w:rsidRPr="004C05FA">
        <w:t xml:space="preserve">onds separate to the Budget, commencing </w:t>
      </w:r>
      <w:r w:rsidR="00EA2E0F" w:rsidRPr="004C05FA">
        <w:t>no more than 18 months after the first issuance</w:t>
      </w:r>
      <w:r w:rsidR="00EA2E0F" w:rsidRPr="00E91AEB">
        <w:t>.</w:t>
      </w:r>
    </w:p>
    <w:p w14:paraId="00F2A6AB" w14:textId="7FE9223C" w:rsidR="001A4F7E" w:rsidRPr="0098325D" w:rsidRDefault="001A4F7E" w:rsidP="001A4F7E">
      <w:pPr>
        <w:pStyle w:val="Heading2"/>
      </w:pPr>
      <w:bookmarkStart w:id="38" w:name="_Toc117337749"/>
      <w:bookmarkStart w:id="39" w:name="_Toc166355904"/>
      <w:r w:rsidRPr="0098325D">
        <w:t>Non</w:t>
      </w:r>
      <w:r w:rsidR="00B57616">
        <w:noBreakHyphen/>
      </w:r>
      <w:r w:rsidRPr="0098325D">
        <w:t>resident holdings of AGS on issue</w:t>
      </w:r>
      <w:bookmarkEnd w:id="35"/>
      <w:bookmarkEnd w:id="36"/>
      <w:bookmarkEnd w:id="38"/>
      <w:bookmarkEnd w:id="39"/>
    </w:p>
    <w:p w14:paraId="77F0AA5C" w14:textId="5DC07B2A" w:rsidR="001A4F7E" w:rsidRPr="004C05FA" w:rsidRDefault="001A4F7E" w:rsidP="00396838">
      <w:r w:rsidRPr="004C05FA">
        <w:t>As at the</w:t>
      </w:r>
      <w:r w:rsidR="00C36DBC" w:rsidRPr="004C05FA">
        <w:t xml:space="preserve"> </w:t>
      </w:r>
      <w:r w:rsidR="00F15B5A" w:rsidRPr="004C05FA">
        <w:t>December 2023</w:t>
      </w:r>
      <w:r w:rsidRPr="004C05FA">
        <w:t xml:space="preserve"> quarter, the proportion of non</w:t>
      </w:r>
      <w:r w:rsidR="00B57616" w:rsidRPr="004C05FA">
        <w:noBreakHyphen/>
      </w:r>
      <w:r w:rsidRPr="004C05FA">
        <w:t xml:space="preserve">resident holdings of AGS was around </w:t>
      </w:r>
      <w:r w:rsidR="00A16260" w:rsidRPr="004C05FA">
        <w:t>48</w:t>
      </w:r>
      <w:r w:rsidRPr="004C05FA">
        <w:t> per cent (Chart 7.1). This proportion is down from historical highs of around 76 per cent in 2012. While the value of non</w:t>
      </w:r>
      <w:r w:rsidR="00B57616" w:rsidRPr="004C05FA">
        <w:noBreakHyphen/>
      </w:r>
      <w:r w:rsidRPr="004C05FA">
        <w:t>resident holdings of AGS have increased significantly over this time, the proportion has fallen since the rate of buying by non</w:t>
      </w:r>
      <w:r w:rsidR="00B57616" w:rsidRPr="004C05FA">
        <w:noBreakHyphen/>
      </w:r>
      <w:r w:rsidRPr="004C05FA">
        <w:t xml:space="preserve">resident investors has not matched the rate of issuance. </w:t>
      </w:r>
    </w:p>
    <w:p w14:paraId="66C48D1F" w14:textId="3DED902A" w:rsidR="001A4F7E" w:rsidRPr="0098325D" w:rsidRDefault="001A4F7E" w:rsidP="001A4F7E">
      <w:pPr>
        <w:pStyle w:val="ChartHeading"/>
      </w:pPr>
      <w:r w:rsidRPr="004C05FA">
        <w:t>Chart 7.1: Non</w:t>
      </w:r>
      <w:r w:rsidR="00B57616" w:rsidRPr="004C05FA">
        <w:noBreakHyphen/>
      </w:r>
      <w:r w:rsidRPr="004C05FA">
        <w:t>resident holdings of AGS</w:t>
      </w:r>
      <w:r w:rsidR="00877180" w:rsidRPr="004C05FA">
        <w:rPr>
          <w:noProof/>
        </w:rPr>
        <w:t xml:space="preserve"> </w:t>
      </w:r>
    </w:p>
    <w:p w14:paraId="1D66D3D4" w14:textId="2279E9B4" w:rsidR="001A4F7E" w:rsidRPr="0098325D" w:rsidRDefault="00A47846" w:rsidP="008F0CF2">
      <w:pPr>
        <w:pStyle w:val="ChartGraphic"/>
      </w:pPr>
      <w:r>
        <w:pict w14:anchorId="6144A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chart shows the amount of Australian Government Securities held by residents and non-residents. It also shows the proportion held by non-residents. In the December 2023 quarter, this proportion was around 48 per cent. This is down from historical highs of around 76 per cent in 2012." style="width:367pt;height:230.5pt">
            <v:imagedata r:id="rId20" o:title=""/>
          </v:shape>
        </w:pict>
      </w:r>
    </w:p>
    <w:p w14:paraId="0CD91F45" w14:textId="60AE2A86" w:rsidR="001A4F7E" w:rsidRPr="0098325D" w:rsidRDefault="001A4F7E" w:rsidP="00396838">
      <w:pPr>
        <w:pStyle w:val="ChartandTableFootnote"/>
      </w:pPr>
      <w:r w:rsidRPr="0098325D">
        <w:t xml:space="preserve">Note: </w:t>
      </w:r>
      <w:r w:rsidRPr="0098325D">
        <w:tab/>
        <w:t>Data refer to the repo</w:t>
      </w:r>
      <w:r w:rsidR="00B57616">
        <w:noBreakHyphen/>
      </w:r>
      <w:r w:rsidRPr="0098325D">
        <w:t>adjusted market value of holdings.</w:t>
      </w:r>
    </w:p>
    <w:p w14:paraId="009156D6" w14:textId="2791DF8F" w:rsidR="001A4F7E" w:rsidRPr="0098325D" w:rsidRDefault="001A4F7E" w:rsidP="00396838">
      <w:pPr>
        <w:pStyle w:val="ChartandTableFootnote"/>
      </w:pPr>
      <w:r w:rsidRPr="0098325D">
        <w:t>Source:</w:t>
      </w:r>
      <w:r w:rsidRPr="0098325D">
        <w:tab/>
        <w:t xml:space="preserve">ABS Balance of Payments and International Investment Position, Australia </w:t>
      </w:r>
      <w:r w:rsidR="00C37891" w:rsidRPr="002D6A56">
        <w:rPr>
          <w:color w:val="auto"/>
        </w:rPr>
        <w:t>December 2023</w:t>
      </w:r>
      <w:r w:rsidRPr="0098325D">
        <w:t>, AOFM, RBA.</w:t>
      </w:r>
    </w:p>
    <w:p w14:paraId="62BD0F21" w14:textId="77777777" w:rsidR="001A4F7E" w:rsidRPr="0098325D" w:rsidRDefault="001A4F7E" w:rsidP="001A4F7E">
      <w:pPr>
        <w:pStyle w:val="ChartLine"/>
      </w:pPr>
    </w:p>
    <w:p w14:paraId="64203BEC" w14:textId="77777777" w:rsidR="001A4F7E" w:rsidRPr="0098325D" w:rsidRDefault="001A4F7E" w:rsidP="00E40F46">
      <w:pPr>
        <w:pStyle w:val="Heading2"/>
      </w:pPr>
      <w:bookmarkStart w:id="40" w:name="_Toc117337750"/>
      <w:bookmarkStart w:id="41" w:name="_Toc166355905"/>
      <w:r w:rsidRPr="0098325D">
        <w:lastRenderedPageBreak/>
        <w:t>Net debt</w:t>
      </w:r>
      <w:bookmarkEnd w:id="40"/>
      <w:bookmarkEnd w:id="41"/>
    </w:p>
    <w:p w14:paraId="43A7A826" w14:textId="1F87F5CE" w:rsidR="001A4F7E" w:rsidRPr="004C05FA" w:rsidRDefault="001A4F7E" w:rsidP="001A4F7E">
      <w:r w:rsidRPr="004C05FA">
        <w:t>Net debt is equal to the sum of interest</w:t>
      </w:r>
      <w:r w:rsidR="00B57616" w:rsidRPr="004C05FA">
        <w:noBreakHyphen/>
      </w:r>
      <w:r w:rsidRPr="004C05FA">
        <w:t>bearing liabilities (which include AGS on issue measured at market value) less the sum of selected financial assets (cash and deposits, advances paid and investments, loans and placement</w:t>
      </w:r>
      <w:r w:rsidR="004D4DD6" w:rsidRPr="004C05FA">
        <w:t>s</w:t>
      </w:r>
      <w:r w:rsidRPr="004C05FA">
        <w:t>). As net debt incorporates both selected financial assets and liabilities at their fair value, it provides a broader measure of the Government</w:t>
      </w:r>
      <w:r w:rsidR="00B57616" w:rsidRPr="004C05FA">
        <w:t>’</w:t>
      </w:r>
      <w:r w:rsidRPr="004C05FA">
        <w:t>s financial obligations than gross debt.</w:t>
      </w:r>
    </w:p>
    <w:p w14:paraId="11EA845D" w14:textId="1A252EFA" w:rsidR="001A4F7E" w:rsidRPr="00DA4572" w:rsidRDefault="001A4F7E" w:rsidP="001A4F7E">
      <w:r w:rsidRPr="004C05FA">
        <w:t>Not all government assets or liabilities are included in the measurement of net debt. For</w:t>
      </w:r>
      <w:r w:rsidR="00DA0F78" w:rsidRPr="004C05FA">
        <w:t xml:space="preserve"> </w:t>
      </w:r>
      <w:r w:rsidRPr="004C05FA">
        <w:t>example, the Government</w:t>
      </w:r>
      <w:r w:rsidR="00B57616" w:rsidRPr="004C05FA">
        <w:t>’</w:t>
      </w:r>
      <w:r w:rsidRPr="004C05FA">
        <w:t>s unfunded superannuation liability is not accounted for in net debt, nor are holdings of equities, for example those held by the Future Fund or the Government</w:t>
      </w:r>
      <w:r w:rsidR="00B57616" w:rsidRPr="004C05FA">
        <w:t>’</w:t>
      </w:r>
      <w:r w:rsidRPr="004C05FA">
        <w:t>s equity investment in the NBN</w:t>
      </w:r>
      <w:r w:rsidRPr="00DA4572">
        <w:t xml:space="preserve">. </w:t>
      </w:r>
    </w:p>
    <w:p w14:paraId="17A61DC2" w14:textId="5C49B462" w:rsidR="00E75910" w:rsidRDefault="001A4F7E" w:rsidP="00E75910">
      <w:pPr>
        <w:pStyle w:val="ChartHeading"/>
        <w:rPr>
          <w:rFonts w:asciiTheme="minorHAnsi" w:eastAsiaTheme="minorHAnsi" w:hAnsiTheme="minorHAnsi" w:cstheme="minorBidi"/>
          <w:sz w:val="22"/>
          <w:szCs w:val="22"/>
          <w:lang w:eastAsia="en-US"/>
        </w:rPr>
      </w:pPr>
      <w:r w:rsidRPr="004C05FA">
        <w:t>Table 7.7: Liabilities and assets included in net debt</w:t>
      </w:r>
    </w:p>
    <w:tbl>
      <w:tblPr>
        <w:tblW w:w="5000" w:type="pct"/>
        <w:tblCellMar>
          <w:left w:w="0" w:type="dxa"/>
          <w:right w:w="28" w:type="dxa"/>
        </w:tblCellMar>
        <w:tblLook w:val="04A0" w:firstRow="1" w:lastRow="0" w:firstColumn="1" w:lastColumn="0" w:noHBand="0" w:noVBand="1"/>
      </w:tblPr>
      <w:tblGrid>
        <w:gridCol w:w="3111"/>
        <w:gridCol w:w="807"/>
        <w:gridCol w:w="948"/>
        <w:gridCol w:w="475"/>
        <w:gridCol w:w="473"/>
        <w:gridCol w:w="948"/>
        <w:gridCol w:w="948"/>
      </w:tblGrid>
      <w:tr w:rsidR="00E75910" w:rsidRPr="00E75910" w14:paraId="103FC8B5" w14:textId="77777777" w:rsidTr="008B77C1">
        <w:trPr>
          <w:divId w:val="132724921"/>
          <w:trHeight w:hRule="exact" w:val="225"/>
        </w:trPr>
        <w:tc>
          <w:tcPr>
            <w:tcW w:w="2017" w:type="pct"/>
            <w:tcBorders>
              <w:top w:val="single" w:sz="4" w:space="0" w:color="293F5B"/>
              <w:left w:val="nil"/>
              <w:bottom w:val="nil"/>
              <w:right w:val="nil"/>
            </w:tcBorders>
            <w:shd w:val="clear" w:color="auto" w:fill="auto"/>
            <w:noWrap/>
            <w:vAlign w:val="center"/>
            <w:hideMark/>
          </w:tcPr>
          <w:p w14:paraId="295C1824" w14:textId="50F30F7D" w:rsidR="00E75910" w:rsidRPr="00E75910" w:rsidRDefault="00E75910" w:rsidP="00E75910">
            <w:pPr>
              <w:spacing w:before="0" w:after="0" w:line="240" w:lineRule="auto"/>
              <w:rPr>
                <w:rFonts w:ascii="Arial" w:hAnsi="Arial" w:cs="Arial"/>
                <w:sz w:val="16"/>
                <w:szCs w:val="16"/>
              </w:rPr>
            </w:pPr>
            <w:r w:rsidRPr="00E75910">
              <w:rPr>
                <w:rFonts w:ascii="Arial" w:hAnsi="Arial" w:cs="Arial"/>
                <w:sz w:val="16"/>
                <w:szCs w:val="16"/>
              </w:rPr>
              <w:t> </w:t>
            </w:r>
          </w:p>
        </w:tc>
        <w:tc>
          <w:tcPr>
            <w:tcW w:w="1446" w:type="pct"/>
            <w:gridSpan w:val="3"/>
            <w:tcBorders>
              <w:top w:val="single" w:sz="4" w:space="0" w:color="293F5B"/>
              <w:left w:val="nil"/>
              <w:bottom w:val="nil"/>
              <w:right w:val="nil"/>
            </w:tcBorders>
            <w:shd w:val="clear" w:color="auto" w:fill="auto"/>
            <w:noWrap/>
            <w:vAlign w:val="center"/>
            <w:hideMark/>
          </w:tcPr>
          <w:p w14:paraId="4D16E383" w14:textId="77777777" w:rsidR="00E75910" w:rsidRPr="00E75910" w:rsidRDefault="00E75910" w:rsidP="00E75910">
            <w:pPr>
              <w:spacing w:before="0" w:after="0" w:line="240" w:lineRule="auto"/>
              <w:jc w:val="center"/>
              <w:rPr>
                <w:rFonts w:ascii="Arial" w:hAnsi="Arial" w:cs="Arial"/>
                <w:sz w:val="16"/>
                <w:szCs w:val="16"/>
              </w:rPr>
            </w:pPr>
            <w:r w:rsidRPr="00E75910">
              <w:rPr>
                <w:rFonts w:ascii="Arial" w:hAnsi="Arial" w:cs="Arial"/>
                <w:sz w:val="16"/>
                <w:szCs w:val="16"/>
              </w:rPr>
              <w:t> </w:t>
            </w:r>
          </w:p>
        </w:tc>
        <w:tc>
          <w:tcPr>
            <w:tcW w:w="1538" w:type="pct"/>
            <w:gridSpan w:val="3"/>
            <w:tcBorders>
              <w:top w:val="single" w:sz="4" w:space="0" w:color="293F5B"/>
              <w:left w:val="nil"/>
              <w:bottom w:val="nil"/>
              <w:right w:val="nil"/>
            </w:tcBorders>
            <w:shd w:val="clear" w:color="auto" w:fill="auto"/>
            <w:noWrap/>
            <w:vAlign w:val="center"/>
            <w:hideMark/>
          </w:tcPr>
          <w:p w14:paraId="0222E88B" w14:textId="77777777" w:rsidR="00E75910" w:rsidRPr="00E75910" w:rsidRDefault="00E75910" w:rsidP="00844064">
            <w:pPr>
              <w:spacing w:before="0" w:after="0" w:line="240" w:lineRule="auto"/>
              <w:rPr>
                <w:rFonts w:ascii="Arial" w:hAnsi="Arial" w:cs="Arial"/>
                <w:sz w:val="16"/>
                <w:szCs w:val="16"/>
              </w:rPr>
            </w:pPr>
            <w:r w:rsidRPr="00E75910">
              <w:rPr>
                <w:rFonts w:ascii="Arial" w:hAnsi="Arial" w:cs="Arial"/>
                <w:sz w:val="16"/>
                <w:szCs w:val="16"/>
              </w:rPr>
              <w:t>Estimates</w:t>
            </w:r>
          </w:p>
        </w:tc>
      </w:tr>
      <w:tr w:rsidR="00E75910" w:rsidRPr="00E75910" w14:paraId="2978F224" w14:textId="77777777" w:rsidTr="008B77C1">
        <w:trPr>
          <w:divId w:val="132724921"/>
          <w:trHeight w:hRule="exact" w:val="225"/>
        </w:trPr>
        <w:tc>
          <w:tcPr>
            <w:tcW w:w="2017" w:type="pct"/>
            <w:tcBorders>
              <w:top w:val="nil"/>
              <w:left w:val="nil"/>
              <w:bottom w:val="nil"/>
              <w:right w:val="nil"/>
            </w:tcBorders>
            <w:shd w:val="clear" w:color="auto" w:fill="auto"/>
            <w:noWrap/>
            <w:vAlign w:val="center"/>
            <w:hideMark/>
          </w:tcPr>
          <w:p w14:paraId="7A0381AC" w14:textId="77777777" w:rsidR="00E75910" w:rsidRPr="00E75910" w:rsidRDefault="00E75910" w:rsidP="00E75910">
            <w:pPr>
              <w:spacing w:before="0" w:after="0" w:line="240" w:lineRule="auto"/>
              <w:jc w:val="center"/>
              <w:rPr>
                <w:rFonts w:ascii="Arial" w:hAnsi="Arial" w:cs="Arial"/>
                <w:sz w:val="16"/>
                <w:szCs w:val="16"/>
              </w:rPr>
            </w:pPr>
          </w:p>
        </w:tc>
        <w:tc>
          <w:tcPr>
            <w:tcW w:w="523" w:type="pct"/>
            <w:tcBorders>
              <w:top w:val="single" w:sz="4" w:space="0" w:color="293F5B"/>
              <w:left w:val="nil"/>
              <w:bottom w:val="nil"/>
              <w:right w:val="nil"/>
            </w:tcBorders>
            <w:shd w:val="clear" w:color="auto" w:fill="auto"/>
            <w:noWrap/>
            <w:vAlign w:val="center"/>
            <w:hideMark/>
          </w:tcPr>
          <w:p w14:paraId="7392A3FC" w14:textId="6630D975"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2023</w:t>
            </w:r>
            <w:r w:rsidR="00B57616">
              <w:rPr>
                <w:rFonts w:ascii="Arial" w:hAnsi="Arial" w:cs="Arial"/>
                <w:sz w:val="16"/>
                <w:szCs w:val="16"/>
              </w:rPr>
              <w:noBreakHyphen/>
            </w:r>
            <w:r w:rsidRPr="00E75910">
              <w:rPr>
                <w:rFonts w:ascii="Arial" w:hAnsi="Arial" w:cs="Arial"/>
                <w:sz w:val="16"/>
                <w:szCs w:val="16"/>
              </w:rPr>
              <w:t>24</w:t>
            </w:r>
          </w:p>
        </w:tc>
        <w:tc>
          <w:tcPr>
            <w:tcW w:w="615" w:type="pct"/>
            <w:tcBorders>
              <w:top w:val="single" w:sz="4" w:space="0" w:color="293F5B"/>
              <w:left w:val="nil"/>
              <w:bottom w:val="nil"/>
              <w:right w:val="nil"/>
            </w:tcBorders>
            <w:shd w:val="clear" w:color="000000" w:fill="E6F2FF"/>
            <w:noWrap/>
            <w:vAlign w:val="center"/>
            <w:hideMark/>
          </w:tcPr>
          <w:p w14:paraId="5BA9E82A" w14:textId="3080401E"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2024</w:t>
            </w:r>
            <w:r w:rsidR="00B57616">
              <w:rPr>
                <w:rFonts w:ascii="Arial" w:hAnsi="Arial" w:cs="Arial"/>
                <w:sz w:val="16"/>
                <w:szCs w:val="16"/>
              </w:rPr>
              <w:noBreakHyphen/>
            </w:r>
            <w:r w:rsidRPr="00E75910">
              <w:rPr>
                <w:rFonts w:ascii="Arial" w:hAnsi="Arial" w:cs="Arial"/>
                <w:sz w:val="16"/>
                <w:szCs w:val="16"/>
              </w:rPr>
              <w:t>25</w:t>
            </w:r>
          </w:p>
        </w:tc>
        <w:tc>
          <w:tcPr>
            <w:tcW w:w="615" w:type="pct"/>
            <w:gridSpan w:val="2"/>
            <w:tcBorders>
              <w:top w:val="single" w:sz="4" w:space="0" w:color="293F5B"/>
              <w:left w:val="nil"/>
              <w:bottom w:val="nil"/>
              <w:right w:val="nil"/>
            </w:tcBorders>
            <w:shd w:val="clear" w:color="auto" w:fill="auto"/>
            <w:noWrap/>
            <w:vAlign w:val="center"/>
            <w:hideMark/>
          </w:tcPr>
          <w:p w14:paraId="203C8992" w14:textId="05DA6EF5"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2025</w:t>
            </w:r>
            <w:r w:rsidR="00B57616">
              <w:rPr>
                <w:rFonts w:ascii="Arial" w:hAnsi="Arial" w:cs="Arial"/>
                <w:sz w:val="16"/>
                <w:szCs w:val="16"/>
              </w:rPr>
              <w:noBreakHyphen/>
            </w:r>
            <w:r w:rsidRPr="00E75910">
              <w:rPr>
                <w:rFonts w:ascii="Arial" w:hAnsi="Arial" w:cs="Arial"/>
                <w:sz w:val="16"/>
                <w:szCs w:val="16"/>
              </w:rPr>
              <w:t>26</w:t>
            </w:r>
          </w:p>
        </w:tc>
        <w:tc>
          <w:tcPr>
            <w:tcW w:w="615" w:type="pct"/>
            <w:tcBorders>
              <w:top w:val="single" w:sz="4" w:space="0" w:color="293F5B"/>
              <w:left w:val="nil"/>
              <w:bottom w:val="nil"/>
              <w:right w:val="nil"/>
            </w:tcBorders>
            <w:shd w:val="clear" w:color="auto" w:fill="auto"/>
            <w:noWrap/>
            <w:vAlign w:val="center"/>
            <w:hideMark/>
          </w:tcPr>
          <w:p w14:paraId="4D76789C" w14:textId="4225C218"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2026</w:t>
            </w:r>
            <w:r w:rsidR="00B57616">
              <w:rPr>
                <w:rFonts w:ascii="Arial" w:hAnsi="Arial" w:cs="Arial"/>
                <w:sz w:val="16"/>
                <w:szCs w:val="16"/>
              </w:rPr>
              <w:noBreakHyphen/>
            </w:r>
            <w:r w:rsidRPr="00E75910">
              <w:rPr>
                <w:rFonts w:ascii="Arial" w:hAnsi="Arial" w:cs="Arial"/>
                <w:sz w:val="16"/>
                <w:szCs w:val="16"/>
              </w:rPr>
              <w:t>27</w:t>
            </w:r>
          </w:p>
        </w:tc>
        <w:tc>
          <w:tcPr>
            <w:tcW w:w="616" w:type="pct"/>
            <w:tcBorders>
              <w:top w:val="single" w:sz="4" w:space="0" w:color="293F5B"/>
              <w:left w:val="nil"/>
              <w:bottom w:val="nil"/>
              <w:right w:val="nil"/>
            </w:tcBorders>
            <w:shd w:val="clear" w:color="auto" w:fill="auto"/>
            <w:noWrap/>
            <w:vAlign w:val="center"/>
            <w:hideMark/>
          </w:tcPr>
          <w:p w14:paraId="54FDD8F4" w14:textId="6E0C8573"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2027</w:t>
            </w:r>
            <w:r w:rsidR="00B57616">
              <w:rPr>
                <w:rFonts w:ascii="Arial" w:hAnsi="Arial" w:cs="Arial"/>
                <w:sz w:val="16"/>
                <w:szCs w:val="16"/>
              </w:rPr>
              <w:noBreakHyphen/>
            </w:r>
            <w:r w:rsidRPr="00E75910">
              <w:rPr>
                <w:rFonts w:ascii="Arial" w:hAnsi="Arial" w:cs="Arial"/>
                <w:sz w:val="16"/>
                <w:szCs w:val="16"/>
              </w:rPr>
              <w:t>28</w:t>
            </w:r>
          </w:p>
        </w:tc>
      </w:tr>
      <w:tr w:rsidR="00E75910" w:rsidRPr="00E75910" w14:paraId="470AE36D" w14:textId="77777777" w:rsidTr="008B77C1">
        <w:trPr>
          <w:divId w:val="132724921"/>
          <w:trHeight w:hRule="exact" w:val="225"/>
        </w:trPr>
        <w:tc>
          <w:tcPr>
            <w:tcW w:w="2017" w:type="pct"/>
            <w:tcBorders>
              <w:top w:val="nil"/>
              <w:left w:val="nil"/>
              <w:bottom w:val="nil"/>
              <w:right w:val="nil"/>
            </w:tcBorders>
            <w:shd w:val="clear" w:color="auto" w:fill="auto"/>
            <w:noWrap/>
            <w:vAlign w:val="center"/>
            <w:hideMark/>
          </w:tcPr>
          <w:p w14:paraId="1FEE1F54" w14:textId="77777777" w:rsidR="00E75910" w:rsidRPr="00E75910" w:rsidRDefault="00E75910" w:rsidP="00E75910">
            <w:pPr>
              <w:spacing w:before="0" w:after="0" w:line="240" w:lineRule="auto"/>
              <w:jc w:val="right"/>
              <w:rPr>
                <w:rFonts w:ascii="Arial" w:hAnsi="Arial" w:cs="Arial"/>
                <w:sz w:val="16"/>
                <w:szCs w:val="16"/>
              </w:rPr>
            </w:pPr>
          </w:p>
        </w:tc>
        <w:tc>
          <w:tcPr>
            <w:tcW w:w="523" w:type="pct"/>
            <w:tcBorders>
              <w:top w:val="nil"/>
              <w:left w:val="nil"/>
              <w:bottom w:val="single" w:sz="4" w:space="0" w:color="293F5B"/>
              <w:right w:val="nil"/>
            </w:tcBorders>
            <w:shd w:val="clear" w:color="auto" w:fill="auto"/>
            <w:noWrap/>
            <w:vAlign w:val="center"/>
            <w:hideMark/>
          </w:tcPr>
          <w:p w14:paraId="0D34A19A"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$m</w:t>
            </w:r>
          </w:p>
        </w:tc>
        <w:tc>
          <w:tcPr>
            <w:tcW w:w="615" w:type="pct"/>
            <w:tcBorders>
              <w:top w:val="nil"/>
              <w:left w:val="nil"/>
              <w:bottom w:val="single" w:sz="4" w:space="0" w:color="293F5B"/>
              <w:right w:val="nil"/>
            </w:tcBorders>
            <w:shd w:val="clear" w:color="000000" w:fill="E6F2FF"/>
            <w:noWrap/>
            <w:vAlign w:val="center"/>
            <w:hideMark/>
          </w:tcPr>
          <w:p w14:paraId="37283A62" w14:textId="77777777" w:rsidR="00E75910" w:rsidRPr="00E75910" w:rsidRDefault="00E75910" w:rsidP="00E75910">
            <w:pPr>
              <w:spacing w:before="0" w:after="0" w:line="240" w:lineRule="auto"/>
              <w:jc w:val="right"/>
              <w:rPr>
                <w:rFonts w:ascii="Arial" w:hAnsi="Arial" w:cs="Arial"/>
                <w:color w:val="000000"/>
                <w:sz w:val="16"/>
                <w:szCs w:val="16"/>
              </w:rPr>
            </w:pPr>
            <w:r w:rsidRPr="00E75910">
              <w:rPr>
                <w:rFonts w:ascii="Arial" w:hAnsi="Arial" w:cs="Arial"/>
                <w:color w:val="000000"/>
                <w:sz w:val="16"/>
                <w:szCs w:val="16"/>
              </w:rPr>
              <w:t>$m</w:t>
            </w:r>
          </w:p>
        </w:tc>
        <w:tc>
          <w:tcPr>
            <w:tcW w:w="615" w:type="pct"/>
            <w:gridSpan w:val="2"/>
            <w:tcBorders>
              <w:top w:val="nil"/>
              <w:left w:val="nil"/>
              <w:bottom w:val="single" w:sz="4" w:space="0" w:color="293F5B"/>
              <w:right w:val="nil"/>
            </w:tcBorders>
            <w:shd w:val="clear" w:color="auto" w:fill="auto"/>
            <w:noWrap/>
            <w:vAlign w:val="center"/>
            <w:hideMark/>
          </w:tcPr>
          <w:p w14:paraId="1D54863D"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$m</w:t>
            </w:r>
          </w:p>
        </w:tc>
        <w:tc>
          <w:tcPr>
            <w:tcW w:w="615" w:type="pct"/>
            <w:tcBorders>
              <w:top w:val="nil"/>
              <w:left w:val="nil"/>
              <w:bottom w:val="single" w:sz="4" w:space="0" w:color="293F5B"/>
              <w:right w:val="nil"/>
            </w:tcBorders>
            <w:shd w:val="clear" w:color="auto" w:fill="auto"/>
            <w:noWrap/>
            <w:vAlign w:val="center"/>
            <w:hideMark/>
          </w:tcPr>
          <w:p w14:paraId="4EAE9452"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$m</w:t>
            </w:r>
          </w:p>
        </w:tc>
        <w:tc>
          <w:tcPr>
            <w:tcW w:w="616" w:type="pct"/>
            <w:tcBorders>
              <w:top w:val="nil"/>
              <w:left w:val="nil"/>
              <w:bottom w:val="single" w:sz="4" w:space="0" w:color="293F5B"/>
              <w:right w:val="nil"/>
            </w:tcBorders>
            <w:shd w:val="clear" w:color="auto" w:fill="auto"/>
            <w:noWrap/>
            <w:vAlign w:val="center"/>
            <w:hideMark/>
          </w:tcPr>
          <w:p w14:paraId="1A7CF68B"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$m</w:t>
            </w:r>
          </w:p>
        </w:tc>
      </w:tr>
      <w:tr w:rsidR="00E75910" w:rsidRPr="00E75910" w14:paraId="76D08AD9" w14:textId="77777777" w:rsidTr="008B77C1">
        <w:trPr>
          <w:divId w:val="132724921"/>
          <w:trHeight w:hRule="exact" w:val="225"/>
        </w:trPr>
        <w:tc>
          <w:tcPr>
            <w:tcW w:w="2017" w:type="pct"/>
            <w:tcBorders>
              <w:top w:val="nil"/>
              <w:left w:val="nil"/>
              <w:bottom w:val="nil"/>
              <w:right w:val="nil"/>
            </w:tcBorders>
            <w:shd w:val="clear" w:color="auto" w:fill="auto"/>
            <w:noWrap/>
            <w:vAlign w:val="center"/>
            <w:hideMark/>
          </w:tcPr>
          <w:p w14:paraId="07C39788" w14:textId="77777777" w:rsidR="00E75910" w:rsidRPr="00E75910" w:rsidRDefault="00E75910" w:rsidP="00E75910">
            <w:pPr>
              <w:spacing w:before="0" w:after="0" w:line="240" w:lineRule="auto"/>
              <w:rPr>
                <w:rFonts w:ascii="Arial" w:hAnsi="Arial" w:cs="Arial"/>
                <w:b/>
                <w:bCs/>
                <w:sz w:val="16"/>
                <w:szCs w:val="16"/>
              </w:rPr>
            </w:pPr>
            <w:r w:rsidRPr="00E75910">
              <w:rPr>
                <w:rFonts w:ascii="Arial" w:hAnsi="Arial" w:cs="Arial"/>
                <w:b/>
                <w:bCs/>
                <w:sz w:val="16"/>
                <w:szCs w:val="16"/>
              </w:rPr>
              <w:t>Liabilities included in net debt</w:t>
            </w:r>
          </w:p>
        </w:tc>
        <w:tc>
          <w:tcPr>
            <w:tcW w:w="523" w:type="pct"/>
            <w:tcBorders>
              <w:top w:val="nil"/>
              <w:left w:val="nil"/>
              <w:bottom w:val="nil"/>
              <w:right w:val="nil"/>
            </w:tcBorders>
            <w:shd w:val="clear" w:color="auto" w:fill="auto"/>
            <w:noWrap/>
            <w:vAlign w:val="center"/>
            <w:hideMark/>
          </w:tcPr>
          <w:p w14:paraId="7598E218" w14:textId="77777777" w:rsidR="00E75910" w:rsidRPr="00E75910" w:rsidRDefault="00E75910" w:rsidP="00E75910">
            <w:pPr>
              <w:spacing w:before="0" w:after="0" w:line="240" w:lineRule="auto"/>
              <w:rPr>
                <w:rFonts w:ascii="Arial" w:hAnsi="Arial" w:cs="Arial"/>
                <w:b/>
                <w:bCs/>
                <w:sz w:val="16"/>
                <w:szCs w:val="16"/>
              </w:rPr>
            </w:pPr>
          </w:p>
        </w:tc>
        <w:tc>
          <w:tcPr>
            <w:tcW w:w="615" w:type="pct"/>
            <w:tcBorders>
              <w:top w:val="nil"/>
              <w:left w:val="nil"/>
              <w:bottom w:val="nil"/>
              <w:right w:val="nil"/>
            </w:tcBorders>
            <w:shd w:val="clear" w:color="000000" w:fill="E6F2FF"/>
            <w:noWrap/>
            <w:vAlign w:val="center"/>
            <w:hideMark/>
          </w:tcPr>
          <w:p w14:paraId="05269A93" w14:textId="77777777" w:rsidR="00E75910" w:rsidRPr="00E75910" w:rsidRDefault="00E75910" w:rsidP="00E75910">
            <w:pPr>
              <w:spacing w:before="0" w:after="0" w:line="240" w:lineRule="auto"/>
              <w:rPr>
                <w:rFonts w:ascii="Arial" w:hAnsi="Arial" w:cs="Arial"/>
                <w:color w:val="000000"/>
                <w:sz w:val="16"/>
                <w:szCs w:val="16"/>
              </w:rPr>
            </w:pPr>
            <w:r w:rsidRPr="00E75910">
              <w:rPr>
                <w:rFonts w:ascii="Arial" w:hAnsi="Arial" w:cs="Arial"/>
                <w:color w:val="000000"/>
                <w:sz w:val="16"/>
                <w:szCs w:val="16"/>
              </w:rPr>
              <w:t> </w:t>
            </w:r>
          </w:p>
        </w:tc>
        <w:tc>
          <w:tcPr>
            <w:tcW w:w="615" w:type="pct"/>
            <w:gridSpan w:val="2"/>
            <w:tcBorders>
              <w:top w:val="nil"/>
              <w:left w:val="nil"/>
              <w:bottom w:val="nil"/>
              <w:right w:val="nil"/>
            </w:tcBorders>
            <w:shd w:val="clear" w:color="auto" w:fill="auto"/>
            <w:noWrap/>
            <w:vAlign w:val="center"/>
            <w:hideMark/>
          </w:tcPr>
          <w:p w14:paraId="3504A397" w14:textId="77777777" w:rsidR="00E75910" w:rsidRPr="00E75910" w:rsidRDefault="00E75910" w:rsidP="00E75910">
            <w:pPr>
              <w:spacing w:before="0" w:after="0" w:line="240" w:lineRule="auto"/>
              <w:rPr>
                <w:rFonts w:ascii="Arial" w:hAnsi="Arial" w:cs="Arial"/>
                <w:color w:val="000000"/>
                <w:sz w:val="16"/>
                <w:szCs w:val="16"/>
              </w:rPr>
            </w:pPr>
          </w:p>
        </w:tc>
        <w:tc>
          <w:tcPr>
            <w:tcW w:w="615" w:type="pct"/>
            <w:tcBorders>
              <w:top w:val="nil"/>
              <w:left w:val="nil"/>
              <w:bottom w:val="nil"/>
              <w:right w:val="nil"/>
            </w:tcBorders>
            <w:shd w:val="clear" w:color="auto" w:fill="auto"/>
            <w:noWrap/>
            <w:vAlign w:val="center"/>
            <w:hideMark/>
          </w:tcPr>
          <w:p w14:paraId="0E049573" w14:textId="77777777" w:rsidR="00E75910" w:rsidRPr="00E75910" w:rsidRDefault="00E75910" w:rsidP="00E75910">
            <w:pPr>
              <w:spacing w:before="0" w:after="0" w:line="240" w:lineRule="auto"/>
              <w:rPr>
                <w:rFonts w:ascii="Times New Roman" w:hAnsi="Times New Roman"/>
                <w:sz w:val="20"/>
              </w:rPr>
            </w:pPr>
          </w:p>
        </w:tc>
        <w:tc>
          <w:tcPr>
            <w:tcW w:w="616" w:type="pct"/>
            <w:tcBorders>
              <w:top w:val="nil"/>
              <w:left w:val="nil"/>
              <w:bottom w:val="nil"/>
              <w:right w:val="nil"/>
            </w:tcBorders>
            <w:shd w:val="clear" w:color="auto" w:fill="auto"/>
            <w:noWrap/>
            <w:vAlign w:val="center"/>
            <w:hideMark/>
          </w:tcPr>
          <w:p w14:paraId="60E61C17" w14:textId="77777777" w:rsidR="00E75910" w:rsidRPr="00E75910" w:rsidRDefault="00E75910" w:rsidP="00E75910">
            <w:pPr>
              <w:spacing w:before="0" w:after="0" w:line="240" w:lineRule="auto"/>
              <w:rPr>
                <w:rFonts w:ascii="Times New Roman" w:hAnsi="Times New Roman"/>
                <w:sz w:val="20"/>
              </w:rPr>
            </w:pPr>
          </w:p>
        </w:tc>
      </w:tr>
      <w:tr w:rsidR="00E75910" w:rsidRPr="00E75910" w14:paraId="5A5F8CAC" w14:textId="77777777" w:rsidTr="008B77C1">
        <w:trPr>
          <w:divId w:val="132724921"/>
          <w:trHeight w:hRule="exact" w:val="225"/>
        </w:trPr>
        <w:tc>
          <w:tcPr>
            <w:tcW w:w="2017" w:type="pct"/>
            <w:tcBorders>
              <w:top w:val="nil"/>
              <w:left w:val="nil"/>
              <w:bottom w:val="nil"/>
              <w:right w:val="nil"/>
            </w:tcBorders>
            <w:shd w:val="clear" w:color="auto" w:fill="auto"/>
            <w:noWrap/>
            <w:vAlign w:val="center"/>
            <w:hideMark/>
          </w:tcPr>
          <w:p w14:paraId="396BA7A2" w14:textId="77777777" w:rsidR="00E75910" w:rsidRPr="00E75910" w:rsidRDefault="00E75910" w:rsidP="008B77C1">
            <w:pPr>
              <w:spacing w:before="0" w:after="0" w:line="240" w:lineRule="auto"/>
              <w:ind w:left="170"/>
              <w:rPr>
                <w:rFonts w:ascii="Arial" w:hAnsi="Arial" w:cs="Arial"/>
                <w:sz w:val="16"/>
                <w:szCs w:val="16"/>
              </w:rPr>
            </w:pPr>
            <w:r w:rsidRPr="00E75910">
              <w:rPr>
                <w:rFonts w:ascii="Arial" w:hAnsi="Arial" w:cs="Arial"/>
                <w:sz w:val="16"/>
                <w:szCs w:val="16"/>
              </w:rPr>
              <w:t>Deposits held</w:t>
            </w:r>
          </w:p>
        </w:tc>
        <w:tc>
          <w:tcPr>
            <w:tcW w:w="523" w:type="pct"/>
            <w:tcBorders>
              <w:top w:val="nil"/>
              <w:left w:val="nil"/>
              <w:bottom w:val="nil"/>
              <w:right w:val="nil"/>
            </w:tcBorders>
            <w:shd w:val="clear" w:color="auto" w:fill="auto"/>
            <w:noWrap/>
            <w:vAlign w:val="center"/>
            <w:hideMark/>
          </w:tcPr>
          <w:p w14:paraId="720AD4FB"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415</w:t>
            </w:r>
          </w:p>
        </w:tc>
        <w:tc>
          <w:tcPr>
            <w:tcW w:w="615" w:type="pct"/>
            <w:tcBorders>
              <w:top w:val="nil"/>
              <w:left w:val="nil"/>
              <w:bottom w:val="nil"/>
              <w:right w:val="nil"/>
            </w:tcBorders>
            <w:shd w:val="clear" w:color="000000" w:fill="E6F2FF"/>
            <w:noWrap/>
            <w:vAlign w:val="center"/>
            <w:hideMark/>
          </w:tcPr>
          <w:p w14:paraId="249986F0" w14:textId="77777777" w:rsidR="00E75910" w:rsidRPr="00E75910" w:rsidRDefault="00E75910" w:rsidP="00E75910">
            <w:pPr>
              <w:spacing w:before="0" w:after="0" w:line="240" w:lineRule="auto"/>
              <w:jc w:val="right"/>
              <w:rPr>
                <w:rFonts w:ascii="Arial" w:hAnsi="Arial" w:cs="Arial"/>
                <w:color w:val="000000"/>
                <w:sz w:val="16"/>
                <w:szCs w:val="16"/>
              </w:rPr>
            </w:pPr>
            <w:r w:rsidRPr="00E75910">
              <w:rPr>
                <w:rFonts w:ascii="Arial" w:hAnsi="Arial" w:cs="Arial"/>
                <w:color w:val="000000"/>
                <w:sz w:val="16"/>
                <w:szCs w:val="16"/>
              </w:rPr>
              <w:t>415</w:t>
            </w:r>
          </w:p>
        </w:tc>
        <w:tc>
          <w:tcPr>
            <w:tcW w:w="615" w:type="pct"/>
            <w:gridSpan w:val="2"/>
            <w:tcBorders>
              <w:top w:val="nil"/>
              <w:left w:val="nil"/>
              <w:bottom w:val="nil"/>
              <w:right w:val="nil"/>
            </w:tcBorders>
            <w:shd w:val="clear" w:color="auto" w:fill="auto"/>
            <w:noWrap/>
            <w:vAlign w:val="center"/>
            <w:hideMark/>
          </w:tcPr>
          <w:p w14:paraId="30DA7271"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415</w:t>
            </w:r>
          </w:p>
        </w:tc>
        <w:tc>
          <w:tcPr>
            <w:tcW w:w="615" w:type="pct"/>
            <w:tcBorders>
              <w:top w:val="nil"/>
              <w:left w:val="nil"/>
              <w:bottom w:val="nil"/>
              <w:right w:val="nil"/>
            </w:tcBorders>
            <w:shd w:val="clear" w:color="auto" w:fill="auto"/>
            <w:noWrap/>
            <w:vAlign w:val="center"/>
            <w:hideMark/>
          </w:tcPr>
          <w:p w14:paraId="476516F1"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415</w:t>
            </w:r>
          </w:p>
        </w:tc>
        <w:tc>
          <w:tcPr>
            <w:tcW w:w="616" w:type="pct"/>
            <w:tcBorders>
              <w:top w:val="nil"/>
              <w:left w:val="nil"/>
              <w:bottom w:val="nil"/>
              <w:right w:val="nil"/>
            </w:tcBorders>
            <w:shd w:val="clear" w:color="auto" w:fill="auto"/>
            <w:noWrap/>
            <w:vAlign w:val="center"/>
            <w:hideMark/>
          </w:tcPr>
          <w:p w14:paraId="0C2DF6BE"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415</w:t>
            </w:r>
          </w:p>
        </w:tc>
      </w:tr>
      <w:tr w:rsidR="00E75910" w:rsidRPr="00E75910" w14:paraId="004AA0AE" w14:textId="77777777" w:rsidTr="008B77C1">
        <w:trPr>
          <w:divId w:val="132724921"/>
          <w:trHeight w:hRule="exact" w:val="225"/>
        </w:trPr>
        <w:tc>
          <w:tcPr>
            <w:tcW w:w="2017" w:type="pct"/>
            <w:tcBorders>
              <w:top w:val="nil"/>
              <w:left w:val="nil"/>
              <w:bottom w:val="nil"/>
              <w:right w:val="nil"/>
            </w:tcBorders>
            <w:shd w:val="clear" w:color="auto" w:fill="auto"/>
            <w:noWrap/>
            <w:vAlign w:val="center"/>
            <w:hideMark/>
          </w:tcPr>
          <w:p w14:paraId="1EA47E6C" w14:textId="77777777" w:rsidR="00E75910" w:rsidRPr="00E75910" w:rsidRDefault="00E75910" w:rsidP="008B77C1">
            <w:pPr>
              <w:spacing w:before="0" w:after="0" w:line="240" w:lineRule="auto"/>
              <w:ind w:left="170"/>
              <w:rPr>
                <w:rFonts w:ascii="Arial" w:hAnsi="Arial" w:cs="Arial"/>
                <w:sz w:val="16"/>
                <w:szCs w:val="16"/>
              </w:rPr>
            </w:pPr>
            <w:r w:rsidRPr="00E75910">
              <w:rPr>
                <w:rFonts w:ascii="Arial" w:hAnsi="Arial" w:cs="Arial"/>
                <w:sz w:val="16"/>
                <w:szCs w:val="16"/>
              </w:rPr>
              <w:t>Government securities(a)</w:t>
            </w:r>
          </w:p>
        </w:tc>
        <w:tc>
          <w:tcPr>
            <w:tcW w:w="523" w:type="pct"/>
            <w:tcBorders>
              <w:top w:val="nil"/>
              <w:left w:val="nil"/>
              <w:bottom w:val="nil"/>
              <w:right w:val="nil"/>
            </w:tcBorders>
            <w:shd w:val="clear" w:color="auto" w:fill="auto"/>
            <w:noWrap/>
            <w:vAlign w:val="center"/>
            <w:hideMark/>
          </w:tcPr>
          <w:p w14:paraId="2792CA34"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847,774</w:t>
            </w:r>
          </w:p>
        </w:tc>
        <w:tc>
          <w:tcPr>
            <w:tcW w:w="615" w:type="pct"/>
            <w:tcBorders>
              <w:top w:val="nil"/>
              <w:left w:val="nil"/>
              <w:bottom w:val="nil"/>
              <w:right w:val="nil"/>
            </w:tcBorders>
            <w:shd w:val="clear" w:color="000000" w:fill="E6F2FF"/>
            <w:noWrap/>
            <w:vAlign w:val="center"/>
            <w:hideMark/>
          </w:tcPr>
          <w:p w14:paraId="456405FB" w14:textId="77777777" w:rsidR="00E75910" w:rsidRPr="00E75910" w:rsidRDefault="00E75910" w:rsidP="00E75910">
            <w:pPr>
              <w:spacing w:before="0" w:after="0" w:line="240" w:lineRule="auto"/>
              <w:jc w:val="right"/>
              <w:rPr>
                <w:rFonts w:ascii="Arial" w:hAnsi="Arial" w:cs="Arial"/>
                <w:color w:val="000000"/>
                <w:sz w:val="16"/>
                <w:szCs w:val="16"/>
              </w:rPr>
            </w:pPr>
            <w:r w:rsidRPr="00E75910">
              <w:rPr>
                <w:rFonts w:ascii="Arial" w:hAnsi="Arial" w:cs="Arial"/>
                <w:color w:val="000000"/>
                <w:sz w:val="16"/>
                <w:szCs w:val="16"/>
              </w:rPr>
              <w:t>885,886</w:t>
            </w:r>
          </w:p>
        </w:tc>
        <w:tc>
          <w:tcPr>
            <w:tcW w:w="615" w:type="pct"/>
            <w:gridSpan w:val="2"/>
            <w:tcBorders>
              <w:top w:val="nil"/>
              <w:left w:val="nil"/>
              <w:bottom w:val="nil"/>
              <w:right w:val="nil"/>
            </w:tcBorders>
            <w:shd w:val="clear" w:color="auto" w:fill="auto"/>
            <w:noWrap/>
            <w:vAlign w:val="center"/>
            <w:hideMark/>
          </w:tcPr>
          <w:p w14:paraId="294646E7"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962,711</w:t>
            </w:r>
          </w:p>
        </w:tc>
        <w:tc>
          <w:tcPr>
            <w:tcW w:w="615" w:type="pct"/>
            <w:tcBorders>
              <w:top w:val="nil"/>
              <w:left w:val="nil"/>
              <w:bottom w:val="nil"/>
              <w:right w:val="nil"/>
            </w:tcBorders>
            <w:shd w:val="clear" w:color="auto" w:fill="auto"/>
            <w:noWrap/>
            <w:vAlign w:val="center"/>
            <w:hideMark/>
          </w:tcPr>
          <w:p w14:paraId="081AC1CC"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1,026,120</w:t>
            </w:r>
          </w:p>
        </w:tc>
        <w:tc>
          <w:tcPr>
            <w:tcW w:w="616" w:type="pct"/>
            <w:tcBorders>
              <w:top w:val="nil"/>
              <w:left w:val="nil"/>
              <w:bottom w:val="nil"/>
              <w:right w:val="nil"/>
            </w:tcBorders>
            <w:shd w:val="clear" w:color="auto" w:fill="auto"/>
            <w:noWrap/>
            <w:vAlign w:val="center"/>
            <w:hideMark/>
          </w:tcPr>
          <w:p w14:paraId="0589533B"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1,080,171</w:t>
            </w:r>
          </w:p>
        </w:tc>
      </w:tr>
      <w:tr w:rsidR="00E75910" w:rsidRPr="00E75910" w14:paraId="419C8E76" w14:textId="77777777" w:rsidTr="008B77C1">
        <w:trPr>
          <w:divId w:val="132724921"/>
          <w:trHeight w:hRule="exact" w:val="225"/>
        </w:trPr>
        <w:tc>
          <w:tcPr>
            <w:tcW w:w="2017" w:type="pct"/>
            <w:tcBorders>
              <w:top w:val="nil"/>
              <w:left w:val="nil"/>
              <w:bottom w:val="nil"/>
              <w:right w:val="nil"/>
            </w:tcBorders>
            <w:shd w:val="clear" w:color="auto" w:fill="auto"/>
            <w:noWrap/>
            <w:vAlign w:val="center"/>
            <w:hideMark/>
          </w:tcPr>
          <w:p w14:paraId="4A02E710" w14:textId="77777777" w:rsidR="00E75910" w:rsidRPr="00E75910" w:rsidRDefault="00E75910" w:rsidP="008B77C1">
            <w:pPr>
              <w:spacing w:before="0" w:after="0" w:line="240" w:lineRule="auto"/>
              <w:ind w:left="170"/>
              <w:rPr>
                <w:rFonts w:ascii="Arial" w:hAnsi="Arial" w:cs="Arial"/>
                <w:sz w:val="16"/>
                <w:szCs w:val="16"/>
              </w:rPr>
            </w:pPr>
            <w:r w:rsidRPr="00E75910">
              <w:rPr>
                <w:rFonts w:ascii="Arial" w:hAnsi="Arial" w:cs="Arial"/>
                <w:sz w:val="16"/>
                <w:szCs w:val="16"/>
              </w:rPr>
              <w:t>Loans</w:t>
            </w:r>
          </w:p>
        </w:tc>
        <w:tc>
          <w:tcPr>
            <w:tcW w:w="523" w:type="pct"/>
            <w:tcBorders>
              <w:top w:val="nil"/>
              <w:left w:val="nil"/>
              <w:bottom w:val="nil"/>
              <w:right w:val="nil"/>
            </w:tcBorders>
            <w:shd w:val="clear" w:color="auto" w:fill="auto"/>
            <w:noWrap/>
            <w:vAlign w:val="center"/>
            <w:hideMark/>
          </w:tcPr>
          <w:p w14:paraId="6C671EF6"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31,772</w:t>
            </w:r>
          </w:p>
        </w:tc>
        <w:tc>
          <w:tcPr>
            <w:tcW w:w="615" w:type="pct"/>
            <w:tcBorders>
              <w:top w:val="nil"/>
              <w:left w:val="nil"/>
              <w:bottom w:val="nil"/>
              <w:right w:val="nil"/>
            </w:tcBorders>
            <w:shd w:val="clear" w:color="000000" w:fill="E6F2FF"/>
            <w:noWrap/>
            <w:vAlign w:val="center"/>
            <w:hideMark/>
          </w:tcPr>
          <w:p w14:paraId="4B1BBCE7" w14:textId="77777777" w:rsidR="00E75910" w:rsidRPr="00E75910" w:rsidRDefault="00E75910" w:rsidP="00E75910">
            <w:pPr>
              <w:spacing w:before="0" w:after="0" w:line="240" w:lineRule="auto"/>
              <w:jc w:val="right"/>
              <w:rPr>
                <w:rFonts w:ascii="Arial" w:hAnsi="Arial" w:cs="Arial"/>
                <w:color w:val="000000"/>
                <w:sz w:val="16"/>
                <w:szCs w:val="16"/>
              </w:rPr>
            </w:pPr>
            <w:r w:rsidRPr="00E75910">
              <w:rPr>
                <w:rFonts w:ascii="Arial" w:hAnsi="Arial" w:cs="Arial"/>
                <w:color w:val="000000"/>
                <w:sz w:val="16"/>
                <w:szCs w:val="16"/>
              </w:rPr>
              <w:t>32,360</w:t>
            </w:r>
          </w:p>
        </w:tc>
        <w:tc>
          <w:tcPr>
            <w:tcW w:w="615" w:type="pct"/>
            <w:gridSpan w:val="2"/>
            <w:tcBorders>
              <w:top w:val="nil"/>
              <w:left w:val="nil"/>
              <w:bottom w:val="nil"/>
              <w:right w:val="nil"/>
            </w:tcBorders>
            <w:shd w:val="clear" w:color="auto" w:fill="auto"/>
            <w:noWrap/>
            <w:vAlign w:val="center"/>
            <w:hideMark/>
          </w:tcPr>
          <w:p w14:paraId="022AB560"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33,379</w:t>
            </w:r>
          </w:p>
        </w:tc>
        <w:tc>
          <w:tcPr>
            <w:tcW w:w="615" w:type="pct"/>
            <w:tcBorders>
              <w:top w:val="nil"/>
              <w:left w:val="nil"/>
              <w:bottom w:val="nil"/>
              <w:right w:val="nil"/>
            </w:tcBorders>
            <w:shd w:val="clear" w:color="auto" w:fill="auto"/>
            <w:noWrap/>
            <w:vAlign w:val="center"/>
            <w:hideMark/>
          </w:tcPr>
          <w:p w14:paraId="3B7CD3FB"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33,786</w:t>
            </w:r>
          </w:p>
        </w:tc>
        <w:tc>
          <w:tcPr>
            <w:tcW w:w="616" w:type="pct"/>
            <w:tcBorders>
              <w:top w:val="nil"/>
              <w:left w:val="nil"/>
              <w:bottom w:val="nil"/>
              <w:right w:val="nil"/>
            </w:tcBorders>
            <w:shd w:val="clear" w:color="auto" w:fill="auto"/>
            <w:noWrap/>
            <w:vAlign w:val="center"/>
            <w:hideMark/>
          </w:tcPr>
          <w:p w14:paraId="3EDD0F31"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33,779</w:t>
            </w:r>
          </w:p>
        </w:tc>
      </w:tr>
      <w:tr w:rsidR="00E75910" w:rsidRPr="00E75910" w14:paraId="5E7859B2" w14:textId="77777777" w:rsidTr="008B77C1">
        <w:trPr>
          <w:divId w:val="132724921"/>
          <w:trHeight w:hRule="exact" w:val="225"/>
        </w:trPr>
        <w:tc>
          <w:tcPr>
            <w:tcW w:w="2017" w:type="pct"/>
            <w:tcBorders>
              <w:top w:val="nil"/>
              <w:left w:val="nil"/>
              <w:bottom w:val="nil"/>
              <w:right w:val="nil"/>
            </w:tcBorders>
            <w:shd w:val="clear" w:color="auto" w:fill="auto"/>
            <w:noWrap/>
            <w:vAlign w:val="center"/>
            <w:hideMark/>
          </w:tcPr>
          <w:p w14:paraId="2E121F88" w14:textId="77777777" w:rsidR="00E75910" w:rsidRPr="00E75910" w:rsidRDefault="00E75910" w:rsidP="008B77C1">
            <w:pPr>
              <w:spacing w:before="0" w:after="0" w:line="240" w:lineRule="auto"/>
              <w:ind w:left="170"/>
              <w:rPr>
                <w:rFonts w:ascii="Arial" w:hAnsi="Arial" w:cs="Arial"/>
                <w:sz w:val="16"/>
                <w:szCs w:val="16"/>
              </w:rPr>
            </w:pPr>
            <w:r w:rsidRPr="00E75910">
              <w:rPr>
                <w:rFonts w:ascii="Arial" w:hAnsi="Arial" w:cs="Arial"/>
                <w:sz w:val="16"/>
                <w:szCs w:val="16"/>
              </w:rPr>
              <w:t>Lease liabilities</w:t>
            </w:r>
          </w:p>
        </w:tc>
        <w:tc>
          <w:tcPr>
            <w:tcW w:w="523" w:type="pct"/>
            <w:tcBorders>
              <w:top w:val="nil"/>
              <w:left w:val="nil"/>
              <w:bottom w:val="nil"/>
              <w:right w:val="nil"/>
            </w:tcBorders>
            <w:shd w:val="clear" w:color="auto" w:fill="auto"/>
            <w:noWrap/>
            <w:vAlign w:val="center"/>
            <w:hideMark/>
          </w:tcPr>
          <w:p w14:paraId="08507602"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19,302</w:t>
            </w:r>
          </w:p>
        </w:tc>
        <w:tc>
          <w:tcPr>
            <w:tcW w:w="615" w:type="pct"/>
            <w:tcBorders>
              <w:top w:val="nil"/>
              <w:left w:val="nil"/>
              <w:bottom w:val="nil"/>
              <w:right w:val="nil"/>
            </w:tcBorders>
            <w:shd w:val="clear" w:color="000000" w:fill="E6F2FF"/>
            <w:noWrap/>
            <w:vAlign w:val="center"/>
            <w:hideMark/>
          </w:tcPr>
          <w:p w14:paraId="11CBD6CA" w14:textId="77777777" w:rsidR="00E75910" w:rsidRPr="00E75910" w:rsidRDefault="00E75910" w:rsidP="00E75910">
            <w:pPr>
              <w:spacing w:before="0" w:after="0" w:line="240" w:lineRule="auto"/>
              <w:jc w:val="right"/>
              <w:rPr>
                <w:rFonts w:ascii="Arial" w:hAnsi="Arial" w:cs="Arial"/>
                <w:color w:val="000000"/>
                <w:sz w:val="16"/>
                <w:szCs w:val="16"/>
              </w:rPr>
            </w:pPr>
            <w:r w:rsidRPr="00E75910">
              <w:rPr>
                <w:rFonts w:ascii="Arial" w:hAnsi="Arial" w:cs="Arial"/>
                <w:color w:val="000000"/>
                <w:sz w:val="16"/>
                <w:szCs w:val="16"/>
              </w:rPr>
              <w:t>18,649</w:t>
            </w:r>
          </w:p>
        </w:tc>
        <w:tc>
          <w:tcPr>
            <w:tcW w:w="615" w:type="pct"/>
            <w:gridSpan w:val="2"/>
            <w:tcBorders>
              <w:top w:val="nil"/>
              <w:left w:val="nil"/>
              <w:bottom w:val="nil"/>
              <w:right w:val="nil"/>
            </w:tcBorders>
            <w:shd w:val="clear" w:color="auto" w:fill="auto"/>
            <w:noWrap/>
            <w:vAlign w:val="center"/>
            <w:hideMark/>
          </w:tcPr>
          <w:p w14:paraId="53FBAF5D"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17,484</w:t>
            </w:r>
          </w:p>
        </w:tc>
        <w:tc>
          <w:tcPr>
            <w:tcW w:w="615" w:type="pct"/>
            <w:tcBorders>
              <w:top w:val="nil"/>
              <w:left w:val="nil"/>
              <w:bottom w:val="nil"/>
              <w:right w:val="nil"/>
            </w:tcBorders>
            <w:shd w:val="clear" w:color="auto" w:fill="auto"/>
            <w:noWrap/>
            <w:vAlign w:val="center"/>
            <w:hideMark/>
          </w:tcPr>
          <w:p w14:paraId="79837486"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16,508</w:t>
            </w:r>
          </w:p>
        </w:tc>
        <w:tc>
          <w:tcPr>
            <w:tcW w:w="616" w:type="pct"/>
            <w:tcBorders>
              <w:top w:val="nil"/>
              <w:left w:val="nil"/>
              <w:bottom w:val="nil"/>
              <w:right w:val="nil"/>
            </w:tcBorders>
            <w:shd w:val="clear" w:color="auto" w:fill="auto"/>
            <w:noWrap/>
            <w:vAlign w:val="center"/>
            <w:hideMark/>
          </w:tcPr>
          <w:p w14:paraId="431A2E8B"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16,115</w:t>
            </w:r>
          </w:p>
        </w:tc>
      </w:tr>
      <w:tr w:rsidR="00E75910" w:rsidRPr="00E75910" w14:paraId="0F150762" w14:textId="77777777" w:rsidTr="008B77C1">
        <w:trPr>
          <w:divId w:val="132724921"/>
          <w:trHeight w:hRule="exact" w:val="225"/>
        </w:trPr>
        <w:tc>
          <w:tcPr>
            <w:tcW w:w="2017" w:type="pct"/>
            <w:tcBorders>
              <w:top w:val="nil"/>
              <w:left w:val="nil"/>
              <w:bottom w:val="nil"/>
              <w:right w:val="nil"/>
            </w:tcBorders>
            <w:shd w:val="clear" w:color="auto" w:fill="auto"/>
            <w:noWrap/>
            <w:vAlign w:val="center"/>
            <w:hideMark/>
          </w:tcPr>
          <w:p w14:paraId="4A15DB47" w14:textId="77777777" w:rsidR="00E75910" w:rsidRPr="00E75910" w:rsidRDefault="00E75910" w:rsidP="008B77C1">
            <w:pPr>
              <w:spacing w:before="0" w:after="0" w:line="240" w:lineRule="auto"/>
              <w:ind w:left="170"/>
              <w:rPr>
                <w:rFonts w:ascii="Arial" w:hAnsi="Arial" w:cs="Arial"/>
                <w:b/>
                <w:bCs/>
                <w:sz w:val="16"/>
                <w:szCs w:val="16"/>
              </w:rPr>
            </w:pPr>
            <w:r w:rsidRPr="00E75910">
              <w:rPr>
                <w:rFonts w:ascii="Arial" w:hAnsi="Arial" w:cs="Arial"/>
                <w:b/>
                <w:bCs/>
                <w:sz w:val="16"/>
                <w:szCs w:val="16"/>
              </w:rPr>
              <w:t>Total liabilities included in net debt</w:t>
            </w:r>
          </w:p>
        </w:tc>
        <w:tc>
          <w:tcPr>
            <w:tcW w:w="523" w:type="pct"/>
            <w:tcBorders>
              <w:top w:val="nil"/>
              <w:left w:val="nil"/>
              <w:bottom w:val="nil"/>
              <w:right w:val="nil"/>
            </w:tcBorders>
            <w:shd w:val="clear" w:color="auto" w:fill="auto"/>
            <w:noWrap/>
            <w:vAlign w:val="center"/>
            <w:hideMark/>
          </w:tcPr>
          <w:p w14:paraId="438A15EC" w14:textId="77777777" w:rsidR="00E75910" w:rsidRPr="00EA42E5" w:rsidRDefault="00E75910" w:rsidP="00E75910">
            <w:pPr>
              <w:spacing w:before="0" w:after="0" w:line="240" w:lineRule="auto"/>
              <w:jc w:val="right"/>
              <w:rPr>
                <w:rFonts w:ascii="Arial" w:hAnsi="Arial" w:cs="Arial"/>
                <w:b/>
                <w:bCs/>
                <w:sz w:val="16"/>
                <w:szCs w:val="16"/>
              </w:rPr>
            </w:pPr>
            <w:r w:rsidRPr="00EA42E5">
              <w:rPr>
                <w:rFonts w:ascii="Arial" w:hAnsi="Arial" w:cs="Arial"/>
                <w:b/>
                <w:bCs/>
                <w:sz w:val="16"/>
                <w:szCs w:val="16"/>
              </w:rPr>
              <w:t>899,263</w:t>
            </w:r>
          </w:p>
        </w:tc>
        <w:tc>
          <w:tcPr>
            <w:tcW w:w="615" w:type="pct"/>
            <w:tcBorders>
              <w:top w:val="nil"/>
              <w:left w:val="nil"/>
              <w:bottom w:val="nil"/>
              <w:right w:val="nil"/>
            </w:tcBorders>
            <w:shd w:val="clear" w:color="000000" w:fill="E6F2FF"/>
            <w:noWrap/>
            <w:vAlign w:val="center"/>
            <w:hideMark/>
          </w:tcPr>
          <w:p w14:paraId="2377E47D" w14:textId="77777777" w:rsidR="00E75910" w:rsidRPr="00EA42E5" w:rsidRDefault="00E75910" w:rsidP="00E75910">
            <w:pPr>
              <w:spacing w:before="0" w:after="0" w:line="240" w:lineRule="auto"/>
              <w:jc w:val="right"/>
              <w:rPr>
                <w:rFonts w:ascii="Arial" w:hAnsi="Arial" w:cs="Arial"/>
                <w:b/>
                <w:bCs/>
                <w:color w:val="000000"/>
                <w:sz w:val="16"/>
                <w:szCs w:val="16"/>
              </w:rPr>
            </w:pPr>
            <w:r w:rsidRPr="00EA42E5">
              <w:rPr>
                <w:rFonts w:ascii="Arial" w:hAnsi="Arial" w:cs="Arial"/>
                <w:b/>
                <w:bCs/>
                <w:color w:val="000000"/>
                <w:sz w:val="16"/>
                <w:szCs w:val="16"/>
              </w:rPr>
              <w:t>937,310</w:t>
            </w:r>
          </w:p>
        </w:tc>
        <w:tc>
          <w:tcPr>
            <w:tcW w:w="615" w:type="pct"/>
            <w:gridSpan w:val="2"/>
            <w:tcBorders>
              <w:top w:val="nil"/>
              <w:left w:val="nil"/>
              <w:bottom w:val="nil"/>
              <w:right w:val="nil"/>
            </w:tcBorders>
            <w:shd w:val="clear" w:color="auto" w:fill="auto"/>
            <w:noWrap/>
            <w:vAlign w:val="center"/>
            <w:hideMark/>
          </w:tcPr>
          <w:p w14:paraId="49855C83" w14:textId="77777777" w:rsidR="00E75910" w:rsidRPr="00EA42E5" w:rsidRDefault="00E75910" w:rsidP="00E75910">
            <w:pPr>
              <w:spacing w:before="0" w:after="0" w:line="240" w:lineRule="auto"/>
              <w:jc w:val="right"/>
              <w:rPr>
                <w:rFonts w:ascii="Arial" w:hAnsi="Arial" w:cs="Arial"/>
                <w:b/>
                <w:bCs/>
                <w:sz w:val="16"/>
                <w:szCs w:val="16"/>
              </w:rPr>
            </w:pPr>
            <w:r w:rsidRPr="00EA42E5">
              <w:rPr>
                <w:rFonts w:ascii="Arial" w:hAnsi="Arial" w:cs="Arial"/>
                <w:b/>
                <w:bCs/>
                <w:sz w:val="16"/>
                <w:szCs w:val="16"/>
              </w:rPr>
              <w:t>1,013,988</w:t>
            </w:r>
          </w:p>
        </w:tc>
        <w:tc>
          <w:tcPr>
            <w:tcW w:w="615" w:type="pct"/>
            <w:tcBorders>
              <w:top w:val="nil"/>
              <w:left w:val="nil"/>
              <w:bottom w:val="nil"/>
              <w:right w:val="nil"/>
            </w:tcBorders>
            <w:shd w:val="clear" w:color="auto" w:fill="auto"/>
            <w:noWrap/>
            <w:vAlign w:val="center"/>
            <w:hideMark/>
          </w:tcPr>
          <w:p w14:paraId="1C3AE3E9" w14:textId="77777777" w:rsidR="00E75910" w:rsidRPr="00EA42E5" w:rsidRDefault="00E75910" w:rsidP="00E75910">
            <w:pPr>
              <w:spacing w:before="0" w:after="0" w:line="240" w:lineRule="auto"/>
              <w:jc w:val="right"/>
              <w:rPr>
                <w:rFonts w:ascii="Arial" w:hAnsi="Arial" w:cs="Arial"/>
                <w:b/>
                <w:bCs/>
                <w:sz w:val="16"/>
                <w:szCs w:val="16"/>
              </w:rPr>
            </w:pPr>
            <w:r w:rsidRPr="00EA42E5">
              <w:rPr>
                <w:rFonts w:ascii="Arial" w:hAnsi="Arial" w:cs="Arial"/>
                <w:b/>
                <w:bCs/>
                <w:sz w:val="16"/>
                <w:szCs w:val="16"/>
              </w:rPr>
              <w:t>1,076,829</w:t>
            </w:r>
          </w:p>
        </w:tc>
        <w:tc>
          <w:tcPr>
            <w:tcW w:w="616" w:type="pct"/>
            <w:tcBorders>
              <w:top w:val="nil"/>
              <w:left w:val="nil"/>
              <w:bottom w:val="nil"/>
              <w:right w:val="nil"/>
            </w:tcBorders>
            <w:shd w:val="clear" w:color="auto" w:fill="auto"/>
            <w:noWrap/>
            <w:vAlign w:val="center"/>
            <w:hideMark/>
          </w:tcPr>
          <w:p w14:paraId="1A461EB7" w14:textId="77777777" w:rsidR="00E75910" w:rsidRPr="00EA42E5" w:rsidRDefault="00E75910" w:rsidP="00E75910">
            <w:pPr>
              <w:spacing w:before="0" w:after="0" w:line="240" w:lineRule="auto"/>
              <w:jc w:val="right"/>
              <w:rPr>
                <w:rFonts w:ascii="Arial" w:hAnsi="Arial" w:cs="Arial"/>
                <w:b/>
                <w:bCs/>
                <w:sz w:val="16"/>
                <w:szCs w:val="16"/>
              </w:rPr>
            </w:pPr>
            <w:r w:rsidRPr="00EA42E5">
              <w:rPr>
                <w:rFonts w:ascii="Arial" w:hAnsi="Arial" w:cs="Arial"/>
                <w:b/>
                <w:bCs/>
                <w:sz w:val="16"/>
                <w:szCs w:val="16"/>
              </w:rPr>
              <w:t>1,130,480</w:t>
            </w:r>
          </w:p>
        </w:tc>
      </w:tr>
      <w:tr w:rsidR="00E75910" w:rsidRPr="00E75910" w14:paraId="5D2A1B0A" w14:textId="77777777" w:rsidTr="008B77C1">
        <w:trPr>
          <w:divId w:val="132724921"/>
          <w:trHeight w:hRule="exact" w:val="60"/>
        </w:trPr>
        <w:tc>
          <w:tcPr>
            <w:tcW w:w="2017" w:type="pct"/>
            <w:tcBorders>
              <w:top w:val="nil"/>
              <w:left w:val="nil"/>
              <w:bottom w:val="nil"/>
              <w:right w:val="nil"/>
            </w:tcBorders>
            <w:shd w:val="clear" w:color="auto" w:fill="auto"/>
            <w:noWrap/>
            <w:vAlign w:val="center"/>
            <w:hideMark/>
          </w:tcPr>
          <w:p w14:paraId="34C8F738" w14:textId="77777777" w:rsidR="00E75910" w:rsidRPr="00E75910" w:rsidRDefault="00E75910" w:rsidP="00E75910">
            <w:pPr>
              <w:spacing w:before="0" w:after="0" w:line="240" w:lineRule="auto"/>
              <w:jc w:val="right"/>
              <w:rPr>
                <w:rFonts w:ascii="Arial" w:hAnsi="Arial" w:cs="Arial"/>
                <w:sz w:val="16"/>
                <w:szCs w:val="16"/>
              </w:rPr>
            </w:pPr>
          </w:p>
        </w:tc>
        <w:tc>
          <w:tcPr>
            <w:tcW w:w="523" w:type="pct"/>
            <w:tcBorders>
              <w:top w:val="nil"/>
              <w:left w:val="nil"/>
              <w:bottom w:val="nil"/>
              <w:right w:val="nil"/>
            </w:tcBorders>
            <w:shd w:val="clear" w:color="auto" w:fill="auto"/>
            <w:noWrap/>
            <w:vAlign w:val="center"/>
            <w:hideMark/>
          </w:tcPr>
          <w:p w14:paraId="1CC0F72A" w14:textId="77777777" w:rsidR="00E75910" w:rsidRPr="00E75910" w:rsidRDefault="00E75910" w:rsidP="00E75910">
            <w:pPr>
              <w:spacing w:before="0" w:after="0" w:line="240" w:lineRule="auto"/>
              <w:rPr>
                <w:rFonts w:ascii="Times New Roman" w:hAnsi="Times New Roman"/>
                <w:sz w:val="20"/>
              </w:rPr>
            </w:pPr>
          </w:p>
        </w:tc>
        <w:tc>
          <w:tcPr>
            <w:tcW w:w="615" w:type="pct"/>
            <w:tcBorders>
              <w:top w:val="nil"/>
              <w:left w:val="nil"/>
              <w:bottom w:val="nil"/>
              <w:right w:val="nil"/>
            </w:tcBorders>
            <w:shd w:val="clear" w:color="000000" w:fill="E6F2FF"/>
            <w:noWrap/>
            <w:vAlign w:val="center"/>
            <w:hideMark/>
          </w:tcPr>
          <w:p w14:paraId="31D6B53D" w14:textId="77777777" w:rsidR="00E75910" w:rsidRPr="00E75910" w:rsidRDefault="00E75910" w:rsidP="00E75910">
            <w:pPr>
              <w:spacing w:before="0" w:after="0" w:line="240" w:lineRule="auto"/>
              <w:rPr>
                <w:rFonts w:ascii="Arial" w:hAnsi="Arial" w:cs="Arial"/>
                <w:color w:val="000000"/>
                <w:sz w:val="16"/>
                <w:szCs w:val="16"/>
              </w:rPr>
            </w:pPr>
            <w:r w:rsidRPr="00E75910">
              <w:rPr>
                <w:rFonts w:ascii="Arial" w:hAnsi="Arial" w:cs="Arial"/>
                <w:color w:val="000000"/>
                <w:sz w:val="16"/>
                <w:szCs w:val="16"/>
              </w:rPr>
              <w:t> </w:t>
            </w:r>
          </w:p>
        </w:tc>
        <w:tc>
          <w:tcPr>
            <w:tcW w:w="615" w:type="pct"/>
            <w:gridSpan w:val="2"/>
            <w:tcBorders>
              <w:top w:val="nil"/>
              <w:left w:val="nil"/>
              <w:bottom w:val="nil"/>
              <w:right w:val="nil"/>
            </w:tcBorders>
            <w:shd w:val="clear" w:color="auto" w:fill="auto"/>
            <w:noWrap/>
            <w:vAlign w:val="center"/>
            <w:hideMark/>
          </w:tcPr>
          <w:p w14:paraId="14F3BABB" w14:textId="77777777" w:rsidR="00E75910" w:rsidRPr="00E75910" w:rsidRDefault="00E75910" w:rsidP="00E75910">
            <w:pPr>
              <w:spacing w:before="0" w:after="0" w:line="240" w:lineRule="auto"/>
              <w:rPr>
                <w:rFonts w:ascii="Arial" w:hAnsi="Arial" w:cs="Arial"/>
                <w:color w:val="000000"/>
                <w:sz w:val="16"/>
                <w:szCs w:val="16"/>
              </w:rPr>
            </w:pPr>
          </w:p>
        </w:tc>
        <w:tc>
          <w:tcPr>
            <w:tcW w:w="615" w:type="pct"/>
            <w:tcBorders>
              <w:top w:val="nil"/>
              <w:left w:val="nil"/>
              <w:bottom w:val="nil"/>
              <w:right w:val="nil"/>
            </w:tcBorders>
            <w:shd w:val="clear" w:color="auto" w:fill="auto"/>
            <w:noWrap/>
            <w:vAlign w:val="center"/>
            <w:hideMark/>
          </w:tcPr>
          <w:p w14:paraId="654F5C0B" w14:textId="77777777" w:rsidR="00E75910" w:rsidRPr="00E75910" w:rsidRDefault="00E75910" w:rsidP="00E75910">
            <w:pPr>
              <w:spacing w:before="0" w:after="0" w:line="240" w:lineRule="auto"/>
              <w:rPr>
                <w:rFonts w:ascii="Times New Roman" w:hAnsi="Times New Roman"/>
                <w:sz w:val="20"/>
              </w:rPr>
            </w:pPr>
          </w:p>
        </w:tc>
        <w:tc>
          <w:tcPr>
            <w:tcW w:w="616" w:type="pct"/>
            <w:tcBorders>
              <w:top w:val="nil"/>
              <w:left w:val="nil"/>
              <w:bottom w:val="nil"/>
              <w:right w:val="nil"/>
            </w:tcBorders>
            <w:shd w:val="clear" w:color="auto" w:fill="auto"/>
            <w:noWrap/>
            <w:vAlign w:val="center"/>
            <w:hideMark/>
          </w:tcPr>
          <w:p w14:paraId="308AF01B" w14:textId="77777777" w:rsidR="00E75910" w:rsidRPr="00E75910" w:rsidRDefault="00E75910" w:rsidP="00E75910">
            <w:pPr>
              <w:spacing w:before="0" w:after="0" w:line="240" w:lineRule="auto"/>
              <w:rPr>
                <w:rFonts w:ascii="Times New Roman" w:hAnsi="Times New Roman"/>
                <w:sz w:val="20"/>
              </w:rPr>
            </w:pPr>
          </w:p>
        </w:tc>
      </w:tr>
      <w:tr w:rsidR="00E75910" w:rsidRPr="00E75910" w14:paraId="007AD07E" w14:textId="77777777" w:rsidTr="008B77C1">
        <w:trPr>
          <w:divId w:val="132724921"/>
          <w:trHeight w:hRule="exact" w:val="225"/>
        </w:trPr>
        <w:tc>
          <w:tcPr>
            <w:tcW w:w="2017" w:type="pct"/>
            <w:tcBorders>
              <w:top w:val="nil"/>
              <w:left w:val="nil"/>
              <w:bottom w:val="nil"/>
              <w:right w:val="nil"/>
            </w:tcBorders>
            <w:shd w:val="clear" w:color="auto" w:fill="auto"/>
            <w:noWrap/>
            <w:vAlign w:val="center"/>
            <w:hideMark/>
          </w:tcPr>
          <w:p w14:paraId="335C49AB" w14:textId="77777777" w:rsidR="00E75910" w:rsidRPr="00E75910" w:rsidRDefault="00E75910" w:rsidP="00E75910">
            <w:pPr>
              <w:spacing w:before="0" w:after="0" w:line="240" w:lineRule="auto"/>
              <w:rPr>
                <w:rFonts w:ascii="Arial" w:hAnsi="Arial" w:cs="Arial"/>
                <w:b/>
                <w:bCs/>
                <w:sz w:val="16"/>
                <w:szCs w:val="16"/>
              </w:rPr>
            </w:pPr>
            <w:r w:rsidRPr="00E75910">
              <w:rPr>
                <w:rFonts w:ascii="Arial" w:hAnsi="Arial" w:cs="Arial"/>
                <w:b/>
                <w:bCs/>
                <w:sz w:val="16"/>
                <w:szCs w:val="16"/>
              </w:rPr>
              <w:t>Assets included in net debt</w:t>
            </w:r>
          </w:p>
        </w:tc>
        <w:tc>
          <w:tcPr>
            <w:tcW w:w="523" w:type="pct"/>
            <w:tcBorders>
              <w:top w:val="nil"/>
              <w:left w:val="nil"/>
              <w:bottom w:val="nil"/>
              <w:right w:val="nil"/>
            </w:tcBorders>
            <w:shd w:val="clear" w:color="auto" w:fill="auto"/>
            <w:noWrap/>
            <w:vAlign w:val="center"/>
            <w:hideMark/>
          </w:tcPr>
          <w:p w14:paraId="7682E256" w14:textId="77777777" w:rsidR="00E75910" w:rsidRPr="00E75910" w:rsidRDefault="00E75910" w:rsidP="00E75910">
            <w:pPr>
              <w:spacing w:before="0" w:after="0" w:line="240" w:lineRule="auto"/>
              <w:rPr>
                <w:rFonts w:ascii="Arial" w:hAnsi="Arial" w:cs="Arial"/>
                <w:b/>
                <w:bCs/>
                <w:sz w:val="16"/>
                <w:szCs w:val="16"/>
              </w:rPr>
            </w:pPr>
          </w:p>
        </w:tc>
        <w:tc>
          <w:tcPr>
            <w:tcW w:w="615" w:type="pct"/>
            <w:tcBorders>
              <w:top w:val="nil"/>
              <w:left w:val="nil"/>
              <w:bottom w:val="nil"/>
              <w:right w:val="nil"/>
            </w:tcBorders>
            <w:shd w:val="clear" w:color="000000" w:fill="E6F2FF"/>
            <w:noWrap/>
            <w:vAlign w:val="center"/>
            <w:hideMark/>
          </w:tcPr>
          <w:p w14:paraId="1631E672" w14:textId="77777777" w:rsidR="00E75910" w:rsidRPr="00E75910" w:rsidRDefault="00E75910" w:rsidP="00E75910">
            <w:pPr>
              <w:spacing w:before="0" w:after="0" w:line="240" w:lineRule="auto"/>
              <w:rPr>
                <w:rFonts w:ascii="Arial" w:hAnsi="Arial" w:cs="Arial"/>
                <w:color w:val="000000"/>
                <w:sz w:val="16"/>
                <w:szCs w:val="16"/>
              </w:rPr>
            </w:pPr>
            <w:r w:rsidRPr="00E75910">
              <w:rPr>
                <w:rFonts w:ascii="Arial" w:hAnsi="Arial" w:cs="Arial"/>
                <w:color w:val="000000"/>
                <w:sz w:val="16"/>
                <w:szCs w:val="16"/>
              </w:rPr>
              <w:t> </w:t>
            </w:r>
          </w:p>
        </w:tc>
        <w:tc>
          <w:tcPr>
            <w:tcW w:w="615" w:type="pct"/>
            <w:gridSpan w:val="2"/>
            <w:tcBorders>
              <w:top w:val="nil"/>
              <w:left w:val="nil"/>
              <w:bottom w:val="nil"/>
              <w:right w:val="nil"/>
            </w:tcBorders>
            <w:shd w:val="clear" w:color="auto" w:fill="auto"/>
            <w:noWrap/>
            <w:vAlign w:val="center"/>
            <w:hideMark/>
          </w:tcPr>
          <w:p w14:paraId="136257CB" w14:textId="77777777" w:rsidR="00E75910" w:rsidRPr="00E75910" w:rsidRDefault="00E75910" w:rsidP="00E75910">
            <w:pPr>
              <w:spacing w:before="0" w:after="0" w:line="240" w:lineRule="auto"/>
              <w:rPr>
                <w:rFonts w:ascii="Arial" w:hAnsi="Arial" w:cs="Arial"/>
                <w:color w:val="000000"/>
                <w:sz w:val="16"/>
                <w:szCs w:val="16"/>
              </w:rPr>
            </w:pPr>
          </w:p>
        </w:tc>
        <w:tc>
          <w:tcPr>
            <w:tcW w:w="615" w:type="pct"/>
            <w:tcBorders>
              <w:top w:val="nil"/>
              <w:left w:val="nil"/>
              <w:bottom w:val="nil"/>
              <w:right w:val="nil"/>
            </w:tcBorders>
            <w:shd w:val="clear" w:color="auto" w:fill="auto"/>
            <w:noWrap/>
            <w:vAlign w:val="center"/>
            <w:hideMark/>
          </w:tcPr>
          <w:p w14:paraId="3ECEB8F3" w14:textId="77777777" w:rsidR="00E75910" w:rsidRPr="00E75910" w:rsidRDefault="00E75910" w:rsidP="00E75910">
            <w:pPr>
              <w:spacing w:before="0" w:after="0" w:line="240" w:lineRule="auto"/>
              <w:rPr>
                <w:rFonts w:ascii="Times New Roman" w:hAnsi="Times New Roman"/>
                <w:sz w:val="20"/>
              </w:rPr>
            </w:pPr>
          </w:p>
        </w:tc>
        <w:tc>
          <w:tcPr>
            <w:tcW w:w="616" w:type="pct"/>
            <w:tcBorders>
              <w:top w:val="nil"/>
              <w:left w:val="nil"/>
              <w:bottom w:val="nil"/>
              <w:right w:val="nil"/>
            </w:tcBorders>
            <w:shd w:val="clear" w:color="auto" w:fill="auto"/>
            <w:noWrap/>
            <w:vAlign w:val="center"/>
            <w:hideMark/>
          </w:tcPr>
          <w:p w14:paraId="1B9A1094" w14:textId="77777777" w:rsidR="00E75910" w:rsidRPr="00E75910" w:rsidRDefault="00E75910" w:rsidP="00E75910">
            <w:pPr>
              <w:spacing w:before="0" w:after="0" w:line="240" w:lineRule="auto"/>
              <w:rPr>
                <w:rFonts w:ascii="Times New Roman" w:hAnsi="Times New Roman"/>
                <w:sz w:val="20"/>
              </w:rPr>
            </w:pPr>
          </w:p>
        </w:tc>
      </w:tr>
      <w:tr w:rsidR="00E75910" w:rsidRPr="00E75910" w14:paraId="58CEA36B" w14:textId="77777777" w:rsidTr="008B77C1">
        <w:trPr>
          <w:divId w:val="132724921"/>
          <w:trHeight w:hRule="exact" w:val="225"/>
        </w:trPr>
        <w:tc>
          <w:tcPr>
            <w:tcW w:w="2017" w:type="pct"/>
            <w:tcBorders>
              <w:top w:val="nil"/>
              <w:left w:val="nil"/>
              <w:bottom w:val="nil"/>
              <w:right w:val="nil"/>
            </w:tcBorders>
            <w:shd w:val="clear" w:color="auto" w:fill="auto"/>
            <w:noWrap/>
            <w:vAlign w:val="center"/>
            <w:hideMark/>
          </w:tcPr>
          <w:p w14:paraId="029D1345" w14:textId="77777777" w:rsidR="00E75910" w:rsidRPr="00E75910" w:rsidRDefault="00E75910" w:rsidP="008B77C1">
            <w:pPr>
              <w:spacing w:before="0" w:after="0" w:line="240" w:lineRule="auto"/>
              <w:ind w:left="170"/>
              <w:rPr>
                <w:rFonts w:ascii="Arial" w:hAnsi="Arial" w:cs="Arial"/>
                <w:sz w:val="16"/>
                <w:szCs w:val="16"/>
              </w:rPr>
            </w:pPr>
            <w:r w:rsidRPr="00E75910">
              <w:rPr>
                <w:rFonts w:ascii="Arial" w:hAnsi="Arial" w:cs="Arial"/>
                <w:sz w:val="16"/>
                <w:szCs w:val="16"/>
              </w:rPr>
              <w:t>Cash and deposits</w:t>
            </w:r>
          </w:p>
        </w:tc>
        <w:tc>
          <w:tcPr>
            <w:tcW w:w="523" w:type="pct"/>
            <w:tcBorders>
              <w:top w:val="nil"/>
              <w:left w:val="nil"/>
              <w:bottom w:val="nil"/>
              <w:right w:val="nil"/>
            </w:tcBorders>
            <w:shd w:val="clear" w:color="auto" w:fill="auto"/>
            <w:noWrap/>
            <w:vAlign w:val="center"/>
            <w:hideMark/>
          </w:tcPr>
          <w:p w14:paraId="5EF8F8F6"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89,311</w:t>
            </w:r>
          </w:p>
        </w:tc>
        <w:tc>
          <w:tcPr>
            <w:tcW w:w="615" w:type="pct"/>
            <w:tcBorders>
              <w:top w:val="nil"/>
              <w:left w:val="nil"/>
              <w:bottom w:val="nil"/>
              <w:right w:val="nil"/>
            </w:tcBorders>
            <w:shd w:val="clear" w:color="000000" w:fill="E6F2FF"/>
            <w:noWrap/>
            <w:vAlign w:val="center"/>
            <w:hideMark/>
          </w:tcPr>
          <w:p w14:paraId="1073D1DE" w14:textId="77777777" w:rsidR="00E75910" w:rsidRPr="00E75910" w:rsidRDefault="00E75910" w:rsidP="00E75910">
            <w:pPr>
              <w:spacing w:before="0" w:after="0" w:line="240" w:lineRule="auto"/>
              <w:jc w:val="right"/>
              <w:rPr>
                <w:rFonts w:ascii="Arial" w:hAnsi="Arial" w:cs="Arial"/>
                <w:color w:val="000000"/>
                <w:sz w:val="16"/>
                <w:szCs w:val="16"/>
              </w:rPr>
            </w:pPr>
            <w:r w:rsidRPr="00E75910">
              <w:rPr>
                <w:rFonts w:ascii="Arial" w:hAnsi="Arial" w:cs="Arial"/>
                <w:color w:val="000000"/>
                <w:sz w:val="16"/>
                <w:szCs w:val="16"/>
              </w:rPr>
              <w:t>61,997</w:t>
            </w:r>
          </w:p>
        </w:tc>
        <w:tc>
          <w:tcPr>
            <w:tcW w:w="615" w:type="pct"/>
            <w:gridSpan w:val="2"/>
            <w:tcBorders>
              <w:top w:val="nil"/>
              <w:left w:val="nil"/>
              <w:bottom w:val="nil"/>
              <w:right w:val="nil"/>
            </w:tcBorders>
            <w:shd w:val="clear" w:color="auto" w:fill="auto"/>
            <w:noWrap/>
            <w:vAlign w:val="center"/>
            <w:hideMark/>
          </w:tcPr>
          <w:p w14:paraId="4646EA5E"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57,532</w:t>
            </w:r>
          </w:p>
        </w:tc>
        <w:tc>
          <w:tcPr>
            <w:tcW w:w="615" w:type="pct"/>
            <w:tcBorders>
              <w:top w:val="nil"/>
              <w:left w:val="nil"/>
              <w:bottom w:val="nil"/>
              <w:right w:val="nil"/>
            </w:tcBorders>
            <w:shd w:val="clear" w:color="auto" w:fill="auto"/>
            <w:noWrap/>
            <w:vAlign w:val="center"/>
            <w:hideMark/>
          </w:tcPr>
          <w:p w14:paraId="299A053F"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54,634</w:t>
            </w:r>
          </w:p>
        </w:tc>
        <w:tc>
          <w:tcPr>
            <w:tcW w:w="616" w:type="pct"/>
            <w:tcBorders>
              <w:top w:val="nil"/>
              <w:left w:val="nil"/>
              <w:bottom w:val="nil"/>
              <w:right w:val="nil"/>
            </w:tcBorders>
            <w:shd w:val="clear" w:color="auto" w:fill="auto"/>
            <w:noWrap/>
            <w:vAlign w:val="center"/>
            <w:hideMark/>
          </w:tcPr>
          <w:p w14:paraId="14C80759"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49,732</w:t>
            </w:r>
          </w:p>
        </w:tc>
      </w:tr>
      <w:tr w:rsidR="00E75910" w:rsidRPr="00E75910" w14:paraId="1E3EFB65" w14:textId="77777777" w:rsidTr="008B77C1">
        <w:trPr>
          <w:divId w:val="132724921"/>
          <w:trHeight w:hRule="exact" w:val="225"/>
        </w:trPr>
        <w:tc>
          <w:tcPr>
            <w:tcW w:w="2017" w:type="pct"/>
            <w:tcBorders>
              <w:top w:val="nil"/>
              <w:left w:val="nil"/>
              <w:bottom w:val="nil"/>
              <w:right w:val="nil"/>
            </w:tcBorders>
            <w:shd w:val="clear" w:color="auto" w:fill="auto"/>
            <w:noWrap/>
            <w:vAlign w:val="center"/>
            <w:hideMark/>
          </w:tcPr>
          <w:p w14:paraId="0A6021A8" w14:textId="77777777" w:rsidR="00E75910" w:rsidRPr="00E75910" w:rsidRDefault="00E75910" w:rsidP="008B77C1">
            <w:pPr>
              <w:spacing w:before="0" w:after="0" w:line="240" w:lineRule="auto"/>
              <w:ind w:left="170"/>
              <w:rPr>
                <w:rFonts w:ascii="Arial" w:hAnsi="Arial" w:cs="Arial"/>
                <w:sz w:val="16"/>
                <w:szCs w:val="16"/>
              </w:rPr>
            </w:pPr>
            <w:r w:rsidRPr="00E75910">
              <w:rPr>
                <w:rFonts w:ascii="Arial" w:hAnsi="Arial" w:cs="Arial"/>
                <w:sz w:val="16"/>
                <w:szCs w:val="16"/>
              </w:rPr>
              <w:t>Advances paid</w:t>
            </w:r>
          </w:p>
        </w:tc>
        <w:tc>
          <w:tcPr>
            <w:tcW w:w="523" w:type="pct"/>
            <w:tcBorders>
              <w:top w:val="nil"/>
              <w:left w:val="nil"/>
              <w:bottom w:val="nil"/>
              <w:right w:val="nil"/>
            </w:tcBorders>
            <w:shd w:val="clear" w:color="auto" w:fill="auto"/>
            <w:noWrap/>
            <w:vAlign w:val="center"/>
            <w:hideMark/>
          </w:tcPr>
          <w:p w14:paraId="24F7DF15"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67,539</w:t>
            </w:r>
          </w:p>
        </w:tc>
        <w:tc>
          <w:tcPr>
            <w:tcW w:w="615" w:type="pct"/>
            <w:tcBorders>
              <w:top w:val="nil"/>
              <w:left w:val="nil"/>
              <w:bottom w:val="nil"/>
              <w:right w:val="nil"/>
            </w:tcBorders>
            <w:shd w:val="clear" w:color="000000" w:fill="E6F2FF"/>
            <w:noWrap/>
            <w:vAlign w:val="center"/>
            <w:hideMark/>
          </w:tcPr>
          <w:p w14:paraId="5435F32F" w14:textId="77777777" w:rsidR="00E75910" w:rsidRPr="00E75910" w:rsidRDefault="00E75910" w:rsidP="00E75910">
            <w:pPr>
              <w:spacing w:before="0" w:after="0" w:line="240" w:lineRule="auto"/>
              <w:jc w:val="right"/>
              <w:rPr>
                <w:rFonts w:ascii="Arial" w:hAnsi="Arial" w:cs="Arial"/>
                <w:color w:val="000000"/>
                <w:sz w:val="16"/>
                <w:szCs w:val="16"/>
              </w:rPr>
            </w:pPr>
            <w:r w:rsidRPr="00E75910">
              <w:rPr>
                <w:rFonts w:ascii="Arial" w:hAnsi="Arial" w:cs="Arial"/>
                <w:color w:val="000000"/>
                <w:sz w:val="16"/>
                <w:szCs w:val="16"/>
              </w:rPr>
              <w:t>73,193</w:t>
            </w:r>
          </w:p>
        </w:tc>
        <w:tc>
          <w:tcPr>
            <w:tcW w:w="615" w:type="pct"/>
            <w:gridSpan w:val="2"/>
            <w:tcBorders>
              <w:top w:val="nil"/>
              <w:left w:val="nil"/>
              <w:bottom w:val="nil"/>
              <w:right w:val="nil"/>
            </w:tcBorders>
            <w:shd w:val="clear" w:color="auto" w:fill="auto"/>
            <w:noWrap/>
            <w:vAlign w:val="center"/>
            <w:hideMark/>
          </w:tcPr>
          <w:p w14:paraId="34BF21A6"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83,592</w:t>
            </w:r>
          </w:p>
        </w:tc>
        <w:tc>
          <w:tcPr>
            <w:tcW w:w="615" w:type="pct"/>
            <w:tcBorders>
              <w:top w:val="nil"/>
              <w:left w:val="nil"/>
              <w:bottom w:val="nil"/>
              <w:right w:val="nil"/>
            </w:tcBorders>
            <w:shd w:val="clear" w:color="auto" w:fill="auto"/>
            <w:noWrap/>
            <w:vAlign w:val="center"/>
            <w:hideMark/>
          </w:tcPr>
          <w:p w14:paraId="237AB366"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94,634</w:t>
            </w:r>
          </w:p>
        </w:tc>
        <w:tc>
          <w:tcPr>
            <w:tcW w:w="616" w:type="pct"/>
            <w:tcBorders>
              <w:top w:val="nil"/>
              <w:left w:val="nil"/>
              <w:bottom w:val="nil"/>
              <w:right w:val="nil"/>
            </w:tcBorders>
            <w:shd w:val="clear" w:color="auto" w:fill="auto"/>
            <w:noWrap/>
            <w:vAlign w:val="center"/>
            <w:hideMark/>
          </w:tcPr>
          <w:p w14:paraId="35411E95"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105,091</w:t>
            </w:r>
          </w:p>
        </w:tc>
      </w:tr>
      <w:tr w:rsidR="00E75910" w:rsidRPr="00E75910" w14:paraId="5AD48136" w14:textId="77777777" w:rsidTr="008B77C1">
        <w:trPr>
          <w:divId w:val="132724921"/>
          <w:trHeight w:hRule="exact" w:val="225"/>
        </w:trPr>
        <w:tc>
          <w:tcPr>
            <w:tcW w:w="2017" w:type="pct"/>
            <w:tcBorders>
              <w:top w:val="nil"/>
              <w:left w:val="nil"/>
              <w:bottom w:val="nil"/>
              <w:right w:val="nil"/>
            </w:tcBorders>
            <w:shd w:val="clear" w:color="auto" w:fill="auto"/>
            <w:noWrap/>
            <w:vAlign w:val="center"/>
            <w:hideMark/>
          </w:tcPr>
          <w:p w14:paraId="713F0D2F" w14:textId="77777777" w:rsidR="00E75910" w:rsidRPr="00E75910" w:rsidRDefault="00E75910" w:rsidP="008B77C1">
            <w:pPr>
              <w:spacing w:before="0" w:after="0" w:line="240" w:lineRule="auto"/>
              <w:ind w:left="170"/>
              <w:rPr>
                <w:rFonts w:ascii="Arial" w:hAnsi="Arial" w:cs="Arial"/>
                <w:sz w:val="16"/>
                <w:szCs w:val="16"/>
              </w:rPr>
            </w:pPr>
            <w:r w:rsidRPr="00E75910">
              <w:rPr>
                <w:rFonts w:ascii="Arial" w:hAnsi="Arial" w:cs="Arial"/>
                <w:sz w:val="16"/>
                <w:szCs w:val="16"/>
              </w:rPr>
              <w:t>Investments, loans and placements</w:t>
            </w:r>
          </w:p>
        </w:tc>
        <w:tc>
          <w:tcPr>
            <w:tcW w:w="523" w:type="pct"/>
            <w:tcBorders>
              <w:top w:val="nil"/>
              <w:left w:val="nil"/>
              <w:bottom w:val="nil"/>
              <w:right w:val="nil"/>
            </w:tcBorders>
            <w:shd w:val="clear" w:color="auto" w:fill="auto"/>
            <w:noWrap/>
            <w:vAlign w:val="center"/>
            <w:hideMark/>
          </w:tcPr>
          <w:p w14:paraId="1AE9A675"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242,528</w:t>
            </w:r>
          </w:p>
        </w:tc>
        <w:tc>
          <w:tcPr>
            <w:tcW w:w="615" w:type="pct"/>
            <w:tcBorders>
              <w:top w:val="nil"/>
              <w:left w:val="nil"/>
              <w:bottom w:val="nil"/>
              <w:right w:val="nil"/>
            </w:tcBorders>
            <w:shd w:val="clear" w:color="000000" w:fill="E6F2FF"/>
            <w:noWrap/>
            <w:vAlign w:val="center"/>
            <w:hideMark/>
          </w:tcPr>
          <w:p w14:paraId="10A39D04" w14:textId="77777777" w:rsidR="00E75910" w:rsidRPr="00E75910" w:rsidRDefault="00E75910" w:rsidP="00E75910">
            <w:pPr>
              <w:spacing w:before="0" w:after="0" w:line="240" w:lineRule="auto"/>
              <w:jc w:val="right"/>
              <w:rPr>
                <w:rFonts w:ascii="Arial" w:hAnsi="Arial" w:cs="Arial"/>
                <w:color w:val="000000"/>
                <w:sz w:val="16"/>
                <w:szCs w:val="16"/>
              </w:rPr>
            </w:pPr>
            <w:r w:rsidRPr="00E75910">
              <w:rPr>
                <w:rFonts w:ascii="Arial" w:hAnsi="Arial" w:cs="Arial"/>
                <w:color w:val="000000"/>
                <w:sz w:val="16"/>
                <w:szCs w:val="16"/>
              </w:rPr>
              <w:t>249,588</w:t>
            </w:r>
          </w:p>
        </w:tc>
        <w:tc>
          <w:tcPr>
            <w:tcW w:w="615" w:type="pct"/>
            <w:gridSpan w:val="2"/>
            <w:tcBorders>
              <w:top w:val="nil"/>
              <w:left w:val="nil"/>
              <w:bottom w:val="nil"/>
              <w:right w:val="nil"/>
            </w:tcBorders>
            <w:shd w:val="clear" w:color="auto" w:fill="auto"/>
            <w:noWrap/>
            <w:vAlign w:val="center"/>
            <w:hideMark/>
          </w:tcPr>
          <w:p w14:paraId="6FCB5301"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257,386</w:t>
            </w:r>
          </w:p>
        </w:tc>
        <w:tc>
          <w:tcPr>
            <w:tcW w:w="615" w:type="pct"/>
            <w:tcBorders>
              <w:top w:val="nil"/>
              <w:left w:val="nil"/>
              <w:bottom w:val="nil"/>
              <w:right w:val="nil"/>
            </w:tcBorders>
            <w:shd w:val="clear" w:color="auto" w:fill="auto"/>
            <w:noWrap/>
            <w:vAlign w:val="center"/>
            <w:hideMark/>
          </w:tcPr>
          <w:p w14:paraId="663C422D"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267,513</w:t>
            </w:r>
          </w:p>
        </w:tc>
        <w:tc>
          <w:tcPr>
            <w:tcW w:w="616" w:type="pct"/>
            <w:tcBorders>
              <w:top w:val="nil"/>
              <w:left w:val="nil"/>
              <w:bottom w:val="nil"/>
              <w:right w:val="nil"/>
            </w:tcBorders>
            <w:shd w:val="clear" w:color="auto" w:fill="auto"/>
            <w:noWrap/>
            <w:vAlign w:val="center"/>
            <w:hideMark/>
          </w:tcPr>
          <w:p w14:paraId="30C39915" w14:textId="77777777" w:rsidR="00E75910" w:rsidRPr="00E75910" w:rsidRDefault="00E75910" w:rsidP="00E75910">
            <w:pPr>
              <w:spacing w:before="0" w:after="0" w:line="240" w:lineRule="auto"/>
              <w:jc w:val="right"/>
              <w:rPr>
                <w:rFonts w:ascii="Arial" w:hAnsi="Arial" w:cs="Arial"/>
                <w:sz w:val="16"/>
                <w:szCs w:val="16"/>
              </w:rPr>
            </w:pPr>
            <w:r w:rsidRPr="00E75910">
              <w:rPr>
                <w:rFonts w:ascii="Arial" w:hAnsi="Arial" w:cs="Arial"/>
                <w:sz w:val="16"/>
                <w:szCs w:val="16"/>
              </w:rPr>
              <w:t>278,151</w:t>
            </w:r>
          </w:p>
        </w:tc>
      </w:tr>
      <w:tr w:rsidR="00E75910" w:rsidRPr="00E75910" w14:paraId="688A1348" w14:textId="77777777" w:rsidTr="008B77C1">
        <w:trPr>
          <w:divId w:val="132724921"/>
          <w:trHeight w:hRule="exact" w:val="225"/>
        </w:trPr>
        <w:tc>
          <w:tcPr>
            <w:tcW w:w="2017" w:type="pct"/>
            <w:tcBorders>
              <w:top w:val="nil"/>
              <w:left w:val="nil"/>
              <w:bottom w:val="nil"/>
              <w:right w:val="nil"/>
            </w:tcBorders>
            <w:shd w:val="clear" w:color="auto" w:fill="auto"/>
            <w:noWrap/>
            <w:vAlign w:val="center"/>
            <w:hideMark/>
          </w:tcPr>
          <w:p w14:paraId="256DD281" w14:textId="77777777" w:rsidR="00E75910" w:rsidRPr="00E75910" w:rsidRDefault="00E75910" w:rsidP="008B77C1">
            <w:pPr>
              <w:spacing w:before="0" w:after="0" w:line="240" w:lineRule="auto"/>
              <w:ind w:left="170"/>
              <w:rPr>
                <w:rFonts w:ascii="Arial" w:hAnsi="Arial" w:cs="Arial"/>
                <w:b/>
                <w:bCs/>
                <w:sz w:val="16"/>
                <w:szCs w:val="16"/>
              </w:rPr>
            </w:pPr>
            <w:r w:rsidRPr="00E75910">
              <w:rPr>
                <w:rFonts w:ascii="Arial" w:hAnsi="Arial" w:cs="Arial"/>
                <w:b/>
                <w:bCs/>
                <w:sz w:val="16"/>
                <w:szCs w:val="16"/>
              </w:rPr>
              <w:t>Total assets included in net debt</w:t>
            </w:r>
          </w:p>
        </w:tc>
        <w:tc>
          <w:tcPr>
            <w:tcW w:w="523" w:type="pct"/>
            <w:tcBorders>
              <w:top w:val="nil"/>
              <w:left w:val="nil"/>
              <w:bottom w:val="nil"/>
              <w:right w:val="nil"/>
            </w:tcBorders>
            <w:shd w:val="clear" w:color="auto" w:fill="auto"/>
            <w:noWrap/>
            <w:vAlign w:val="center"/>
            <w:hideMark/>
          </w:tcPr>
          <w:p w14:paraId="01316932" w14:textId="77777777" w:rsidR="00E75910" w:rsidRPr="00E75910" w:rsidRDefault="00E75910" w:rsidP="00E75910">
            <w:pPr>
              <w:spacing w:before="0" w:after="0" w:line="240" w:lineRule="auto"/>
              <w:jc w:val="right"/>
              <w:rPr>
                <w:rFonts w:ascii="Arial" w:hAnsi="Arial" w:cs="Arial"/>
                <w:b/>
                <w:bCs/>
                <w:sz w:val="16"/>
                <w:szCs w:val="16"/>
              </w:rPr>
            </w:pPr>
            <w:r w:rsidRPr="00E75910">
              <w:rPr>
                <w:rFonts w:ascii="Arial" w:hAnsi="Arial" w:cs="Arial"/>
                <w:b/>
                <w:bCs/>
                <w:sz w:val="16"/>
                <w:szCs w:val="16"/>
              </w:rPr>
              <w:t>399,378</w:t>
            </w:r>
          </w:p>
        </w:tc>
        <w:tc>
          <w:tcPr>
            <w:tcW w:w="615" w:type="pct"/>
            <w:tcBorders>
              <w:top w:val="nil"/>
              <w:left w:val="nil"/>
              <w:bottom w:val="nil"/>
              <w:right w:val="nil"/>
            </w:tcBorders>
            <w:shd w:val="clear" w:color="000000" w:fill="E6F2FF"/>
            <w:noWrap/>
            <w:vAlign w:val="center"/>
            <w:hideMark/>
          </w:tcPr>
          <w:p w14:paraId="5F9D5DD5" w14:textId="77777777" w:rsidR="00E75910" w:rsidRPr="00E75910" w:rsidRDefault="00E75910" w:rsidP="00E75910">
            <w:pPr>
              <w:spacing w:before="0" w:after="0" w:line="240" w:lineRule="auto"/>
              <w:jc w:val="right"/>
              <w:rPr>
                <w:rFonts w:ascii="Arial" w:hAnsi="Arial" w:cs="Arial"/>
                <w:b/>
                <w:bCs/>
                <w:color w:val="000000"/>
                <w:sz w:val="16"/>
                <w:szCs w:val="16"/>
              </w:rPr>
            </w:pPr>
            <w:r w:rsidRPr="00E75910">
              <w:rPr>
                <w:rFonts w:ascii="Arial" w:hAnsi="Arial" w:cs="Arial"/>
                <w:b/>
                <w:bCs/>
                <w:color w:val="000000"/>
                <w:sz w:val="16"/>
                <w:szCs w:val="16"/>
              </w:rPr>
              <w:t>384,778</w:t>
            </w:r>
          </w:p>
        </w:tc>
        <w:tc>
          <w:tcPr>
            <w:tcW w:w="615" w:type="pct"/>
            <w:gridSpan w:val="2"/>
            <w:tcBorders>
              <w:top w:val="nil"/>
              <w:left w:val="nil"/>
              <w:bottom w:val="nil"/>
              <w:right w:val="nil"/>
            </w:tcBorders>
            <w:shd w:val="clear" w:color="auto" w:fill="auto"/>
            <w:noWrap/>
            <w:vAlign w:val="center"/>
            <w:hideMark/>
          </w:tcPr>
          <w:p w14:paraId="332596D6" w14:textId="77777777" w:rsidR="00E75910" w:rsidRPr="00E75910" w:rsidRDefault="00E75910" w:rsidP="00E75910">
            <w:pPr>
              <w:spacing w:before="0" w:after="0" w:line="240" w:lineRule="auto"/>
              <w:jc w:val="right"/>
              <w:rPr>
                <w:rFonts w:ascii="Arial" w:hAnsi="Arial" w:cs="Arial"/>
                <w:b/>
                <w:bCs/>
                <w:sz w:val="16"/>
                <w:szCs w:val="16"/>
              </w:rPr>
            </w:pPr>
            <w:r w:rsidRPr="00E75910">
              <w:rPr>
                <w:rFonts w:ascii="Arial" w:hAnsi="Arial" w:cs="Arial"/>
                <w:b/>
                <w:bCs/>
                <w:sz w:val="16"/>
                <w:szCs w:val="16"/>
              </w:rPr>
              <w:t>398,510</w:t>
            </w:r>
          </w:p>
        </w:tc>
        <w:tc>
          <w:tcPr>
            <w:tcW w:w="615" w:type="pct"/>
            <w:tcBorders>
              <w:top w:val="nil"/>
              <w:left w:val="nil"/>
              <w:bottom w:val="nil"/>
              <w:right w:val="nil"/>
            </w:tcBorders>
            <w:shd w:val="clear" w:color="auto" w:fill="auto"/>
            <w:noWrap/>
            <w:vAlign w:val="center"/>
            <w:hideMark/>
          </w:tcPr>
          <w:p w14:paraId="4418689B" w14:textId="77777777" w:rsidR="00E75910" w:rsidRPr="00E75910" w:rsidRDefault="00E75910" w:rsidP="00E75910">
            <w:pPr>
              <w:spacing w:before="0" w:after="0" w:line="240" w:lineRule="auto"/>
              <w:jc w:val="right"/>
              <w:rPr>
                <w:rFonts w:ascii="Arial" w:hAnsi="Arial" w:cs="Arial"/>
                <w:b/>
                <w:bCs/>
                <w:sz w:val="16"/>
                <w:szCs w:val="16"/>
              </w:rPr>
            </w:pPr>
            <w:r w:rsidRPr="00E75910">
              <w:rPr>
                <w:rFonts w:ascii="Arial" w:hAnsi="Arial" w:cs="Arial"/>
                <w:b/>
                <w:bCs/>
                <w:sz w:val="16"/>
                <w:szCs w:val="16"/>
              </w:rPr>
              <w:t>416,781</w:t>
            </w:r>
          </w:p>
        </w:tc>
        <w:tc>
          <w:tcPr>
            <w:tcW w:w="616" w:type="pct"/>
            <w:tcBorders>
              <w:top w:val="nil"/>
              <w:left w:val="nil"/>
              <w:bottom w:val="nil"/>
              <w:right w:val="nil"/>
            </w:tcBorders>
            <w:shd w:val="clear" w:color="auto" w:fill="auto"/>
            <w:noWrap/>
            <w:vAlign w:val="center"/>
            <w:hideMark/>
          </w:tcPr>
          <w:p w14:paraId="7771EC7B" w14:textId="77777777" w:rsidR="00E75910" w:rsidRPr="00E75910" w:rsidRDefault="00E75910" w:rsidP="00E75910">
            <w:pPr>
              <w:spacing w:before="0" w:after="0" w:line="240" w:lineRule="auto"/>
              <w:jc w:val="right"/>
              <w:rPr>
                <w:rFonts w:ascii="Arial" w:hAnsi="Arial" w:cs="Arial"/>
                <w:b/>
                <w:bCs/>
                <w:sz w:val="16"/>
                <w:szCs w:val="16"/>
              </w:rPr>
            </w:pPr>
            <w:r w:rsidRPr="00E75910">
              <w:rPr>
                <w:rFonts w:ascii="Arial" w:hAnsi="Arial" w:cs="Arial"/>
                <w:b/>
                <w:bCs/>
                <w:sz w:val="16"/>
                <w:szCs w:val="16"/>
              </w:rPr>
              <w:t>432,974</w:t>
            </w:r>
          </w:p>
        </w:tc>
      </w:tr>
      <w:tr w:rsidR="00E75910" w:rsidRPr="00E75910" w14:paraId="00BAD820" w14:textId="77777777" w:rsidTr="008B77C1">
        <w:trPr>
          <w:divId w:val="132724921"/>
          <w:trHeight w:hRule="exact" w:val="60"/>
        </w:trPr>
        <w:tc>
          <w:tcPr>
            <w:tcW w:w="2017" w:type="pct"/>
            <w:tcBorders>
              <w:top w:val="nil"/>
              <w:left w:val="nil"/>
              <w:bottom w:val="nil"/>
              <w:right w:val="nil"/>
            </w:tcBorders>
            <w:shd w:val="clear" w:color="auto" w:fill="auto"/>
            <w:noWrap/>
            <w:vAlign w:val="center"/>
            <w:hideMark/>
          </w:tcPr>
          <w:p w14:paraId="1412A0E1" w14:textId="77777777" w:rsidR="00E75910" w:rsidRPr="00E75910" w:rsidRDefault="00E75910" w:rsidP="00E75910">
            <w:pPr>
              <w:spacing w:before="0" w:after="0" w:line="240" w:lineRule="auto"/>
              <w:jc w:val="right"/>
              <w:rPr>
                <w:rFonts w:ascii="Arial" w:hAnsi="Arial" w:cs="Arial"/>
                <w:b/>
                <w:bCs/>
                <w:sz w:val="16"/>
                <w:szCs w:val="16"/>
              </w:rPr>
            </w:pPr>
          </w:p>
        </w:tc>
        <w:tc>
          <w:tcPr>
            <w:tcW w:w="523" w:type="pct"/>
            <w:tcBorders>
              <w:top w:val="nil"/>
              <w:left w:val="nil"/>
              <w:bottom w:val="nil"/>
              <w:right w:val="nil"/>
            </w:tcBorders>
            <w:shd w:val="clear" w:color="auto" w:fill="auto"/>
            <w:noWrap/>
            <w:vAlign w:val="center"/>
            <w:hideMark/>
          </w:tcPr>
          <w:p w14:paraId="29B2848C" w14:textId="77777777" w:rsidR="00E75910" w:rsidRPr="00E75910" w:rsidRDefault="00E75910" w:rsidP="00E75910">
            <w:pPr>
              <w:spacing w:before="0" w:after="0" w:line="240" w:lineRule="auto"/>
              <w:rPr>
                <w:rFonts w:ascii="Times New Roman" w:hAnsi="Times New Roman"/>
                <w:sz w:val="20"/>
              </w:rPr>
            </w:pPr>
          </w:p>
        </w:tc>
        <w:tc>
          <w:tcPr>
            <w:tcW w:w="615" w:type="pct"/>
            <w:tcBorders>
              <w:top w:val="nil"/>
              <w:left w:val="nil"/>
              <w:bottom w:val="nil"/>
              <w:right w:val="nil"/>
            </w:tcBorders>
            <w:shd w:val="clear" w:color="000000" w:fill="E6F2FF"/>
            <w:noWrap/>
            <w:vAlign w:val="center"/>
            <w:hideMark/>
          </w:tcPr>
          <w:p w14:paraId="4093BA2A" w14:textId="77777777" w:rsidR="00E75910" w:rsidRPr="00E75910" w:rsidRDefault="00E75910" w:rsidP="00E75910">
            <w:pPr>
              <w:spacing w:before="0" w:after="0" w:line="240" w:lineRule="auto"/>
              <w:rPr>
                <w:rFonts w:ascii="Arial" w:hAnsi="Arial" w:cs="Arial"/>
                <w:b/>
                <w:bCs/>
                <w:color w:val="000000"/>
                <w:sz w:val="16"/>
                <w:szCs w:val="16"/>
              </w:rPr>
            </w:pPr>
            <w:r w:rsidRPr="00E75910">
              <w:rPr>
                <w:rFonts w:ascii="Arial" w:hAnsi="Arial" w:cs="Arial"/>
                <w:b/>
                <w:bCs/>
                <w:color w:val="000000"/>
                <w:sz w:val="16"/>
                <w:szCs w:val="16"/>
              </w:rPr>
              <w:t> </w:t>
            </w:r>
          </w:p>
        </w:tc>
        <w:tc>
          <w:tcPr>
            <w:tcW w:w="615" w:type="pct"/>
            <w:gridSpan w:val="2"/>
            <w:tcBorders>
              <w:top w:val="nil"/>
              <w:left w:val="nil"/>
              <w:bottom w:val="nil"/>
              <w:right w:val="nil"/>
            </w:tcBorders>
            <w:shd w:val="clear" w:color="auto" w:fill="auto"/>
            <w:noWrap/>
            <w:vAlign w:val="center"/>
            <w:hideMark/>
          </w:tcPr>
          <w:p w14:paraId="7E59A5C9" w14:textId="77777777" w:rsidR="00E75910" w:rsidRPr="00E75910" w:rsidRDefault="00E75910" w:rsidP="00E75910">
            <w:pPr>
              <w:spacing w:before="0" w:after="0" w:line="240" w:lineRule="auto"/>
              <w:rPr>
                <w:rFonts w:ascii="Arial" w:hAnsi="Arial" w:cs="Arial"/>
                <w:b/>
                <w:bCs/>
                <w:color w:val="000000"/>
                <w:sz w:val="16"/>
                <w:szCs w:val="16"/>
              </w:rPr>
            </w:pPr>
          </w:p>
        </w:tc>
        <w:tc>
          <w:tcPr>
            <w:tcW w:w="615" w:type="pct"/>
            <w:tcBorders>
              <w:top w:val="nil"/>
              <w:left w:val="nil"/>
              <w:bottom w:val="nil"/>
              <w:right w:val="nil"/>
            </w:tcBorders>
            <w:shd w:val="clear" w:color="auto" w:fill="auto"/>
            <w:noWrap/>
            <w:vAlign w:val="center"/>
            <w:hideMark/>
          </w:tcPr>
          <w:p w14:paraId="503A09A1" w14:textId="77777777" w:rsidR="00E75910" w:rsidRPr="00E75910" w:rsidRDefault="00E75910" w:rsidP="00E75910">
            <w:pPr>
              <w:spacing w:before="0" w:after="0" w:line="240" w:lineRule="auto"/>
              <w:rPr>
                <w:rFonts w:ascii="Times New Roman" w:hAnsi="Times New Roman"/>
                <w:sz w:val="20"/>
              </w:rPr>
            </w:pPr>
          </w:p>
        </w:tc>
        <w:tc>
          <w:tcPr>
            <w:tcW w:w="616" w:type="pct"/>
            <w:tcBorders>
              <w:top w:val="nil"/>
              <w:left w:val="nil"/>
              <w:bottom w:val="nil"/>
              <w:right w:val="nil"/>
            </w:tcBorders>
            <w:shd w:val="clear" w:color="auto" w:fill="auto"/>
            <w:noWrap/>
            <w:vAlign w:val="center"/>
            <w:hideMark/>
          </w:tcPr>
          <w:p w14:paraId="5D9037D5" w14:textId="77777777" w:rsidR="00E75910" w:rsidRPr="00E75910" w:rsidRDefault="00E75910" w:rsidP="00E75910">
            <w:pPr>
              <w:spacing w:before="0" w:after="0" w:line="240" w:lineRule="auto"/>
              <w:rPr>
                <w:rFonts w:ascii="Times New Roman" w:hAnsi="Times New Roman"/>
                <w:sz w:val="20"/>
              </w:rPr>
            </w:pPr>
          </w:p>
        </w:tc>
      </w:tr>
      <w:tr w:rsidR="00E75910" w:rsidRPr="00E75910" w14:paraId="6969B9AA" w14:textId="77777777" w:rsidTr="008B77C1">
        <w:trPr>
          <w:divId w:val="132724921"/>
          <w:trHeight w:hRule="exact" w:val="225"/>
        </w:trPr>
        <w:tc>
          <w:tcPr>
            <w:tcW w:w="2017" w:type="pct"/>
            <w:tcBorders>
              <w:top w:val="nil"/>
              <w:left w:val="nil"/>
              <w:bottom w:val="single" w:sz="4" w:space="0" w:color="293F5B"/>
              <w:right w:val="nil"/>
            </w:tcBorders>
            <w:shd w:val="clear" w:color="auto" w:fill="auto"/>
            <w:noWrap/>
            <w:vAlign w:val="center"/>
            <w:hideMark/>
          </w:tcPr>
          <w:p w14:paraId="1B01ECC3" w14:textId="77777777" w:rsidR="00E75910" w:rsidRPr="00E75910" w:rsidRDefault="00E75910" w:rsidP="00E75910">
            <w:pPr>
              <w:spacing w:before="0" w:after="0" w:line="240" w:lineRule="auto"/>
              <w:rPr>
                <w:rFonts w:ascii="Arial" w:hAnsi="Arial" w:cs="Arial"/>
                <w:b/>
                <w:bCs/>
                <w:sz w:val="16"/>
                <w:szCs w:val="16"/>
              </w:rPr>
            </w:pPr>
            <w:r w:rsidRPr="00E75910">
              <w:rPr>
                <w:rFonts w:ascii="Arial" w:hAnsi="Arial" w:cs="Arial"/>
                <w:b/>
                <w:bCs/>
                <w:sz w:val="16"/>
                <w:szCs w:val="16"/>
              </w:rPr>
              <w:t>Net debt</w:t>
            </w:r>
          </w:p>
        </w:tc>
        <w:tc>
          <w:tcPr>
            <w:tcW w:w="523" w:type="pct"/>
            <w:tcBorders>
              <w:top w:val="single" w:sz="4" w:space="0" w:color="293F5B"/>
              <w:left w:val="nil"/>
              <w:bottom w:val="single" w:sz="4" w:space="0" w:color="293F5B"/>
              <w:right w:val="nil"/>
            </w:tcBorders>
            <w:shd w:val="clear" w:color="auto" w:fill="auto"/>
            <w:noWrap/>
            <w:vAlign w:val="center"/>
            <w:hideMark/>
          </w:tcPr>
          <w:p w14:paraId="33E4C3F7" w14:textId="77777777" w:rsidR="00E75910" w:rsidRPr="00E75910" w:rsidRDefault="00E75910" w:rsidP="00E75910">
            <w:pPr>
              <w:spacing w:before="0" w:after="0" w:line="240" w:lineRule="auto"/>
              <w:jc w:val="right"/>
              <w:rPr>
                <w:rFonts w:ascii="Arial" w:hAnsi="Arial" w:cs="Arial"/>
                <w:b/>
                <w:bCs/>
                <w:color w:val="000000"/>
                <w:sz w:val="16"/>
                <w:szCs w:val="16"/>
              </w:rPr>
            </w:pPr>
            <w:r w:rsidRPr="00E75910">
              <w:rPr>
                <w:rFonts w:ascii="Arial" w:hAnsi="Arial" w:cs="Arial"/>
                <w:b/>
                <w:bCs/>
                <w:color w:val="000000"/>
                <w:sz w:val="16"/>
                <w:szCs w:val="16"/>
              </w:rPr>
              <w:t>499,886</w:t>
            </w:r>
          </w:p>
        </w:tc>
        <w:tc>
          <w:tcPr>
            <w:tcW w:w="615" w:type="pct"/>
            <w:tcBorders>
              <w:top w:val="single" w:sz="4" w:space="0" w:color="293F5B"/>
              <w:left w:val="nil"/>
              <w:bottom w:val="single" w:sz="4" w:space="0" w:color="293F5B"/>
              <w:right w:val="nil"/>
            </w:tcBorders>
            <w:shd w:val="clear" w:color="000000" w:fill="E6F2FF"/>
            <w:noWrap/>
            <w:vAlign w:val="center"/>
            <w:hideMark/>
          </w:tcPr>
          <w:p w14:paraId="6A3EB8E0" w14:textId="77777777" w:rsidR="00E75910" w:rsidRPr="00E75910" w:rsidRDefault="00E75910" w:rsidP="00E75910">
            <w:pPr>
              <w:spacing w:before="0" w:after="0" w:line="240" w:lineRule="auto"/>
              <w:jc w:val="right"/>
              <w:rPr>
                <w:rFonts w:ascii="Arial" w:hAnsi="Arial" w:cs="Arial"/>
                <w:b/>
                <w:bCs/>
                <w:color w:val="000000"/>
                <w:sz w:val="16"/>
                <w:szCs w:val="16"/>
              </w:rPr>
            </w:pPr>
            <w:r w:rsidRPr="00E75910">
              <w:rPr>
                <w:rFonts w:ascii="Arial" w:hAnsi="Arial" w:cs="Arial"/>
                <w:b/>
                <w:bCs/>
                <w:color w:val="000000"/>
                <w:sz w:val="16"/>
                <w:szCs w:val="16"/>
              </w:rPr>
              <w:t>552,532</w:t>
            </w:r>
          </w:p>
        </w:tc>
        <w:tc>
          <w:tcPr>
            <w:tcW w:w="615" w:type="pct"/>
            <w:gridSpan w:val="2"/>
            <w:tcBorders>
              <w:top w:val="single" w:sz="4" w:space="0" w:color="293F5B"/>
              <w:left w:val="nil"/>
              <w:bottom w:val="single" w:sz="4" w:space="0" w:color="293F5B"/>
              <w:right w:val="nil"/>
            </w:tcBorders>
            <w:shd w:val="clear" w:color="auto" w:fill="auto"/>
            <w:noWrap/>
            <w:vAlign w:val="center"/>
            <w:hideMark/>
          </w:tcPr>
          <w:p w14:paraId="03475F47" w14:textId="77777777" w:rsidR="00E75910" w:rsidRPr="00E75910" w:rsidRDefault="00E75910" w:rsidP="00E75910">
            <w:pPr>
              <w:spacing w:before="0" w:after="0" w:line="240" w:lineRule="auto"/>
              <w:jc w:val="right"/>
              <w:rPr>
                <w:rFonts w:ascii="Arial" w:hAnsi="Arial" w:cs="Arial"/>
                <w:b/>
                <w:bCs/>
                <w:color w:val="000000"/>
                <w:sz w:val="16"/>
                <w:szCs w:val="16"/>
              </w:rPr>
            </w:pPr>
            <w:r w:rsidRPr="00E75910">
              <w:rPr>
                <w:rFonts w:ascii="Arial" w:hAnsi="Arial" w:cs="Arial"/>
                <w:b/>
                <w:bCs/>
                <w:color w:val="000000"/>
                <w:sz w:val="16"/>
                <w:szCs w:val="16"/>
              </w:rPr>
              <w:t>615,478</w:t>
            </w:r>
          </w:p>
        </w:tc>
        <w:tc>
          <w:tcPr>
            <w:tcW w:w="615" w:type="pct"/>
            <w:tcBorders>
              <w:top w:val="single" w:sz="4" w:space="0" w:color="293F5B"/>
              <w:left w:val="nil"/>
              <w:bottom w:val="single" w:sz="4" w:space="0" w:color="293F5B"/>
              <w:right w:val="nil"/>
            </w:tcBorders>
            <w:shd w:val="clear" w:color="auto" w:fill="auto"/>
            <w:noWrap/>
            <w:vAlign w:val="center"/>
            <w:hideMark/>
          </w:tcPr>
          <w:p w14:paraId="641EE62E" w14:textId="77777777" w:rsidR="00E75910" w:rsidRPr="00E75910" w:rsidRDefault="00E75910" w:rsidP="00E75910">
            <w:pPr>
              <w:spacing w:before="0" w:after="0" w:line="240" w:lineRule="auto"/>
              <w:jc w:val="right"/>
              <w:rPr>
                <w:rFonts w:ascii="Arial" w:hAnsi="Arial" w:cs="Arial"/>
                <w:b/>
                <w:bCs/>
                <w:color w:val="000000"/>
                <w:sz w:val="16"/>
                <w:szCs w:val="16"/>
              </w:rPr>
            </w:pPr>
            <w:r w:rsidRPr="00E75910">
              <w:rPr>
                <w:rFonts w:ascii="Arial" w:hAnsi="Arial" w:cs="Arial"/>
                <w:b/>
                <w:bCs/>
                <w:color w:val="000000"/>
                <w:sz w:val="16"/>
                <w:szCs w:val="16"/>
              </w:rPr>
              <w:t>660,048</w:t>
            </w:r>
          </w:p>
        </w:tc>
        <w:tc>
          <w:tcPr>
            <w:tcW w:w="616" w:type="pct"/>
            <w:tcBorders>
              <w:top w:val="single" w:sz="4" w:space="0" w:color="293F5B"/>
              <w:left w:val="nil"/>
              <w:bottom w:val="single" w:sz="4" w:space="0" w:color="293F5B"/>
              <w:right w:val="nil"/>
            </w:tcBorders>
            <w:shd w:val="clear" w:color="auto" w:fill="auto"/>
            <w:noWrap/>
            <w:vAlign w:val="center"/>
            <w:hideMark/>
          </w:tcPr>
          <w:p w14:paraId="1071662E" w14:textId="77777777" w:rsidR="00E75910" w:rsidRPr="00E75910" w:rsidRDefault="00E75910" w:rsidP="00E75910">
            <w:pPr>
              <w:spacing w:before="0" w:after="0" w:line="240" w:lineRule="auto"/>
              <w:jc w:val="right"/>
              <w:rPr>
                <w:rFonts w:ascii="Arial" w:hAnsi="Arial" w:cs="Arial"/>
                <w:b/>
                <w:bCs/>
                <w:color w:val="000000"/>
                <w:sz w:val="16"/>
                <w:szCs w:val="16"/>
              </w:rPr>
            </w:pPr>
            <w:r w:rsidRPr="00E75910">
              <w:rPr>
                <w:rFonts w:ascii="Arial" w:hAnsi="Arial" w:cs="Arial"/>
                <w:b/>
                <w:bCs/>
                <w:color w:val="000000"/>
                <w:sz w:val="16"/>
                <w:szCs w:val="16"/>
              </w:rPr>
              <w:t>697,505</w:t>
            </w:r>
          </w:p>
        </w:tc>
      </w:tr>
    </w:tbl>
    <w:p w14:paraId="20E4195F" w14:textId="727DB9B1" w:rsidR="001A4F7E" w:rsidRPr="0098325D" w:rsidRDefault="001A4F7E" w:rsidP="006C6733">
      <w:pPr>
        <w:pStyle w:val="ChartandTableFootnoteAlpha"/>
        <w:numPr>
          <w:ilvl w:val="0"/>
          <w:numId w:val="11"/>
        </w:numPr>
      </w:pPr>
      <w:r w:rsidRPr="0098325D">
        <w:t>Government securities are presented at market value.</w:t>
      </w:r>
    </w:p>
    <w:p w14:paraId="69AE12B2" w14:textId="77777777" w:rsidR="001A4F7E" w:rsidRPr="0098325D" w:rsidRDefault="001A4F7E" w:rsidP="001A4F7E">
      <w:pPr>
        <w:pStyle w:val="ChartLine"/>
      </w:pPr>
    </w:p>
    <w:p w14:paraId="561037EA" w14:textId="29C94128" w:rsidR="001A4F7E" w:rsidRPr="0098325D" w:rsidRDefault="001A4F7E" w:rsidP="00396838">
      <w:bookmarkStart w:id="42" w:name="_Toc67660288"/>
      <w:bookmarkStart w:id="43" w:name="_Toc98531936"/>
      <w:r w:rsidRPr="0098325D">
        <w:br w:type="page"/>
      </w:r>
    </w:p>
    <w:p w14:paraId="473DF282" w14:textId="3AD1019F" w:rsidR="001A4F7E" w:rsidRPr="0098325D" w:rsidRDefault="001A4F7E" w:rsidP="001A4F7E">
      <w:pPr>
        <w:pStyle w:val="Heading3"/>
      </w:pPr>
      <w:bookmarkStart w:id="44" w:name="_Toc117337751"/>
      <w:bookmarkStart w:id="45" w:name="_Toc166355906"/>
      <w:r w:rsidRPr="0098325D">
        <w:lastRenderedPageBreak/>
        <w:t xml:space="preserve">Changes in net debt since </w:t>
      </w:r>
      <w:bookmarkEnd w:id="42"/>
      <w:bookmarkEnd w:id="43"/>
      <w:r w:rsidRPr="0098325D">
        <w:t xml:space="preserve">the </w:t>
      </w:r>
      <w:bookmarkEnd w:id="44"/>
      <w:r w:rsidR="00305C47" w:rsidRPr="0098325D">
        <w:t>2023</w:t>
      </w:r>
      <w:r w:rsidR="00396838" w:rsidRPr="0098325D">
        <w:t>–</w:t>
      </w:r>
      <w:r w:rsidR="00305C47" w:rsidRPr="0098325D">
        <w:t>24</w:t>
      </w:r>
      <w:r w:rsidR="002E1A24" w:rsidRPr="0098325D">
        <w:t xml:space="preserve"> MYEFO</w:t>
      </w:r>
      <w:bookmarkEnd w:id="45"/>
    </w:p>
    <w:p w14:paraId="2E8D51A6" w14:textId="437515B1" w:rsidR="001A4F7E" w:rsidRPr="004C05FA" w:rsidRDefault="001A4F7E" w:rsidP="001A4F7E">
      <w:pPr>
        <w:rPr>
          <w:rFonts w:ascii="Arial" w:hAnsi="Arial" w:cs="Arial"/>
          <w:b/>
          <w:sz w:val="20"/>
        </w:rPr>
      </w:pPr>
      <w:r w:rsidRPr="004C05FA">
        <w:t xml:space="preserve">Net debt is expected to be </w:t>
      </w:r>
      <w:r w:rsidR="00C36DBC" w:rsidRPr="004C05FA">
        <w:t>higher</w:t>
      </w:r>
      <w:r w:rsidRPr="004C05FA">
        <w:t xml:space="preserve"> than estimated at the </w:t>
      </w:r>
      <w:r w:rsidR="00305C47" w:rsidRPr="004C05FA">
        <w:t>2023</w:t>
      </w:r>
      <w:r w:rsidR="00396838" w:rsidRPr="004C05FA">
        <w:t>–</w:t>
      </w:r>
      <w:r w:rsidR="00305C47" w:rsidRPr="004C05FA">
        <w:t>24</w:t>
      </w:r>
      <w:r w:rsidR="002E1A24" w:rsidRPr="004C05FA">
        <w:t xml:space="preserve"> MYEFO</w:t>
      </w:r>
      <w:r w:rsidRPr="004C05FA">
        <w:t xml:space="preserve"> across each year of the forward estimates. This </w:t>
      </w:r>
      <w:r w:rsidR="00D76378" w:rsidRPr="004C05FA">
        <w:t>increase</w:t>
      </w:r>
      <w:r w:rsidRPr="004C05FA">
        <w:t xml:space="preserve"> primarily reflects</w:t>
      </w:r>
      <w:r w:rsidR="00D51193" w:rsidRPr="004C05FA">
        <w:t xml:space="preserve"> the impact of </w:t>
      </w:r>
      <w:r w:rsidR="00694539" w:rsidRPr="004C05FA">
        <w:t xml:space="preserve">lower </w:t>
      </w:r>
      <w:r w:rsidR="00D51193" w:rsidRPr="004C05FA">
        <w:t xml:space="preserve">yields on AGS, </w:t>
      </w:r>
      <w:r w:rsidR="004D4FC3" w:rsidRPr="004C05FA">
        <w:t>as well as an increase in the financing requirement from 202</w:t>
      </w:r>
      <w:r w:rsidR="00E64D60" w:rsidRPr="004C05FA">
        <w:t>4</w:t>
      </w:r>
      <w:r w:rsidR="00997919" w:rsidRPr="004C05FA">
        <w:t>–</w:t>
      </w:r>
      <w:r w:rsidR="004D4FC3" w:rsidRPr="004C05FA">
        <w:t>2</w:t>
      </w:r>
      <w:r w:rsidR="00E64D60" w:rsidRPr="004C05FA">
        <w:t>5</w:t>
      </w:r>
      <w:r w:rsidR="004D4FC3" w:rsidRPr="004C05FA">
        <w:t xml:space="preserve"> onwards</w:t>
      </w:r>
      <w:r w:rsidR="00DB52EC" w:rsidRPr="004C05FA">
        <w:t xml:space="preserve">. </w:t>
      </w:r>
    </w:p>
    <w:p w14:paraId="741DF071" w14:textId="4D0C78A9" w:rsidR="00AA63AC" w:rsidRDefault="001A4F7E" w:rsidP="00973AAF">
      <w:pPr>
        <w:pStyle w:val="TableHeading"/>
        <w:rPr>
          <w:rFonts w:asciiTheme="minorHAnsi" w:eastAsiaTheme="minorHAnsi" w:hAnsiTheme="minorHAnsi" w:cstheme="minorBidi"/>
          <w:b w:val="0"/>
          <w:sz w:val="22"/>
          <w:szCs w:val="22"/>
          <w:lang w:eastAsia="en-US"/>
        </w:rPr>
      </w:pPr>
      <w:r w:rsidRPr="004C05FA">
        <w:t>Table 7.8: Net debt – reconciliation from the 202</w:t>
      </w:r>
      <w:r w:rsidR="00B004DC" w:rsidRPr="004C05FA">
        <w:t>3</w:t>
      </w:r>
      <w:r w:rsidR="00997919" w:rsidRPr="004C05FA">
        <w:t>–</w:t>
      </w:r>
      <w:r w:rsidRPr="004C05FA">
        <w:t>2</w:t>
      </w:r>
      <w:r w:rsidR="00B004DC" w:rsidRPr="004C05FA">
        <w:t>4</w:t>
      </w:r>
      <w:r w:rsidR="000B064C" w:rsidRPr="004C05FA">
        <w:t> </w:t>
      </w:r>
      <w:r w:rsidR="00B004DC" w:rsidRPr="004C05FA">
        <w:t>MYEFO</w:t>
      </w:r>
      <w:r w:rsidRPr="004C05FA">
        <w:t xml:space="preserve"> to the 202</w:t>
      </w:r>
      <w:r w:rsidR="00B004DC" w:rsidRPr="004C05FA">
        <w:t>4</w:t>
      </w:r>
      <w:r w:rsidR="00997919" w:rsidRPr="004C05FA">
        <w:t>‍–‍</w:t>
      </w:r>
      <w:r w:rsidRPr="004C05FA">
        <w:t>2</w:t>
      </w:r>
      <w:r w:rsidR="00B004DC" w:rsidRPr="004C05FA">
        <w:t>5</w:t>
      </w:r>
      <w:r w:rsidR="000B064C" w:rsidRPr="004C05FA">
        <w:t> </w:t>
      </w:r>
      <w:r w:rsidRPr="004C05FA">
        <w:t>Budget</w:t>
      </w:r>
      <w:bookmarkStart w:id="46" w:name="_1776697148"/>
      <w:bookmarkEnd w:id="46"/>
    </w:p>
    <w:tbl>
      <w:tblPr>
        <w:tblW w:w="5000" w:type="pct"/>
        <w:tblCellMar>
          <w:left w:w="0" w:type="dxa"/>
          <w:right w:w="28" w:type="dxa"/>
        </w:tblCellMar>
        <w:tblLook w:val="04A0" w:firstRow="1" w:lastRow="0" w:firstColumn="1" w:lastColumn="0" w:noHBand="0" w:noVBand="1"/>
      </w:tblPr>
      <w:tblGrid>
        <w:gridCol w:w="3888"/>
        <w:gridCol w:w="956"/>
        <w:gridCol w:w="956"/>
        <w:gridCol w:w="956"/>
        <w:gridCol w:w="954"/>
      </w:tblGrid>
      <w:tr w:rsidR="00AA63AC" w:rsidRPr="00AA63AC" w14:paraId="588D7353" w14:textId="77777777" w:rsidTr="00AA63AC">
        <w:trPr>
          <w:divId w:val="2131505734"/>
          <w:trHeight w:hRule="exact" w:val="225"/>
        </w:trPr>
        <w:tc>
          <w:tcPr>
            <w:tcW w:w="2521" w:type="pct"/>
            <w:tcBorders>
              <w:top w:val="single" w:sz="4" w:space="0" w:color="293F5B"/>
              <w:left w:val="nil"/>
              <w:bottom w:val="nil"/>
              <w:right w:val="nil"/>
            </w:tcBorders>
            <w:shd w:val="clear" w:color="auto" w:fill="auto"/>
            <w:noWrap/>
            <w:vAlign w:val="center"/>
            <w:hideMark/>
          </w:tcPr>
          <w:p w14:paraId="370FF852" w14:textId="09AAAF90" w:rsidR="00AA63AC" w:rsidRPr="00AA63AC" w:rsidRDefault="00AA63AC" w:rsidP="00AA63AC">
            <w:pPr>
              <w:rPr>
                <w:rFonts w:ascii="Arial" w:hAnsi="Arial" w:cs="Arial"/>
                <w:sz w:val="16"/>
                <w:szCs w:val="16"/>
              </w:rPr>
            </w:pPr>
            <w:r w:rsidRPr="00AA63AC">
              <w:rPr>
                <w:rFonts w:ascii="Arial" w:hAnsi="Arial" w:cs="Arial"/>
                <w:sz w:val="16"/>
                <w:szCs w:val="16"/>
              </w:rPr>
              <w:t> </w:t>
            </w:r>
          </w:p>
        </w:tc>
        <w:tc>
          <w:tcPr>
            <w:tcW w:w="620" w:type="pct"/>
            <w:tcBorders>
              <w:top w:val="single" w:sz="4" w:space="0" w:color="293F5B"/>
              <w:left w:val="nil"/>
              <w:bottom w:val="nil"/>
              <w:right w:val="nil"/>
            </w:tcBorders>
            <w:shd w:val="clear" w:color="000000" w:fill="FFFFFF"/>
            <w:vAlign w:val="center"/>
            <w:hideMark/>
          </w:tcPr>
          <w:p w14:paraId="7AB63FBF" w14:textId="4E15C30F"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2023</w:t>
            </w:r>
            <w:r w:rsidR="00B57616">
              <w:rPr>
                <w:rFonts w:ascii="Arial" w:hAnsi="Arial" w:cs="Arial"/>
                <w:sz w:val="16"/>
                <w:szCs w:val="16"/>
              </w:rPr>
              <w:noBreakHyphen/>
            </w:r>
            <w:r w:rsidRPr="00AA63AC">
              <w:rPr>
                <w:rFonts w:ascii="Arial" w:hAnsi="Arial" w:cs="Arial"/>
                <w:sz w:val="16"/>
                <w:szCs w:val="16"/>
              </w:rPr>
              <w:t>24</w:t>
            </w:r>
          </w:p>
        </w:tc>
        <w:tc>
          <w:tcPr>
            <w:tcW w:w="620" w:type="pct"/>
            <w:tcBorders>
              <w:top w:val="single" w:sz="4" w:space="0" w:color="293F5B"/>
              <w:left w:val="nil"/>
              <w:bottom w:val="nil"/>
              <w:right w:val="nil"/>
            </w:tcBorders>
            <w:shd w:val="clear" w:color="000000" w:fill="E6F2FF"/>
            <w:vAlign w:val="center"/>
            <w:hideMark/>
          </w:tcPr>
          <w:p w14:paraId="3CB87A0C" w14:textId="09266644"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2024</w:t>
            </w:r>
            <w:r w:rsidR="00B57616">
              <w:rPr>
                <w:rFonts w:ascii="Arial" w:hAnsi="Arial" w:cs="Arial"/>
                <w:sz w:val="16"/>
                <w:szCs w:val="16"/>
              </w:rPr>
              <w:noBreakHyphen/>
            </w:r>
            <w:r w:rsidRPr="00AA63AC">
              <w:rPr>
                <w:rFonts w:ascii="Arial" w:hAnsi="Arial" w:cs="Arial"/>
                <w:sz w:val="16"/>
                <w:szCs w:val="16"/>
              </w:rPr>
              <w:t>25</w:t>
            </w:r>
          </w:p>
        </w:tc>
        <w:tc>
          <w:tcPr>
            <w:tcW w:w="620" w:type="pct"/>
            <w:tcBorders>
              <w:top w:val="single" w:sz="4" w:space="0" w:color="293F5B"/>
              <w:left w:val="nil"/>
              <w:bottom w:val="nil"/>
              <w:right w:val="nil"/>
            </w:tcBorders>
            <w:shd w:val="clear" w:color="auto" w:fill="auto"/>
            <w:vAlign w:val="center"/>
            <w:hideMark/>
          </w:tcPr>
          <w:p w14:paraId="0C2EFB59" w14:textId="7CD8878C"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2025</w:t>
            </w:r>
            <w:r w:rsidR="00B57616">
              <w:rPr>
                <w:rFonts w:ascii="Arial" w:hAnsi="Arial" w:cs="Arial"/>
                <w:sz w:val="16"/>
                <w:szCs w:val="16"/>
              </w:rPr>
              <w:noBreakHyphen/>
            </w:r>
            <w:r w:rsidRPr="00AA63AC">
              <w:rPr>
                <w:rFonts w:ascii="Arial" w:hAnsi="Arial" w:cs="Arial"/>
                <w:sz w:val="16"/>
                <w:szCs w:val="16"/>
              </w:rPr>
              <w:t>26</w:t>
            </w:r>
          </w:p>
        </w:tc>
        <w:tc>
          <w:tcPr>
            <w:tcW w:w="620" w:type="pct"/>
            <w:tcBorders>
              <w:top w:val="single" w:sz="4" w:space="0" w:color="293F5B"/>
              <w:left w:val="nil"/>
              <w:bottom w:val="nil"/>
              <w:right w:val="nil"/>
            </w:tcBorders>
            <w:shd w:val="clear" w:color="auto" w:fill="auto"/>
            <w:vAlign w:val="center"/>
            <w:hideMark/>
          </w:tcPr>
          <w:p w14:paraId="016D48C6" w14:textId="1E6D0D82"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2026</w:t>
            </w:r>
            <w:r w:rsidR="00B57616">
              <w:rPr>
                <w:rFonts w:ascii="Arial" w:hAnsi="Arial" w:cs="Arial"/>
                <w:sz w:val="16"/>
                <w:szCs w:val="16"/>
              </w:rPr>
              <w:noBreakHyphen/>
            </w:r>
            <w:r w:rsidRPr="00AA63AC">
              <w:rPr>
                <w:rFonts w:ascii="Arial" w:hAnsi="Arial" w:cs="Arial"/>
                <w:sz w:val="16"/>
                <w:szCs w:val="16"/>
              </w:rPr>
              <w:t>27</w:t>
            </w:r>
          </w:p>
        </w:tc>
      </w:tr>
      <w:tr w:rsidR="00AA63AC" w:rsidRPr="00AA63AC" w14:paraId="135FB95B" w14:textId="77777777" w:rsidTr="00AA63AC">
        <w:trPr>
          <w:divId w:val="2131505734"/>
          <w:trHeight w:hRule="exact" w:val="225"/>
        </w:trPr>
        <w:tc>
          <w:tcPr>
            <w:tcW w:w="2521" w:type="pct"/>
            <w:tcBorders>
              <w:top w:val="nil"/>
              <w:left w:val="nil"/>
              <w:bottom w:val="nil"/>
              <w:right w:val="nil"/>
            </w:tcBorders>
            <w:shd w:val="clear" w:color="auto" w:fill="auto"/>
            <w:noWrap/>
            <w:vAlign w:val="center"/>
            <w:hideMark/>
          </w:tcPr>
          <w:p w14:paraId="458E151D" w14:textId="77777777" w:rsidR="00AA63AC" w:rsidRPr="00AA63AC" w:rsidRDefault="00AA63AC" w:rsidP="00AA63AC">
            <w:pPr>
              <w:spacing w:before="0" w:after="0" w:line="240" w:lineRule="auto"/>
              <w:jc w:val="right"/>
              <w:rPr>
                <w:rFonts w:ascii="Arial" w:hAnsi="Arial" w:cs="Arial"/>
                <w:sz w:val="16"/>
                <w:szCs w:val="16"/>
              </w:rPr>
            </w:pPr>
          </w:p>
        </w:tc>
        <w:tc>
          <w:tcPr>
            <w:tcW w:w="620" w:type="pct"/>
            <w:tcBorders>
              <w:top w:val="nil"/>
              <w:left w:val="nil"/>
              <w:bottom w:val="single" w:sz="4" w:space="0" w:color="293F5B"/>
              <w:right w:val="nil"/>
            </w:tcBorders>
            <w:shd w:val="clear" w:color="000000" w:fill="FFFFFF"/>
            <w:noWrap/>
            <w:vAlign w:val="center"/>
            <w:hideMark/>
          </w:tcPr>
          <w:p w14:paraId="76CCD64B" w14:textId="77777777"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$b</w:t>
            </w:r>
          </w:p>
        </w:tc>
        <w:tc>
          <w:tcPr>
            <w:tcW w:w="620" w:type="pct"/>
            <w:tcBorders>
              <w:top w:val="nil"/>
              <w:left w:val="nil"/>
              <w:bottom w:val="single" w:sz="4" w:space="0" w:color="293F5B"/>
              <w:right w:val="nil"/>
            </w:tcBorders>
            <w:shd w:val="clear" w:color="000000" w:fill="E6F2FF"/>
            <w:noWrap/>
            <w:vAlign w:val="center"/>
            <w:hideMark/>
          </w:tcPr>
          <w:p w14:paraId="2B45F681" w14:textId="77777777"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$b</w:t>
            </w:r>
          </w:p>
        </w:tc>
        <w:tc>
          <w:tcPr>
            <w:tcW w:w="620" w:type="pct"/>
            <w:tcBorders>
              <w:top w:val="nil"/>
              <w:left w:val="nil"/>
              <w:bottom w:val="single" w:sz="4" w:space="0" w:color="293F5B"/>
              <w:right w:val="nil"/>
            </w:tcBorders>
            <w:shd w:val="clear" w:color="auto" w:fill="auto"/>
            <w:noWrap/>
            <w:vAlign w:val="center"/>
            <w:hideMark/>
          </w:tcPr>
          <w:p w14:paraId="360E8510" w14:textId="77777777"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$b</w:t>
            </w:r>
          </w:p>
        </w:tc>
        <w:tc>
          <w:tcPr>
            <w:tcW w:w="620" w:type="pct"/>
            <w:tcBorders>
              <w:top w:val="nil"/>
              <w:left w:val="nil"/>
              <w:bottom w:val="single" w:sz="4" w:space="0" w:color="293F5B"/>
              <w:right w:val="nil"/>
            </w:tcBorders>
            <w:shd w:val="clear" w:color="auto" w:fill="auto"/>
            <w:noWrap/>
            <w:vAlign w:val="center"/>
            <w:hideMark/>
          </w:tcPr>
          <w:p w14:paraId="66137440" w14:textId="77777777"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$b</w:t>
            </w:r>
          </w:p>
        </w:tc>
      </w:tr>
      <w:tr w:rsidR="00AA63AC" w:rsidRPr="00AA63AC" w14:paraId="35799240" w14:textId="77777777" w:rsidTr="00AA63AC">
        <w:trPr>
          <w:divId w:val="2131505734"/>
          <w:trHeight w:hRule="exact" w:val="225"/>
        </w:trPr>
        <w:tc>
          <w:tcPr>
            <w:tcW w:w="2521" w:type="pct"/>
            <w:tcBorders>
              <w:top w:val="nil"/>
              <w:left w:val="nil"/>
              <w:bottom w:val="nil"/>
              <w:right w:val="nil"/>
            </w:tcBorders>
            <w:shd w:val="clear" w:color="auto" w:fill="auto"/>
            <w:noWrap/>
            <w:vAlign w:val="center"/>
            <w:hideMark/>
          </w:tcPr>
          <w:p w14:paraId="5A56A66F" w14:textId="56FB8984" w:rsidR="00AA63AC" w:rsidRPr="00AA63AC" w:rsidRDefault="00AA63AC" w:rsidP="00AA63AC">
            <w:pPr>
              <w:spacing w:before="0" w:after="0" w:line="240" w:lineRule="auto"/>
              <w:rPr>
                <w:rFonts w:ascii="Arial" w:hAnsi="Arial" w:cs="Arial"/>
                <w:b/>
                <w:bCs/>
                <w:sz w:val="16"/>
                <w:szCs w:val="16"/>
              </w:rPr>
            </w:pPr>
            <w:r w:rsidRPr="00AA63AC">
              <w:rPr>
                <w:rFonts w:ascii="Arial" w:hAnsi="Arial" w:cs="Arial"/>
                <w:b/>
                <w:bCs/>
                <w:sz w:val="16"/>
                <w:szCs w:val="16"/>
              </w:rPr>
              <w:t>Net debt as at 2023</w:t>
            </w:r>
            <w:r w:rsidR="00B57616">
              <w:rPr>
                <w:rFonts w:ascii="Arial" w:hAnsi="Arial" w:cs="Arial"/>
                <w:b/>
                <w:bCs/>
                <w:sz w:val="16"/>
                <w:szCs w:val="16"/>
              </w:rPr>
              <w:noBreakHyphen/>
            </w:r>
            <w:r w:rsidRPr="00AA63AC">
              <w:rPr>
                <w:rFonts w:ascii="Arial" w:hAnsi="Arial" w:cs="Arial"/>
                <w:b/>
                <w:bCs/>
                <w:sz w:val="16"/>
                <w:szCs w:val="16"/>
              </w:rPr>
              <w:t>24 MYEFO</w:t>
            </w:r>
          </w:p>
        </w:tc>
        <w:tc>
          <w:tcPr>
            <w:tcW w:w="620" w:type="pct"/>
            <w:tcBorders>
              <w:top w:val="nil"/>
              <w:left w:val="nil"/>
              <w:bottom w:val="nil"/>
              <w:right w:val="nil"/>
            </w:tcBorders>
            <w:shd w:val="clear" w:color="000000" w:fill="FFFFFF"/>
            <w:noWrap/>
            <w:vAlign w:val="center"/>
            <w:hideMark/>
          </w:tcPr>
          <w:p w14:paraId="493BCA03" w14:textId="77777777" w:rsidR="00AA63AC" w:rsidRPr="00AA63AC" w:rsidRDefault="00AA63AC" w:rsidP="00AA63AC">
            <w:pPr>
              <w:spacing w:before="0" w:after="0" w:line="240" w:lineRule="auto"/>
              <w:jc w:val="right"/>
              <w:rPr>
                <w:rFonts w:ascii="Arial" w:hAnsi="Arial" w:cs="Arial"/>
                <w:b/>
                <w:bCs/>
                <w:sz w:val="16"/>
                <w:szCs w:val="16"/>
              </w:rPr>
            </w:pPr>
            <w:r w:rsidRPr="00AA63AC">
              <w:rPr>
                <w:rFonts w:ascii="Arial" w:hAnsi="Arial" w:cs="Arial"/>
                <w:b/>
                <w:bCs/>
                <w:sz w:val="16"/>
                <w:szCs w:val="16"/>
              </w:rPr>
              <w:t>491.0</w:t>
            </w:r>
          </w:p>
        </w:tc>
        <w:tc>
          <w:tcPr>
            <w:tcW w:w="620" w:type="pct"/>
            <w:tcBorders>
              <w:top w:val="nil"/>
              <w:left w:val="nil"/>
              <w:bottom w:val="nil"/>
              <w:right w:val="nil"/>
            </w:tcBorders>
            <w:shd w:val="clear" w:color="000000" w:fill="E6F2FF"/>
            <w:noWrap/>
            <w:vAlign w:val="center"/>
            <w:hideMark/>
          </w:tcPr>
          <w:p w14:paraId="15C1BF31" w14:textId="77777777" w:rsidR="00AA63AC" w:rsidRPr="00AA63AC" w:rsidRDefault="00AA63AC" w:rsidP="00AA63AC">
            <w:pPr>
              <w:spacing w:before="0" w:after="0" w:line="240" w:lineRule="auto"/>
              <w:jc w:val="right"/>
              <w:rPr>
                <w:rFonts w:ascii="Arial" w:hAnsi="Arial" w:cs="Arial"/>
                <w:b/>
                <w:bCs/>
                <w:sz w:val="16"/>
                <w:szCs w:val="16"/>
              </w:rPr>
            </w:pPr>
            <w:r w:rsidRPr="00AA63AC">
              <w:rPr>
                <w:rFonts w:ascii="Arial" w:hAnsi="Arial" w:cs="Arial"/>
                <w:b/>
                <w:bCs/>
                <w:sz w:val="16"/>
                <w:szCs w:val="16"/>
              </w:rPr>
              <w:t>533.3</w:t>
            </w:r>
          </w:p>
        </w:tc>
        <w:tc>
          <w:tcPr>
            <w:tcW w:w="620" w:type="pct"/>
            <w:tcBorders>
              <w:top w:val="nil"/>
              <w:left w:val="nil"/>
              <w:bottom w:val="nil"/>
              <w:right w:val="nil"/>
            </w:tcBorders>
            <w:shd w:val="clear" w:color="auto" w:fill="auto"/>
            <w:noWrap/>
            <w:vAlign w:val="center"/>
            <w:hideMark/>
          </w:tcPr>
          <w:p w14:paraId="44D07612" w14:textId="77777777" w:rsidR="00AA63AC" w:rsidRPr="00AA63AC" w:rsidRDefault="00AA63AC" w:rsidP="00AA63AC">
            <w:pPr>
              <w:spacing w:before="0" w:after="0" w:line="240" w:lineRule="auto"/>
              <w:jc w:val="right"/>
              <w:rPr>
                <w:rFonts w:ascii="Arial" w:hAnsi="Arial" w:cs="Arial"/>
                <w:b/>
                <w:bCs/>
                <w:sz w:val="16"/>
                <w:szCs w:val="16"/>
              </w:rPr>
            </w:pPr>
            <w:r w:rsidRPr="00AA63AC">
              <w:rPr>
                <w:rFonts w:ascii="Arial" w:hAnsi="Arial" w:cs="Arial"/>
                <w:b/>
                <w:bCs/>
                <w:sz w:val="16"/>
                <w:szCs w:val="16"/>
              </w:rPr>
              <w:t>586.4</w:t>
            </w:r>
          </w:p>
        </w:tc>
        <w:tc>
          <w:tcPr>
            <w:tcW w:w="620" w:type="pct"/>
            <w:tcBorders>
              <w:top w:val="nil"/>
              <w:left w:val="nil"/>
              <w:bottom w:val="nil"/>
              <w:right w:val="nil"/>
            </w:tcBorders>
            <w:shd w:val="clear" w:color="auto" w:fill="auto"/>
            <w:noWrap/>
            <w:vAlign w:val="center"/>
            <w:hideMark/>
          </w:tcPr>
          <w:p w14:paraId="0C4E5E05" w14:textId="77777777" w:rsidR="00AA63AC" w:rsidRPr="00AA63AC" w:rsidRDefault="00AA63AC" w:rsidP="00AA63AC">
            <w:pPr>
              <w:spacing w:before="0" w:after="0" w:line="240" w:lineRule="auto"/>
              <w:jc w:val="right"/>
              <w:rPr>
                <w:rFonts w:ascii="Arial" w:hAnsi="Arial" w:cs="Arial"/>
                <w:b/>
                <w:bCs/>
                <w:sz w:val="16"/>
                <w:szCs w:val="16"/>
              </w:rPr>
            </w:pPr>
            <w:r w:rsidRPr="00AA63AC">
              <w:rPr>
                <w:rFonts w:ascii="Arial" w:hAnsi="Arial" w:cs="Arial"/>
                <w:b/>
                <w:bCs/>
                <w:sz w:val="16"/>
                <w:szCs w:val="16"/>
              </w:rPr>
              <w:t>623.9</w:t>
            </w:r>
          </w:p>
        </w:tc>
      </w:tr>
      <w:tr w:rsidR="00AA63AC" w:rsidRPr="00AA63AC" w14:paraId="442535D5" w14:textId="77777777" w:rsidTr="00AA63AC">
        <w:trPr>
          <w:divId w:val="2131505734"/>
          <w:trHeight w:hRule="exact" w:val="225"/>
        </w:trPr>
        <w:tc>
          <w:tcPr>
            <w:tcW w:w="2521" w:type="pct"/>
            <w:tcBorders>
              <w:top w:val="nil"/>
              <w:left w:val="nil"/>
              <w:bottom w:val="nil"/>
              <w:right w:val="nil"/>
            </w:tcBorders>
            <w:shd w:val="clear" w:color="auto" w:fill="auto"/>
            <w:noWrap/>
            <w:vAlign w:val="center"/>
            <w:hideMark/>
          </w:tcPr>
          <w:p w14:paraId="13EC7014" w14:textId="77777777" w:rsidR="00AA63AC" w:rsidRPr="00AA63AC" w:rsidRDefault="00AA63AC" w:rsidP="00AA63AC">
            <w:pPr>
              <w:spacing w:before="0" w:after="0" w:line="240" w:lineRule="auto"/>
              <w:rPr>
                <w:rFonts w:ascii="Arial" w:hAnsi="Arial" w:cs="Arial"/>
                <w:sz w:val="16"/>
                <w:szCs w:val="16"/>
              </w:rPr>
            </w:pPr>
            <w:r w:rsidRPr="00AA63AC">
              <w:rPr>
                <w:rFonts w:ascii="Arial" w:hAnsi="Arial" w:cs="Arial"/>
                <w:sz w:val="16"/>
                <w:szCs w:val="16"/>
              </w:rPr>
              <w:t>Changes in financing requirement</w:t>
            </w:r>
          </w:p>
        </w:tc>
        <w:tc>
          <w:tcPr>
            <w:tcW w:w="620" w:type="pct"/>
            <w:tcBorders>
              <w:top w:val="nil"/>
              <w:left w:val="nil"/>
              <w:bottom w:val="nil"/>
              <w:right w:val="nil"/>
            </w:tcBorders>
            <w:shd w:val="clear" w:color="000000" w:fill="FFFFFF"/>
            <w:noWrap/>
            <w:vAlign w:val="center"/>
            <w:hideMark/>
          </w:tcPr>
          <w:p w14:paraId="70946609" w14:textId="07D3C5CA" w:rsidR="00AA63AC" w:rsidRPr="00AA63AC" w:rsidRDefault="00B57616" w:rsidP="00AA63AC">
            <w:pPr>
              <w:spacing w:before="0" w:after="0" w:line="240" w:lineRule="auto"/>
              <w:jc w:val="right"/>
              <w:rPr>
                <w:rFonts w:ascii="Arial" w:hAnsi="Arial" w:cs="Arial"/>
                <w:sz w:val="16"/>
                <w:szCs w:val="16"/>
              </w:rPr>
            </w:pPr>
            <w:r>
              <w:rPr>
                <w:rFonts w:ascii="Arial" w:hAnsi="Arial" w:cs="Arial"/>
                <w:sz w:val="16"/>
                <w:szCs w:val="16"/>
              </w:rPr>
              <w:noBreakHyphen/>
            </w:r>
            <w:r w:rsidR="00AA63AC" w:rsidRPr="00AA63AC">
              <w:rPr>
                <w:rFonts w:ascii="Arial" w:hAnsi="Arial" w:cs="Arial"/>
                <w:sz w:val="16"/>
                <w:szCs w:val="16"/>
              </w:rPr>
              <w:t>5.0</w:t>
            </w:r>
          </w:p>
        </w:tc>
        <w:tc>
          <w:tcPr>
            <w:tcW w:w="620" w:type="pct"/>
            <w:tcBorders>
              <w:top w:val="nil"/>
              <w:left w:val="nil"/>
              <w:bottom w:val="nil"/>
              <w:right w:val="nil"/>
            </w:tcBorders>
            <w:shd w:val="clear" w:color="000000" w:fill="E6F2FF"/>
            <w:noWrap/>
            <w:vAlign w:val="center"/>
            <w:hideMark/>
          </w:tcPr>
          <w:p w14:paraId="081B5F02" w14:textId="77777777"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3.6</w:t>
            </w:r>
          </w:p>
        </w:tc>
        <w:tc>
          <w:tcPr>
            <w:tcW w:w="620" w:type="pct"/>
            <w:tcBorders>
              <w:top w:val="nil"/>
              <w:left w:val="nil"/>
              <w:bottom w:val="nil"/>
              <w:right w:val="nil"/>
            </w:tcBorders>
            <w:shd w:val="clear" w:color="auto" w:fill="auto"/>
            <w:noWrap/>
            <w:vAlign w:val="center"/>
            <w:hideMark/>
          </w:tcPr>
          <w:p w14:paraId="1D188D65" w14:textId="77777777"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10.7</w:t>
            </w:r>
          </w:p>
        </w:tc>
        <w:tc>
          <w:tcPr>
            <w:tcW w:w="620" w:type="pct"/>
            <w:tcBorders>
              <w:top w:val="nil"/>
              <w:left w:val="nil"/>
              <w:bottom w:val="nil"/>
              <w:right w:val="nil"/>
            </w:tcBorders>
            <w:shd w:val="clear" w:color="auto" w:fill="auto"/>
            <w:noWrap/>
            <w:vAlign w:val="center"/>
            <w:hideMark/>
          </w:tcPr>
          <w:p w14:paraId="51F521F9" w14:textId="77777777"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20.0</w:t>
            </w:r>
          </w:p>
        </w:tc>
      </w:tr>
      <w:tr w:rsidR="00AA63AC" w:rsidRPr="00AA63AC" w14:paraId="43973CA2" w14:textId="77777777" w:rsidTr="00AA63AC">
        <w:trPr>
          <w:divId w:val="2131505734"/>
          <w:trHeight w:hRule="exact" w:val="225"/>
        </w:trPr>
        <w:tc>
          <w:tcPr>
            <w:tcW w:w="2521" w:type="pct"/>
            <w:tcBorders>
              <w:top w:val="nil"/>
              <w:left w:val="nil"/>
              <w:bottom w:val="nil"/>
              <w:right w:val="nil"/>
            </w:tcBorders>
            <w:shd w:val="clear" w:color="auto" w:fill="auto"/>
            <w:noWrap/>
            <w:vAlign w:val="center"/>
            <w:hideMark/>
          </w:tcPr>
          <w:p w14:paraId="628F0731" w14:textId="77777777" w:rsidR="00AA63AC" w:rsidRPr="00AA63AC" w:rsidRDefault="00AA63AC" w:rsidP="00AA63AC">
            <w:pPr>
              <w:spacing w:before="0" w:after="0" w:line="240" w:lineRule="auto"/>
              <w:rPr>
                <w:rFonts w:ascii="Arial" w:hAnsi="Arial" w:cs="Arial"/>
                <w:sz w:val="16"/>
                <w:szCs w:val="16"/>
              </w:rPr>
            </w:pPr>
            <w:r w:rsidRPr="00AA63AC">
              <w:rPr>
                <w:rFonts w:ascii="Arial" w:hAnsi="Arial" w:cs="Arial"/>
                <w:sz w:val="16"/>
                <w:szCs w:val="16"/>
              </w:rPr>
              <w:t>Impact of yields on AGS</w:t>
            </w:r>
          </w:p>
        </w:tc>
        <w:tc>
          <w:tcPr>
            <w:tcW w:w="620" w:type="pct"/>
            <w:tcBorders>
              <w:top w:val="nil"/>
              <w:left w:val="nil"/>
              <w:bottom w:val="nil"/>
              <w:right w:val="nil"/>
            </w:tcBorders>
            <w:shd w:val="clear" w:color="000000" w:fill="FFFFFF"/>
            <w:noWrap/>
            <w:vAlign w:val="center"/>
            <w:hideMark/>
          </w:tcPr>
          <w:p w14:paraId="2413C256" w14:textId="77777777"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20.3</w:t>
            </w:r>
          </w:p>
        </w:tc>
        <w:tc>
          <w:tcPr>
            <w:tcW w:w="620" w:type="pct"/>
            <w:tcBorders>
              <w:top w:val="nil"/>
              <w:left w:val="nil"/>
              <w:bottom w:val="nil"/>
              <w:right w:val="nil"/>
            </w:tcBorders>
            <w:shd w:val="clear" w:color="000000" w:fill="E6F2FF"/>
            <w:noWrap/>
            <w:vAlign w:val="center"/>
            <w:hideMark/>
          </w:tcPr>
          <w:p w14:paraId="2513276C" w14:textId="77777777"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16.3</w:t>
            </w:r>
          </w:p>
        </w:tc>
        <w:tc>
          <w:tcPr>
            <w:tcW w:w="620" w:type="pct"/>
            <w:tcBorders>
              <w:top w:val="nil"/>
              <w:left w:val="nil"/>
              <w:bottom w:val="nil"/>
              <w:right w:val="nil"/>
            </w:tcBorders>
            <w:shd w:val="clear" w:color="auto" w:fill="auto"/>
            <w:noWrap/>
            <w:vAlign w:val="center"/>
            <w:hideMark/>
          </w:tcPr>
          <w:p w14:paraId="6ADC2D54" w14:textId="77777777"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12.8</w:t>
            </w:r>
          </w:p>
        </w:tc>
        <w:tc>
          <w:tcPr>
            <w:tcW w:w="620" w:type="pct"/>
            <w:tcBorders>
              <w:top w:val="nil"/>
              <w:left w:val="nil"/>
              <w:bottom w:val="nil"/>
              <w:right w:val="nil"/>
            </w:tcBorders>
            <w:shd w:val="clear" w:color="auto" w:fill="auto"/>
            <w:noWrap/>
            <w:vAlign w:val="center"/>
            <w:hideMark/>
          </w:tcPr>
          <w:p w14:paraId="1BC3DA37" w14:textId="77777777"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8.4</w:t>
            </w:r>
          </w:p>
        </w:tc>
      </w:tr>
      <w:tr w:rsidR="00AA63AC" w:rsidRPr="00AA63AC" w14:paraId="4569C2B8" w14:textId="77777777" w:rsidTr="00AA63AC">
        <w:trPr>
          <w:divId w:val="2131505734"/>
          <w:trHeight w:hRule="exact" w:val="225"/>
        </w:trPr>
        <w:tc>
          <w:tcPr>
            <w:tcW w:w="2521" w:type="pct"/>
            <w:tcBorders>
              <w:top w:val="nil"/>
              <w:left w:val="nil"/>
              <w:bottom w:val="nil"/>
              <w:right w:val="nil"/>
            </w:tcBorders>
            <w:shd w:val="clear" w:color="auto" w:fill="auto"/>
            <w:noWrap/>
            <w:vAlign w:val="center"/>
            <w:hideMark/>
          </w:tcPr>
          <w:p w14:paraId="1BFDE5BA" w14:textId="77777777" w:rsidR="00AA63AC" w:rsidRPr="00AA63AC" w:rsidRDefault="00AA63AC" w:rsidP="00AA63AC">
            <w:pPr>
              <w:spacing w:before="0" w:after="0" w:line="240" w:lineRule="auto"/>
              <w:rPr>
                <w:rFonts w:ascii="Arial" w:hAnsi="Arial" w:cs="Arial"/>
                <w:sz w:val="16"/>
                <w:szCs w:val="16"/>
              </w:rPr>
            </w:pPr>
            <w:r w:rsidRPr="00AA63AC">
              <w:rPr>
                <w:rFonts w:ascii="Arial" w:hAnsi="Arial" w:cs="Arial"/>
                <w:sz w:val="16"/>
                <w:szCs w:val="16"/>
              </w:rPr>
              <w:t>Asset and other liability movements</w:t>
            </w:r>
          </w:p>
        </w:tc>
        <w:tc>
          <w:tcPr>
            <w:tcW w:w="620" w:type="pct"/>
            <w:tcBorders>
              <w:top w:val="nil"/>
              <w:left w:val="nil"/>
              <w:bottom w:val="nil"/>
              <w:right w:val="nil"/>
            </w:tcBorders>
            <w:shd w:val="clear" w:color="000000" w:fill="FFFFFF"/>
            <w:noWrap/>
            <w:vAlign w:val="center"/>
            <w:hideMark/>
          </w:tcPr>
          <w:p w14:paraId="7662BFFF" w14:textId="51C10092" w:rsidR="00AA63AC" w:rsidRPr="00AA63AC" w:rsidRDefault="00B57616" w:rsidP="00AA63AC">
            <w:pPr>
              <w:spacing w:before="0" w:after="0" w:line="240" w:lineRule="auto"/>
              <w:jc w:val="right"/>
              <w:rPr>
                <w:rFonts w:ascii="Arial" w:hAnsi="Arial" w:cs="Arial"/>
                <w:sz w:val="16"/>
                <w:szCs w:val="16"/>
              </w:rPr>
            </w:pPr>
            <w:r>
              <w:rPr>
                <w:rFonts w:ascii="Arial" w:hAnsi="Arial" w:cs="Arial"/>
                <w:sz w:val="16"/>
                <w:szCs w:val="16"/>
              </w:rPr>
              <w:noBreakHyphen/>
            </w:r>
            <w:r w:rsidR="00AA63AC" w:rsidRPr="00AA63AC">
              <w:rPr>
                <w:rFonts w:ascii="Arial" w:hAnsi="Arial" w:cs="Arial"/>
                <w:sz w:val="16"/>
                <w:szCs w:val="16"/>
              </w:rPr>
              <w:t>6.5</w:t>
            </w:r>
          </w:p>
        </w:tc>
        <w:tc>
          <w:tcPr>
            <w:tcW w:w="620" w:type="pct"/>
            <w:tcBorders>
              <w:top w:val="nil"/>
              <w:left w:val="nil"/>
              <w:bottom w:val="nil"/>
              <w:right w:val="nil"/>
            </w:tcBorders>
            <w:shd w:val="clear" w:color="000000" w:fill="E6F2FF"/>
            <w:noWrap/>
            <w:vAlign w:val="center"/>
            <w:hideMark/>
          </w:tcPr>
          <w:p w14:paraId="456C9904" w14:textId="4B7B40B6" w:rsidR="00AA63AC" w:rsidRPr="00AA63AC" w:rsidRDefault="00B57616" w:rsidP="00AA63AC">
            <w:pPr>
              <w:spacing w:before="0" w:after="0" w:line="240" w:lineRule="auto"/>
              <w:jc w:val="right"/>
              <w:rPr>
                <w:rFonts w:ascii="Arial" w:hAnsi="Arial" w:cs="Arial"/>
                <w:sz w:val="16"/>
                <w:szCs w:val="16"/>
              </w:rPr>
            </w:pPr>
            <w:r>
              <w:rPr>
                <w:rFonts w:ascii="Arial" w:hAnsi="Arial" w:cs="Arial"/>
                <w:sz w:val="16"/>
                <w:szCs w:val="16"/>
              </w:rPr>
              <w:noBreakHyphen/>
            </w:r>
            <w:r w:rsidR="00AA63AC" w:rsidRPr="00AA63AC">
              <w:rPr>
                <w:rFonts w:ascii="Arial" w:hAnsi="Arial" w:cs="Arial"/>
                <w:sz w:val="16"/>
                <w:szCs w:val="16"/>
              </w:rPr>
              <w:t>0.7</w:t>
            </w:r>
          </w:p>
        </w:tc>
        <w:tc>
          <w:tcPr>
            <w:tcW w:w="620" w:type="pct"/>
            <w:tcBorders>
              <w:top w:val="nil"/>
              <w:left w:val="nil"/>
              <w:bottom w:val="nil"/>
              <w:right w:val="nil"/>
            </w:tcBorders>
            <w:shd w:val="clear" w:color="auto" w:fill="auto"/>
            <w:noWrap/>
            <w:vAlign w:val="center"/>
            <w:hideMark/>
          </w:tcPr>
          <w:p w14:paraId="72370032" w14:textId="77777777"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5.6</w:t>
            </w:r>
          </w:p>
        </w:tc>
        <w:tc>
          <w:tcPr>
            <w:tcW w:w="620" w:type="pct"/>
            <w:tcBorders>
              <w:top w:val="nil"/>
              <w:left w:val="nil"/>
              <w:bottom w:val="nil"/>
              <w:right w:val="nil"/>
            </w:tcBorders>
            <w:shd w:val="clear" w:color="auto" w:fill="auto"/>
            <w:noWrap/>
            <w:vAlign w:val="center"/>
            <w:hideMark/>
          </w:tcPr>
          <w:p w14:paraId="430F84E3" w14:textId="77777777" w:rsidR="00AA63AC" w:rsidRPr="00AA63AC" w:rsidRDefault="00AA63AC" w:rsidP="00AA63AC">
            <w:pPr>
              <w:spacing w:before="0" w:after="0" w:line="240" w:lineRule="auto"/>
              <w:jc w:val="right"/>
              <w:rPr>
                <w:rFonts w:ascii="Arial" w:hAnsi="Arial" w:cs="Arial"/>
                <w:sz w:val="16"/>
                <w:szCs w:val="16"/>
              </w:rPr>
            </w:pPr>
            <w:r w:rsidRPr="00AA63AC">
              <w:rPr>
                <w:rFonts w:ascii="Arial" w:hAnsi="Arial" w:cs="Arial"/>
                <w:sz w:val="16"/>
                <w:szCs w:val="16"/>
              </w:rPr>
              <w:t>7.7</w:t>
            </w:r>
          </w:p>
        </w:tc>
      </w:tr>
      <w:tr w:rsidR="00AA63AC" w:rsidRPr="00AA63AC" w14:paraId="57B1D1BC" w14:textId="77777777" w:rsidTr="00AA63AC">
        <w:trPr>
          <w:divId w:val="2131505734"/>
          <w:trHeight w:hRule="exact" w:val="225"/>
        </w:trPr>
        <w:tc>
          <w:tcPr>
            <w:tcW w:w="2521" w:type="pct"/>
            <w:tcBorders>
              <w:top w:val="nil"/>
              <w:left w:val="nil"/>
              <w:bottom w:val="nil"/>
              <w:right w:val="nil"/>
            </w:tcBorders>
            <w:shd w:val="clear" w:color="auto" w:fill="auto"/>
            <w:noWrap/>
            <w:vAlign w:val="center"/>
            <w:hideMark/>
          </w:tcPr>
          <w:p w14:paraId="055FE6E9" w14:textId="77777777" w:rsidR="00AA63AC" w:rsidRPr="00AA63AC" w:rsidRDefault="00AA63AC" w:rsidP="00AA63AC">
            <w:pPr>
              <w:spacing w:before="0" w:after="0" w:line="240" w:lineRule="auto"/>
              <w:ind w:left="170"/>
              <w:rPr>
                <w:rFonts w:ascii="Arial" w:hAnsi="Arial" w:cs="Arial"/>
                <w:i/>
                <w:iCs/>
                <w:sz w:val="16"/>
                <w:szCs w:val="16"/>
              </w:rPr>
            </w:pPr>
            <w:r w:rsidRPr="00AA63AC">
              <w:rPr>
                <w:rFonts w:ascii="Arial" w:hAnsi="Arial" w:cs="Arial"/>
                <w:i/>
                <w:iCs/>
                <w:sz w:val="16"/>
                <w:szCs w:val="16"/>
              </w:rPr>
              <w:t>Cash and deposits</w:t>
            </w:r>
          </w:p>
        </w:tc>
        <w:tc>
          <w:tcPr>
            <w:tcW w:w="620" w:type="pct"/>
            <w:tcBorders>
              <w:top w:val="nil"/>
              <w:left w:val="nil"/>
              <w:bottom w:val="nil"/>
              <w:right w:val="nil"/>
            </w:tcBorders>
            <w:shd w:val="clear" w:color="000000" w:fill="FFFFFF"/>
            <w:noWrap/>
            <w:vAlign w:val="center"/>
            <w:hideMark/>
          </w:tcPr>
          <w:p w14:paraId="4B2A38DC" w14:textId="71A8B18D" w:rsidR="00AA63AC" w:rsidRPr="00AA63AC" w:rsidRDefault="00B57616" w:rsidP="00AA63AC">
            <w:pPr>
              <w:spacing w:before="0" w:after="0" w:line="240" w:lineRule="auto"/>
              <w:jc w:val="right"/>
              <w:rPr>
                <w:rFonts w:ascii="Arial" w:hAnsi="Arial" w:cs="Arial"/>
                <w:i/>
                <w:iCs/>
                <w:sz w:val="16"/>
                <w:szCs w:val="16"/>
              </w:rPr>
            </w:pPr>
            <w:r>
              <w:rPr>
                <w:rFonts w:ascii="Arial" w:hAnsi="Arial" w:cs="Arial"/>
                <w:i/>
                <w:iCs/>
                <w:sz w:val="16"/>
                <w:szCs w:val="16"/>
              </w:rPr>
              <w:noBreakHyphen/>
            </w:r>
            <w:r w:rsidR="00AA63AC" w:rsidRPr="00AA63AC">
              <w:rPr>
                <w:rFonts w:ascii="Arial" w:hAnsi="Arial" w:cs="Arial"/>
                <w:i/>
                <w:iCs/>
                <w:sz w:val="16"/>
                <w:szCs w:val="16"/>
              </w:rPr>
              <w:t>8.8</w:t>
            </w:r>
          </w:p>
        </w:tc>
        <w:tc>
          <w:tcPr>
            <w:tcW w:w="620" w:type="pct"/>
            <w:tcBorders>
              <w:top w:val="nil"/>
              <w:left w:val="nil"/>
              <w:bottom w:val="nil"/>
              <w:right w:val="nil"/>
            </w:tcBorders>
            <w:shd w:val="clear" w:color="000000" w:fill="E6F2FF"/>
            <w:noWrap/>
            <w:vAlign w:val="center"/>
            <w:hideMark/>
          </w:tcPr>
          <w:p w14:paraId="2DD41CF3" w14:textId="5A72CC6B" w:rsidR="00AA63AC" w:rsidRPr="00AA63AC" w:rsidRDefault="00B57616" w:rsidP="00AA63AC">
            <w:pPr>
              <w:spacing w:before="0" w:after="0" w:line="240" w:lineRule="auto"/>
              <w:jc w:val="right"/>
              <w:rPr>
                <w:rFonts w:ascii="Arial" w:hAnsi="Arial" w:cs="Arial"/>
                <w:i/>
                <w:iCs/>
                <w:sz w:val="16"/>
                <w:szCs w:val="16"/>
              </w:rPr>
            </w:pPr>
            <w:r>
              <w:rPr>
                <w:rFonts w:ascii="Arial" w:hAnsi="Arial" w:cs="Arial"/>
                <w:i/>
                <w:iCs/>
                <w:sz w:val="16"/>
                <w:szCs w:val="16"/>
              </w:rPr>
              <w:noBreakHyphen/>
            </w:r>
            <w:r w:rsidR="00AA63AC" w:rsidRPr="00AA63AC">
              <w:rPr>
                <w:rFonts w:ascii="Arial" w:hAnsi="Arial" w:cs="Arial"/>
                <w:i/>
                <w:iCs/>
                <w:sz w:val="16"/>
                <w:szCs w:val="16"/>
              </w:rPr>
              <w:t>3.1</w:t>
            </w:r>
          </w:p>
        </w:tc>
        <w:tc>
          <w:tcPr>
            <w:tcW w:w="620" w:type="pct"/>
            <w:tcBorders>
              <w:top w:val="nil"/>
              <w:left w:val="nil"/>
              <w:bottom w:val="nil"/>
              <w:right w:val="nil"/>
            </w:tcBorders>
            <w:shd w:val="clear" w:color="auto" w:fill="auto"/>
            <w:noWrap/>
            <w:vAlign w:val="center"/>
            <w:hideMark/>
          </w:tcPr>
          <w:p w14:paraId="3D6765A0" w14:textId="77777777" w:rsidR="00AA63AC" w:rsidRPr="00AA63AC" w:rsidRDefault="00AA63AC" w:rsidP="00AA63AC">
            <w:pPr>
              <w:spacing w:before="0" w:after="0" w:line="240" w:lineRule="auto"/>
              <w:jc w:val="right"/>
              <w:rPr>
                <w:rFonts w:ascii="Arial" w:hAnsi="Arial" w:cs="Arial"/>
                <w:i/>
                <w:iCs/>
                <w:sz w:val="16"/>
                <w:szCs w:val="16"/>
              </w:rPr>
            </w:pPr>
            <w:r w:rsidRPr="00AA63AC">
              <w:rPr>
                <w:rFonts w:ascii="Arial" w:hAnsi="Arial" w:cs="Arial"/>
                <w:i/>
                <w:iCs/>
                <w:sz w:val="16"/>
                <w:szCs w:val="16"/>
              </w:rPr>
              <w:t>4.5</w:t>
            </w:r>
          </w:p>
        </w:tc>
        <w:tc>
          <w:tcPr>
            <w:tcW w:w="620" w:type="pct"/>
            <w:tcBorders>
              <w:top w:val="nil"/>
              <w:left w:val="nil"/>
              <w:bottom w:val="nil"/>
              <w:right w:val="nil"/>
            </w:tcBorders>
            <w:shd w:val="clear" w:color="auto" w:fill="auto"/>
            <w:noWrap/>
            <w:vAlign w:val="center"/>
            <w:hideMark/>
          </w:tcPr>
          <w:p w14:paraId="42B292AD" w14:textId="77777777" w:rsidR="00AA63AC" w:rsidRPr="00AA63AC" w:rsidRDefault="00AA63AC" w:rsidP="00AA63AC">
            <w:pPr>
              <w:spacing w:before="0" w:after="0" w:line="240" w:lineRule="auto"/>
              <w:jc w:val="right"/>
              <w:rPr>
                <w:rFonts w:ascii="Arial" w:hAnsi="Arial" w:cs="Arial"/>
                <w:i/>
                <w:iCs/>
                <w:sz w:val="16"/>
                <w:szCs w:val="16"/>
              </w:rPr>
            </w:pPr>
            <w:r w:rsidRPr="00AA63AC">
              <w:rPr>
                <w:rFonts w:ascii="Arial" w:hAnsi="Arial" w:cs="Arial"/>
                <w:i/>
                <w:iCs/>
                <w:sz w:val="16"/>
                <w:szCs w:val="16"/>
              </w:rPr>
              <w:t>8.8</w:t>
            </w:r>
          </w:p>
        </w:tc>
      </w:tr>
      <w:tr w:rsidR="00AA63AC" w:rsidRPr="00AA63AC" w14:paraId="1C51EB99" w14:textId="77777777" w:rsidTr="00AA63AC">
        <w:trPr>
          <w:divId w:val="2131505734"/>
          <w:trHeight w:hRule="exact" w:val="225"/>
        </w:trPr>
        <w:tc>
          <w:tcPr>
            <w:tcW w:w="2521" w:type="pct"/>
            <w:tcBorders>
              <w:top w:val="nil"/>
              <w:left w:val="nil"/>
              <w:bottom w:val="nil"/>
              <w:right w:val="nil"/>
            </w:tcBorders>
            <w:shd w:val="clear" w:color="auto" w:fill="auto"/>
            <w:noWrap/>
            <w:vAlign w:val="center"/>
            <w:hideMark/>
          </w:tcPr>
          <w:p w14:paraId="5BC7FFCC" w14:textId="77777777" w:rsidR="00AA63AC" w:rsidRPr="00AA63AC" w:rsidRDefault="00AA63AC" w:rsidP="00AA63AC">
            <w:pPr>
              <w:spacing w:before="0" w:after="0" w:line="240" w:lineRule="auto"/>
              <w:ind w:left="170"/>
              <w:rPr>
                <w:rFonts w:ascii="Arial" w:hAnsi="Arial" w:cs="Arial"/>
                <w:i/>
                <w:iCs/>
                <w:sz w:val="16"/>
                <w:szCs w:val="16"/>
              </w:rPr>
            </w:pPr>
            <w:r w:rsidRPr="00AA63AC">
              <w:rPr>
                <w:rFonts w:ascii="Arial" w:hAnsi="Arial" w:cs="Arial"/>
                <w:i/>
                <w:iCs/>
                <w:sz w:val="16"/>
                <w:szCs w:val="16"/>
              </w:rPr>
              <w:t>Advances paid</w:t>
            </w:r>
          </w:p>
        </w:tc>
        <w:tc>
          <w:tcPr>
            <w:tcW w:w="620" w:type="pct"/>
            <w:tcBorders>
              <w:top w:val="nil"/>
              <w:left w:val="nil"/>
              <w:bottom w:val="nil"/>
              <w:right w:val="nil"/>
            </w:tcBorders>
            <w:shd w:val="clear" w:color="000000" w:fill="FFFFFF"/>
            <w:noWrap/>
            <w:vAlign w:val="center"/>
            <w:hideMark/>
          </w:tcPr>
          <w:p w14:paraId="22AD2188" w14:textId="77777777" w:rsidR="00AA63AC" w:rsidRPr="00AA63AC" w:rsidRDefault="00AA63AC" w:rsidP="00AA63AC">
            <w:pPr>
              <w:spacing w:before="0" w:after="0" w:line="240" w:lineRule="auto"/>
              <w:jc w:val="right"/>
              <w:rPr>
                <w:rFonts w:ascii="Arial" w:hAnsi="Arial" w:cs="Arial"/>
                <w:i/>
                <w:iCs/>
                <w:sz w:val="16"/>
                <w:szCs w:val="16"/>
              </w:rPr>
            </w:pPr>
            <w:r w:rsidRPr="00AA63AC">
              <w:rPr>
                <w:rFonts w:ascii="Arial" w:hAnsi="Arial" w:cs="Arial"/>
                <w:i/>
                <w:iCs/>
                <w:sz w:val="16"/>
                <w:szCs w:val="16"/>
              </w:rPr>
              <w:t>4.7</w:t>
            </w:r>
          </w:p>
        </w:tc>
        <w:tc>
          <w:tcPr>
            <w:tcW w:w="620" w:type="pct"/>
            <w:tcBorders>
              <w:top w:val="nil"/>
              <w:left w:val="nil"/>
              <w:bottom w:val="nil"/>
              <w:right w:val="nil"/>
            </w:tcBorders>
            <w:shd w:val="clear" w:color="000000" w:fill="E6F2FF"/>
            <w:noWrap/>
            <w:vAlign w:val="center"/>
            <w:hideMark/>
          </w:tcPr>
          <w:p w14:paraId="66EC31E0" w14:textId="77777777" w:rsidR="00AA63AC" w:rsidRPr="00AA63AC" w:rsidRDefault="00AA63AC" w:rsidP="00AA63AC">
            <w:pPr>
              <w:spacing w:before="0" w:after="0" w:line="240" w:lineRule="auto"/>
              <w:jc w:val="right"/>
              <w:rPr>
                <w:rFonts w:ascii="Arial" w:hAnsi="Arial" w:cs="Arial"/>
                <w:i/>
                <w:iCs/>
                <w:sz w:val="16"/>
                <w:szCs w:val="16"/>
              </w:rPr>
            </w:pPr>
            <w:r w:rsidRPr="00AA63AC">
              <w:rPr>
                <w:rFonts w:ascii="Arial" w:hAnsi="Arial" w:cs="Arial"/>
                <w:i/>
                <w:iCs/>
                <w:sz w:val="16"/>
                <w:szCs w:val="16"/>
              </w:rPr>
              <w:t>6.1</w:t>
            </w:r>
          </w:p>
        </w:tc>
        <w:tc>
          <w:tcPr>
            <w:tcW w:w="620" w:type="pct"/>
            <w:tcBorders>
              <w:top w:val="nil"/>
              <w:left w:val="nil"/>
              <w:bottom w:val="nil"/>
              <w:right w:val="nil"/>
            </w:tcBorders>
            <w:shd w:val="clear" w:color="auto" w:fill="auto"/>
            <w:noWrap/>
            <w:vAlign w:val="center"/>
            <w:hideMark/>
          </w:tcPr>
          <w:p w14:paraId="0E42458E" w14:textId="77777777" w:rsidR="00AA63AC" w:rsidRPr="00AA63AC" w:rsidRDefault="00AA63AC" w:rsidP="00AA63AC">
            <w:pPr>
              <w:spacing w:before="0" w:after="0" w:line="240" w:lineRule="auto"/>
              <w:jc w:val="right"/>
              <w:rPr>
                <w:rFonts w:ascii="Arial" w:hAnsi="Arial" w:cs="Arial"/>
                <w:i/>
                <w:iCs/>
                <w:sz w:val="16"/>
                <w:szCs w:val="16"/>
              </w:rPr>
            </w:pPr>
            <w:r w:rsidRPr="00AA63AC">
              <w:rPr>
                <w:rFonts w:ascii="Arial" w:hAnsi="Arial" w:cs="Arial"/>
                <w:i/>
                <w:iCs/>
                <w:sz w:val="16"/>
                <w:szCs w:val="16"/>
              </w:rPr>
              <w:t>5.2</w:t>
            </w:r>
          </w:p>
        </w:tc>
        <w:tc>
          <w:tcPr>
            <w:tcW w:w="620" w:type="pct"/>
            <w:tcBorders>
              <w:top w:val="nil"/>
              <w:left w:val="nil"/>
              <w:bottom w:val="nil"/>
              <w:right w:val="nil"/>
            </w:tcBorders>
            <w:shd w:val="clear" w:color="auto" w:fill="auto"/>
            <w:noWrap/>
            <w:vAlign w:val="center"/>
            <w:hideMark/>
          </w:tcPr>
          <w:p w14:paraId="1F7310A2" w14:textId="77777777" w:rsidR="00AA63AC" w:rsidRPr="00AA63AC" w:rsidRDefault="00AA63AC" w:rsidP="00AA63AC">
            <w:pPr>
              <w:spacing w:before="0" w:after="0" w:line="240" w:lineRule="auto"/>
              <w:jc w:val="right"/>
              <w:rPr>
                <w:rFonts w:ascii="Arial" w:hAnsi="Arial" w:cs="Arial"/>
                <w:i/>
                <w:iCs/>
                <w:sz w:val="16"/>
                <w:szCs w:val="16"/>
              </w:rPr>
            </w:pPr>
            <w:r w:rsidRPr="00AA63AC">
              <w:rPr>
                <w:rFonts w:ascii="Arial" w:hAnsi="Arial" w:cs="Arial"/>
                <w:i/>
                <w:iCs/>
                <w:sz w:val="16"/>
                <w:szCs w:val="16"/>
              </w:rPr>
              <w:t>3.0</w:t>
            </w:r>
          </w:p>
        </w:tc>
      </w:tr>
      <w:tr w:rsidR="00AA63AC" w:rsidRPr="00AA63AC" w14:paraId="69D54F2D" w14:textId="77777777" w:rsidTr="00AA63AC">
        <w:trPr>
          <w:divId w:val="2131505734"/>
          <w:trHeight w:hRule="exact" w:val="225"/>
        </w:trPr>
        <w:tc>
          <w:tcPr>
            <w:tcW w:w="2521" w:type="pct"/>
            <w:tcBorders>
              <w:top w:val="nil"/>
              <w:left w:val="nil"/>
              <w:bottom w:val="nil"/>
              <w:right w:val="nil"/>
            </w:tcBorders>
            <w:shd w:val="clear" w:color="auto" w:fill="auto"/>
            <w:noWrap/>
            <w:vAlign w:val="center"/>
            <w:hideMark/>
          </w:tcPr>
          <w:p w14:paraId="0DC810C5" w14:textId="77777777" w:rsidR="00AA63AC" w:rsidRPr="00AA63AC" w:rsidRDefault="00AA63AC" w:rsidP="00AA63AC">
            <w:pPr>
              <w:spacing w:before="0" w:after="0" w:line="240" w:lineRule="auto"/>
              <w:ind w:left="170"/>
              <w:rPr>
                <w:rFonts w:ascii="Arial" w:hAnsi="Arial" w:cs="Arial"/>
                <w:i/>
                <w:iCs/>
                <w:sz w:val="16"/>
                <w:szCs w:val="16"/>
              </w:rPr>
            </w:pPr>
            <w:r w:rsidRPr="00AA63AC">
              <w:rPr>
                <w:rFonts w:ascii="Arial" w:hAnsi="Arial" w:cs="Arial"/>
                <w:i/>
                <w:iCs/>
                <w:sz w:val="16"/>
                <w:szCs w:val="16"/>
              </w:rPr>
              <w:t>Investments, loans and placements</w:t>
            </w:r>
          </w:p>
        </w:tc>
        <w:tc>
          <w:tcPr>
            <w:tcW w:w="620" w:type="pct"/>
            <w:tcBorders>
              <w:top w:val="nil"/>
              <w:left w:val="nil"/>
              <w:bottom w:val="nil"/>
              <w:right w:val="nil"/>
            </w:tcBorders>
            <w:shd w:val="clear" w:color="000000" w:fill="FFFFFF"/>
            <w:noWrap/>
            <w:vAlign w:val="center"/>
            <w:hideMark/>
          </w:tcPr>
          <w:p w14:paraId="4F381448" w14:textId="3882CBAF" w:rsidR="00AA63AC" w:rsidRPr="00AA63AC" w:rsidRDefault="00B57616" w:rsidP="00AA63AC">
            <w:pPr>
              <w:spacing w:before="0" w:after="0" w:line="240" w:lineRule="auto"/>
              <w:jc w:val="right"/>
              <w:rPr>
                <w:rFonts w:ascii="Arial" w:hAnsi="Arial" w:cs="Arial"/>
                <w:i/>
                <w:iCs/>
                <w:sz w:val="16"/>
                <w:szCs w:val="16"/>
              </w:rPr>
            </w:pPr>
            <w:r>
              <w:rPr>
                <w:rFonts w:ascii="Arial" w:hAnsi="Arial" w:cs="Arial"/>
                <w:i/>
                <w:iCs/>
                <w:sz w:val="16"/>
                <w:szCs w:val="16"/>
              </w:rPr>
              <w:noBreakHyphen/>
            </w:r>
            <w:r w:rsidR="00AA63AC" w:rsidRPr="00AA63AC">
              <w:rPr>
                <w:rFonts w:ascii="Arial" w:hAnsi="Arial" w:cs="Arial"/>
                <w:i/>
                <w:iCs/>
                <w:sz w:val="16"/>
                <w:szCs w:val="16"/>
              </w:rPr>
              <w:t>2.1</w:t>
            </w:r>
          </w:p>
        </w:tc>
        <w:tc>
          <w:tcPr>
            <w:tcW w:w="620" w:type="pct"/>
            <w:tcBorders>
              <w:top w:val="nil"/>
              <w:left w:val="nil"/>
              <w:bottom w:val="nil"/>
              <w:right w:val="nil"/>
            </w:tcBorders>
            <w:shd w:val="clear" w:color="000000" w:fill="E6F2FF"/>
            <w:noWrap/>
            <w:vAlign w:val="center"/>
            <w:hideMark/>
          </w:tcPr>
          <w:p w14:paraId="356EE945" w14:textId="28664D02" w:rsidR="00AA63AC" w:rsidRPr="00AA63AC" w:rsidRDefault="00B57616" w:rsidP="00AA63AC">
            <w:pPr>
              <w:spacing w:before="0" w:after="0" w:line="240" w:lineRule="auto"/>
              <w:jc w:val="right"/>
              <w:rPr>
                <w:rFonts w:ascii="Arial" w:hAnsi="Arial" w:cs="Arial"/>
                <w:i/>
                <w:iCs/>
                <w:sz w:val="16"/>
                <w:szCs w:val="16"/>
              </w:rPr>
            </w:pPr>
            <w:r>
              <w:rPr>
                <w:rFonts w:ascii="Arial" w:hAnsi="Arial" w:cs="Arial"/>
                <w:i/>
                <w:iCs/>
                <w:sz w:val="16"/>
                <w:szCs w:val="16"/>
              </w:rPr>
              <w:noBreakHyphen/>
            </w:r>
            <w:r w:rsidR="00AA63AC" w:rsidRPr="00AA63AC">
              <w:rPr>
                <w:rFonts w:ascii="Arial" w:hAnsi="Arial" w:cs="Arial"/>
                <w:i/>
                <w:iCs/>
                <w:sz w:val="16"/>
                <w:szCs w:val="16"/>
              </w:rPr>
              <w:t>3.1</w:t>
            </w:r>
          </w:p>
        </w:tc>
        <w:tc>
          <w:tcPr>
            <w:tcW w:w="620" w:type="pct"/>
            <w:tcBorders>
              <w:top w:val="nil"/>
              <w:left w:val="nil"/>
              <w:bottom w:val="nil"/>
              <w:right w:val="nil"/>
            </w:tcBorders>
            <w:shd w:val="clear" w:color="auto" w:fill="auto"/>
            <w:noWrap/>
            <w:vAlign w:val="center"/>
            <w:hideMark/>
          </w:tcPr>
          <w:p w14:paraId="7AF7D11B" w14:textId="12434BAC" w:rsidR="00AA63AC" w:rsidRPr="00AA63AC" w:rsidRDefault="00B57616" w:rsidP="00AA63AC">
            <w:pPr>
              <w:spacing w:before="0" w:after="0" w:line="240" w:lineRule="auto"/>
              <w:jc w:val="right"/>
              <w:rPr>
                <w:rFonts w:ascii="Arial" w:hAnsi="Arial" w:cs="Arial"/>
                <w:i/>
                <w:iCs/>
                <w:sz w:val="16"/>
                <w:szCs w:val="16"/>
              </w:rPr>
            </w:pPr>
            <w:r>
              <w:rPr>
                <w:rFonts w:ascii="Arial" w:hAnsi="Arial" w:cs="Arial"/>
                <w:i/>
                <w:iCs/>
                <w:sz w:val="16"/>
                <w:szCs w:val="16"/>
              </w:rPr>
              <w:noBreakHyphen/>
            </w:r>
            <w:r w:rsidR="00AA63AC" w:rsidRPr="00AA63AC">
              <w:rPr>
                <w:rFonts w:ascii="Arial" w:hAnsi="Arial" w:cs="Arial"/>
                <w:i/>
                <w:iCs/>
                <w:sz w:val="16"/>
                <w:szCs w:val="16"/>
              </w:rPr>
              <w:t>4.3</w:t>
            </w:r>
          </w:p>
        </w:tc>
        <w:tc>
          <w:tcPr>
            <w:tcW w:w="620" w:type="pct"/>
            <w:tcBorders>
              <w:top w:val="nil"/>
              <w:left w:val="nil"/>
              <w:bottom w:val="nil"/>
              <w:right w:val="nil"/>
            </w:tcBorders>
            <w:shd w:val="clear" w:color="auto" w:fill="auto"/>
            <w:noWrap/>
            <w:vAlign w:val="center"/>
            <w:hideMark/>
          </w:tcPr>
          <w:p w14:paraId="101DFF3C" w14:textId="2B4D64E6" w:rsidR="00AA63AC" w:rsidRPr="00AA63AC" w:rsidRDefault="00B57616" w:rsidP="00AA63AC">
            <w:pPr>
              <w:spacing w:before="0" w:after="0" w:line="240" w:lineRule="auto"/>
              <w:jc w:val="right"/>
              <w:rPr>
                <w:rFonts w:ascii="Arial" w:hAnsi="Arial" w:cs="Arial"/>
                <w:i/>
                <w:iCs/>
                <w:sz w:val="16"/>
                <w:szCs w:val="16"/>
              </w:rPr>
            </w:pPr>
            <w:r>
              <w:rPr>
                <w:rFonts w:ascii="Arial" w:hAnsi="Arial" w:cs="Arial"/>
                <w:i/>
                <w:iCs/>
                <w:sz w:val="16"/>
                <w:szCs w:val="16"/>
              </w:rPr>
              <w:noBreakHyphen/>
            </w:r>
            <w:r w:rsidR="00AA63AC" w:rsidRPr="00AA63AC">
              <w:rPr>
                <w:rFonts w:ascii="Arial" w:hAnsi="Arial" w:cs="Arial"/>
                <w:i/>
                <w:iCs/>
                <w:sz w:val="16"/>
                <w:szCs w:val="16"/>
              </w:rPr>
              <w:t>4.8</w:t>
            </w:r>
          </w:p>
        </w:tc>
      </w:tr>
      <w:tr w:rsidR="00AA63AC" w:rsidRPr="00AA63AC" w14:paraId="34FEF873" w14:textId="77777777" w:rsidTr="00AA63AC">
        <w:trPr>
          <w:divId w:val="2131505734"/>
          <w:trHeight w:hRule="exact" w:val="225"/>
        </w:trPr>
        <w:tc>
          <w:tcPr>
            <w:tcW w:w="2521" w:type="pct"/>
            <w:tcBorders>
              <w:top w:val="nil"/>
              <w:left w:val="nil"/>
              <w:bottom w:val="nil"/>
              <w:right w:val="nil"/>
            </w:tcBorders>
            <w:shd w:val="clear" w:color="auto" w:fill="auto"/>
            <w:noWrap/>
            <w:vAlign w:val="center"/>
            <w:hideMark/>
          </w:tcPr>
          <w:p w14:paraId="374B5BE6" w14:textId="77777777" w:rsidR="00AA63AC" w:rsidRPr="00AA63AC" w:rsidRDefault="00AA63AC" w:rsidP="00AA63AC">
            <w:pPr>
              <w:spacing w:before="0" w:after="0" w:line="240" w:lineRule="auto"/>
              <w:ind w:left="170"/>
              <w:rPr>
                <w:rFonts w:ascii="Arial" w:hAnsi="Arial" w:cs="Arial"/>
                <w:i/>
                <w:iCs/>
                <w:sz w:val="16"/>
                <w:szCs w:val="16"/>
              </w:rPr>
            </w:pPr>
            <w:r w:rsidRPr="00AA63AC">
              <w:rPr>
                <w:rFonts w:ascii="Arial" w:hAnsi="Arial" w:cs="Arial"/>
                <w:i/>
                <w:iCs/>
                <w:sz w:val="16"/>
                <w:szCs w:val="16"/>
              </w:rPr>
              <w:t>Other movements</w:t>
            </w:r>
          </w:p>
        </w:tc>
        <w:tc>
          <w:tcPr>
            <w:tcW w:w="620" w:type="pct"/>
            <w:tcBorders>
              <w:top w:val="nil"/>
              <w:left w:val="nil"/>
              <w:bottom w:val="nil"/>
              <w:right w:val="nil"/>
            </w:tcBorders>
            <w:shd w:val="clear" w:color="000000" w:fill="FFFFFF"/>
            <w:noWrap/>
            <w:vAlign w:val="center"/>
            <w:hideMark/>
          </w:tcPr>
          <w:p w14:paraId="61114545" w14:textId="3DC7BDF0" w:rsidR="00AA63AC" w:rsidRPr="00AA63AC" w:rsidRDefault="00B57616" w:rsidP="00AA63AC">
            <w:pPr>
              <w:spacing w:before="0" w:after="0" w:line="240" w:lineRule="auto"/>
              <w:jc w:val="right"/>
              <w:rPr>
                <w:rFonts w:ascii="Arial" w:hAnsi="Arial" w:cs="Arial"/>
                <w:i/>
                <w:iCs/>
                <w:sz w:val="16"/>
                <w:szCs w:val="16"/>
              </w:rPr>
            </w:pPr>
            <w:r>
              <w:rPr>
                <w:rFonts w:ascii="Arial" w:hAnsi="Arial" w:cs="Arial"/>
                <w:i/>
                <w:iCs/>
                <w:sz w:val="16"/>
                <w:szCs w:val="16"/>
              </w:rPr>
              <w:noBreakHyphen/>
            </w:r>
            <w:r w:rsidR="00AA63AC" w:rsidRPr="00AA63AC">
              <w:rPr>
                <w:rFonts w:ascii="Arial" w:hAnsi="Arial" w:cs="Arial"/>
                <w:i/>
                <w:iCs/>
                <w:sz w:val="16"/>
                <w:szCs w:val="16"/>
              </w:rPr>
              <w:t>0.3</w:t>
            </w:r>
          </w:p>
        </w:tc>
        <w:tc>
          <w:tcPr>
            <w:tcW w:w="620" w:type="pct"/>
            <w:tcBorders>
              <w:top w:val="nil"/>
              <w:left w:val="nil"/>
              <w:bottom w:val="nil"/>
              <w:right w:val="nil"/>
            </w:tcBorders>
            <w:shd w:val="clear" w:color="000000" w:fill="E6F2FF"/>
            <w:noWrap/>
            <w:vAlign w:val="center"/>
            <w:hideMark/>
          </w:tcPr>
          <w:p w14:paraId="6E9B432D" w14:textId="32B6D80C" w:rsidR="00AA63AC" w:rsidRPr="00AA63AC" w:rsidRDefault="00B57616" w:rsidP="00AA63AC">
            <w:pPr>
              <w:spacing w:before="0" w:after="0" w:line="240" w:lineRule="auto"/>
              <w:jc w:val="right"/>
              <w:rPr>
                <w:rFonts w:ascii="Arial" w:hAnsi="Arial" w:cs="Arial"/>
                <w:i/>
                <w:iCs/>
                <w:sz w:val="16"/>
                <w:szCs w:val="16"/>
              </w:rPr>
            </w:pPr>
            <w:r>
              <w:rPr>
                <w:rFonts w:ascii="Arial" w:hAnsi="Arial" w:cs="Arial"/>
                <w:i/>
                <w:iCs/>
                <w:sz w:val="16"/>
                <w:szCs w:val="16"/>
              </w:rPr>
              <w:noBreakHyphen/>
            </w:r>
            <w:r w:rsidR="00AA63AC" w:rsidRPr="00AA63AC">
              <w:rPr>
                <w:rFonts w:ascii="Arial" w:hAnsi="Arial" w:cs="Arial"/>
                <w:i/>
                <w:iCs/>
                <w:sz w:val="16"/>
                <w:szCs w:val="16"/>
              </w:rPr>
              <w:t>0.5</w:t>
            </w:r>
          </w:p>
        </w:tc>
        <w:tc>
          <w:tcPr>
            <w:tcW w:w="620" w:type="pct"/>
            <w:tcBorders>
              <w:top w:val="nil"/>
              <w:left w:val="nil"/>
              <w:bottom w:val="nil"/>
              <w:right w:val="nil"/>
            </w:tcBorders>
            <w:shd w:val="clear" w:color="auto" w:fill="auto"/>
            <w:noWrap/>
            <w:vAlign w:val="center"/>
            <w:hideMark/>
          </w:tcPr>
          <w:p w14:paraId="556D10C1" w14:textId="77777777" w:rsidR="00AA63AC" w:rsidRPr="00AA63AC" w:rsidRDefault="00AA63AC" w:rsidP="00AA63AC">
            <w:pPr>
              <w:spacing w:before="0" w:after="0" w:line="240" w:lineRule="auto"/>
              <w:jc w:val="right"/>
              <w:rPr>
                <w:rFonts w:ascii="Arial" w:hAnsi="Arial" w:cs="Arial"/>
                <w:i/>
                <w:iCs/>
                <w:sz w:val="16"/>
                <w:szCs w:val="16"/>
              </w:rPr>
            </w:pPr>
            <w:r w:rsidRPr="00AA63AC">
              <w:rPr>
                <w:rFonts w:ascii="Arial" w:hAnsi="Arial" w:cs="Arial"/>
                <w:i/>
                <w:iCs/>
                <w:sz w:val="16"/>
                <w:szCs w:val="16"/>
              </w:rPr>
              <w:t>0.1</w:t>
            </w:r>
          </w:p>
        </w:tc>
        <w:tc>
          <w:tcPr>
            <w:tcW w:w="620" w:type="pct"/>
            <w:tcBorders>
              <w:top w:val="nil"/>
              <w:left w:val="nil"/>
              <w:bottom w:val="nil"/>
              <w:right w:val="nil"/>
            </w:tcBorders>
            <w:shd w:val="clear" w:color="auto" w:fill="auto"/>
            <w:noWrap/>
            <w:vAlign w:val="center"/>
            <w:hideMark/>
          </w:tcPr>
          <w:p w14:paraId="54289C3F" w14:textId="77777777" w:rsidR="00AA63AC" w:rsidRPr="00AA63AC" w:rsidRDefault="00AA63AC" w:rsidP="00AA63AC">
            <w:pPr>
              <w:spacing w:before="0" w:after="0" w:line="240" w:lineRule="auto"/>
              <w:jc w:val="right"/>
              <w:rPr>
                <w:rFonts w:ascii="Arial" w:hAnsi="Arial" w:cs="Arial"/>
                <w:i/>
                <w:iCs/>
                <w:sz w:val="16"/>
                <w:szCs w:val="16"/>
              </w:rPr>
            </w:pPr>
            <w:r w:rsidRPr="00AA63AC">
              <w:rPr>
                <w:rFonts w:ascii="Arial" w:hAnsi="Arial" w:cs="Arial"/>
                <w:i/>
                <w:iCs/>
                <w:sz w:val="16"/>
                <w:szCs w:val="16"/>
              </w:rPr>
              <w:t>0.7</w:t>
            </w:r>
          </w:p>
        </w:tc>
      </w:tr>
      <w:tr w:rsidR="00AA63AC" w:rsidRPr="00AA63AC" w14:paraId="76B543B3" w14:textId="77777777" w:rsidTr="00AA63AC">
        <w:trPr>
          <w:divId w:val="2131505734"/>
          <w:trHeight w:hRule="exact" w:val="585"/>
        </w:trPr>
        <w:tc>
          <w:tcPr>
            <w:tcW w:w="2521" w:type="pct"/>
            <w:tcBorders>
              <w:top w:val="nil"/>
              <w:left w:val="nil"/>
              <w:bottom w:val="nil"/>
              <w:right w:val="nil"/>
            </w:tcBorders>
            <w:shd w:val="clear" w:color="auto" w:fill="auto"/>
            <w:vAlign w:val="center"/>
            <w:hideMark/>
          </w:tcPr>
          <w:p w14:paraId="348E2C45" w14:textId="24D9924E" w:rsidR="00AA63AC" w:rsidRPr="00AA63AC" w:rsidRDefault="00AA63AC" w:rsidP="00AA63AC">
            <w:pPr>
              <w:spacing w:before="0" w:after="0" w:line="240" w:lineRule="auto"/>
              <w:rPr>
                <w:rFonts w:ascii="Arial" w:hAnsi="Arial" w:cs="Arial"/>
                <w:b/>
                <w:bCs/>
                <w:sz w:val="16"/>
                <w:szCs w:val="16"/>
              </w:rPr>
            </w:pPr>
            <w:r w:rsidRPr="00AA63AC">
              <w:rPr>
                <w:rFonts w:ascii="Arial" w:hAnsi="Arial" w:cs="Arial"/>
                <w:b/>
                <w:bCs/>
                <w:sz w:val="16"/>
                <w:szCs w:val="16"/>
              </w:rPr>
              <w:t>Total movements in net debt from 2023</w:t>
            </w:r>
            <w:r w:rsidR="00B57616">
              <w:rPr>
                <w:rFonts w:ascii="Arial" w:hAnsi="Arial" w:cs="Arial"/>
                <w:b/>
                <w:bCs/>
                <w:sz w:val="16"/>
                <w:szCs w:val="16"/>
              </w:rPr>
              <w:noBreakHyphen/>
            </w:r>
            <w:r w:rsidRPr="00AA63AC">
              <w:rPr>
                <w:rFonts w:ascii="Arial" w:hAnsi="Arial" w:cs="Arial"/>
                <w:b/>
                <w:bCs/>
                <w:sz w:val="16"/>
                <w:szCs w:val="16"/>
              </w:rPr>
              <w:t>24 MYEFO to 2024</w:t>
            </w:r>
            <w:r w:rsidR="00B57616">
              <w:rPr>
                <w:rFonts w:ascii="Arial" w:hAnsi="Arial" w:cs="Arial"/>
                <w:b/>
                <w:bCs/>
                <w:sz w:val="16"/>
                <w:szCs w:val="16"/>
              </w:rPr>
              <w:noBreakHyphen/>
            </w:r>
            <w:r w:rsidRPr="00AA63AC">
              <w:rPr>
                <w:rFonts w:ascii="Arial" w:hAnsi="Arial" w:cs="Arial"/>
                <w:b/>
                <w:bCs/>
                <w:sz w:val="16"/>
                <w:szCs w:val="16"/>
              </w:rPr>
              <w:t>25 Budget</w:t>
            </w:r>
          </w:p>
        </w:tc>
        <w:tc>
          <w:tcPr>
            <w:tcW w:w="620" w:type="pct"/>
            <w:tcBorders>
              <w:top w:val="nil"/>
              <w:left w:val="nil"/>
              <w:bottom w:val="nil"/>
              <w:right w:val="nil"/>
            </w:tcBorders>
            <w:shd w:val="clear" w:color="000000" w:fill="FFFFFF"/>
            <w:noWrap/>
            <w:vAlign w:val="center"/>
            <w:hideMark/>
          </w:tcPr>
          <w:p w14:paraId="4D451A66" w14:textId="77777777" w:rsidR="00AA63AC" w:rsidRPr="00AA63AC" w:rsidRDefault="00AA63AC" w:rsidP="00AA63AC">
            <w:pPr>
              <w:spacing w:before="0" w:after="0" w:line="240" w:lineRule="auto"/>
              <w:jc w:val="right"/>
              <w:rPr>
                <w:rFonts w:ascii="Arial" w:hAnsi="Arial" w:cs="Arial"/>
                <w:b/>
                <w:bCs/>
                <w:sz w:val="16"/>
                <w:szCs w:val="16"/>
              </w:rPr>
            </w:pPr>
            <w:r w:rsidRPr="00AA63AC">
              <w:rPr>
                <w:rFonts w:ascii="Arial" w:hAnsi="Arial" w:cs="Arial"/>
                <w:b/>
                <w:bCs/>
                <w:sz w:val="16"/>
                <w:szCs w:val="16"/>
              </w:rPr>
              <w:t>8.8</w:t>
            </w:r>
          </w:p>
        </w:tc>
        <w:tc>
          <w:tcPr>
            <w:tcW w:w="620" w:type="pct"/>
            <w:tcBorders>
              <w:top w:val="nil"/>
              <w:left w:val="nil"/>
              <w:bottom w:val="nil"/>
              <w:right w:val="nil"/>
            </w:tcBorders>
            <w:shd w:val="clear" w:color="000000" w:fill="E6F2FF"/>
            <w:noWrap/>
            <w:vAlign w:val="center"/>
            <w:hideMark/>
          </w:tcPr>
          <w:p w14:paraId="6F1291E5" w14:textId="77777777" w:rsidR="00AA63AC" w:rsidRPr="00AA63AC" w:rsidRDefault="00AA63AC" w:rsidP="00AA63AC">
            <w:pPr>
              <w:spacing w:before="0" w:after="0" w:line="240" w:lineRule="auto"/>
              <w:jc w:val="right"/>
              <w:rPr>
                <w:rFonts w:ascii="Arial" w:hAnsi="Arial" w:cs="Arial"/>
                <w:b/>
                <w:bCs/>
                <w:sz w:val="16"/>
                <w:szCs w:val="16"/>
              </w:rPr>
            </w:pPr>
            <w:r w:rsidRPr="00AA63AC">
              <w:rPr>
                <w:rFonts w:ascii="Arial" w:hAnsi="Arial" w:cs="Arial"/>
                <w:b/>
                <w:bCs/>
                <w:sz w:val="16"/>
                <w:szCs w:val="16"/>
              </w:rPr>
              <w:t>19.2</w:t>
            </w:r>
          </w:p>
        </w:tc>
        <w:tc>
          <w:tcPr>
            <w:tcW w:w="620" w:type="pct"/>
            <w:tcBorders>
              <w:top w:val="nil"/>
              <w:left w:val="nil"/>
              <w:bottom w:val="nil"/>
              <w:right w:val="nil"/>
            </w:tcBorders>
            <w:shd w:val="clear" w:color="auto" w:fill="auto"/>
            <w:noWrap/>
            <w:vAlign w:val="center"/>
            <w:hideMark/>
          </w:tcPr>
          <w:p w14:paraId="3673EC0A" w14:textId="77777777" w:rsidR="00AA63AC" w:rsidRPr="00AA63AC" w:rsidRDefault="00AA63AC" w:rsidP="00AA63AC">
            <w:pPr>
              <w:spacing w:before="0" w:after="0" w:line="240" w:lineRule="auto"/>
              <w:jc w:val="right"/>
              <w:rPr>
                <w:rFonts w:ascii="Arial" w:hAnsi="Arial" w:cs="Arial"/>
                <w:b/>
                <w:bCs/>
                <w:sz w:val="16"/>
                <w:szCs w:val="16"/>
              </w:rPr>
            </w:pPr>
            <w:r w:rsidRPr="00AA63AC">
              <w:rPr>
                <w:rFonts w:ascii="Arial" w:hAnsi="Arial" w:cs="Arial"/>
                <w:b/>
                <w:bCs/>
                <w:sz w:val="16"/>
                <w:szCs w:val="16"/>
              </w:rPr>
              <w:t>29.1</w:t>
            </w:r>
          </w:p>
        </w:tc>
        <w:tc>
          <w:tcPr>
            <w:tcW w:w="620" w:type="pct"/>
            <w:tcBorders>
              <w:top w:val="nil"/>
              <w:left w:val="nil"/>
              <w:bottom w:val="nil"/>
              <w:right w:val="nil"/>
            </w:tcBorders>
            <w:shd w:val="clear" w:color="auto" w:fill="auto"/>
            <w:noWrap/>
            <w:vAlign w:val="center"/>
            <w:hideMark/>
          </w:tcPr>
          <w:p w14:paraId="1832FA33" w14:textId="77777777" w:rsidR="00AA63AC" w:rsidRPr="00AA63AC" w:rsidRDefault="00AA63AC" w:rsidP="00AA63AC">
            <w:pPr>
              <w:spacing w:before="0" w:after="0" w:line="240" w:lineRule="auto"/>
              <w:jc w:val="right"/>
              <w:rPr>
                <w:rFonts w:ascii="Arial" w:hAnsi="Arial" w:cs="Arial"/>
                <w:b/>
                <w:bCs/>
                <w:sz w:val="16"/>
                <w:szCs w:val="16"/>
              </w:rPr>
            </w:pPr>
            <w:r w:rsidRPr="00AA63AC">
              <w:rPr>
                <w:rFonts w:ascii="Arial" w:hAnsi="Arial" w:cs="Arial"/>
                <w:b/>
                <w:bCs/>
                <w:sz w:val="16"/>
                <w:szCs w:val="16"/>
              </w:rPr>
              <w:t>36.1</w:t>
            </w:r>
          </w:p>
        </w:tc>
      </w:tr>
      <w:tr w:rsidR="00AA63AC" w:rsidRPr="00AA63AC" w14:paraId="03983EB2" w14:textId="77777777" w:rsidTr="00AA63AC">
        <w:trPr>
          <w:divId w:val="2131505734"/>
          <w:trHeight w:hRule="exact" w:val="225"/>
        </w:trPr>
        <w:tc>
          <w:tcPr>
            <w:tcW w:w="2521" w:type="pct"/>
            <w:tcBorders>
              <w:top w:val="nil"/>
              <w:left w:val="nil"/>
              <w:bottom w:val="single" w:sz="4" w:space="0" w:color="293F5B"/>
              <w:right w:val="nil"/>
            </w:tcBorders>
            <w:shd w:val="clear" w:color="auto" w:fill="auto"/>
            <w:noWrap/>
            <w:vAlign w:val="center"/>
            <w:hideMark/>
          </w:tcPr>
          <w:p w14:paraId="22F32DAE" w14:textId="102C4CAB" w:rsidR="00AA63AC" w:rsidRPr="00AA63AC" w:rsidRDefault="00AA63AC" w:rsidP="00AA63AC">
            <w:pPr>
              <w:spacing w:before="0" w:after="0" w:line="240" w:lineRule="auto"/>
              <w:rPr>
                <w:rFonts w:ascii="Arial" w:hAnsi="Arial" w:cs="Arial"/>
                <w:b/>
                <w:bCs/>
                <w:sz w:val="16"/>
                <w:szCs w:val="16"/>
              </w:rPr>
            </w:pPr>
            <w:r w:rsidRPr="00AA63AC">
              <w:rPr>
                <w:rFonts w:ascii="Arial" w:hAnsi="Arial" w:cs="Arial"/>
                <w:b/>
                <w:bCs/>
                <w:sz w:val="16"/>
                <w:szCs w:val="16"/>
              </w:rPr>
              <w:t>Net debt as at 2024</w:t>
            </w:r>
            <w:r w:rsidR="00B57616">
              <w:rPr>
                <w:rFonts w:ascii="Arial" w:hAnsi="Arial" w:cs="Arial"/>
                <w:b/>
                <w:bCs/>
                <w:sz w:val="16"/>
                <w:szCs w:val="16"/>
              </w:rPr>
              <w:noBreakHyphen/>
            </w:r>
            <w:r w:rsidRPr="00AA63AC">
              <w:rPr>
                <w:rFonts w:ascii="Arial" w:hAnsi="Arial" w:cs="Arial"/>
                <w:b/>
                <w:bCs/>
                <w:sz w:val="16"/>
                <w:szCs w:val="16"/>
              </w:rPr>
              <w:t>25 Budget</w:t>
            </w:r>
          </w:p>
        </w:tc>
        <w:tc>
          <w:tcPr>
            <w:tcW w:w="620" w:type="pct"/>
            <w:tcBorders>
              <w:top w:val="single" w:sz="4" w:space="0" w:color="293F5B"/>
              <w:left w:val="nil"/>
              <w:bottom w:val="single" w:sz="4" w:space="0" w:color="293F5B"/>
              <w:right w:val="nil"/>
            </w:tcBorders>
            <w:shd w:val="clear" w:color="000000" w:fill="FFFFFF"/>
            <w:noWrap/>
            <w:vAlign w:val="center"/>
            <w:hideMark/>
          </w:tcPr>
          <w:p w14:paraId="662C253B" w14:textId="77777777" w:rsidR="00AA63AC" w:rsidRPr="00AA63AC" w:rsidRDefault="00AA63AC" w:rsidP="00AA63AC">
            <w:pPr>
              <w:spacing w:before="0" w:after="0" w:line="240" w:lineRule="auto"/>
              <w:jc w:val="right"/>
              <w:rPr>
                <w:rFonts w:ascii="Arial" w:hAnsi="Arial" w:cs="Arial"/>
                <w:b/>
                <w:bCs/>
                <w:sz w:val="16"/>
                <w:szCs w:val="16"/>
              </w:rPr>
            </w:pPr>
            <w:r w:rsidRPr="00AA63AC">
              <w:rPr>
                <w:rFonts w:ascii="Arial" w:hAnsi="Arial" w:cs="Arial"/>
                <w:b/>
                <w:bCs/>
                <w:sz w:val="16"/>
                <w:szCs w:val="16"/>
              </w:rPr>
              <w:t>499.9</w:t>
            </w:r>
          </w:p>
        </w:tc>
        <w:tc>
          <w:tcPr>
            <w:tcW w:w="620" w:type="pct"/>
            <w:tcBorders>
              <w:top w:val="single" w:sz="4" w:space="0" w:color="293F5B"/>
              <w:left w:val="nil"/>
              <w:bottom w:val="single" w:sz="4" w:space="0" w:color="293F5B"/>
              <w:right w:val="nil"/>
            </w:tcBorders>
            <w:shd w:val="clear" w:color="000000" w:fill="E6F2FF"/>
            <w:noWrap/>
            <w:vAlign w:val="center"/>
            <w:hideMark/>
          </w:tcPr>
          <w:p w14:paraId="469D2B0A" w14:textId="77777777" w:rsidR="00AA63AC" w:rsidRPr="00AA63AC" w:rsidRDefault="00AA63AC" w:rsidP="00AA63AC">
            <w:pPr>
              <w:spacing w:before="0" w:after="0" w:line="240" w:lineRule="auto"/>
              <w:jc w:val="right"/>
              <w:rPr>
                <w:rFonts w:ascii="Arial" w:hAnsi="Arial" w:cs="Arial"/>
                <w:b/>
                <w:bCs/>
                <w:sz w:val="16"/>
                <w:szCs w:val="16"/>
              </w:rPr>
            </w:pPr>
            <w:r w:rsidRPr="00AA63AC">
              <w:rPr>
                <w:rFonts w:ascii="Arial" w:hAnsi="Arial" w:cs="Arial"/>
                <w:b/>
                <w:bCs/>
                <w:sz w:val="16"/>
                <w:szCs w:val="16"/>
              </w:rPr>
              <w:t>552.5</w:t>
            </w:r>
          </w:p>
        </w:tc>
        <w:tc>
          <w:tcPr>
            <w:tcW w:w="620" w:type="pct"/>
            <w:tcBorders>
              <w:top w:val="single" w:sz="4" w:space="0" w:color="293F5B"/>
              <w:left w:val="nil"/>
              <w:bottom w:val="single" w:sz="4" w:space="0" w:color="293F5B"/>
              <w:right w:val="nil"/>
            </w:tcBorders>
            <w:shd w:val="clear" w:color="auto" w:fill="auto"/>
            <w:noWrap/>
            <w:vAlign w:val="center"/>
            <w:hideMark/>
          </w:tcPr>
          <w:p w14:paraId="1688F9F9" w14:textId="77777777" w:rsidR="00AA63AC" w:rsidRPr="00AA63AC" w:rsidRDefault="00AA63AC" w:rsidP="00AA63AC">
            <w:pPr>
              <w:spacing w:before="0" w:after="0" w:line="240" w:lineRule="auto"/>
              <w:jc w:val="right"/>
              <w:rPr>
                <w:rFonts w:ascii="Arial" w:hAnsi="Arial" w:cs="Arial"/>
                <w:b/>
                <w:bCs/>
                <w:sz w:val="16"/>
                <w:szCs w:val="16"/>
              </w:rPr>
            </w:pPr>
            <w:r w:rsidRPr="00AA63AC">
              <w:rPr>
                <w:rFonts w:ascii="Arial" w:hAnsi="Arial" w:cs="Arial"/>
                <w:b/>
                <w:bCs/>
                <w:sz w:val="16"/>
                <w:szCs w:val="16"/>
              </w:rPr>
              <w:t>615.5</w:t>
            </w:r>
          </w:p>
        </w:tc>
        <w:tc>
          <w:tcPr>
            <w:tcW w:w="620" w:type="pct"/>
            <w:tcBorders>
              <w:top w:val="single" w:sz="4" w:space="0" w:color="293F5B"/>
              <w:left w:val="nil"/>
              <w:bottom w:val="single" w:sz="4" w:space="0" w:color="293F5B"/>
              <w:right w:val="nil"/>
            </w:tcBorders>
            <w:shd w:val="clear" w:color="auto" w:fill="auto"/>
            <w:noWrap/>
            <w:vAlign w:val="center"/>
            <w:hideMark/>
          </w:tcPr>
          <w:p w14:paraId="1FEA890B" w14:textId="77777777" w:rsidR="00AA63AC" w:rsidRPr="00AA63AC" w:rsidRDefault="00AA63AC" w:rsidP="00AA63AC">
            <w:pPr>
              <w:spacing w:before="0" w:after="0" w:line="240" w:lineRule="auto"/>
              <w:jc w:val="right"/>
              <w:rPr>
                <w:rFonts w:ascii="Arial" w:hAnsi="Arial" w:cs="Arial"/>
                <w:b/>
                <w:bCs/>
                <w:sz w:val="16"/>
                <w:szCs w:val="16"/>
              </w:rPr>
            </w:pPr>
            <w:r w:rsidRPr="00AA63AC">
              <w:rPr>
                <w:rFonts w:ascii="Arial" w:hAnsi="Arial" w:cs="Arial"/>
                <w:b/>
                <w:bCs/>
                <w:sz w:val="16"/>
                <w:szCs w:val="16"/>
              </w:rPr>
              <w:t>660.0</w:t>
            </w:r>
          </w:p>
        </w:tc>
      </w:tr>
    </w:tbl>
    <w:p w14:paraId="1916F517" w14:textId="03F0EEF9" w:rsidR="00973AAF" w:rsidRPr="008F23D3" w:rsidRDefault="00973AAF" w:rsidP="008F23D3"/>
    <w:p w14:paraId="5FDE0F63" w14:textId="49B3E6FC" w:rsidR="001A4F7E" w:rsidRPr="0098325D" w:rsidRDefault="001A4F7E" w:rsidP="00396838">
      <w:pPr>
        <w:rPr>
          <w:rFonts w:ascii="Arial" w:hAnsi="Arial" w:cs="Arial"/>
          <w:sz w:val="16"/>
          <w:szCs w:val="16"/>
        </w:rPr>
      </w:pPr>
      <w:r w:rsidRPr="0098325D">
        <w:br w:type="page"/>
      </w:r>
    </w:p>
    <w:p w14:paraId="65012CFE" w14:textId="77777777" w:rsidR="001A4F7E" w:rsidRPr="0098325D" w:rsidRDefault="001A4F7E" w:rsidP="001A4F7E">
      <w:pPr>
        <w:pStyle w:val="Heading2"/>
        <w:rPr>
          <w:rFonts w:eastAsiaTheme="minorHAnsi"/>
        </w:rPr>
      </w:pPr>
      <w:bookmarkStart w:id="47" w:name="_Toc51582830"/>
      <w:bookmarkStart w:id="48" w:name="_Toc98531937"/>
      <w:bookmarkStart w:id="49" w:name="_Toc117337752"/>
      <w:bookmarkStart w:id="50" w:name="_Toc166355907"/>
      <w:r w:rsidRPr="0098325D">
        <w:lastRenderedPageBreak/>
        <w:t>Interest on AGS</w:t>
      </w:r>
      <w:bookmarkEnd w:id="47"/>
      <w:bookmarkEnd w:id="48"/>
      <w:bookmarkEnd w:id="49"/>
      <w:bookmarkEnd w:id="50"/>
    </w:p>
    <w:p w14:paraId="7927F8EB" w14:textId="6FD87316" w:rsidR="001A4F7E" w:rsidRPr="004C05FA" w:rsidRDefault="001A4F7E" w:rsidP="00396838">
      <w:r w:rsidRPr="004C05FA">
        <w:t>Estimates of the interest payments and expense of AGS on issue include the cost of AGS already on issue and future AGS issuance.</w:t>
      </w:r>
    </w:p>
    <w:p w14:paraId="0D8537C0" w14:textId="77777777" w:rsidR="001A4F7E" w:rsidRPr="004C05FA" w:rsidRDefault="001A4F7E" w:rsidP="00396838">
      <w:pPr>
        <w:pStyle w:val="Bullet"/>
      </w:pPr>
      <w:r w:rsidRPr="004C05FA">
        <w:t>The cost of AGS already on issue reflects the actual yield at the time of issuance.</w:t>
      </w:r>
    </w:p>
    <w:p w14:paraId="4AB87546" w14:textId="77777777" w:rsidR="001A4F7E" w:rsidRPr="004C05FA" w:rsidRDefault="001A4F7E" w:rsidP="00396838">
      <w:pPr>
        <w:pStyle w:val="Bullet"/>
      </w:pPr>
      <w:r w:rsidRPr="004C05FA">
        <w:t>The expected cost of future AGS issuance is based on a recent average of daily spot rates across the yield curve at the time of a budget estimates update.</w:t>
      </w:r>
    </w:p>
    <w:p w14:paraId="2177E4EF" w14:textId="05FDBBBA" w:rsidR="001A4F7E" w:rsidRPr="004C05FA" w:rsidRDefault="00A57527" w:rsidP="00396838">
      <w:pPr>
        <w:rPr>
          <w:rFonts w:eastAsia="Book Antiqua" w:cs="Book Antiqua"/>
          <w:szCs w:val="19"/>
        </w:rPr>
      </w:pPr>
      <w:r w:rsidRPr="004C05FA">
        <w:t>Total i</w:t>
      </w:r>
      <w:r w:rsidR="001A4F7E" w:rsidRPr="004C05FA">
        <w:t xml:space="preserve">nterest payments on AGS </w:t>
      </w:r>
      <w:r w:rsidRPr="004C05FA">
        <w:t xml:space="preserve">across the forward estimates </w:t>
      </w:r>
      <w:r w:rsidR="001A4F7E" w:rsidRPr="004C05FA">
        <w:t xml:space="preserve">are estimated to be </w:t>
      </w:r>
      <w:r w:rsidR="001B0B62" w:rsidRPr="004C05FA">
        <w:t>broadly similar</w:t>
      </w:r>
      <w:r w:rsidR="001A4F7E" w:rsidRPr="004C05FA">
        <w:t xml:space="preserve"> compared to </w:t>
      </w:r>
      <w:r w:rsidR="00731AB8" w:rsidRPr="004C05FA">
        <w:t xml:space="preserve">the </w:t>
      </w:r>
      <w:r w:rsidR="002A7381" w:rsidRPr="004C05FA">
        <w:t>2023</w:t>
      </w:r>
      <w:r w:rsidR="00396838" w:rsidRPr="004C05FA">
        <w:t>–</w:t>
      </w:r>
      <w:r w:rsidR="002A7381" w:rsidRPr="004C05FA">
        <w:t>24 </w:t>
      </w:r>
      <w:r w:rsidR="0010741F" w:rsidRPr="004C05FA">
        <w:t>MYEFO</w:t>
      </w:r>
      <w:r w:rsidR="001A4F7E" w:rsidRPr="004C05FA">
        <w:t>. This is</w:t>
      </w:r>
      <w:r w:rsidR="005C5D34" w:rsidRPr="004C05FA">
        <w:t xml:space="preserve"> primarily due to</w:t>
      </w:r>
      <w:r w:rsidR="00F405A6" w:rsidRPr="004C05FA">
        <w:t xml:space="preserve"> lower yields and improved terms of borrowing offsetting</w:t>
      </w:r>
      <w:r w:rsidR="001A4F7E" w:rsidRPr="004C05FA">
        <w:t xml:space="preserve"> </w:t>
      </w:r>
      <w:r w:rsidR="00B1739A" w:rsidRPr="004C05FA">
        <w:t xml:space="preserve">the </w:t>
      </w:r>
      <w:r w:rsidR="006B0CDC" w:rsidRPr="004C05FA">
        <w:t>change</w:t>
      </w:r>
      <w:r w:rsidR="00C05573" w:rsidRPr="004C05FA">
        <w:t xml:space="preserve"> in</w:t>
      </w:r>
      <w:r w:rsidR="00B1739A" w:rsidRPr="004C05FA">
        <w:t xml:space="preserve"> the</w:t>
      </w:r>
      <w:r w:rsidR="00606F9D" w:rsidRPr="004C05FA">
        <w:t xml:space="preserve"> headline</w:t>
      </w:r>
      <w:r w:rsidR="00B1739A" w:rsidRPr="004C05FA">
        <w:t xml:space="preserve"> </w:t>
      </w:r>
      <w:r w:rsidR="005C5D34" w:rsidRPr="004C05FA">
        <w:t>c</w:t>
      </w:r>
      <w:r w:rsidR="00B1739A" w:rsidRPr="004C05FA">
        <w:t xml:space="preserve">ash </w:t>
      </w:r>
      <w:r w:rsidR="005C5D34" w:rsidRPr="004C05FA">
        <w:t>b</w:t>
      </w:r>
      <w:r w:rsidR="00B1739A" w:rsidRPr="004C05FA">
        <w:t xml:space="preserve">alance </w:t>
      </w:r>
      <w:r w:rsidRPr="004C05FA">
        <w:t>across the</w:t>
      </w:r>
      <w:r w:rsidR="00B1739A" w:rsidRPr="004C05FA">
        <w:t xml:space="preserve"> </w:t>
      </w:r>
      <w:r w:rsidR="00037ADD" w:rsidRPr="004C05FA">
        <w:t>forward estimates</w:t>
      </w:r>
      <w:r w:rsidR="00F405A6" w:rsidRPr="004C05FA">
        <w:t xml:space="preserve">. </w:t>
      </w:r>
    </w:p>
    <w:p w14:paraId="6D7CCCB7" w14:textId="70DD657C" w:rsidR="0072657A" w:rsidRPr="004C05FA" w:rsidRDefault="001A4F7E" w:rsidP="00396838">
      <w:pPr>
        <w:rPr>
          <w:rFonts w:eastAsia="Book Antiqua" w:cs="Book Antiqua"/>
          <w:szCs w:val="19"/>
        </w:rPr>
      </w:pPr>
      <w:r w:rsidRPr="004C05FA">
        <w:rPr>
          <w:rFonts w:eastAsia="Book Antiqua" w:cs="Book Antiqua"/>
          <w:szCs w:val="19"/>
        </w:rPr>
        <w:t>Chart</w:t>
      </w:r>
      <w:r w:rsidR="00F8052E" w:rsidRPr="004C05FA">
        <w:rPr>
          <w:rFonts w:eastAsia="Book Antiqua" w:cs="Book Antiqua"/>
          <w:szCs w:val="19"/>
        </w:rPr>
        <w:t> </w:t>
      </w:r>
      <w:r w:rsidRPr="004C05FA">
        <w:rPr>
          <w:rFonts w:eastAsia="Book Antiqua" w:cs="Book Antiqua"/>
          <w:szCs w:val="19"/>
        </w:rPr>
        <w:t xml:space="preserve">7.2 shows the yield curve assumptions underpinning the </w:t>
      </w:r>
      <w:r w:rsidR="000147E0" w:rsidRPr="004C05FA">
        <w:rPr>
          <w:rFonts w:eastAsia="Book Antiqua" w:cs="Book Antiqua"/>
          <w:szCs w:val="19"/>
        </w:rPr>
        <w:t>2022 P</w:t>
      </w:r>
      <w:r w:rsidR="006F2910" w:rsidRPr="004C05FA">
        <w:rPr>
          <w:rFonts w:eastAsia="Book Antiqua" w:cs="Book Antiqua"/>
          <w:szCs w:val="19"/>
        </w:rPr>
        <w:t>re</w:t>
      </w:r>
      <w:r w:rsidR="006F2910" w:rsidRPr="004C05FA">
        <w:rPr>
          <w:rFonts w:eastAsia="Book Antiqua" w:cs="Book Antiqua"/>
          <w:szCs w:val="19"/>
        </w:rPr>
        <w:noBreakHyphen/>
        <w:t xml:space="preserve">election Economic </w:t>
      </w:r>
      <w:r w:rsidR="00C37A9F" w:rsidRPr="004C05FA">
        <w:rPr>
          <w:rFonts w:eastAsia="Book Antiqua" w:cs="Book Antiqua"/>
          <w:szCs w:val="19"/>
        </w:rPr>
        <w:t xml:space="preserve">and </w:t>
      </w:r>
      <w:r w:rsidR="006F2910" w:rsidRPr="004C05FA">
        <w:rPr>
          <w:rFonts w:eastAsia="Book Antiqua" w:cs="Book Antiqua"/>
          <w:szCs w:val="19"/>
        </w:rPr>
        <w:t>Fiscal Outlook</w:t>
      </w:r>
      <w:r w:rsidR="00C37A9F" w:rsidRPr="004C05FA">
        <w:rPr>
          <w:rFonts w:eastAsia="Book Antiqua" w:cs="Book Antiqua"/>
          <w:szCs w:val="19"/>
        </w:rPr>
        <w:t xml:space="preserve"> (PEFO)</w:t>
      </w:r>
      <w:r w:rsidR="000147E0" w:rsidRPr="004C05FA">
        <w:rPr>
          <w:rFonts w:eastAsia="Book Antiqua" w:cs="Book Antiqua"/>
          <w:szCs w:val="19"/>
        </w:rPr>
        <w:t xml:space="preserve">, </w:t>
      </w:r>
      <w:r w:rsidR="006C77A8" w:rsidRPr="004C05FA">
        <w:rPr>
          <w:rFonts w:eastAsia="Book Antiqua" w:cs="Book Antiqua"/>
          <w:szCs w:val="19"/>
        </w:rPr>
        <w:t>2023</w:t>
      </w:r>
      <w:r w:rsidR="000147E0" w:rsidRPr="004C05FA">
        <w:rPr>
          <w:rFonts w:eastAsia="Book Antiqua" w:cs="Book Antiqua"/>
          <w:szCs w:val="19"/>
        </w:rPr>
        <w:noBreakHyphen/>
      </w:r>
      <w:r w:rsidR="006C77A8" w:rsidRPr="004C05FA">
        <w:rPr>
          <w:rFonts w:eastAsia="Book Antiqua" w:cs="Book Antiqua"/>
          <w:szCs w:val="19"/>
        </w:rPr>
        <w:t>24</w:t>
      </w:r>
      <w:r w:rsidR="003644FF" w:rsidRPr="004C05FA">
        <w:rPr>
          <w:rFonts w:eastAsia="Book Antiqua" w:cs="Book Antiqua"/>
          <w:szCs w:val="19"/>
        </w:rPr>
        <w:t> </w:t>
      </w:r>
      <w:r w:rsidR="006C77A8" w:rsidRPr="004C05FA">
        <w:rPr>
          <w:rFonts w:eastAsia="Book Antiqua" w:cs="Book Antiqua"/>
          <w:szCs w:val="19"/>
        </w:rPr>
        <w:t>MYEFO</w:t>
      </w:r>
      <w:r w:rsidRPr="004C05FA">
        <w:rPr>
          <w:rFonts w:eastAsia="Book Antiqua" w:cs="Book Antiqua"/>
          <w:szCs w:val="19"/>
        </w:rPr>
        <w:t xml:space="preserve"> and the 202</w:t>
      </w:r>
      <w:r w:rsidR="006C77A8" w:rsidRPr="004C05FA">
        <w:rPr>
          <w:rFonts w:eastAsia="Book Antiqua" w:cs="Book Antiqua"/>
          <w:szCs w:val="19"/>
        </w:rPr>
        <w:t>4</w:t>
      </w:r>
      <w:r w:rsidR="00997919" w:rsidRPr="004C05FA">
        <w:rPr>
          <w:rFonts w:ascii="Times New Roman" w:hAnsi="Times New Roman"/>
        </w:rPr>
        <w:t>‍</w:t>
      </w:r>
      <w:r w:rsidR="00997919" w:rsidRPr="004C05FA">
        <w:t>–</w:t>
      </w:r>
      <w:r w:rsidR="00997919" w:rsidRPr="004C05FA">
        <w:rPr>
          <w:rFonts w:ascii="Times New Roman" w:hAnsi="Times New Roman"/>
        </w:rPr>
        <w:t>‍</w:t>
      </w:r>
      <w:r w:rsidRPr="004C05FA">
        <w:rPr>
          <w:rFonts w:eastAsia="Book Antiqua" w:cs="Book Antiqua"/>
          <w:szCs w:val="19"/>
        </w:rPr>
        <w:t>2</w:t>
      </w:r>
      <w:r w:rsidR="006C77A8" w:rsidRPr="004C05FA">
        <w:rPr>
          <w:rFonts w:eastAsia="Book Antiqua" w:cs="Book Antiqua"/>
          <w:szCs w:val="19"/>
        </w:rPr>
        <w:t>5</w:t>
      </w:r>
      <w:r w:rsidR="003644FF" w:rsidRPr="004C05FA">
        <w:rPr>
          <w:rFonts w:eastAsia="Book Antiqua" w:cs="Book Antiqua"/>
          <w:szCs w:val="19"/>
        </w:rPr>
        <w:t> B</w:t>
      </w:r>
      <w:r w:rsidRPr="004C05FA">
        <w:rPr>
          <w:rFonts w:eastAsia="Book Antiqua" w:cs="Book Antiqua"/>
          <w:szCs w:val="19"/>
        </w:rPr>
        <w:t xml:space="preserve">udget. Yields are lower compared to the </w:t>
      </w:r>
      <w:r w:rsidR="003644FF" w:rsidRPr="004C05FA">
        <w:rPr>
          <w:rFonts w:eastAsia="Book Antiqua" w:cs="Book Antiqua"/>
          <w:szCs w:val="19"/>
        </w:rPr>
        <w:t>2023</w:t>
      </w:r>
      <w:r w:rsidR="00997919" w:rsidRPr="004C05FA">
        <w:rPr>
          <w:rFonts w:eastAsia="Book Antiqua" w:cs="Book Antiqua"/>
          <w:szCs w:val="19"/>
        </w:rPr>
        <w:t>–</w:t>
      </w:r>
      <w:r w:rsidR="003644FF" w:rsidRPr="004C05FA">
        <w:rPr>
          <w:rFonts w:eastAsia="Book Antiqua" w:cs="Book Antiqua"/>
          <w:szCs w:val="19"/>
        </w:rPr>
        <w:t>24 MYEFO</w:t>
      </w:r>
      <w:r w:rsidRPr="004C05FA">
        <w:rPr>
          <w:rFonts w:eastAsia="Book Antiqua" w:cs="Book Antiqua"/>
          <w:szCs w:val="19"/>
        </w:rPr>
        <w:t>,</w:t>
      </w:r>
      <w:r w:rsidRPr="004C05FA">
        <w:t xml:space="preserve"> reflecting </w:t>
      </w:r>
      <w:r w:rsidR="002467FD" w:rsidRPr="004C05FA">
        <w:t>a</w:t>
      </w:r>
      <w:r w:rsidRPr="004C05FA">
        <w:t xml:space="preserve"> moderation in market expectations for inflation and future cash rates.</w:t>
      </w:r>
      <w:r w:rsidRPr="004C05FA" w:rsidDel="00F17B7B">
        <w:rPr>
          <w:rFonts w:eastAsia="Book Antiqua"/>
        </w:rPr>
        <w:t xml:space="preserve"> </w:t>
      </w:r>
    </w:p>
    <w:p w14:paraId="2FC92069" w14:textId="2EA7356F" w:rsidR="00BE253C" w:rsidRPr="004C05FA" w:rsidRDefault="00917485" w:rsidP="00396838">
      <w:pPr>
        <w:rPr>
          <w:rFonts w:eastAsia="Book Antiqua" w:cs="Book Antiqua"/>
          <w:szCs w:val="19"/>
        </w:rPr>
      </w:pPr>
      <w:r w:rsidRPr="004C05FA">
        <w:rPr>
          <w:rFonts w:eastAsia="Book Antiqua" w:cs="Book Antiqua"/>
          <w:szCs w:val="19"/>
        </w:rPr>
        <w:t>V</w:t>
      </w:r>
      <w:r w:rsidR="00F52E89" w:rsidRPr="004C05FA">
        <w:rPr>
          <w:rFonts w:eastAsia="Book Antiqua" w:cs="Book Antiqua"/>
          <w:szCs w:val="19"/>
        </w:rPr>
        <w:t>olatility in y</w:t>
      </w:r>
      <w:r w:rsidR="000C714D" w:rsidRPr="004C05FA">
        <w:rPr>
          <w:rFonts w:eastAsia="Book Antiqua" w:cs="Book Antiqua"/>
          <w:szCs w:val="19"/>
        </w:rPr>
        <w:t xml:space="preserve">ields </w:t>
      </w:r>
      <w:r w:rsidR="00F52E89" w:rsidRPr="004C05FA">
        <w:rPr>
          <w:rFonts w:eastAsia="Book Antiqua" w:cs="Book Antiqua"/>
          <w:szCs w:val="19"/>
        </w:rPr>
        <w:t xml:space="preserve">over the past two years </w:t>
      </w:r>
      <w:r w:rsidR="000C714D" w:rsidRPr="004C05FA">
        <w:rPr>
          <w:rFonts w:eastAsia="Book Antiqua" w:cs="Book Antiqua"/>
          <w:szCs w:val="19"/>
        </w:rPr>
        <w:t>ha</w:t>
      </w:r>
      <w:r w:rsidR="00F52E89" w:rsidRPr="004C05FA">
        <w:rPr>
          <w:rFonts w:eastAsia="Book Antiqua" w:cs="Book Antiqua"/>
          <w:szCs w:val="19"/>
        </w:rPr>
        <w:t>s</w:t>
      </w:r>
      <w:r w:rsidR="001B020F" w:rsidRPr="004C05FA">
        <w:rPr>
          <w:rFonts w:eastAsia="Book Antiqua" w:cs="Book Antiqua"/>
          <w:szCs w:val="19"/>
        </w:rPr>
        <w:t xml:space="preserve"> influenced the outlook for</w:t>
      </w:r>
      <w:r w:rsidR="00A53D0C" w:rsidRPr="004C05FA">
        <w:rPr>
          <w:rFonts w:eastAsia="Book Antiqua" w:cs="Book Antiqua"/>
          <w:szCs w:val="19"/>
        </w:rPr>
        <w:t xml:space="preserve"> interest payments</w:t>
      </w:r>
      <w:r w:rsidR="000C714D" w:rsidRPr="004C05FA">
        <w:rPr>
          <w:rFonts w:eastAsia="Book Antiqua" w:cs="Book Antiqua"/>
          <w:szCs w:val="19"/>
        </w:rPr>
        <w:t xml:space="preserve">. </w:t>
      </w:r>
      <w:r w:rsidR="00BE253C" w:rsidRPr="004C05FA">
        <w:rPr>
          <w:rFonts w:eastAsia="Book Antiqua" w:cs="Book Antiqua"/>
          <w:szCs w:val="19"/>
        </w:rPr>
        <w:t xml:space="preserve">The supply of bonds, expectations for future monetary policy and </w:t>
      </w:r>
      <w:r w:rsidR="00BE253C" w:rsidRPr="004C05FA" w:rsidDel="008C7EFE">
        <w:rPr>
          <w:rFonts w:eastAsia="Book Antiqua" w:cs="Book Antiqua"/>
          <w:szCs w:val="19"/>
        </w:rPr>
        <w:t xml:space="preserve">perceptions of </w:t>
      </w:r>
      <w:r w:rsidR="00BE253C" w:rsidRPr="004C05FA">
        <w:rPr>
          <w:rFonts w:eastAsia="Book Antiqua" w:cs="Book Antiqua"/>
          <w:szCs w:val="19"/>
        </w:rPr>
        <w:t xml:space="preserve">risks all influence yields. </w:t>
      </w:r>
      <w:r w:rsidR="00C91551" w:rsidRPr="004C05FA">
        <w:rPr>
          <w:rFonts w:eastAsia="Book Antiqua" w:cs="Book Antiqua"/>
          <w:szCs w:val="19"/>
        </w:rPr>
        <w:t xml:space="preserve">While </w:t>
      </w:r>
      <w:r w:rsidR="00D11F8F" w:rsidRPr="004C05FA">
        <w:rPr>
          <w:rFonts w:eastAsia="Book Antiqua" w:cs="Book Antiqua"/>
          <w:szCs w:val="19"/>
        </w:rPr>
        <w:t>yields have fallen since the end of 2023, they remain significantly higher</w:t>
      </w:r>
      <w:r w:rsidR="00501EE3" w:rsidRPr="004C05FA">
        <w:rPr>
          <w:rFonts w:eastAsia="Book Antiqua" w:cs="Book Antiqua"/>
          <w:szCs w:val="19"/>
        </w:rPr>
        <w:t xml:space="preserve"> than </w:t>
      </w:r>
      <w:r w:rsidR="00CD116C" w:rsidRPr="004C05FA">
        <w:rPr>
          <w:rFonts w:eastAsia="Book Antiqua" w:cs="Book Antiqua"/>
          <w:szCs w:val="19"/>
        </w:rPr>
        <w:t>at the 2022</w:t>
      </w:r>
      <w:r w:rsidR="006F2910" w:rsidRPr="004C05FA">
        <w:rPr>
          <w:rFonts w:eastAsia="Book Antiqua" w:cs="Book Antiqua"/>
          <w:szCs w:val="19"/>
        </w:rPr>
        <w:t> </w:t>
      </w:r>
      <w:r w:rsidR="00CD116C" w:rsidRPr="004C05FA">
        <w:rPr>
          <w:rFonts w:eastAsia="Book Antiqua" w:cs="Book Antiqua"/>
          <w:szCs w:val="19"/>
        </w:rPr>
        <w:t>PEFO</w:t>
      </w:r>
      <w:r w:rsidR="00501EE3" w:rsidRPr="004C05FA">
        <w:rPr>
          <w:rFonts w:eastAsia="Book Antiqua" w:cs="Book Antiqua"/>
          <w:szCs w:val="19"/>
        </w:rPr>
        <w:t xml:space="preserve">. </w:t>
      </w:r>
    </w:p>
    <w:p w14:paraId="784983BB" w14:textId="234381D4" w:rsidR="00430E69" w:rsidRPr="00DA4572" w:rsidRDefault="00A078A5" w:rsidP="00396838">
      <w:pPr>
        <w:rPr>
          <w:rFonts w:eastAsia="Book Antiqua" w:cs="Book Antiqua"/>
          <w:szCs w:val="19"/>
        </w:rPr>
      </w:pPr>
      <w:r w:rsidRPr="004C05FA">
        <w:rPr>
          <w:rFonts w:eastAsia="Book Antiqua" w:cs="Book Antiqua"/>
          <w:szCs w:val="19"/>
        </w:rPr>
        <w:t>At</w:t>
      </w:r>
      <w:r w:rsidR="007257CA" w:rsidRPr="004C05FA">
        <w:rPr>
          <w:rFonts w:eastAsia="Book Antiqua" w:cs="Book Antiqua"/>
          <w:szCs w:val="19"/>
        </w:rPr>
        <w:t xml:space="preserve"> the 2022</w:t>
      </w:r>
      <w:r w:rsidR="009B306D" w:rsidRPr="004C05FA">
        <w:rPr>
          <w:rFonts w:eastAsia="Book Antiqua" w:cs="Book Antiqua"/>
          <w:szCs w:val="19"/>
        </w:rPr>
        <w:t> </w:t>
      </w:r>
      <w:r w:rsidR="00FC18FF" w:rsidRPr="004C05FA">
        <w:rPr>
          <w:rFonts w:eastAsia="Book Antiqua" w:cs="Book Antiqua"/>
          <w:szCs w:val="19"/>
        </w:rPr>
        <w:t>PEFO</w:t>
      </w:r>
      <w:r w:rsidRPr="004C05FA">
        <w:rPr>
          <w:rFonts w:eastAsia="Book Antiqua" w:cs="Book Antiqua"/>
          <w:szCs w:val="19"/>
        </w:rPr>
        <w:t>, the weighted average cost of borrowing was 2.2</w:t>
      </w:r>
      <w:r w:rsidR="00FC18FF" w:rsidRPr="004C05FA">
        <w:rPr>
          <w:rFonts w:eastAsia="Book Antiqua" w:cs="Book Antiqua"/>
          <w:szCs w:val="19"/>
        </w:rPr>
        <w:t> </w:t>
      </w:r>
      <w:r w:rsidRPr="004C05FA">
        <w:rPr>
          <w:rFonts w:eastAsia="Book Antiqua" w:cs="Book Antiqua"/>
          <w:szCs w:val="19"/>
        </w:rPr>
        <w:t>per</w:t>
      </w:r>
      <w:r w:rsidR="00FC18FF" w:rsidRPr="004C05FA">
        <w:rPr>
          <w:rFonts w:eastAsia="Book Antiqua" w:cs="Book Antiqua"/>
          <w:szCs w:val="19"/>
        </w:rPr>
        <w:t> </w:t>
      </w:r>
      <w:r w:rsidRPr="004C05FA">
        <w:rPr>
          <w:rFonts w:eastAsia="Book Antiqua" w:cs="Book Antiqua"/>
          <w:szCs w:val="19"/>
        </w:rPr>
        <w:t>cent</w:t>
      </w:r>
      <w:r w:rsidR="004D49DE" w:rsidRPr="004C05FA">
        <w:rPr>
          <w:rFonts w:eastAsia="Book Antiqua" w:cs="Book Antiqua"/>
          <w:szCs w:val="19"/>
        </w:rPr>
        <w:t xml:space="preserve">, rising to </w:t>
      </w:r>
      <w:r w:rsidR="00017F9F" w:rsidRPr="004C05FA">
        <w:rPr>
          <w:rFonts w:eastAsia="Book Antiqua" w:cs="Book Antiqua"/>
          <w:szCs w:val="19"/>
        </w:rPr>
        <w:t>3.8</w:t>
      </w:r>
      <w:r w:rsidR="00FC18FF" w:rsidRPr="004C05FA">
        <w:rPr>
          <w:rFonts w:eastAsia="Book Antiqua" w:cs="Book Antiqua"/>
          <w:szCs w:val="19"/>
        </w:rPr>
        <w:t> </w:t>
      </w:r>
      <w:r w:rsidR="00017F9F" w:rsidRPr="004C05FA">
        <w:rPr>
          <w:rFonts w:eastAsia="Book Antiqua" w:cs="Book Antiqua"/>
          <w:szCs w:val="19"/>
        </w:rPr>
        <w:t>per</w:t>
      </w:r>
      <w:r w:rsidR="00FC18FF" w:rsidRPr="004C05FA">
        <w:rPr>
          <w:rFonts w:eastAsia="Book Antiqua" w:cs="Book Antiqua"/>
          <w:szCs w:val="19"/>
        </w:rPr>
        <w:t> </w:t>
      </w:r>
      <w:r w:rsidR="00017F9F" w:rsidRPr="004C05FA">
        <w:rPr>
          <w:rFonts w:eastAsia="Book Antiqua" w:cs="Book Antiqua"/>
          <w:szCs w:val="19"/>
        </w:rPr>
        <w:t>cent at the 2022</w:t>
      </w:r>
      <w:r w:rsidR="00997919" w:rsidRPr="004C05FA">
        <w:rPr>
          <w:rFonts w:eastAsia="Book Antiqua" w:cs="Book Antiqua"/>
          <w:szCs w:val="19"/>
        </w:rPr>
        <w:t>–</w:t>
      </w:r>
      <w:r w:rsidR="00017F9F" w:rsidRPr="004C05FA">
        <w:rPr>
          <w:rFonts w:eastAsia="Book Antiqua" w:cs="Book Antiqua"/>
          <w:szCs w:val="19"/>
        </w:rPr>
        <w:t>23</w:t>
      </w:r>
      <w:r w:rsidR="009B306D" w:rsidRPr="004C05FA">
        <w:rPr>
          <w:rFonts w:eastAsia="Book Antiqua" w:cs="Book Antiqua"/>
          <w:szCs w:val="19"/>
        </w:rPr>
        <w:t> </w:t>
      </w:r>
      <w:r w:rsidR="00017F9F" w:rsidRPr="004C05FA">
        <w:rPr>
          <w:rFonts w:eastAsia="Book Antiqua" w:cs="Book Antiqua"/>
          <w:szCs w:val="19"/>
        </w:rPr>
        <w:t>October</w:t>
      </w:r>
      <w:r w:rsidR="009B306D" w:rsidRPr="004C05FA">
        <w:rPr>
          <w:rFonts w:eastAsia="Book Antiqua" w:cs="Book Antiqua"/>
          <w:szCs w:val="19"/>
        </w:rPr>
        <w:t> </w:t>
      </w:r>
      <w:r w:rsidR="00017F9F" w:rsidRPr="004C05FA">
        <w:rPr>
          <w:rFonts w:eastAsia="Book Antiqua" w:cs="Book Antiqua"/>
          <w:szCs w:val="19"/>
        </w:rPr>
        <w:t>Budget</w:t>
      </w:r>
      <w:r w:rsidR="00482445" w:rsidRPr="004C05FA">
        <w:rPr>
          <w:rFonts w:eastAsia="Book Antiqua" w:cs="Book Antiqua"/>
          <w:szCs w:val="19"/>
        </w:rPr>
        <w:t xml:space="preserve">. </w:t>
      </w:r>
      <w:r w:rsidR="00486481" w:rsidRPr="004C05FA">
        <w:rPr>
          <w:rFonts w:eastAsia="Book Antiqua" w:cs="Book Antiqua"/>
          <w:szCs w:val="19"/>
        </w:rPr>
        <w:t>The weighted average y</w:t>
      </w:r>
      <w:r w:rsidR="00017F9F" w:rsidRPr="004C05FA">
        <w:rPr>
          <w:rFonts w:eastAsia="Book Antiqua" w:cs="Book Antiqua"/>
          <w:szCs w:val="19"/>
        </w:rPr>
        <w:t>ield fell</w:t>
      </w:r>
      <w:r w:rsidR="00482445" w:rsidRPr="004C05FA">
        <w:rPr>
          <w:rFonts w:eastAsia="Book Antiqua" w:cs="Book Antiqua"/>
          <w:szCs w:val="19"/>
        </w:rPr>
        <w:t xml:space="preserve"> to </w:t>
      </w:r>
      <w:r w:rsidR="00DF2A20" w:rsidRPr="004C05FA">
        <w:rPr>
          <w:rFonts w:eastAsia="Book Antiqua" w:cs="Book Antiqua"/>
          <w:szCs w:val="19"/>
        </w:rPr>
        <w:t>3.4</w:t>
      </w:r>
      <w:r w:rsidR="009B2827" w:rsidRPr="004C05FA">
        <w:rPr>
          <w:rFonts w:eastAsia="Book Antiqua" w:cs="Book Antiqua"/>
          <w:szCs w:val="19"/>
        </w:rPr>
        <w:t> </w:t>
      </w:r>
      <w:r w:rsidR="00DF2A20" w:rsidRPr="004C05FA">
        <w:rPr>
          <w:rFonts w:eastAsia="Book Antiqua" w:cs="Book Antiqua"/>
          <w:szCs w:val="19"/>
        </w:rPr>
        <w:t>per</w:t>
      </w:r>
      <w:r w:rsidR="009B2827" w:rsidRPr="004C05FA">
        <w:rPr>
          <w:rFonts w:eastAsia="Book Antiqua" w:cs="Book Antiqua"/>
          <w:szCs w:val="19"/>
        </w:rPr>
        <w:t> </w:t>
      </w:r>
      <w:r w:rsidR="00DF2A20" w:rsidRPr="004C05FA">
        <w:rPr>
          <w:rFonts w:eastAsia="Book Antiqua" w:cs="Book Antiqua"/>
          <w:szCs w:val="19"/>
        </w:rPr>
        <w:t>cent at the 2023</w:t>
      </w:r>
      <w:r w:rsidR="00997919" w:rsidRPr="004C05FA">
        <w:rPr>
          <w:rFonts w:eastAsia="Book Antiqua" w:cs="Book Antiqua"/>
          <w:szCs w:val="19"/>
        </w:rPr>
        <w:t>–</w:t>
      </w:r>
      <w:r w:rsidR="00DF2A20" w:rsidRPr="004C05FA">
        <w:rPr>
          <w:rFonts w:eastAsia="Book Antiqua" w:cs="Book Antiqua"/>
          <w:szCs w:val="19"/>
        </w:rPr>
        <w:t>24</w:t>
      </w:r>
      <w:r w:rsidR="00FC18FF" w:rsidRPr="004C05FA">
        <w:rPr>
          <w:rFonts w:eastAsia="Book Antiqua" w:cs="Book Antiqua"/>
          <w:szCs w:val="19"/>
        </w:rPr>
        <w:t> </w:t>
      </w:r>
      <w:r w:rsidR="00DF2A20" w:rsidRPr="004C05FA">
        <w:rPr>
          <w:rFonts w:eastAsia="Book Antiqua" w:cs="Book Antiqua"/>
          <w:szCs w:val="19"/>
        </w:rPr>
        <w:t>Budget</w:t>
      </w:r>
      <w:r w:rsidR="00C71405" w:rsidRPr="004C05FA">
        <w:rPr>
          <w:rFonts w:eastAsia="Book Antiqua" w:cs="Book Antiqua"/>
          <w:szCs w:val="19"/>
        </w:rPr>
        <w:t>,</w:t>
      </w:r>
      <w:r w:rsidR="00FA3B13" w:rsidRPr="004C05FA">
        <w:rPr>
          <w:rFonts w:eastAsia="Book Antiqua" w:cs="Book Antiqua"/>
          <w:szCs w:val="19"/>
        </w:rPr>
        <w:t xml:space="preserve"> </w:t>
      </w:r>
      <w:r w:rsidR="005D5998" w:rsidRPr="004C05FA">
        <w:rPr>
          <w:rFonts w:eastAsia="Book Antiqua" w:cs="Book Antiqua"/>
          <w:szCs w:val="19"/>
        </w:rPr>
        <w:t xml:space="preserve">before </w:t>
      </w:r>
      <w:r w:rsidR="00F609F5" w:rsidRPr="004C05FA">
        <w:rPr>
          <w:rFonts w:eastAsia="Book Antiqua" w:cs="Book Antiqua"/>
          <w:szCs w:val="19"/>
        </w:rPr>
        <w:t>increasing</w:t>
      </w:r>
      <w:r w:rsidR="00860FFF" w:rsidRPr="004C05FA">
        <w:rPr>
          <w:rFonts w:eastAsia="Book Antiqua" w:cs="Book Antiqua"/>
          <w:szCs w:val="19"/>
        </w:rPr>
        <w:t xml:space="preserve"> </w:t>
      </w:r>
      <w:r w:rsidR="00FC4A73" w:rsidRPr="004C05FA">
        <w:rPr>
          <w:rFonts w:eastAsia="Book Antiqua" w:cs="Book Antiqua"/>
          <w:szCs w:val="19"/>
        </w:rPr>
        <w:t>to</w:t>
      </w:r>
      <w:r w:rsidR="00860FFF" w:rsidRPr="004C05FA">
        <w:rPr>
          <w:rFonts w:eastAsia="Book Antiqua" w:cs="Book Antiqua"/>
          <w:szCs w:val="19"/>
        </w:rPr>
        <w:t xml:space="preserve"> </w:t>
      </w:r>
      <w:r w:rsidR="00C76734" w:rsidRPr="004C05FA">
        <w:rPr>
          <w:rFonts w:eastAsia="Book Antiqua" w:cs="Book Antiqua"/>
          <w:szCs w:val="19"/>
        </w:rPr>
        <w:t>4.7</w:t>
      </w:r>
      <w:r w:rsidR="0029387B" w:rsidRPr="004C05FA">
        <w:rPr>
          <w:rFonts w:eastAsia="Book Antiqua" w:cs="Book Antiqua"/>
          <w:szCs w:val="19"/>
        </w:rPr>
        <w:t> per </w:t>
      </w:r>
      <w:r w:rsidR="00C76734" w:rsidRPr="004C05FA">
        <w:rPr>
          <w:rFonts w:eastAsia="Book Antiqua" w:cs="Book Antiqua"/>
          <w:szCs w:val="19"/>
        </w:rPr>
        <w:t>cent at the 2023</w:t>
      </w:r>
      <w:r w:rsidR="00997919" w:rsidRPr="004C05FA">
        <w:rPr>
          <w:rFonts w:eastAsia="Book Antiqua" w:cs="Book Antiqua"/>
          <w:szCs w:val="19"/>
        </w:rPr>
        <w:t>–</w:t>
      </w:r>
      <w:r w:rsidR="00C76734" w:rsidRPr="004C05FA">
        <w:rPr>
          <w:rFonts w:eastAsia="Book Antiqua" w:cs="Book Antiqua"/>
          <w:szCs w:val="19"/>
        </w:rPr>
        <w:t>24</w:t>
      </w:r>
      <w:r w:rsidR="0029387B" w:rsidRPr="004C05FA">
        <w:rPr>
          <w:rFonts w:eastAsia="Book Antiqua" w:cs="Book Antiqua"/>
          <w:szCs w:val="19"/>
        </w:rPr>
        <w:t> </w:t>
      </w:r>
      <w:r w:rsidR="00C76734" w:rsidRPr="004C05FA">
        <w:rPr>
          <w:rFonts w:eastAsia="Book Antiqua" w:cs="Book Antiqua"/>
          <w:szCs w:val="19"/>
        </w:rPr>
        <w:t>MYEFO</w:t>
      </w:r>
      <w:r w:rsidR="002C423A" w:rsidRPr="004C05FA">
        <w:rPr>
          <w:rFonts w:eastAsia="Book Antiqua" w:cs="Book Antiqua"/>
          <w:szCs w:val="19"/>
        </w:rPr>
        <w:t xml:space="preserve">. </w:t>
      </w:r>
      <w:r w:rsidR="008E640B" w:rsidRPr="004C05FA">
        <w:rPr>
          <w:rFonts w:eastAsia="Book Antiqua" w:cs="Book Antiqua"/>
          <w:szCs w:val="19"/>
        </w:rPr>
        <w:t>Since then</w:t>
      </w:r>
      <w:r w:rsidR="00F24AF3" w:rsidRPr="004C05FA">
        <w:rPr>
          <w:rFonts w:eastAsia="Book Antiqua" w:cs="Book Antiqua"/>
          <w:szCs w:val="19"/>
        </w:rPr>
        <w:t>,</w:t>
      </w:r>
      <w:r w:rsidR="008E640B" w:rsidRPr="004C05FA">
        <w:rPr>
          <w:rFonts w:eastAsia="Book Antiqua" w:cs="Book Antiqua"/>
          <w:szCs w:val="19"/>
        </w:rPr>
        <w:t xml:space="preserve"> the </w:t>
      </w:r>
      <w:r w:rsidR="0072657A" w:rsidRPr="004C05FA">
        <w:rPr>
          <w:rFonts w:eastAsia="Book Antiqua" w:cs="Book Antiqua"/>
          <w:szCs w:val="19"/>
        </w:rPr>
        <w:t xml:space="preserve">assumed weighted average cost of borrowing </w:t>
      </w:r>
      <w:r w:rsidR="000F3BE3" w:rsidRPr="004C05FA">
        <w:rPr>
          <w:rFonts w:eastAsia="Book Antiqua" w:cs="Book Antiqua"/>
          <w:szCs w:val="19"/>
        </w:rPr>
        <w:t xml:space="preserve">has fallen </w:t>
      </w:r>
      <w:r w:rsidR="00DE1D70" w:rsidRPr="004C05FA">
        <w:rPr>
          <w:rFonts w:eastAsia="Book Antiqua" w:cs="Book Antiqua"/>
          <w:szCs w:val="19"/>
        </w:rPr>
        <w:t xml:space="preserve">to </w:t>
      </w:r>
      <w:r w:rsidR="0072657A" w:rsidRPr="004C05FA">
        <w:rPr>
          <w:rFonts w:eastAsia="Book Antiqua" w:cs="Book Antiqua"/>
          <w:szCs w:val="19"/>
        </w:rPr>
        <w:t>4.2 per cent for future issuance of Treasury Bonds over the forward estimates</w:t>
      </w:r>
      <w:r w:rsidR="005B58BD" w:rsidRPr="004C05FA">
        <w:rPr>
          <w:rFonts w:eastAsia="Book Antiqua" w:cs="Book Antiqua"/>
          <w:szCs w:val="19"/>
        </w:rPr>
        <w:t xml:space="preserve"> </w:t>
      </w:r>
      <w:r w:rsidR="00575478" w:rsidRPr="004C05FA">
        <w:rPr>
          <w:rFonts w:eastAsia="Book Antiqua" w:cs="Book Antiqua"/>
          <w:szCs w:val="19"/>
        </w:rPr>
        <w:t>in</w:t>
      </w:r>
      <w:r w:rsidR="005B58BD" w:rsidRPr="004C05FA">
        <w:rPr>
          <w:rFonts w:eastAsia="Book Antiqua" w:cs="Book Antiqua"/>
          <w:szCs w:val="19"/>
        </w:rPr>
        <w:t xml:space="preserve"> this budget</w:t>
      </w:r>
      <w:r w:rsidR="005B58BD" w:rsidRPr="00DA4572">
        <w:rPr>
          <w:rFonts w:eastAsia="Book Antiqua" w:cs="Book Antiqua"/>
          <w:szCs w:val="19"/>
        </w:rPr>
        <w:t xml:space="preserve">. </w:t>
      </w:r>
    </w:p>
    <w:p w14:paraId="188F3393" w14:textId="1E61A6AA" w:rsidR="001A4F7E" w:rsidRPr="004C05FA" w:rsidRDefault="001A4F7E" w:rsidP="001A4F7E">
      <w:pPr>
        <w:pStyle w:val="ChartHeading"/>
      </w:pPr>
      <w:r w:rsidRPr="004C05FA">
        <w:lastRenderedPageBreak/>
        <w:t>Chart 7.2: Yield curve assumptions from 202</w:t>
      </w:r>
      <w:r w:rsidR="00524AF1" w:rsidRPr="004C05FA">
        <w:t>4</w:t>
      </w:r>
      <w:r w:rsidRPr="004C05FA">
        <w:t>–2</w:t>
      </w:r>
      <w:r w:rsidR="00381A84" w:rsidRPr="004C05FA">
        <w:t>5</w:t>
      </w:r>
      <w:r w:rsidRPr="004C05FA">
        <w:t xml:space="preserve"> to 202</w:t>
      </w:r>
      <w:r w:rsidR="00381A84" w:rsidRPr="004C05FA">
        <w:t>7</w:t>
      </w:r>
      <w:r w:rsidRPr="004C05FA">
        <w:t>–2</w:t>
      </w:r>
      <w:r w:rsidR="00381A84" w:rsidRPr="004C05FA">
        <w:t>8</w:t>
      </w:r>
    </w:p>
    <w:p w14:paraId="48BA4F37" w14:textId="30994B77" w:rsidR="001A4F7E" w:rsidRPr="0098325D" w:rsidRDefault="00A47846" w:rsidP="00C64193">
      <w:pPr>
        <w:pStyle w:val="ChartGraphic"/>
      </w:pPr>
      <w:r>
        <w:rPr>
          <w:noProof/>
        </w:rPr>
        <w:pict w14:anchorId="739EDD36">
          <v:shape id="_x0000_i1026" type="#_x0000_t75" alt="This chart shows the yield curve assumptions underpinning the 2024-25 Budget, 2023-24 MYEFO and the 2022 PEFO. The 2024-25 Budget yield curve has lower yields than the 2023-24 MYEFO assumptions at all tenor points. Yields at the short end of the curve (1 year) have decreased by around 35 basis points and yields at the longer end (15 years) have decreased by around 50 basis points compared to 2023-24 MYEFO. The 2024-25 Budget yield curve has higher yields than the 2022 PEFO assumptions at all tenor points." style="width:367pt;height:201.5pt;mso-position-vertical:absolute">
            <v:imagedata r:id="rId21" o:title=""/>
          </v:shape>
        </w:pict>
      </w:r>
    </w:p>
    <w:p w14:paraId="2E7DCF64" w14:textId="77777777" w:rsidR="001A4F7E" w:rsidRPr="0098325D" w:rsidRDefault="001A4F7E" w:rsidP="001A4F7E">
      <w:pPr>
        <w:pStyle w:val="ChartandTableFootnote"/>
        <w:rPr>
          <w:color w:val="auto"/>
        </w:rPr>
      </w:pPr>
      <w:r w:rsidRPr="0098325D">
        <w:rPr>
          <w:color w:val="auto"/>
        </w:rPr>
        <w:t xml:space="preserve">Source: </w:t>
      </w:r>
      <w:r w:rsidRPr="0098325D">
        <w:rPr>
          <w:color w:val="auto"/>
        </w:rPr>
        <w:tab/>
        <w:t>AOFM.</w:t>
      </w:r>
    </w:p>
    <w:p w14:paraId="2B8A0413" w14:textId="77777777" w:rsidR="001A4F7E" w:rsidRPr="0098325D" w:rsidRDefault="001A4F7E" w:rsidP="001A4F7E">
      <w:pPr>
        <w:pStyle w:val="ChartLine"/>
      </w:pPr>
    </w:p>
    <w:p w14:paraId="515B5E12" w14:textId="625FC33C" w:rsidR="001A4F7E" w:rsidRPr="0098325D" w:rsidRDefault="001A4F7E" w:rsidP="00396838">
      <w:r w:rsidRPr="00DA4572">
        <w:t>B</w:t>
      </w:r>
      <w:r w:rsidRPr="004C05FA">
        <w:t xml:space="preserve">y the end of the forward estimates total interest payments are </w:t>
      </w:r>
      <w:r w:rsidR="000B30ED" w:rsidRPr="004C05FA">
        <w:rPr>
          <w:rFonts w:eastAsia="Book Antiqua" w:cs="Book Antiqua"/>
          <w:szCs w:val="19"/>
        </w:rPr>
        <w:t>$</w:t>
      </w:r>
      <w:r w:rsidR="00452E82" w:rsidRPr="004C05FA">
        <w:rPr>
          <w:rFonts w:eastAsia="Book Antiqua" w:cs="Book Antiqua"/>
          <w:szCs w:val="19"/>
        </w:rPr>
        <w:t>3</w:t>
      </w:r>
      <w:r w:rsidR="00525F63" w:rsidRPr="004C05FA">
        <w:rPr>
          <w:rFonts w:eastAsia="Book Antiqua" w:cs="Book Antiqua"/>
          <w:szCs w:val="19"/>
        </w:rPr>
        <w:t>5.6</w:t>
      </w:r>
      <w:r w:rsidRPr="004C05FA">
        <w:t> billion</w:t>
      </w:r>
      <w:r w:rsidRPr="00E402DB">
        <w:t xml:space="preserve">, </w:t>
      </w:r>
      <w:r w:rsidRPr="004C05FA">
        <w:t>of which $</w:t>
      </w:r>
      <w:r w:rsidR="001C6954" w:rsidRPr="004C05FA">
        <w:rPr>
          <w:rFonts w:eastAsia="Book Antiqua" w:cs="Book Antiqua"/>
          <w:szCs w:val="19"/>
        </w:rPr>
        <w:t>34.</w:t>
      </w:r>
      <w:r w:rsidR="0056782C" w:rsidRPr="004C05FA">
        <w:rPr>
          <w:rFonts w:eastAsia="Book Antiqua" w:cs="Book Antiqua"/>
          <w:szCs w:val="19"/>
        </w:rPr>
        <w:t>1</w:t>
      </w:r>
      <w:r w:rsidRPr="004C05FA">
        <w:t> billion relates to AGS on issue (Table</w:t>
      </w:r>
      <w:r w:rsidR="00B8336B" w:rsidRPr="004C05FA">
        <w:t> </w:t>
      </w:r>
      <w:r w:rsidRPr="004C05FA">
        <w:t>7.9)</w:t>
      </w:r>
      <w:r w:rsidRPr="00DA4572">
        <w:t xml:space="preserve">. </w:t>
      </w:r>
      <w:r w:rsidRPr="004C05FA">
        <w:t>Compared with</w:t>
      </w:r>
      <w:r w:rsidR="00647810" w:rsidRPr="004C05FA">
        <w:t xml:space="preserve"> the 2023</w:t>
      </w:r>
      <w:r w:rsidR="00997919" w:rsidRPr="004C05FA">
        <w:t>–</w:t>
      </w:r>
      <w:r w:rsidR="00647810" w:rsidRPr="004C05FA">
        <w:t>24</w:t>
      </w:r>
      <w:r w:rsidR="0025041F" w:rsidRPr="004C05FA">
        <w:t xml:space="preserve"> MYEFO</w:t>
      </w:r>
      <w:r w:rsidRPr="004C05FA">
        <w:t xml:space="preserve">, interest payments as a share of GDP are estimated to be </w:t>
      </w:r>
      <w:r w:rsidR="00E402DB" w:rsidRPr="004C05FA">
        <w:t>broadly unchanged since</w:t>
      </w:r>
      <w:r w:rsidRPr="004C05FA">
        <w:t xml:space="preserve"> the </w:t>
      </w:r>
      <w:r w:rsidR="00E402DB" w:rsidRPr="004C05FA">
        <w:t>2023</w:t>
      </w:r>
      <w:r w:rsidR="00997919" w:rsidRPr="004C05FA">
        <w:rPr>
          <w:rFonts w:ascii="Times New Roman" w:hAnsi="Times New Roman"/>
        </w:rPr>
        <w:t>‍</w:t>
      </w:r>
      <w:r w:rsidR="00997919" w:rsidRPr="004C05FA">
        <w:t>–</w:t>
      </w:r>
      <w:r w:rsidR="00997919" w:rsidRPr="004C05FA">
        <w:rPr>
          <w:rFonts w:ascii="Times New Roman" w:hAnsi="Times New Roman"/>
        </w:rPr>
        <w:t>‍</w:t>
      </w:r>
      <w:r w:rsidR="00E402DB" w:rsidRPr="004C05FA">
        <w:t>24 MYEFO.</w:t>
      </w:r>
    </w:p>
    <w:p w14:paraId="3934B3A7" w14:textId="36B5CC9B" w:rsidR="001A4F7E" w:rsidRPr="004C05FA" w:rsidRDefault="001A4F7E" w:rsidP="00396838">
      <w:r w:rsidRPr="004C05FA">
        <w:t>Interest receipts are estimated to be higher across each year of the forward estimates than at the</w:t>
      </w:r>
      <w:r w:rsidR="00561BFB" w:rsidRPr="004C05FA">
        <w:t xml:space="preserve"> </w:t>
      </w:r>
      <w:r w:rsidR="00EA65DB" w:rsidRPr="004C05FA">
        <w:t>2023</w:t>
      </w:r>
      <w:r w:rsidR="009B0095" w:rsidRPr="004C05FA">
        <w:t>–</w:t>
      </w:r>
      <w:r w:rsidR="00EA65DB" w:rsidRPr="004C05FA">
        <w:t>24 MYEFO</w:t>
      </w:r>
      <w:r w:rsidR="007750B5" w:rsidRPr="004C05FA">
        <w:t xml:space="preserve"> and broadly unchanged as a </w:t>
      </w:r>
      <w:r w:rsidR="00E704F9" w:rsidRPr="004C05FA">
        <w:t xml:space="preserve">share </w:t>
      </w:r>
      <w:r w:rsidR="007750B5" w:rsidRPr="004C05FA">
        <w:t>of GDP</w:t>
      </w:r>
      <w:r w:rsidRPr="004C05FA">
        <w:t xml:space="preserve">. </w:t>
      </w:r>
    </w:p>
    <w:p w14:paraId="35DCE2B6" w14:textId="5E27C4CD" w:rsidR="00975371" w:rsidRDefault="001A4F7E" w:rsidP="00396838">
      <w:r w:rsidRPr="004C05FA">
        <w:t xml:space="preserve">Net interest payments as a share of GDP </w:t>
      </w:r>
      <w:r w:rsidRPr="004C05FA" w:rsidDel="008B6921">
        <w:t xml:space="preserve">in </w:t>
      </w:r>
      <w:r w:rsidR="00EA65DB" w:rsidRPr="004C05FA">
        <w:t>2024</w:t>
      </w:r>
      <w:r w:rsidR="00396838" w:rsidRPr="004C05FA">
        <w:t>–</w:t>
      </w:r>
      <w:r w:rsidR="00EA65DB" w:rsidRPr="004C05FA">
        <w:t>25</w:t>
      </w:r>
      <w:r w:rsidRPr="004C05FA" w:rsidDel="008B6921">
        <w:t xml:space="preserve"> </w:t>
      </w:r>
      <w:r w:rsidRPr="004C05FA">
        <w:t xml:space="preserve">are estimated to </w:t>
      </w:r>
      <w:bookmarkStart w:id="51" w:name="_Hlk165232893"/>
      <w:r w:rsidR="00EA65DB" w:rsidRPr="004C05FA">
        <w:t xml:space="preserve">be </w:t>
      </w:r>
      <w:bookmarkEnd w:id="51"/>
      <w:r w:rsidR="00D73F5C" w:rsidRPr="004C05FA">
        <w:t>broadly similar to</w:t>
      </w:r>
      <w:r w:rsidR="00E9675D" w:rsidRPr="004C05FA">
        <w:t xml:space="preserve"> the 2023</w:t>
      </w:r>
      <w:r w:rsidR="00396838" w:rsidRPr="004C05FA">
        <w:t>–</w:t>
      </w:r>
      <w:r w:rsidR="00E9675D" w:rsidRPr="004C05FA">
        <w:t>24 MYEFO</w:t>
      </w:r>
      <w:r w:rsidRPr="004C05FA">
        <w:t xml:space="preserve">. Over the forward estimates, net interest payments as a share of GDP are expected to </w:t>
      </w:r>
      <w:r w:rsidR="00141B2A" w:rsidRPr="004C05FA">
        <w:t xml:space="preserve">be 0.5 per cent in </w:t>
      </w:r>
      <w:r w:rsidR="00E9675D" w:rsidRPr="004C05FA">
        <w:t>2023</w:t>
      </w:r>
      <w:r w:rsidR="00997919" w:rsidRPr="004C05FA">
        <w:t>–</w:t>
      </w:r>
      <w:r w:rsidR="00E9675D" w:rsidRPr="004C05FA">
        <w:t>24</w:t>
      </w:r>
      <w:r w:rsidR="006F5668" w:rsidRPr="004C05FA">
        <w:t xml:space="preserve">, </w:t>
      </w:r>
      <w:r w:rsidRPr="004C05FA">
        <w:t>reaching</w:t>
      </w:r>
      <w:r w:rsidR="00241B2A" w:rsidRPr="004C05FA">
        <w:t xml:space="preserve"> 0.8</w:t>
      </w:r>
      <w:r w:rsidRPr="004C05FA">
        <w:t xml:space="preserve"> per cent </w:t>
      </w:r>
      <w:r w:rsidR="00551FAF" w:rsidRPr="004C05FA">
        <w:t>of GDP by 2027</w:t>
      </w:r>
      <w:r w:rsidR="00997919" w:rsidRPr="004C05FA">
        <w:t>–</w:t>
      </w:r>
      <w:r w:rsidR="00551FAF" w:rsidRPr="004C05FA">
        <w:t>28</w:t>
      </w:r>
      <w:r w:rsidR="00551FAF">
        <w:t>.</w:t>
      </w:r>
      <w:r w:rsidRPr="0098325D">
        <w:t xml:space="preserve"> </w:t>
      </w:r>
    </w:p>
    <w:p w14:paraId="05D5FCB4" w14:textId="77777777" w:rsidR="00975371" w:rsidRDefault="00975371">
      <w:pPr>
        <w:spacing w:before="0" w:after="160" w:line="259" w:lineRule="auto"/>
      </w:pPr>
      <w:r>
        <w:br w:type="page"/>
      </w:r>
    </w:p>
    <w:p w14:paraId="0F460F8C" w14:textId="6C7A64F2" w:rsidR="004D4CD1" w:rsidRDefault="001A4F7E" w:rsidP="004D4CD1">
      <w:pPr>
        <w:pStyle w:val="TableHeading"/>
        <w:rPr>
          <w:rFonts w:asciiTheme="minorHAnsi" w:eastAsiaTheme="minorHAnsi" w:hAnsiTheme="minorHAnsi" w:cstheme="minorBidi"/>
          <w:sz w:val="22"/>
          <w:szCs w:val="22"/>
          <w:lang w:eastAsia="en-US"/>
        </w:rPr>
      </w:pPr>
      <w:r w:rsidRPr="004C05FA">
        <w:lastRenderedPageBreak/>
        <w:t>Table 7.9: Interest payments, interest receipts and net interest payments</w:t>
      </w:r>
      <w:r w:rsidRPr="0098325D">
        <w:rPr>
          <w:vertAlign w:val="superscript"/>
        </w:rPr>
        <w:t>(a)</w:t>
      </w:r>
      <w:r w:rsidRPr="0098325D">
        <w:t xml:space="preserve"> </w:t>
      </w:r>
      <w:bookmarkStart w:id="52" w:name="_1727783043"/>
      <w:bookmarkStart w:id="53" w:name="_1727757623"/>
      <w:bookmarkStart w:id="54" w:name="_1727706839"/>
      <w:bookmarkEnd w:id="52"/>
      <w:bookmarkEnd w:id="53"/>
      <w:bookmarkEnd w:id="54"/>
    </w:p>
    <w:tbl>
      <w:tblPr>
        <w:tblW w:w="7688" w:type="dxa"/>
        <w:tblLook w:val="04A0" w:firstRow="1" w:lastRow="0" w:firstColumn="1" w:lastColumn="0" w:noHBand="0" w:noVBand="1"/>
      </w:tblPr>
      <w:tblGrid>
        <w:gridCol w:w="2868"/>
        <w:gridCol w:w="973"/>
        <w:gridCol w:w="960"/>
        <w:gridCol w:w="960"/>
        <w:gridCol w:w="960"/>
        <w:gridCol w:w="967"/>
      </w:tblGrid>
      <w:tr w:rsidR="004D4CD1" w:rsidRPr="004D4CD1" w14:paraId="00DC0210" w14:textId="77777777" w:rsidTr="004D4CD1">
        <w:trPr>
          <w:trHeight w:val="258"/>
        </w:trPr>
        <w:tc>
          <w:tcPr>
            <w:tcW w:w="2868" w:type="dxa"/>
            <w:tcBorders>
              <w:top w:val="single" w:sz="4" w:space="0" w:color="293F5B"/>
              <w:left w:val="nil"/>
              <w:bottom w:val="nil"/>
              <w:right w:val="nil"/>
            </w:tcBorders>
            <w:shd w:val="clear" w:color="auto" w:fill="auto"/>
            <w:noWrap/>
            <w:vAlign w:val="center"/>
            <w:hideMark/>
          </w:tcPr>
          <w:p w14:paraId="32AAFCF3" w14:textId="589CB7DA" w:rsidR="004D4CD1" w:rsidRPr="004D4CD1" w:rsidRDefault="004D4CD1" w:rsidP="004D4CD1">
            <w:pPr>
              <w:spacing w:before="0" w:after="0" w:line="240" w:lineRule="auto"/>
              <w:rPr>
                <w:rFonts w:ascii="Arial" w:hAnsi="Arial" w:cs="Arial"/>
                <w:b/>
                <w:bCs/>
                <w:color w:val="000000"/>
                <w:sz w:val="16"/>
                <w:szCs w:val="16"/>
              </w:rPr>
            </w:pPr>
            <w:r w:rsidRPr="004D4CD1">
              <w:rPr>
                <w:rFonts w:ascii="Arial" w:hAnsi="Arial" w:cs="Arial"/>
                <w:b/>
                <w:bCs/>
                <w:color w:val="000000"/>
                <w:sz w:val="16"/>
                <w:szCs w:val="16"/>
              </w:rPr>
              <w:t> </w:t>
            </w:r>
          </w:p>
        </w:tc>
        <w:tc>
          <w:tcPr>
            <w:tcW w:w="973" w:type="dxa"/>
            <w:tcBorders>
              <w:top w:val="single" w:sz="4" w:space="0" w:color="293F5B"/>
              <w:left w:val="nil"/>
              <w:bottom w:val="nil"/>
              <w:right w:val="nil"/>
            </w:tcBorders>
            <w:shd w:val="clear" w:color="auto" w:fill="auto"/>
            <w:noWrap/>
            <w:vAlign w:val="center"/>
            <w:hideMark/>
          </w:tcPr>
          <w:p w14:paraId="64B6BBCF" w14:textId="77777777" w:rsidR="004D4CD1" w:rsidRPr="004D4CD1" w:rsidRDefault="004D4CD1" w:rsidP="004D4CD1">
            <w:pPr>
              <w:spacing w:before="0" w:after="0" w:line="240" w:lineRule="auto"/>
              <w:jc w:val="center"/>
              <w:rPr>
                <w:rFonts w:ascii="Arial" w:hAnsi="Arial" w:cs="Arial"/>
                <w:color w:val="000000"/>
                <w:sz w:val="16"/>
                <w:szCs w:val="16"/>
              </w:rPr>
            </w:pPr>
            <w:r w:rsidRPr="004D4CD1">
              <w:rPr>
                <w:rFonts w:ascii="Arial" w:hAnsi="Arial" w:cs="Arial"/>
                <w:color w:val="000000"/>
                <w:sz w:val="16"/>
                <w:szCs w:val="16"/>
              </w:rPr>
              <w:t> </w:t>
            </w:r>
          </w:p>
        </w:tc>
        <w:tc>
          <w:tcPr>
            <w:tcW w:w="3847" w:type="dxa"/>
            <w:gridSpan w:val="4"/>
            <w:tcBorders>
              <w:top w:val="single" w:sz="4" w:space="0" w:color="293F5B"/>
              <w:left w:val="nil"/>
              <w:bottom w:val="nil"/>
              <w:right w:val="nil"/>
            </w:tcBorders>
            <w:shd w:val="clear" w:color="auto" w:fill="auto"/>
            <w:noWrap/>
            <w:vAlign w:val="center"/>
            <w:hideMark/>
          </w:tcPr>
          <w:p w14:paraId="514FE39E" w14:textId="77777777" w:rsidR="004D4CD1" w:rsidRPr="004D4CD1" w:rsidRDefault="004D4CD1" w:rsidP="004D4CD1">
            <w:pPr>
              <w:spacing w:before="0" w:after="0" w:line="240" w:lineRule="auto"/>
              <w:jc w:val="center"/>
              <w:rPr>
                <w:rFonts w:ascii="Arial" w:hAnsi="Arial" w:cs="Arial"/>
                <w:color w:val="000000"/>
                <w:sz w:val="16"/>
                <w:szCs w:val="16"/>
              </w:rPr>
            </w:pPr>
            <w:r w:rsidRPr="004D4CD1">
              <w:rPr>
                <w:rFonts w:ascii="Arial" w:hAnsi="Arial" w:cs="Arial"/>
                <w:color w:val="000000"/>
                <w:sz w:val="16"/>
                <w:szCs w:val="16"/>
              </w:rPr>
              <w:t>Estimates</w:t>
            </w:r>
          </w:p>
        </w:tc>
      </w:tr>
      <w:tr w:rsidR="004D4CD1" w:rsidRPr="004D4CD1" w14:paraId="622799BA" w14:textId="77777777" w:rsidTr="004D4CD1">
        <w:trPr>
          <w:trHeight w:val="258"/>
        </w:trPr>
        <w:tc>
          <w:tcPr>
            <w:tcW w:w="2868" w:type="dxa"/>
            <w:tcBorders>
              <w:top w:val="single" w:sz="4" w:space="0" w:color="293F5B"/>
              <w:left w:val="nil"/>
              <w:bottom w:val="nil"/>
              <w:right w:val="nil"/>
            </w:tcBorders>
            <w:shd w:val="clear" w:color="auto" w:fill="auto"/>
            <w:noWrap/>
            <w:vAlign w:val="center"/>
            <w:hideMark/>
          </w:tcPr>
          <w:p w14:paraId="1347D53D"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 </w:t>
            </w:r>
          </w:p>
        </w:tc>
        <w:tc>
          <w:tcPr>
            <w:tcW w:w="973" w:type="dxa"/>
            <w:tcBorders>
              <w:top w:val="single" w:sz="4" w:space="0" w:color="293F5B"/>
              <w:left w:val="nil"/>
              <w:bottom w:val="nil"/>
              <w:right w:val="nil"/>
            </w:tcBorders>
            <w:shd w:val="clear" w:color="auto" w:fill="auto"/>
            <w:noWrap/>
            <w:vAlign w:val="center"/>
            <w:hideMark/>
          </w:tcPr>
          <w:p w14:paraId="45CC4C31" w14:textId="2B0BB5A5"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2023</w:t>
            </w:r>
            <w:r w:rsidR="00B57616">
              <w:rPr>
                <w:rFonts w:ascii="Arial" w:hAnsi="Arial" w:cs="Arial"/>
                <w:sz w:val="16"/>
                <w:szCs w:val="16"/>
              </w:rPr>
              <w:noBreakHyphen/>
            </w:r>
            <w:r w:rsidRPr="004D4CD1">
              <w:rPr>
                <w:rFonts w:ascii="Arial" w:hAnsi="Arial" w:cs="Arial"/>
                <w:sz w:val="16"/>
                <w:szCs w:val="16"/>
              </w:rPr>
              <w:t>24</w:t>
            </w:r>
          </w:p>
        </w:tc>
        <w:tc>
          <w:tcPr>
            <w:tcW w:w="960" w:type="dxa"/>
            <w:tcBorders>
              <w:top w:val="single" w:sz="4" w:space="0" w:color="293F5B"/>
              <w:left w:val="nil"/>
              <w:bottom w:val="nil"/>
              <w:right w:val="nil"/>
            </w:tcBorders>
            <w:shd w:val="clear" w:color="000000" w:fill="E6F2FF"/>
            <w:noWrap/>
            <w:vAlign w:val="center"/>
            <w:hideMark/>
          </w:tcPr>
          <w:p w14:paraId="4993E0A2" w14:textId="064A5BC8"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2024</w:t>
            </w:r>
            <w:r w:rsidR="00B57616">
              <w:rPr>
                <w:rFonts w:ascii="Arial" w:hAnsi="Arial" w:cs="Arial"/>
                <w:sz w:val="16"/>
                <w:szCs w:val="16"/>
              </w:rPr>
              <w:noBreakHyphen/>
            </w:r>
            <w:r w:rsidRPr="004D4CD1">
              <w:rPr>
                <w:rFonts w:ascii="Arial" w:hAnsi="Arial" w:cs="Arial"/>
                <w:sz w:val="16"/>
                <w:szCs w:val="16"/>
              </w:rPr>
              <w:t>25</w:t>
            </w:r>
          </w:p>
        </w:tc>
        <w:tc>
          <w:tcPr>
            <w:tcW w:w="960" w:type="dxa"/>
            <w:tcBorders>
              <w:top w:val="single" w:sz="4" w:space="0" w:color="293F5B"/>
              <w:left w:val="nil"/>
              <w:bottom w:val="nil"/>
              <w:right w:val="nil"/>
            </w:tcBorders>
            <w:shd w:val="clear" w:color="auto" w:fill="auto"/>
            <w:noWrap/>
            <w:vAlign w:val="center"/>
            <w:hideMark/>
          </w:tcPr>
          <w:p w14:paraId="491D8D81" w14:textId="0A9C4E2A"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2025</w:t>
            </w:r>
            <w:r w:rsidR="00B57616">
              <w:rPr>
                <w:rFonts w:ascii="Arial" w:hAnsi="Arial" w:cs="Arial"/>
                <w:sz w:val="16"/>
                <w:szCs w:val="16"/>
              </w:rPr>
              <w:noBreakHyphen/>
            </w:r>
            <w:r w:rsidRPr="004D4CD1">
              <w:rPr>
                <w:rFonts w:ascii="Arial" w:hAnsi="Arial" w:cs="Arial"/>
                <w:sz w:val="16"/>
                <w:szCs w:val="16"/>
              </w:rPr>
              <w:t>26</w:t>
            </w:r>
          </w:p>
        </w:tc>
        <w:tc>
          <w:tcPr>
            <w:tcW w:w="960" w:type="dxa"/>
            <w:tcBorders>
              <w:top w:val="single" w:sz="4" w:space="0" w:color="293F5B"/>
              <w:left w:val="nil"/>
              <w:bottom w:val="nil"/>
              <w:right w:val="nil"/>
            </w:tcBorders>
            <w:shd w:val="clear" w:color="auto" w:fill="auto"/>
            <w:noWrap/>
            <w:vAlign w:val="center"/>
            <w:hideMark/>
          </w:tcPr>
          <w:p w14:paraId="0DCA61DC" w14:textId="2EE4840A"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2026</w:t>
            </w:r>
            <w:r w:rsidR="00B57616">
              <w:rPr>
                <w:rFonts w:ascii="Arial" w:hAnsi="Arial" w:cs="Arial"/>
                <w:sz w:val="16"/>
                <w:szCs w:val="16"/>
              </w:rPr>
              <w:noBreakHyphen/>
            </w:r>
            <w:r w:rsidRPr="004D4CD1">
              <w:rPr>
                <w:rFonts w:ascii="Arial" w:hAnsi="Arial" w:cs="Arial"/>
                <w:sz w:val="16"/>
                <w:szCs w:val="16"/>
              </w:rPr>
              <w:t>27</w:t>
            </w:r>
          </w:p>
        </w:tc>
        <w:tc>
          <w:tcPr>
            <w:tcW w:w="967" w:type="dxa"/>
            <w:tcBorders>
              <w:top w:val="single" w:sz="4" w:space="0" w:color="293F5B"/>
              <w:left w:val="nil"/>
              <w:bottom w:val="nil"/>
              <w:right w:val="nil"/>
            </w:tcBorders>
            <w:shd w:val="clear" w:color="auto" w:fill="auto"/>
            <w:noWrap/>
            <w:vAlign w:val="center"/>
            <w:hideMark/>
          </w:tcPr>
          <w:p w14:paraId="28190027" w14:textId="11BBC008"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2027</w:t>
            </w:r>
            <w:r w:rsidR="00B57616">
              <w:rPr>
                <w:rFonts w:ascii="Arial" w:hAnsi="Arial" w:cs="Arial"/>
                <w:sz w:val="16"/>
                <w:szCs w:val="16"/>
              </w:rPr>
              <w:noBreakHyphen/>
            </w:r>
            <w:r w:rsidRPr="004D4CD1">
              <w:rPr>
                <w:rFonts w:ascii="Arial" w:hAnsi="Arial" w:cs="Arial"/>
                <w:sz w:val="16"/>
                <w:szCs w:val="16"/>
              </w:rPr>
              <w:t>28</w:t>
            </w:r>
          </w:p>
        </w:tc>
      </w:tr>
      <w:tr w:rsidR="004D4CD1" w:rsidRPr="004D4CD1" w14:paraId="7A498A7B" w14:textId="77777777" w:rsidTr="004D4CD1">
        <w:trPr>
          <w:trHeight w:val="258"/>
        </w:trPr>
        <w:tc>
          <w:tcPr>
            <w:tcW w:w="2868" w:type="dxa"/>
            <w:tcBorders>
              <w:top w:val="nil"/>
              <w:left w:val="nil"/>
              <w:bottom w:val="single" w:sz="4" w:space="0" w:color="293F5B"/>
              <w:right w:val="nil"/>
            </w:tcBorders>
            <w:shd w:val="clear" w:color="auto" w:fill="auto"/>
            <w:noWrap/>
            <w:vAlign w:val="center"/>
            <w:hideMark/>
          </w:tcPr>
          <w:p w14:paraId="2441724D"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 </w:t>
            </w:r>
          </w:p>
        </w:tc>
        <w:tc>
          <w:tcPr>
            <w:tcW w:w="973" w:type="dxa"/>
            <w:tcBorders>
              <w:top w:val="nil"/>
              <w:left w:val="nil"/>
              <w:bottom w:val="single" w:sz="4" w:space="0" w:color="293F5B"/>
              <w:right w:val="nil"/>
            </w:tcBorders>
            <w:shd w:val="clear" w:color="auto" w:fill="auto"/>
            <w:noWrap/>
            <w:vAlign w:val="center"/>
            <w:hideMark/>
          </w:tcPr>
          <w:p w14:paraId="7DCAC5DE"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$m</w:t>
            </w:r>
          </w:p>
        </w:tc>
        <w:tc>
          <w:tcPr>
            <w:tcW w:w="960" w:type="dxa"/>
            <w:tcBorders>
              <w:top w:val="nil"/>
              <w:left w:val="nil"/>
              <w:bottom w:val="single" w:sz="4" w:space="0" w:color="293F5B"/>
              <w:right w:val="nil"/>
            </w:tcBorders>
            <w:shd w:val="clear" w:color="000000" w:fill="E6F2FF"/>
            <w:noWrap/>
            <w:vAlign w:val="center"/>
            <w:hideMark/>
          </w:tcPr>
          <w:p w14:paraId="6715C3F1" w14:textId="77777777" w:rsidR="004D4CD1" w:rsidRPr="004D4CD1" w:rsidRDefault="004D4CD1" w:rsidP="004D4CD1">
            <w:pPr>
              <w:spacing w:before="0" w:after="0" w:line="240" w:lineRule="auto"/>
              <w:jc w:val="right"/>
              <w:rPr>
                <w:rFonts w:ascii="Arial" w:hAnsi="Arial" w:cs="Arial"/>
                <w:color w:val="000000"/>
                <w:sz w:val="16"/>
                <w:szCs w:val="16"/>
              </w:rPr>
            </w:pPr>
            <w:r w:rsidRPr="004D4CD1">
              <w:rPr>
                <w:rFonts w:ascii="Arial" w:hAnsi="Arial" w:cs="Arial"/>
                <w:color w:val="000000"/>
                <w:sz w:val="16"/>
                <w:szCs w:val="16"/>
              </w:rPr>
              <w:t>$m</w:t>
            </w:r>
          </w:p>
        </w:tc>
        <w:tc>
          <w:tcPr>
            <w:tcW w:w="960" w:type="dxa"/>
            <w:tcBorders>
              <w:top w:val="nil"/>
              <w:left w:val="nil"/>
              <w:bottom w:val="single" w:sz="4" w:space="0" w:color="293F5B"/>
              <w:right w:val="nil"/>
            </w:tcBorders>
            <w:shd w:val="clear" w:color="auto" w:fill="auto"/>
            <w:noWrap/>
            <w:vAlign w:val="center"/>
            <w:hideMark/>
          </w:tcPr>
          <w:p w14:paraId="490ADCC7"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$m</w:t>
            </w:r>
          </w:p>
        </w:tc>
        <w:tc>
          <w:tcPr>
            <w:tcW w:w="960" w:type="dxa"/>
            <w:tcBorders>
              <w:top w:val="nil"/>
              <w:left w:val="nil"/>
              <w:bottom w:val="single" w:sz="4" w:space="0" w:color="293F5B"/>
              <w:right w:val="nil"/>
            </w:tcBorders>
            <w:shd w:val="clear" w:color="auto" w:fill="auto"/>
            <w:noWrap/>
            <w:vAlign w:val="center"/>
            <w:hideMark/>
          </w:tcPr>
          <w:p w14:paraId="40C48B2B"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$m</w:t>
            </w:r>
          </w:p>
        </w:tc>
        <w:tc>
          <w:tcPr>
            <w:tcW w:w="967" w:type="dxa"/>
            <w:tcBorders>
              <w:top w:val="nil"/>
              <w:left w:val="nil"/>
              <w:bottom w:val="single" w:sz="4" w:space="0" w:color="293F5B"/>
              <w:right w:val="nil"/>
            </w:tcBorders>
            <w:shd w:val="clear" w:color="auto" w:fill="auto"/>
            <w:noWrap/>
            <w:vAlign w:val="center"/>
            <w:hideMark/>
          </w:tcPr>
          <w:p w14:paraId="4F1BD865"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$m</w:t>
            </w:r>
          </w:p>
        </w:tc>
      </w:tr>
      <w:tr w:rsidR="004D4CD1" w:rsidRPr="004D4CD1" w14:paraId="50E4B94E" w14:textId="77777777" w:rsidTr="004D4CD1">
        <w:trPr>
          <w:trHeight w:val="258"/>
        </w:trPr>
        <w:tc>
          <w:tcPr>
            <w:tcW w:w="2868" w:type="dxa"/>
            <w:tcBorders>
              <w:top w:val="nil"/>
              <w:left w:val="nil"/>
              <w:bottom w:val="nil"/>
              <w:right w:val="nil"/>
            </w:tcBorders>
            <w:shd w:val="clear" w:color="auto" w:fill="auto"/>
            <w:noWrap/>
            <w:vAlign w:val="center"/>
            <w:hideMark/>
          </w:tcPr>
          <w:p w14:paraId="7252912F" w14:textId="77777777" w:rsidR="004D4CD1" w:rsidRPr="004D4CD1" w:rsidRDefault="004D4CD1" w:rsidP="004D4CD1">
            <w:pPr>
              <w:spacing w:before="0" w:after="0" w:line="240" w:lineRule="auto"/>
              <w:rPr>
                <w:rFonts w:ascii="Arial" w:hAnsi="Arial" w:cs="Arial"/>
                <w:sz w:val="16"/>
                <w:szCs w:val="16"/>
              </w:rPr>
            </w:pPr>
            <w:r w:rsidRPr="004D4CD1">
              <w:rPr>
                <w:rFonts w:ascii="Arial" w:hAnsi="Arial" w:cs="Arial"/>
                <w:sz w:val="16"/>
                <w:szCs w:val="16"/>
              </w:rPr>
              <w:t xml:space="preserve">Interest payments on AGS(b) </w:t>
            </w:r>
          </w:p>
        </w:tc>
        <w:tc>
          <w:tcPr>
            <w:tcW w:w="973" w:type="dxa"/>
            <w:tcBorders>
              <w:top w:val="nil"/>
              <w:left w:val="nil"/>
              <w:bottom w:val="nil"/>
              <w:right w:val="nil"/>
            </w:tcBorders>
            <w:shd w:val="clear" w:color="auto" w:fill="auto"/>
            <w:noWrap/>
            <w:vAlign w:val="center"/>
            <w:hideMark/>
          </w:tcPr>
          <w:p w14:paraId="6498A5B1"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20,967</w:t>
            </w:r>
          </w:p>
        </w:tc>
        <w:tc>
          <w:tcPr>
            <w:tcW w:w="960" w:type="dxa"/>
            <w:tcBorders>
              <w:top w:val="nil"/>
              <w:left w:val="nil"/>
              <w:bottom w:val="nil"/>
              <w:right w:val="nil"/>
            </w:tcBorders>
            <w:shd w:val="clear" w:color="000000" w:fill="E6F2FF"/>
            <w:noWrap/>
            <w:vAlign w:val="center"/>
            <w:hideMark/>
          </w:tcPr>
          <w:p w14:paraId="4F196D9D"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22,364</w:t>
            </w:r>
          </w:p>
        </w:tc>
        <w:tc>
          <w:tcPr>
            <w:tcW w:w="960" w:type="dxa"/>
            <w:tcBorders>
              <w:top w:val="nil"/>
              <w:left w:val="nil"/>
              <w:bottom w:val="nil"/>
              <w:right w:val="nil"/>
            </w:tcBorders>
            <w:shd w:val="clear" w:color="auto" w:fill="auto"/>
            <w:noWrap/>
            <w:vAlign w:val="center"/>
            <w:hideMark/>
          </w:tcPr>
          <w:p w14:paraId="1D8EF29C"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26,052</w:t>
            </w:r>
          </w:p>
        </w:tc>
        <w:tc>
          <w:tcPr>
            <w:tcW w:w="960" w:type="dxa"/>
            <w:tcBorders>
              <w:top w:val="nil"/>
              <w:left w:val="nil"/>
              <w:bottom w:val="nil"/>
              <w:right w:val="nil"/>
            </w:tcBorders>
            <w:shd w:val="clear" w:color="auto" w:fill="auto"/>
            <w:noWrap/>
            <w:vAlign w:val="center"/>
            <w:hideMark/>
          </w:tcPr>
          <w:p w14:paraId="0FFE0498"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28,339</w:t>
            </w:r>
          </w:p>
        </w:tc>
        <w:tc>
          <w:tcPr>
            <w:tcW w:w="967" w:type="dxa"/>
            <w:tcBorders>
              <w:top w:val="nil"/>
              <w:left w:val="nil"/>
              <w:bottom w:val="nil"/>
              <w:right w:val="nil"/>
            </w:tcBorders>
            <w:shd w:val="clear" w:color="auto" w:fill="auto"/>
            <w:noWrap/>
            <w:vAlign w:val="center"/>
            <w:hideMark/>
          </w:tcPr>
          <w:p w14:paraId="1F02FE5B"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34,057</w:t>
            </w:r>
          </w:p>
        </w:tc>
      </w:tr>
      <w:tr w:rsidR="004D4CD1" w:rsidRPr="004D4CD1" w14:paraId="1B1481EC" w14:textId="77777777" w:rsidTr="004D4CD1">
        <w:trPr>
          <w:trHeight w:val="258"/>
        </w:trPr>
        <w:tc>
          <w:tcPr>
            <w:tcW w:w="2868" w:type="dxa"/>
            <w:tcBorders>
              <w:top w:val="nil"/>
              <w:left w:val="nil"/>
              <w:bottom w:val="nil"/>
              <w:right w:val="nil"/>
            </w:tcBorders>
            <w:shd w:val="clear" w:color="auto" w:fill="auto"/>
            <w:noWrap/>
            <w:vAlign w:val="center"/>
            <w:hideMark/>
          </w:tcPr>
          <w:p w14:paraId="71A5D3C7" w14:textId="77777777" w:rsidR="004D4CD1" w:rsidRPr="004D4CD1" w:rsidRDefault="004D4CD1" w:rsidP="004D4CD1">
            <w:pPr>
              <w:spacing w:before="0" w:after="0" w:line="240" w:lineRule="auto"/>
              <w:ind w:firstLineChars="100" w:firstLine="160"/>
              <w:rPr>
                <w:rFonts w:ascii="Arial" w:hAnsi="Arial" w:cs="Arial"/>
                <w:sz w:val="16"/>
                <w:szCs w:val="16"/>
              </w:rPr>
            </w:pPr>
            <w:r w:rsidRPr="004D4CD1">
              <w:rPr>
                <w:rFonts w:ascii="Arial" w:hAnsi="Arial" w:cs="Arial"/>
                <w:sz w:val="16"/>
                <w:szCs w:val="16"/>
              </w:rPr>
              <w:t>Per cent of GDP</w:t>
            </w:r>
          </w:p>
        </w:tc>
        <w:tc>
          <w:tcPr>
            <w:tcW w:w="973" w:type="dxa"/>
            <w:tcBorders>
              <w:top w:val="nil"/>
              <w:left w:val="nil"/>
              <w:bottom w:val="nil"/>
              <w:right w:val="nil"/>
            </w:tcBorders>
            <w:shd w:val="clear" w:color="auto" w:fill="auto"/>
            <w:noWrap/>
            <w:vAlign w:val="center"/>
            <w:hideMark/>
          </w:tcPr>
          <w:p w14:paraId="01BA6F76"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0.8</w:t>
            </w:r>
          </w:p>
        </w:tc>
        <w:tc>
          <w:tcPr>
            <w:tcW w:w="960" w:type="dxa"/>
            <w:tcBorders>
              <w:top w:val="nil"/>
              <w:left w:val="nil"/>
              <w:bottom w:val="nil"/>
              <w:right w:val="nil"/>
            </w:tcBorders>
            <w:shd w:val="clear" w:color="000000" w:fill="E6F2FF"/>
            <w:noWrap/>
            <w:vAlign w:val="center"/>
            <w:hideMark/>
          </w:tcPr>
          <w:p w14:paraId="6852A036"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0.8</w:t>
            </w:r>
          </w:p>
        </w:tc>
        <w:tc>
          <w:tcPr>
            <w:tcW w:w="960" w:type="dxa"/>
            <w:tcBorders>
              <w:top w:val="nil"/>
              <w:left w:val="nil"/>
              <w:bottom w:val="nil"/>
              <w:right w:val="nil"/>
            </w:tcBorders>
            <w:shd w:val="clear" w:color="auto" w:fill="auto"/>
            <w:noWrap/>
            <w:vAlign w:val="center"/>
            <w:hideMark/>
          </w:tcPr>
          <w:p w14:paraId="44D9271D"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0.9</w:t>
            </w:r>
          </w:p>
        </w:tc>
        <w:tc>
          <w:tcPr>
            <w:tcW w:w="960" w:type="dxa"/>
            <w:tcBorders>
              <w:top w:val="nil"/>
              <w:left w:val="nil"/>
              <w:bottom w:val="nil"/>
              <w:right w:val="nil"/>
            </w:tcBorders>
            <w:shd w:val="clear" w:color="auto" w:fill="auto"/>
            <w:noWrap/>
            <w:vAlign w:val="center"/>
            <w:hideMark/>
          </w:tcPr>
          <w:p w14:paraId="59BE58CD"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0.9</w:t>
            </w:r>
          </w:p>
        </w:tc>
        <w:tc>
          <w:tcPr>
            <w:tcW w:w="967" w:type="dxa"/>
            <w:tcBorders>
              <w:top w:val="nil"/>
              <w:left w:val="nil"/>
              <w:bottom w:val="nil"/>
              <w:right w:val="nil"/>
            </w:tcBorders>
            <w:shd w:val="clear" w:color="auto" w:fill="auto"/>
            <w:noWrap/>
            <w:vAlign w:val="center"/>
            <w:hideMark/>
          </w:tcPr>
          <w:p w14:paraId="7661A56F"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1.1</w:t>
            </w:r>
          </w:p>
        </w:tc>
      </w:tr>
      <w:tr w:rsidR="004D4CD1" w:rsidRPr="004D4CD1" w14:paraId="7484E249" w14:textId="77777777" w:rsidTr="004D4CD1">
        <w:trPr>
          <w:trHeight w:val="258"/>
        </w:trPr>
        <w:tc>
          <w:tcPr>
            <w:tcW w:w="2868" w:type="dxa"/>
            <w:tcBorders>
              <w:top w:val="nil"/>
              <w:left w:val="nil"/>
              <w:bottom w:val="nil"/>
              <w:right w:val="nil"/>
            </w:tcBorders>
            <w:shd w:val="clear" w:color="000000" w:fill="FFFFFF"/>
            <w:noWrap/>
            <w:vAlign w:val="center"/>
            <w:hideMark/>
          </w:tcPr>
          <w:p w14:paraId="7CC8F21A" w14:textId="77777777" w:rsidR="004D4CD1" w:rsidRPr="004D4CD1" w:rsidRDefault="004D4CD1" w:rsidP="004D4CD1">
            <w:pPr>
              <w:spacing w:before="0" w:after="0" w:line="240" w:lineRule="auto"/>
              <w:rPr>
                <w:rFonts w:ascii="Arial" w:hAnsi="Arial" w:cs="Arial"/>
                <w:sz w:val="16"/>
                <w:szCs w:val="16"/>
              </w:rPr>
            </w:pPr>
            <w:r w:rsidRPr="004D4CD1">
              <w:rPr>
                <w:rFonts w:ascii="Arial" w:hAnsi="Arial" w:cs="Arial"/>
                <w:sz w:val="16"/>
                <w:szCs w:val="16"/>
              </w:rPr>
              <w:t>Interest payments(c)</w:t>
            </w:r>
          </w:p>
        </w:tc>
        <w:tc>
          <w:tcPr>
            <w:tcW w:w="973" w:type="dxa"/>
            <w:tcBorders>
              <w:top w:val="nil"/>
              <w:left w:val="nil"/>
              <w:bottom w:val="nil"/>
              <w:right w:val="nil"/>
            </w:tcBorders>
            <w:shd w:val="clear" w:color="auto" w:fill="auto"/>
            <w:noWrap/>
            <w:vAlign w:val="center"/>
            <w:hideMark/>
          </w:tcPr>
          <w:p w14:paraId="43FCD890"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22,685</w:t>
            </w:r>
          </w:p>
        </w:tc>
        <w:tc>
          <w:tcPr>
            <w:tcW w:w="960" w:type="dxa"/>
            <w:tcBorders>
              <w:top w:val="nil"/>
              <w:left w:val="nil"/>
              <w:bottom w:val="nil"/>
              <w:right w:val="nil"/>
            </w:tcBorders>
            <w:shd w:val="clear" w:color="000000" w:fill="E6F2FF"/>
            <w:noWrap/>
            <w:vAlign w:val="center"/>
            <w:hideMark/>
          </w:tcPr>
          <w:p w14:paraId="560CF5BC"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23,824</w:t>
            </w:r>
          </w:p>
        </w:tc>
        <w:tc>
          <w:tcPr>
            <w:tcW w:w="960" w:type="dxa"/>
            <w:tcBorders>
              <w:top w:val="nil"/>
              <w:left w:val="nil"/>
              <w:bottom w:val="nil"/>
              <w:right w:val="nil"/>
            </w:tcBorders>
            <w:shd w:val="clear" w:color="auto" w:fill="auto"/>
            <w:noWrap/>
            <w:vAlign w:val="center"/>
            <w:hideMark/>
          </w:tcPr>
          <w:p w14:paraId="4A3C1CF1"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27,502</w:t>
            </w:r>
          </w:p>
        </w:tc>
        <w:tc>
          <w:tcPr>
            <w:tcW w:w="960" w:type="dxa"/>
            <w:tcBorders>
              <w:top w:val="nil"/>
              <w:left w:val="nil"/>
              <w:bottom w:val="nil"/>
              <w:right w:val="nil"/>
            </w:tcBorders>
            <w:shd w:val="clear" w:color="auto" w:fill="auto"/>
            <w:noWrap/>
            <w:vAlign w:val="center"/>
            <w:hideMark/>
          </w:tcPr>
          <w:p w14:paraId="7F2F15C0"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29,833</w:t>
            </w:r>
          </w:p>
        </w:tc>
        <w:tc>
          <w:tcPr>
            <w:tcW w:w="967" w:type="dxa"/>
            <w:tcBorders>
              <w:top w:val="nil"/>
              <w:left w:val="nil"/>
              <w:bottom w:val="nil"/>
              <w:right w:val="nil"/>
            </w:tcBorders>
            <w:shd w:val="clear" w:color="auto" w:fill="auto"/>
            <w:noWrap/>
            <w:vAlign w:val="center"/>
            <w:hideMark/>
          </w:tcPr>
          <w:p w14:paraId="4C625C89"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35,585</w:t>
            </w:r>
          </w:p>
        </w:tc>
      </w:tr>
      <w:tr w:rsidR="004D4CD1" w:rsidRPr="004D4CD1" w14:paraId="2BFB23CB" w14:textId="77777777" w:rsidTr="004D4CD1">
        <w:trPr>
          <w:trHeight w:val="258"/>
        </w:trPr>
        <w:tc>
          <w:tcPr>
            <w:tcW w:w="2868" w:type="dxa"/>
            <w:tcBorders>
              <w:top w:val="nil"/>
              <w:left w:val="nil"/>
              <w:bottom w:val="nil"/>
              <w:right w:val="nil"/>
            </w:tcBorders>
            <w:shd w:val="clear" w:color="auto" w:fill="auto"/>
            <w:noWrap/>
            <w:vAlign w:val="center"/>
            <w:hideMark/>
          </w:tcPr>
          <w:p w14:paraId="28EA07A7" w14:textId="77777777" w:rsidR="004D4CD1" w:rsidRPr="004D4CD1" w:rsidRDefault="004D4CD1" w:rsidP="004D4CD1">
            <w:pPr>
              <w:spacing w:before="0" w:after="0" w:line="240" w:lineRule="auto"/>
              <w:ind w:firstLineChars="100" w:firstLine="160"/>
              <w:rPr>
                <w:rFonts w:ascii="Arial" w:hAnsi="Arial" w:cs="Arial"/>
                <w:sz w:val="16"/>
                <w:szCs w:val="16"/>
              </w:rPr>
            </w:pPr>
            <w:r w:rsidRPr="004D4CD1">
              <w:rPr>
                <w:rFonts w:ascii="Arial" w:hAnsi="Arial" w:cs="Arial"/>
                <w:sz w:val="16"/>
                <w:szCs w:val="16"/>
              </w:rPr>
              <w:t>Per cent of GDP</w:t>
            </w:r>
          </w:p>
        </w:tc>
        <w:tc>
          <w:tcPr>
            <w:tcW w:w="973" w:type="dxa"/>
            <w:tcBorders>
              <w:top w:val="nil"/>
              <w:left w:val="nil"/>
              <w:bottom w:val="nil"/>
              <w:right w:val="nil"/>
            </w:tcBorders>
            <w:shd w:val="clear" w:color="auto" w:fill="auto"/>
            <w:noWrap/>
            <w:vAlign w:val="center"/>
            <w:hideMark/>
          </w:tcPr>
          <w:p w14:paraId="35345255"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0.8</w:t>
            </w:r>
          </w:p>
        </w:tc>
        <w:tc>
          <w:tcPr>
            <w:tcW w:w="960" w:type="dxa"/>
            <w:tcBorders>
              <w:top w:val="nil"/>
              <w:left w:val="nil"/>
              <w:bottom w:val="nil"/>
              <w:right w:val="nil"/>
            </w:tcBorders>
            <w:shd w:val="clear" w:color="000000" w:fill="E6F2FF"/>
            <w:noWrap/>
            <w:vAlign w:val="center"/>
            <w:hideMark/>
          </w:tcPr>
          <w:p w14:paraId="3347575A"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0.9</w:t>
            </w:r>
          </w:p>
        </w:tc>
        <w:tc>
          <w:tcPr>
            <w:tcW w:w="960" w:type="dxa"/>
            <w:tcBorders>
              <w:top w:val="nil"/>
              <w:left w:val="nil"/>
              <w:bottom w:val="nil"/>
              <w:right w:val="nil"/>
            </w:tcBorders>
            <w:shd w:val="clear" w:color="auto" w:fill="auto"/>
            <w:noWrap/>
            <w:vAlign w:val="center"/>
            <w:hideMark/>
          </w:tcPr>
          <w:p w14:paraId="52EEF4AE"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1.0</w:t>
            </w:r>
          </w:p>
        </w:tc>
        <w:tc>
          <w:tcPr>
            <w:tcW w:w="960" w:type="dxa"/>
            <w:tcBorders>
              <w:top w:val="nil"/>
              <w:left w:val="nil"/>
              <w:bottom w:val="nil"/>
              <w:right w:val="nil"/>
            </w:tcBorders>
            <w:shd w:val="clear" w:color="auto" w:fill="auto"/>
            <w:noWrap/>
            <w:vAlign w:val="center"/>
            <w:hideMark/>
          </w:tcPr>
          <w:p w14:paraId="342DA103"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1.0</w:t>
            </w:r>
          </w:p>
        </w:tc>
        <w:tc>
          <w:tcPr>
            <w:tcW w:w="967" w:type="dxa"/>
            <w:tcBorders>
              <w:top w:val="nil"/>
              <w:left w:val="nil"/>
              <w:bottom w:val="nil"/>
              <w:right w:val="nil"/>
            </w:tcBorders>
            <w:shd w:val="clear" w:color="auto" w:fill="auto"/>
            <w:noWrap/>
            <w:vAlign w:val="center"/>
            <w:hideMark/>
          </w:tcPr>
          <w:p w14:paraId="5586B5D9"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1.1</w:t>
            </w:r>
          </w:p>
        </w:tc>
      </w:tr>
      <w:tr w:rsidR="004D4CD1" w:rsidRPr="004D4CD1" w14:paraId="79FA517C" w14:textId="77777777" w:rsidTr="004D4CD1">
        <w:trPr>
          <w:trHeight w:val="258"/>
        </w:trPr>
        <w:tc>
          <w:tcPr>
            <w:tcW w:w="2868" w:type="dxa"/>
            <w:tcBorders>
              <w:top w:val="nil"/>
              <w:left w:val="nil"/>
              <w:bottom w:val="nil"/>
              <w:right w:val="nil"/>
            </w:tcBorders>
            <w:shd w:val="clear" w:color="auto" w:fill="auto"/>
            <w:noWrap/>
            <w:vAlign w:val="center"/>
            <w:hideMark/>
          </w:tcPr>
          <w:p w14:paraId="5C98F40B" w14:textId="77777777" w:rsidR="004D4CD1" w:rsidRPr="004D4CD1" w:rsidRDefault="004D4CD1" w:rsidP="004D4CD1">
            <w:pPr>
              <w:spacing w:before="0" w:after="0" w:line="240" w:lineRule="auto"/>
              <w:rPr>
                <w:rFonts w:ascii="Arial" w:hAnsi="Arial" w:cs="Arial"/>
                <w:sz w:val="16"/>
                <w:szCs w:val="16"/>
              </w:rPr>
            </w:pPr>
            <w:r w:rsidRPr="004D4CD1">
              <w:rPr>
                <w:rFonts w:ascii="Arial" w:hAnsi="Arial" w:cs="Arial"/>
                <w:sz w:val="16"/>
                <w:szCs w:val="16"/>
              </w:rPr>
              <w:t>Interest receipts</w:t>
            </w:r>
          </w:p>
        </w:tc>
        <w:tc>
          <w:tcPr>
            <w:tcW w:w="973" w:type="dxa"/>
            <w:tcBorders>
              <w:top w:val="nil"/>
              <w:left w:val="nil"/>
              <w:bottom w:val="nil"/>
              <w:right w:val="nil"/>
            </w:tcBorders>
            <w:shd w:val="clear" w:color="auto" w:fill="auto"/>
            <w:noWrap/>
            <w:vAlign w:val="center"/>
            <w:hideMark/>
          </w:tcPr>
          <w:p w14:paraId="72D726E8"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10,404</w:t>
            </w:r>
          </w:p>
        </w:tc>
        <w:tc>
          <w:tcPr>
            <w:tcW w:w="960" w:type="dxa"/>
            <w:tcBorders>
              <w:top w:val="nil"/>
              <w:left w:val="nil"/>
              <w:bottom w:val="nil"/>
              <w:right w:val="nil"/>
            </w:tcBorders>
            <w:shd w:val="clear" w:color="000000" w:fill="E6F2FF"/>
            <w:noWrap/>
            <w:vAlign w:val="center"/>
            <w:hideMark/>
          </w:tcPr>
          <w:p w14:paraId="42FC751D"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9,275</w:t>
            </w:r>
          </w:p>
        </w:tc>
        <w:tc>
          <w:tcPr>
            <w:tcW w:w="960" w:type="dxa"/>
            <w:tcBorders>
              <w:top w:val="nil"/>
              <w:left w:val="nil"/>
              <w:bottom w:val="nil"/>
              <w:right w:val="nil"/>
            </w:tcBorders>
            <w:shd w:val="clear" w:color="auto" w:fill="auto"/>
            <w:noWrap/>
            <w:vAlign w:val="center"/>
            <w:hideMark/>
          </w:tcPr>
          <w:p w14:paraId="6A25A37D"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8,705</w:t>
            </w:r>
          </w:p>
        </w:tc>
        <w:tc>
          <w:tcPr>
            <w:tcW w:w="960" w:type="dxa"/>
            <w:tcBorders>
              <w:top w:val="nil"/>
              <w:left w:val="nil"/>
              <w:bottom w:val="nil"/>
              <w:right w:val="nil"/>
            </w:tcBorders>
            <w:shd w:val="clear" w:color="auto" w:fill="auto"/>
            <w:noWrap/>
            <w:vAlign w:val="center"/>
            <w:hideMark/>
          </w:tcPr>
          <w:p w14:paraId="40FDD6F7"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9,051</w:t>
            </w:r>
          </w:p>
        </w:tc>
        <w:tc>
          <w:tcPr>
            <w:tcW w:w="967" w:type="dxa"/>
            <w:tcBorders>
              <w:top w:val="nil"/>
              <w:left w:val="nil"/>
              <w:bottom w:val="nil"/>
              <w:right w:val="nil"/>
            </w:tcBorders>
            <w:shd w:val="clear" w:color="auto" w:fill="auto"/>
            <w:noWrap/>
            <w:vAlign w:val="center"/>
            <w:hideMark/>
          </w:tcPr>
          <w:p w14:paraId="652C926D"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9,591</w:t>
            </w:r>
          </w:p>
        </w:tc>
      </w:tr>
      <w:tr w:rsidR="004D4CD1" w:rsidRPr="004D4CD1" w14:paraId="1084F4B6" w14:textId="77777777" w:rsidTr="004D4CD1">
        <w:trPr>
          <w:trHeight w:val="258"/>
        </w:trPr>
        <w:tc>
          <w:tcPr>
            <w:tcW w:w="2868" w:type="dxa"/>
            <w:tcBorders>
              <w:top w:val="nil"/>
              <w:left w:val="nil"/>
              <w:bottom w:val="nil"/>
              <w:right w:val="nil"/>
            </w:tcBorders>
            <w:shd w:val="clear" w:color="auto" w:fill="auto"/>
            <w:noWrap/>
            <w:vAlign w:val="center"/>
            <w:hideMark/>
          </w:tcPr>
          <w:p w14:paraId="131505D9" w14:textId="77777777" w:rsidR="004D4CD1" w:rsidRPr="004D4CD1" w:rsidRDefault="004D4CD1" w:rsidP="004D4CD1">
            <w:pPr>
              <w:spacing w:before="0" w:after="0" w:line="240" w:lineRule="auto"/>
              <w:ind w:firstLineChars="100" w:firstLine="160"/>
              <w:rPr>
                <w:rFonts w:ascii="Arial" w:hAnsi="Arial" w:cs="Arial"/>
                <w:sz w:val="16"/>
                <w:szCs w:val="16"/>
              </w:rPr>
            </w:pPr>
            <w:r w:rsidRPr="004D4CD1">
              <w:rPr>
                <w:rFonts w:ascii="Arial" w:hAnsi="Arial" w:cs="Arial"/>
                <w:sz w:val="16"/>
                <w:szCs w:val="16"/>
              </w:rPr>
              <w:t>Per cent of GDP</w:t>
            </w:r>
          </w:p>
        </w:tc>
        <w:tc>
          <w:tcPr>
            <w:tcW w:w="973" w:type="dxa"/>
            <w:tcBorders>
              <w:top w:val="nil"/>
              <w:left w:val="nil"/>
              <w:bottom w:val="nil"/>
              <w:right w:val="nil"/>
            </w:tcBorders>
            <w:shd w:val="clear" w:color="auto" w:fill="auto"/>
            <w:noWrap/>
            <w:vAlign w:val="center"/>
            <w:hideMark/>
          </w:tcPr>
          <w:p w14:paraId="288E1CCA"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0.4</w:t>
            </w:r>
          </w:p>
        </w:tc>
        <w:tc>
          <w:tcPr>
            <w:tcW w:w="960" w:type="dxa"/>
            <w:tcBorders>
              <w:top w:val="nil"/>
              <w:left w:val="nil"/>
              <w:bottom w:val="nil"/>
              <w:right w:val="nil"/>
            </w:tcBorders>
            <w:shd w:val="clear" w:color="000000" w:fill="E6F2FF"/>
            <w:noWrap/>
            <w:vAlign w:val="center"/>
            <w:hideMark/>
          </w:tcPr>
          <w:p w14:paraId="6EF34BBE"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0.3</w:t>
            </w:r>
          </w:p>
        </w:tc>
        <w:tc>
          <w:tcPr>
            <w:tcW w:w="960" w:type="dxa"/>
            <w:tcBorders>
              <w:top w:val="nil"/>
              <w:left w:val="nil"/>
              <w:bottom w:val="nil"/>
              <w:right w:val="nil"/>
            </w:tcBorders>
            <w:shd w:val="clear" w:color="auto" w:fill="auto"/>
            <w:noWrap/>
            <w:vAlign w:val="center"/>
            <w:hideMark/>
          </w:tcPr>
          <w:p w14:paraId="06ADBA7A"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0.3</w:t>
            </w:r>
          </w:p>
        </w:tc>
        <w:tc>
          <w:tcPr>
            <w:tcW w:w="960" w:type="dxa"/>
            <w:tcBorders>
              <w:top w:val="nil"/>
              <w:left w:val="nil"/>
              <w:bottom w:val="nil"/>
              <w:right w:val="nil"/>
            </w:tcBorders>
            <w:shd w:val="clear" w:color="auto" w:fill="auto"/>
            <w:noWrap/>
            <w:vAlign w:val="center"/>
            <w:hideMark/>
          </w:tcPr>
          <w:p w14:paraId="51D796F0"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0.3</w:t>
            </w:r>
          </w:p>
        </w:tc>
        <w:tc>
          <w:tcPr>
            <w:tcW w:w="967" w:type="dxa"/>
            <w:tcBorders>
              <w:top w:val="nil"/>
              <w:left w:val="nil"/>
              <w:bottom w:val="nil"/>
              <w:right w:val="nil"/>
            </w:tcBorders>
            <w:shd w:val="clear" w:color="auto" w:fill="auto"/>
            <w:noWrap/>
            <w:vAlign w:val="center"/>
            <w:hideMark/>
          </w:tcPr>
          <w:p w14:paraId="56C64D01"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0.3</w:t>
            </w:r>
          </w:p>
        </w:tc>
      </w:tr>
      <w:tr w:rsidR="004D4CD1" w:rsidRPr="004D4CD1" w14:paraId="1413235D" w14:textId="77777777" w:rsidTr="004D4CD1">
        <w:trPr>
          <w:trHeight w:val="258"/>
        </w:trPr>
        <w:tc>
          <w:tcPr>
            <w:tcW w:w="2868" w:type="dxa"/>
            <w:tcBorders>
              <w:top w:val="nil"/>
              <w:left w:val="nil"/>
              <w:bottom w:val="nil"/>
              <w:right w:val="nil"/>
            </w:tcBorders>
            <w:shd w:val="clear" w:color="auto" w:fill="auto"/>
            <w:noWrap/>
            <w:vAlign w:val="center"/>
            <w:hideMark/>
          </w:tcPr>
          <w:p w14:paraId="57AC9952" w14:textId="77777777" w:rsidR="004D4CD1" w:rsidRPr="004D4CD1" w:rsidRDefault="004D4CD1" w:rsidP="004D4CD1">
            <w:pPr>
              <w:spacing w:before="0" w:after="0" w:line="240" w:lineRule="auto"/>
              <w:rPr>
                <w:rFonts w:ascii="Arial" w:hAnsi="Arial" w:cs="Arial"/>
                <w:sz w:val="16"/>
                <w:szCs w:val="16"/>
              </w:rPr>
            </w:pPr>
            <w:r w:rsidRPr="004D4CD1">
              <w:rPr>
                <w:rFonts w:ascii="Arial" w:hAnsi="Arial" w:cs="Arial"/>
                <w:sz w:val="16"/>
                <w:szCs w:val="16"/>
              </w:rPr>
              <w:t xml:space="preserve">Net interest payments(d) </w:t>
            </w:r>
          </w:p>
        </w:tc>
        <w:tc>
          <w:tcPr>
            <w:tcW w:w="973" w:type="dxa"/>
            <w:tcBorders>
              <w:top w:val="nil"/>
              <w:left w:val="nil"/>
              <w:bottom w:val="nil"/>
              <w:right w:val="nil"/>
            </w:tcBorders>
            <w:shd w:val="clear" w:color="auto" w:fill="auto"/>
            <w:noWrap/>
            <w:vAlign w:val="center"/>
            <w:hideMark/>
          </w:tcPr>
          <w:p w14:paraId="1382C944"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12,281</w:t>
            </w:r>
          </w:p>
        </w:tc>
        <w:tc>
          <w:tcPr>
            <w:tcW w:w="960" w:type="dxa"/>
            <w:tcBorders>
              <w:top w:val="nil"/>
              <w:left w:val="nil"/>
              <w:bottom w:val="nil"/>
              <w:right w:val="nil"/>
            </w:tcBorders>
            <w:shd w:val="clear" w:color="000000" w:fill="E6F2FF"/>
            <w:noWrap/>
            <w:vAlign w:val="center"/>
            <w:hideMark/>
          </w:tcPr>
          <w:p w14:paraId="1B6FED74"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14,549</w:t>
            </w:r>
          </w:p>
        </w:tc>
        <w:tc>
          <w:tcPr>
            <w:tcW w:w="960" w:type="dxa"/>
            <w:tcBorders>
              <w:top w:val="nil"/>
              <w:left w:val="nil"/>
              <w:bottom w:val="nil"/>
              <w:right w:val="nil"/>
            </w:tcBorders>
            <w:shd w:val="clear" w:color="auto" w:fill="auto"/>
            <w:noWrap/>
            <w:vAlign w:val="center"/>
            <w:hideMark/>
          </w:tcPr>
          <w:p w14:paraId="2FF53403"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18,797</w:t>
            </w:r>
          </w:p>
        </w:tc>
        <w:tc>
          <w:tcPr>
            <w:tcW w:w="960" w:type="dxa"/>
            <w:tcBorders>
              <w:top w:val="nil"/>
              <w:left w:val="nil"/>
              <w:bottom w:val="nil"/>
              <w:right w:val="nil"/>
            </w:tcBorders>
            <w:shd w:val="clear" w:color="auto" w:fill="auto"/>
            <w:noWrap/>
            <w:vAlign w:val="center"/>
            <w:hideMark/>
          </w:tcPr>
          <w:p w14:paraId="6CD92BC2"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20,782</w:t>
            </w:r>
          </w:p>
        </w:tc>
        <w:tc>
          <w:tcPr>
            <w:tcW w:w="967" w:type="dxa"/>
            <w:tcBorders>
              <w:top w:val="nil"/>
              <w:left w:val="nil"/>
              <w:bottom w:val="nil"/>
              <w:right w:val="nil"/>
            </w:tcBorders>
            <w:shd w:val="clear" w:color="auto" w:fill="auto"/>
            <w:noWrap/>
            <w:vAlign w:val="center"/>
            <w:hideMark/>
          </w:tcPr>
          <w:p w14:paraId="6270950E"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25,994</w:t>
            </w:r>
          </w:p>
        </w:tc>
      </w:tr>
      <w:tr w:rsidR="004D4CD1" w:rsidRPr="004D4CD1" w14:paraId="34C41915" w14:textId="77777777" w:rsidTr="004D4CD1">
        <w:trPr>
          <w:trHeight w:val="258"/>
        </w:trPr>
        <w:tc>
          <w:tcPr>
            <w:tcW w:w="2868" w:type="dxa"/>
            <w:tcBorders>
              <w:top w:val="nil"/>
              <w:left w:val="nil"/>
              <w:bottom w:val="single" w:sz="4" w:space="0" w:color="293F5B"/>
              <w:right w:val="nil"/>
            </w:tcBorders>
            <w:shd w:val="clear" w:color="auto" w:fill="auto"/>
            <w:noWrap/>
            <w:vAlign w:val="center"/>
            <w:hideMark/>
          </w:tcPr>
          <w:p w14:paraId="3D406221" w14:textId="77777777" w:rsidR="004D4CD1" w:rsidRPr="004D4CD1" w:rsidRDefault="004D4CD1" w:rsidP="004D4CD1">
            <w:pPr>
              <w:spacing w:before="0" w:after="0" w:line="240" w:lineRule="auto"/>
              <w:ind w:firstLineChars="100" w:firstLine="160"/>
              <w:rPr>
                <w:rFonts w:ascii="Arial" w:hAnsi="Arial" w:cs="Arial"/>
                <w:sz w:val="16"/>
                <w:szCs w:val="16"/>
              </w:rPr>
            </w:pPr>
            <w:r w:rsidRPr="004D4CD1">
              <w:rPr>
                <w:rFonts w:ascii="Arial" w:hAnsi="Arial" w:cs="Arial"/>
                <w:sz w:val="16"/>
                <w:szCs w:val="16"/>
              </w:rPr>
              <w:t>Per cent of GDP</w:t>
            </w:r>
          </w:p>
        </w:tc>
        <w:tc>
          <w:tcPr>
            <w:tcW w:w="973" w:type="dxa"/>
            <w:tcBorders>
              <w:top w:val="nil"/>
              <w:left w:val="nil"/>
              <w:bottom w:val="single" w:sz="4" w:space="0" w:color="293F5B"/>
              <w:right w:val="nil"/>
            </w:tcBorders>
            <w:shd w:val="clear" w:color="auto" w:fill="auto"/>
            <w:noWrap/>
            <w:vAlign w:val="center"/>
            <w:hideMark/>
          </w:tcPr>
          <w:p w14:paraId="6A01606E"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0.5</w:t>
            </w:r>
          </w:p>
        </w:tc>
        <w:tc>
          <w:tcPr>
            <w:tcW w:w="960" w:type="dxa"/>
            <w:tcBorders>
              <w:top w:val="nil"/>
              <w:left w:val="nil"/>
              <w:bottom w:val="single" w:sz="4" w:space="0" w:color="293F5B"/>
              <w:right w:val="nil"/>
            </w:tcBorders>
            <w:shd w:val="clear" w:color="000000" w:fill="E6F2FF"/>
            <w:noWrap/>
            <w:vAlign w:val="center"/>
            <w:hideMark/>
          </w:tcPr>
          <w:p w14:paraId="51DD5100"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0.5</w:t>
            </w:r>
          </w:p>
        </w:tc>
        <w:tc>
          <w:tcPr>
            <w:tcW w:w="960" w:type="dxa"/>
            <w:tcBorders>
              <w:top w:val="nil"/>
              <w:left w:val="nil"/>
              <w:bottom w:val="single" w:sz="4" w:space="0" w:color="293F5B"/>
              <w:right w:val="nil"/>
            </w:tcBorders>
            <w:shd w:val="clear" w:color="auto" w:fill="auto"/>
            <w:noWrap/>
            <w:vAlign w:val="center"/>
            <w:hideMark/>
          </w:tcPr>
          <w:p w14:paraId="32793C33"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0.7</w:t>
            </w:r>
          </w:p>
        </w:tc>
        <w:tc>
          <w:tcPr>
            <w:tcW w:w="960" w:type="dxa"/>
            <w:tcBorders>
              <w:top w:val="nil"/>
              <w:left w:val="nil"/>
              <w:bottom w:val="single" w:sz="4" w:space="0" w:color="293F5B"/>
              <w:right w:val="nil"/>
            </w:tcBorders>
            <w:shd w:val="clear" w:color="auto" w:fill="auto"/>
            <w:noWrap/>
            <w:vAlign w:val="center"/>
            <w:hideMark/>
          </w:tcPr>
          <w:p w14:paraId="70074A24"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0.7</w:t>
            </w:r>
          </w:p>
        </w:tc>
        <w:tc>
          <w:tcPr>
            <w:tcW w:w="967" w:type="dxa"/>
            <w:tcBorders>
              <w:top w:val="nil"/>
              <w:left w:val="nil"/>
              <w:bottom w:val="single" w:sz="4" w:space="0" w:color="293F5B"/>
              <w:right w:val="nil"/>
            </w:tcBorders>
            <w:shd w:val="clear" w:color="auto" w:fill="auto"/>
            <w:noWrap/>
            <w:vAlign w:val="center"/>
            <w:hideMark/>
          </w:tcPr>
          <w:p w14:paraId="62B42A35"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0.8</w:t>
            </w:r>
          </w:p>
        </w:tc>
      </w:tr>
    </w:tbl>
    <w:p w14:paraId="6B561BF3" w14:textId="1E7E406D" w:rsidR="001A4F7E" w:rsidRPr="0098325D" w:rsidRDefault="001A4F7E" w:rsidP="006C6733">
      <w:pPr>
        <w:pStyle w:val="ChartandTableFootnoteAlpha"/>
        <w:numPr>
          <w:ilvl w:val="0"/>
          <w:numId w:val="12"/>
        </w:numPr>
      </w:pPr>
      <w:r w:rsidRPr="0098325D" w:rsidDel="005F46B0">
        <w:t>Interest payments and receipts are a cash measure, with the relevant amount recognised in the period in which the interest payment is made or interest is received.</w:t>
      </w:r>
    </w:p>
    <w:p w14:paraId="21926ABA" w14:textId="2BA0DA64" w:rsidR="005D4BAF" w:rsidRPr="004C05FA" w:rsidRDefault="005D4BAF" w:rsidP="005D4BAF">
      <w:pPr>
        <w:pStyle w:val="ChartandTableFootnoteAlpha"/>
        <w:numPr>
          <w:ilvl w:val="0"/>
          <w:numId w:val="12"/>
        </w:numPr>
        <w:rPr>
          <w:color w:val="auto"/>
        </w:rPr>
      </w:pPr>
      <w:r w:rsidRPr="004C05FA">
        <w:rPr>
          <w:color w:val="auto"/>
        </w:rPr>
        <w:t>The increase</w:t>
      </w:r>
      <w:r w:rsidR="001E6318" w:rsidRPr="004C05FA">
        <w:rPr>
          <w:color w:val="auto"/>
        </w:rPr>
        <w:t>s</w:t>
      </w:r>
      <w:r w:rsidRPr="004C05FA">
        <w:rPr>
          <w:color w:val="auto"/>
        </w:rPr>
        <w:t xml:space="preserve"> in 2025–26 and 2027</w:t>
      </w:r>
      <w:r w:rsidR="00844FC1" w:rsidRPr="004C05FA">
        <w:rPr>
          <w:color w:val="auto"/>
        </w:rPr>
        <w:t>–</w:t>
      </w:r>
      <w:r w:rsidRPr="004C05FA">
        <w:rPr>
          <w:color w:val="auto"/>
        </w:rPr>
        <w:t>28 primarily reflect Treasury Indexed Bond line</w:t>
      </w:r>
      <w:r w:rsidR="001E6318" w:rsidRPr="004C05FA">
        <w:rPr>
          <w:color w:val="auto"/>
        </w:rPr>
        <w:t>s</w:t>
      </w:r>
      <w:r w:rsidRPr="004C05FA">
        <w:rPr>
          <w:color w:val="auto"/>
        </w:rPr>
        <w:t xml:space="preserve"> maturing in </w:t>
      </w:r>
      <w:r w:rsidR="001E6318" w:rsidRPr="004C05FA">
        <w:rPr>
          <w:color w:val="auto"/>
        </w:rPr>
        <w:t xml:space="preserve">those </w:t>
      </w:r>
      <w:r w:rsidRPr="004C05FA">
        <w:rPr>
          <w:color w:val="auto"/>
        </w:rPr>
        <w:t>year</w:t>
      </w:r>
      <w:r w:rsidR="001E6318" w:rsidRPr="004C05FA">
        <w:rPr>
          <w:color w:val="auto"/>
        </w:rPr>
        <w:t>s</w:t>
      </w:r>
      <w:r w:rsidRPr="004C05FA">
        <w:rPr>
          <w:color w:val="auto"/>
        </w:rPr>
        <w:t>.</w:t>
      </w:r>
    </w:p>
    <w:p w14:paraId="4EDA7B1F" w14:textId="3D2E1322" w:rsidR="001A4F7E" w:rsidRPr="0098325D" w:rsidRDefault="001A4F7E" w:rsidP="001A4F7E">
      <w:pPr>
        <w:pStyle w:val="ChartandTableFootnoteAlpha"/>
        <w:rPr>
          <w:color w:val="auto"/>
        </w:rPr>
      </w:pPr>
      <w:r w:rsidRPr="0098325D">
        <w:rPr>
          <w:color w:val="auto"/>
        </w:rPr>
        <w:t xml:space="preserve">Interest payments include interest payments on AGS, loans and other borrowing, as well as interest payments on lease liabilities. </w:t>
      </w:r>
    </w:p>
    <w:p w14:paraId="2EB22A22" w14:textId="77777777" w:rsidR="001A4F7E" w:rsidRPr="0098325D" w:rsidRDefault="001A4F7E" w:rsidP="001A4F7E">
      <w:pPr>
        <w:pStyle w:val="ChartandTableFootnoteAlpha"/>
        <w:rPr>
          <w:color w:val="auto"/>
        </w:rPr>
      </w:pPr>
      <w:r w:rsidRPr="0098325D">
        <w:rPr>
          <w:color w:val="auto"/>
        </w:rPr>
        <w:t>Net interest payments are equal to the difference between interest payments and interest receipts.</w:t>
      </w:r>
    </w:p>
    <w:p w14:paraId="040713FA" w14:textId="77777777" w:rsidR="001A4F7E" w:rsidRPr="0098325D" w:rsidRDefault="001A4F7E" w:rsidP="001A4F7E">
      <w:pPr>
        <w:pStyle w:val="ChartLine"/>
      </w:pPr>
    </w:p>
    <w:p w14:paraId="5B650514" w14:textId="2FA73878" w:rsidR="00180B7A" w:rsidRPr="004C05FA" w:rsidRDefault="00180B7A" w:rsidP="00180B7A">
      <w:bookmarkStart w:id="55" w:name="_Toc98531927"/>
      <w:bookmarkStart w:id="56" w:name="_Toc117337753"/>
      <w:r w:rsidRPr="004C05FA">
        <w:t>As well as cash accounting</w:t>
      </w:r>
      <w:r w:rsidR="00BA2D06" w:rsidRPr="004C05FA">
        <w:t xml:space="preserve"> terms</w:t>
      </w:r>
      <w:r w:rsidRPr="004C05FA">
        <w:t xml:space="preserve">, </w:t>
      </w:r>
      <w:r w:rsidR="00BA2D06" w:rsidRPr="004C05FA">
        <w:t>interest</w:t>
      </w:r>
      <w:r w:rsidRPr="004C05FA">
        <w:t xml:space="preserve"> costs related to AGS are </w:t>
      </w:r>
      <w:r w:rsidR="00BA2D06" w:rsidRPr="004C05FA">
        <w:t xml:space="preserve">also presented on </w:t>
      </w:r>
      <w:r w:rsidRPr="004C05FA">
        <w:t>accrual accounting terms. The difference between the cash interest payments and accrual interest expense generally relates to the timing of when the interest cost is recognised.</w:t>
      </w:r>
    </w:p>
    <w:p w14:paraId="5039B7EB" w14:textId="45E703D1" w:rsidR="00BA2D06" w:rsidRPr="004C05FA" w:rsidRDefault="00BA2D06" w:rsidP="00B37A36">
      <w:pPr>
        <w:pStyle w:val="Bullet"/>
      </w:pPr>
      <w:r w:rsidRPr="004C05FA">
        <w:t>Interest payments are recognised in the period when they are paid during the life of the security.</w:t>
      </w:r>
    </w:p>
    <w:p w14:paraId="5DF18B50" w14:textId="1C48CB2D" w:rsidR="00BA2D06" w:rsidRPr="00DA4572" w:rsidRDefault="00BA2D06" w:rsidP="00E7022A">
      <w:pPr>
        <w:pStyle w:val="Bullet"/>
      </w:pPr>
      <w:r w:rsidRPr="004C05FA">
        <w:t>Interest expense is recognised in the period in which an expense is incurred during the life of the security, rather than when it is actually pai</w:t>
      </w:r>
      <w:r w:rsidRPr="00DA4572">
        <w:t>d.</w:t>
      </w:r>
    </w:p>
    <w:p w14:paraId="6FE2C78D" w14:textId="77777777" w:rsidR="00BA2D06" w:rsidRPr="00DA4572" w:rsidRDefault="00BA2D06">
      <w:pPr>
        <w:spacing w:before="0" w:after="160" w:line="259" w:lineRule="auto"/>
      </w:pPr>
      <w:r w:rsidRPr="00DA4572">
        <w:br w:type="page"/>
      </w:r>
    </w:p>
    <w:p w14:paraId="70B6B819" w14:textId="70D0FB62" w:rsidR="00BA2D06" w:rsidRPr="004C05FA" w:rsidRDefault="00936904" w:rsidP="009B0095">
      <w:r w:rsidRPr="004C05FA">
        <w:lastRenderedPageBreak/>
        <w:t>The Government</w:t>
      </w:r>
      <w:r w:rsidR="00B57616" w:rsidRPr="004C05FA">
        <w:t>’</w:t>
      </w:r>
      <w:r w:rsidRPr="004C05FA">
        <w:t xml:space="preserve">s total interest </w:t>
      </w:r>
      <w:r w:rsidR="0099042D" w:rsidRPr="004C05FA">
        <w:t>expense in 2024</w:t>
      </w:r>
      <w:r w:rsidR="00997919" w:rsidRPr="004C05FA">
        <w:t>–</w:t>
      </w:r>
      <w:r w:rsidR="0099042D" w:rsidRPr="004C05FA">
        <w:t xml:space="preserve">25 </w:t>
      </w:r>
      <w:r w:rsidR="00D53F4E" w:rsidRPr="004C05FA">
        <w:t xml:space="preserve">is estimated </w:t>
      </w:r>
      <w:r w:rsidR="007B63FE" w:rsidRPr="004C05FA">
        <w:t>to be $</w:t>
      </w:r>
      <w:r w:rsidR="00F95276" w:rsidRPr="004C05FA">
        <w:t>33.4</w:t>
      </w:r>
      <w:r w:rsidR="00AF76BC" w:rsidRPr="004C05FA">
        <w:t> billion</w:t>
      </w:r>
      <w:r w:rsidR="00F4702B" w:rsidRPr="004C05FA">
        <w:t xml:space="preserve">, of which </w:t>
      </w:r>
      <w:r w:rsidR="004265F2" w:rsidRPr="004C05FA">
        <w:t>$</w:t>
      </w:r>
      <w:r w:rsidR="00EB3889" w:rsidRPr="004C05FA">
        <w:t>24.1</w:t>
      </w:r>
      <w:r w:rsidR="004265F2" w:rsidRPr="004C05FA">
        <w:t xml:space="preserve"> billion </w:t>
      </w:r>
      <w:r w:rsidR="004372BD" w:rsidRPr="004C05FA">
        <w:t xml:space="preserve">relates to AGS on issue. </w:t>
      </w:r>
      <w:r w:rsidR="00BA2D06" w:rsidRPr="004C05FA">
        <w:t>Table 7.10 shows changes in interest expense, interest income and net interest expense over the forward estimates.</w:t>
      </w:r>
    </w:p>
    <w:p w14:paraId="240D7890" w14:textId="3AD87E9E" w:rsidR="004D4CD1" w:rsidRDefault="00BA2D06" w:rsidP="004D4CD1">
      <w:pPr>
        <w:pStyle w:val="TableHeading"/>
        <w:rPr>
          <w:rFonts w:asciiTheme="minorHAnsi" w:eastAsiaTheme="minorHAnsi" w:hAnsiTheme="minorHAnsi" w:cstheme="minorBidi"/>
          <w:sz w:val="22"/>
          <w:szCs w:val="22"/>
          <w:lang w:eastAsia="en-US"/>
        </w:rPr>
      </w:pPr>
      <w:r w:rsidRPr="004C05FA">
        <w:t>Table 7.10: Interest expense, interest income and net interest expense</w:t>
      </w:r>
      <w:r w:rsidRPr="00DA4572">
        <w:rPr>
          <w:vertAlign w:val="superscript"/>
        </w:rPr>
        <w:t>(</w:t>
      </w:r>
      <w:r w:rsidRPr="0098325D">
        <w:rPr>
          <w:vertAlign w:val="superscript"/>
        </w:rPr>
        <w:t>a)</w:t>
      </w:r>
      <w:r w:rsidRPr="0098325D" w:rsidDel="001441AC">
        <w:t xml:space="preserve"> </w:t>
      </w:r>
    </w:p>
    <w:tbl>
      <w:tblPr>
        <w:tblW w:w="7701" w:type="dxa"/>
        <w:tblLook w:val="04A0" w:firstRow="1" w:lastRow="0" w:firstColumn="1" w:lastColumn="0" w:noHBand="0" w:noVBand="1"/>
      </w:tblPr>
      <w:tblGrid>
        <w:gridCol w:w="2614"/>
        <w:gridCol w:w="1017"/>
        <w:gridCol w:w="59"/>
        <w:gridCol w:w="958"/>
        <w:gridCol w:w="1017"/>
        <w:gridCol w:w="1017"/>
        <w:gridCol w:w="1019"/>
      </w:tblGrid>
      <w:tr w:rsidR="004D4CD1" w:rsidRPr="004D4CD1" w14:paraId="14089408" w14:textId="77777777" w:rsidTr="004D4CD1">
        <w:trPr>
          <w:trHeight w:val="253"/>
        </w:trPr>
        <w:tc>
          <w:tcPr>
            <w:tcW w:w="2614" w:type="dxa"/>
            <w:tcBorders>
              <w:top w:val="single" w:sz="4" w:space="0" w:color="293F5B"/>
              <w:left w:val="nil"/>
              <w:bottom w:val="nil"/>
              <w:right w:val="nil"/>
            </w:tcBorders>
            <w:shd w:val="clear" w:color="auto" w:fill="auto"/>
            <w:noWrap/>
            <w:vAlign w:val="bottom"/>
            <w:hideMark/>
          </w:tcPr>
          <w:p w14:paraId="3A8E01EA" w14:textId="7109E7C6" w:rsidR="004D4CD1" w:rsidRPr="004D4CD1" w:rsidRDefault="004D4CD1" w:rsidP="004D4CD1">
            <w:pPr>
              <w:spacing w:before="0" w:after="0" w:line="240" w:lineRule="auto"/>
              <w:rPr>
                <w:rFonts w:ascii="Calibri" w:hAnsi="Calibri" w:cs="Calibri"/>
                <w:color w:val="000000"/>
                <w:sz w:val="22"/>
                <w:szCs w:val="22"/>
              </w:rPr>
            </w:pPr>
            <w:r w:rsidRPr="004D4CD1">
              <w:rPr>
                <w:rFonts w:ascii="Arial" w:hAnsi="Arial" w:cs="Arial"/>
                <w:color w:val="000000"/>
                <w:sz w:val="16"/>
                <w:szCs w:val="16"/>
              </w:rPr>
              <w:t> </w:t>
            </w:r>
          </w:p>
        </w:tc>
        <w:tc>
          <w:tcPr>
            <w:tcW w:w="1076" w:type="dxa"/>
            <w:gridSpan w:val="2"/>
            <w:tcBorders>
              <w:top w:val="single" w:sz="4" w:space="0" w:color="293F5B"/>
              <w:left w:val="nil"/>
              <w:bottom w:val="nil"/>
              <w:right w:val="nil"/>
            </w:tcBorders>
            <w:shd w:val="clear" w:color="auto" w:fill="auto"/>
            <w:noWrap/>
            <w:vAlign w:val="center"/>
            <w:hideMark/>
          </w:tcPr>
          <w:p w14:paraId="74EC399C" w14:textId="77777777" w:rsidR="004D4CD1" w:rsidRPr="004D4CD1" w:rsidRDefault="004D4CD1" w:rsidP="004D4CD1">
            <w:pPr>
              <w:spacing w:before="0" w:after="0" w:line="240" w:lineRule="auto"/>
              <w:jc w:val="center"/>
              <w:rPr>
                <w:rFonts w:ascii="Arial" w:hAnsi="Arial" w:cs="Arial"/>
                <w:color w:val="000000"/>
                <w:sz w:val="16"/>
                <w:szCs w:val="16"/>
              </w:rPr>
            </w:pPr>
            <w:r w:rsidRPr="004D4CD1">
              <w:rPr>
                <w:rFonts w:ascii="Arial" w:hAnsi="Arial" w:cs="Arial"/>
                <w:color w:val="000000"/>
                <w:sz w:val="16"/>
                <w:szCs w:val="16"/>
              </w:rPr>
              <w:t> </w:t>
            </w:r>
          </w:p>
        </w:tc>
        <w:tc>
          <w:tcPr>
            <w:tcW w:w="4011" w:type="dxa"/>
            <w:gridSpan w:val="4"/>
            <w:tcBorders>
              <w:top w:val="single" w:sz="4" w:space="0" w:color="293F5B"/>
              <w:left w:val="nil"/>
              <w:bottom w:val="nil"/>
              <w:right w:val="nil"/>
            </w:tcBorders>
            <w:shd w:val="clear" w:color="auto" w:fill="auto"/>
            <w:noWrap/>
            <w:vAlign w:val="center"/>
            <w:hideMark/>
          </w:tcPr>
          <w:p w14:paraId="256AFA14" w14:textId="77777777" w:rsidR="004D4CD1" w:rsidRPr="004D4CD1" w:rsidRDefault="004D4CD1" w:rsidP="004D4CD1">
            <w:pPr>
              <w:spacing w:before="0" w:after="0" w:line="240" w:lineRule="auto"/>
              <w:jc w:val="center"/>
              <w:rPr>
                <w:rFonts w:ascii="Arial" w:hAnsi="Arial" w:cs="Arial"/>
                <w:color w:val="000000"/>
                <w:sz w:val="16"/>
                <w:szCs w:val="16"/>
              </w:rPr>
            </w:pPr>
            <w:r w:rsidRPr="004D4CD1">
              <w:rPr>
                <w:rFonts w:ascii="Arial" w:hAnsi="Arial" w:cs="Arial"/>
                <w:color w:val="000000"/>
                <w:sz w:val="16"/>
                <w:szCs w:val="16"/>
              </w:rPr>
              <w:t>Estimates</w:t>
            </w:r>
          </w:p>
        </w:tc>
      </w:tr>
      <w:tr w:rsidR="004D4CD1" w:rsidRPr="004D4CD1" w14:paraId="3D1D3F0C" w14:textId="77777777" w:rsidTr="004D4CD1">
        <w:trPr>
          <w:trHeight w:val="253"/>
        </w:trPr>
        <w:tc>
          <w:tcPr>
            <w:tcW w:w="2614" w:type="dxa"/>
            <w:tcBorders>
              <w:top w:val="nil"/>
              <w:left w:val="nil"/>
              <w:bottom w:val="nil"/>
              <w:right w:val="nil"/>
            </w:tcBorders>
            <w:shd w:val="clear" w:color="auto" w:fill="auto"/>
            <w:noWrap/>
            <w:vAlign w:val="center"/>
            <w:hideMark/>
          </w:tcPr>
          <w:p w14:paraId="2823A451" w14:textId="77777777" w:rsidR="004D4CD1" w:rsidRPr="004D4CD1" w:rsidRDefault="004D4CD1" w:rsidP="004D4CD1">
            <w:pPr>
              <w:spacing w:before="0" w:after="0" w:line="240" w:lineRule="auto"/>
              <w:jc w:val="center"/>
              <w:rPr>
                <w:rFonts w:ascii="Arial" w:hAnsi="Arial" w:cs="Arial"/>
                <w:color w:val="000000"/>
                <w:sz w:val="16"/>
                <w:szCs w:val="16"/>
              </w:rPr>
            </w:pPr>
          </w:p>
        </w:tc>
        <w:tc>
          <w:tcPr>
            <w:tcW w:w="1017" w:type="dxa"/>
            <w:tcBorders>
              <w:top w:val="single" w:sz="4" w:space="0" w:color="293F5B"/>
              <w:left w:val="nil"/>
              <w:bottom w:val="nil"/>
              <w:right w:val="nil"/>
            </w:tcBorders>
            <w:shd w:val="clear" w:color="000000" w:fill="FFFFFF"/>
            <w:noWrap/>
            <w:vAlign w:val="center"/>
            <w:hideMark/>
          </w:tcPr>
          <w:p w14:paraId="7A636DBF" w14:textId="490B488C"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2023</w:t>
            </w:r>
            <w:r w:rsidR="00B57616">
              <w:rPr>
                <w:rFonts w:ascii="Arial" w:hAnsi="Arial" w:cs="Arial"/>
                <w:sz w:val="16"/>
                <w:szCs w:val="16"/>
              </w:rPr>
              <w:noBreakHyphen/>
            </w:r>
            <w:r w:rsidRPr="004D4CD1">
              <w:rPr>
                <w:rFonts w:ascii="Arial" w:hAnsi="Arial" w:cs="Arial"/>
                <w:sz w:val="16"/>
                <w:szCs w:val="16"/>
              </w:rPr>
              <w:t>24</w:t>
            </w:r>
          </w:p>
        </w:tc>
        <w:tc>
          <w:tcPr>
            <w:tcW w:w="1017" w:type="dxa"/>
            <w:gridSpan w:val="2"/>
            <w:tcBorders>
              <w:top w:val="single" w:sz="4" w:space="0" w:color="293F5B"/>
              <w:left w:val="nil"/>
              <w:bottom w:val="nil"/>
              <w:right w:val="nil"/>
            </w:tcBorders>
            <w:shd w:val="clear" w:color="000000" w:fill="E6F2FF"/>
            <w:noWrap/>
            <w:vAlign w:val="center"/>
            <w:hideMark/>
          </w:tcPr>
          <w:p w14:paraId="53762CAD" w14:textId="643D560E"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2024</w:t>
            </w:r>
            <w:r w:rsidR="00B57616">
              <w:rPr>
                <w:rFonts w:ascii="Arial" w:hAnsi="Arial" w:cs="Arial"/>
                <w:sz w:val="16"/>
                <w:szCs w:val="16"/>
              </w:rPr>
              <w:noBreakHyphen/>
            </w:r>
            <w:r w:rsidRPr="004D4CD1">
              <w:rPr>
                <w:rFonts w:ascii="Arial" w:hAnsi="Arial" w:cs="Arial"/>
                <w:sz w:val="16"/>
                <w:szCs w:val="16"/>
              </w:rPr>
              <w:t>25</w:t>
            </w:r>
          </w:p>
        </w:tc>
        <w:tc>
          <w:tcPr>
            <w:tcW w:w="1017" w:type="dxa"/>
            <w:tcBorders>
              <w:top w:val="single" w:sz="4" w:space="0" w:color="293F5B"/>
              <w:left w:val="nil"/>
              <w:bottom w:val="nil"/>
              <w:right w:val="nil"/>
            </w:tcBorders>
            <w:shd w:val="clear" w:color="auto" w:fill="auto"/>
            <w:noWrap/>
            <w:vAlign w:val="center"/>
            <w:hideMark/>
          </w:tcPr>
          <w:p w14:paraId="779CBF16" w14:textId="53218CDE"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2025</w:t>
            </w:r>
            <w:r w:rsidR="00B57616">
              <w:rPr>
                <w:rFonts w:ascii="Arial" w:hAnsi="Arial" w:cs="Arial"/>
                <w:sz w:val="16"/>
                <w:szCs w:val="16"/>
              </w:rPr>
              <w:noBreakHyphen/>
            </w:r>
            <w:r w:rsidRPr="004D4CD1">
              <w:rPr>
                <w:rFonts w:ascii="Arial" w:hAnsi="Arial" w:cs="Arial"/>
                <w:sz w:val="16"/>
                <w:szCs w:val="16"/>
              </w:rPr>
              <w:t>26</w:t>
            </w:r>
          </w:p>
        </w:tc>
        <w:tc>
          <w:tcPr>
            <w:tcW w:w="1017" w:type="dxa"/>
            <w:tcBorders>
              <w:top w:val="single" w:sz="4" w:space="0" w:color="293F5B"/>
              <w:left w:val="nil"/>
              <w:bottom w:val="nil"/>
              <w:right w:val="nil"/>
            </w:tcBorders>
            <w:shd w:val="clear" w:color="auto" w:fill="auto"/>
            <w:noWrap/>
            <w:vAlign w:val="center"/>
            <w:hideMark/>
          </w:tcPr>
          <w:p w14:paraId="535BB1D1" w14:textId="4F6F3172"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2026</w:t>
            </w:r>
            <w:r w:rsidR="00B57616">
              <w:rPr>
                <w:rFonts w:ascii="Arial" w:hAnsi="Arial" w:cs="Arial"/>
                <w:sz w:val="16"/>
                <w:szCs w:val="16"/>
              </w:rPr>
              <w:noBreakHyphen/>
            </w:r>
            <w:r w:rsidRPr="004D4CD1">
              <w:rPr>
                <w:rFonts w:ascii="Arial" w:hAnsi="Arial" w:cs="Arial"/>
                <w:sz w:val="16"/>
                <w:szCs w:val="16"/>
              </w:rPr>
              <w:t>27</w:t>
            </w:r>
          </w:p>
        </w:tc>
        <w:tc>
          <w:tcPr>
            <w:tcW w:w="1017" w:type="dxa"/>
            <w:tcBorders>
              <w:top w:val="single" w:sz="4" w:space="0" w:color="293F5B"/>
              <w:left w:val="nil"/>
              <w:bottom w:val="nil"/>
              <w:right w:val="nil"/>
            </w:tcBorders>
            <w:shd w:val="clear" w:color="auto" w:fill="auto"/>
            <w:noWrap/>
            <w:vAlign w:val="center"/>
            <w:hideMark/>
          </w:tcPr>
          <w:p w14:paraId="7FC17E75" w14:textId="6C4F4B3F"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2027</w:t>
            </w:r>
            <w:r w:rsidR="00B57616">
              <w:rPr>
                <w:rFonts w:ascii="Arial" w:hAnsi="Arial" w:cs="Arial"/>
                <w:sz w:val="16"/>
                <w:szCs w:val="16"/>
              </w:rPr>
              <w:noBreakHyphen/>
            </w:r>
            <w:r w:rsidRPr="004D4CD1">
              <w:rPr>
                <w:rFonts w:ascii="Arial" w:hAnsi="Arial" w:cs="Arial"/>
                <w:sz w:val="16"/>
                <w:szCs w:val="16"/>
              </w:rPr>
              <w:t>28</w:t>
            </w:r>
          </w:p>
        </w:tc>
      </w:tr>
      <w:tr w:rsidR="004D4CD1" w:rsidRPr="004D4CD1" w14:paraId="6E7ED0A2" w14:textId="77777777" w:rsidTr="004D4CD1">
        <w:trPr>
          <w:trHeight w:val="253"/>
        </w:trPr>
        <w:tc>
          <w:tcPr>
            <w:tcW w:w="2614" w:type="dxa"/>
            <w:tcBorders>
              <w:top w:val="nil"/>
              <w:left w:val="nil"/>
              <w:bottom w:val="nil"/>
              <w:right w:val="nil"/>
            </w:tcBorders>
            <w:shd w:val="clear" w:color="auto" w:fill="auto"/>
            <w:noWrap/>
            <w:vAlign w:val="center"/>
            <w:hideMark/>
          </w:tcPr>
          <w:p w14:paraId="2608829B" w14:textId="77777777" w:rsidR="004D4CD1" w:rsidRPr="004D4CD1" w:rsidRDefault="004D4CD1" w:rsidP="004D4CD1">
            <w:pPr>
              <w:spacing w:before="0"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2F874695"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$m</w:t>
            </w:r>
          </w:p>
        </w:tc>
        <w:tc>
          <w:tcPr>
            <w:tcW w:w="1017" w:type="dxa"/>
            <w:gridSpan w:val="2"/>
            <w:tcBorders>
              <w:top w:val="nil"/>
              <w:left w:val="nil"/>
              <w:bottom w:val="nil"/>
              <w:right w:val="nil"/>
            </w:tcBorders>
            <w:shd w:val="clear" w:color="000000" w:fill="E6F2FF"/>
            <w:noWrap/>
            <w:vAlign w:val="center"/>
            <w:hideMark/>
          </w:tcPr>
          <w:p w14:paraId="73AB8689"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$m</w:t>
            </w:r>
          </w:p>
        </w:tc>
        <w:tc>
          <w:tcPr>
            <w:tcW w:w="1017" w:type="dxa"/>
            <w:tcBorders>
              <w:top w:val="nil"/>
              <w:left w:val="nil"/>
              <w:bottom w:val="nil"/>
              <w:right w:val="nil"/>
            </w:tcBorders>
            <w:shd w:val="clear" w:color="auto" w:fill="auto"/>
            <w:noWrap/>
            <w:vAlign w:val="center"/>
            <w:hideMark/>
          </w:tcPr>
          <w:p w14:paraId="16552FC1"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$m</w:t>
            </w:r>
          </w:p>
        </w:tc>
        <w:tc>
          <w:tcPr>
            <w:tcW w:w="1017" w:type="dxa"/>
            <w:tcBorders>
              <w:top w:val="nil"/>
              <w:left w:val="nil"/>
              <w:bottom w:val="nil"/>
              <w:right w:val="nil"/>
            </w:tcBorders>
            <w:shd w:val="clear" w:color="auto" w:fill="auto"/>
            <w:noWrap/>
            <w:vAlign w:val="center"/>
            <w:hideMark/>
          </w:tcPr>
          <w:p w14:paraId="5D15CDDD"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$m</w:t>
            </w:r>
          </w:p>
        </w:tc>
        <w:tc>
          <w:tcPr>
            <w:tcW w:w="1017" w:type="dxa"/>
            <w:tcBorders>
              <w:top w:val="nil"/>
              <w:left w:val="nil"/>
              <w:bottom w:val="nil"/>
              <w:right w:val="nil"/>
            </w:tcBorders>
            <w:shd w:val="clear" w:color="auto" w:fill="auto"/>
            <w:noWrap/>
            <w:vAlign w:val="center"/>
            <w:hideMark/>
          </w:tcPr>
          <w:p w14:paraId="28876D74"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$m</w:t>
            </w:r>
          </w:p>
        </w:tc>
      </w:tr>
      <w:tr w:rsidR="004D4CD1" w:rsidRPr="004D4CD1" w14:paraId="3D040476" w14:textId="77777777" w:rsidTr="004D4CD1">
        <w:trPr>
          <w:trHeight w:val="253"/>
        </w:trPr>
        <w:tc>
          <w:tcPr>
            <w:tcW w:w="2614" w:type="dxa"/>
            <w:tcBorders>
              <w:top w:val="single" w:sz="4" w:space="0" w:color="293F5B"/>
              <w:left w:val="nil"/>
              <w:bottom w:val="nil"/>
              <w:right w:val="nil"/>
            </w:tcBorders>
            <w:shd w:val="clear" w:color="auto" w:fill="auto"/>
            <w:noWrap/>
            <w:vAlign w:val="center"/>
            <w:hideMark/>
          </w:tcPr>
          <w:p w14:paraId="1216BA5C" w14:textId="77777777" w:rsidR="004D4CD1" w:rsidRPr="004D4CD1" w:rsidRDefault="004D4CD1" w:rsidP="004D4CD1">
            <w:pPr>
              <w:spacing w:before="0" w:after="0" w:line="240" w:lineRule="auto"/>
              <w:rPr>
                <w:rFonts w:ascii="Arial" w:hAnsi="Arial" w:cs="Arial"/>
                <w:sz w:val="16"/>
                <w:szCs w:val="16"/>
              </w:rPr>
            </w:pPr>
            <w:r w:rsidRPr="004D4CD1">
              <w:rPr>
                <w:rFonts w:ascii="Arial" w:hAnsi="Arial" w:cs="Arial"/>
                <w:sz w:val="16"/>
                <w:szCs w:val="16"/>
              </w:rPr>
              <w:t>Interest expense on AGS</w:t>
            </w:r>
          </w:p>
        </w:tc>
        <w:tc>
          <w:tcPr>
            <w:tcW w:w="1017" w:type="dxa"/>
            <w:tcBorders>
              <w:top w:val="single" w:sz="4" w:space="0" w:color="293F5B"/>
              <w:left w:val="nil"/>
              <w:bottom w:val="nil"/>
              <w:right w:val="nil"/>
            </w:tcBorders>
            <w:shd w:val="clear" w:color="auto" w:fill="auto"/>
            <w:noWrap/>
            <w:vAlign w:val="center"/>
            <w:hideMark/>
          </w:tcPr>
          <w:p w14:paraId="0CF8174B"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22,533</w:t>
            </w:r>
          </w:p>
        </w:tc>
        <w:tc>
          <w:tcPr>
            <w:tcW w:w="1017" w:type="dxa"/>
            <w:gridSpan w:val="2"/>
            <w:tcBorders>
              <w:top w:val="single" w:sz="4" w:space="0" w:color="293F5B"/>
              <w:left w:val="nil"/>
              <w:bottom w:val="nil"/>
              <w:right w:val="nil"/>
            </w:tcBorders>
            <w:shd w:val="clear" w:color="000000" w:fill="E6F2FF"/>
            <w:noWrap/>
            <w:vAlign w:val="center"/>
            <w:hideMark/>
          </w:tcPr>
          <w:p w14:paraId="24A250BE"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24,083</w:t>
            </w:r>
          </w:p>
        </w:tc>
        <w:tc>
          <w:tcPr>
            <w:tcW w:w="1017" w:type="dxa"/>
            <w:tcBorders>
              <w:top w:val="single" w:sz="4" w:space="0" w:color="293F5B"/>
              <w:left w:val="nil"/>
              <w:bottom w:val="nil"/>
              <w:right w:val="nil"/>
            </w:tcBorders>
            <w:shd w:val="clear" w:color="auto" w:fill="auto"/>
            <w:noWrap/>
            <w:vAlign w:val="center"/>
            <w:hideMark/>
          </w:tcPr>
          <w:p w14:paraId="02006138"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28,259</w:t>
            </w:r>
          </w:p>
        </w:tc>
        <w:tc>
          <w:tcPr>
            <w:tcW w:w="1017" w:type="dxa"/>
            <w:tcBorders>
              <w:top w:val="single" w:sz="4" w:space="0" w:color="293F5B"/>
              <w:left w:val="nil"/>
              <w:bottom w:val="nil"/>
              <w:right w:val="nil"/>
            </w:tcBorders>
            <w:shd w:val="clear" w:color="auto" w:fill="auto"/>
            <w:noWrap/>
            <w:vAlign w:val="center"/>
            <w:hideMark/>
          </w:tcPr>
          <w:p w14:paraId="639E4CCD"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32,422</w:t>
            </w:r>
          </w:p>
        </w:tc>
        <w:tc>
          <w:tcPr>
            <w:tcW w:w="1017" w:type="dxa"/>
            <w:tcBorders>
              <w:top w:val="single" w:sz="4" w:space="0" w:color="293F5B"/>
              <w:left w:val="nil"/>
              <w:bottom w:val="nil"/>
              <w:right w:val="nil"/>
            </w:tcBorders>
            <w:shd w:val="clear" w:color="auto" w:fill="auto"/>
            <w:noWrap/>
            <w:vAlign w:val="center"/>
            <w:hideMark/>
          </w:tcPr>
          <w:p w14:paraId="4AF53BCD"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35,733</w:t>
            </w:r>
          </w:p>
        </w:tc>
      </w:tr>
      <w:tr w:rsidR="004D4CD1" w:rsidRPr="004D4CD1" w14:paraId="603E57BD" w14:textId="77777777" w:rsidTr="004D4CD1">
        <w:trPr>
          <w:trHeight w:val="253"/>
        </w:trPr>
        <w:tc>
          <w:tcPr>
            <w:tcW w:w="2614" w:type="dxa"/>
            <w:tcBorders>
              <w:top w:val="nil"/>
              <w:left w:val="nil"/>
              <w:bottom w:val="nil"/>
              <w:right w:val="nil"/>
            </w:tcBorders>
            <w:shd w:val="clear" w:color="auto" w:fill="auto"/>
            <w:noWrap/>
            <w:vAlign w:val="center"/>
            <w:hideMark/>
          </w:tcPr>
          <w:p w14:paraId="5E2BE64D" w14:textId="77777777" w:rsidR="004D4CD1" w:rsidRPr="004D4CD1" w:rsidRDefault="004D4CD1" w:rsidP="004D4CD1">
            <w:pPr>
              <w:spacing w:before="0" w:after="0" w:line="240" w:lineRule="auto"/>
              <w:ind w:firstLineChars="100" w:firstLine="160"/>
              <w:rPr>
                <w:rFonts w:ascii="Arial" w:hAnsi="Arial" w:cs="Arial"/>
                <w:sz w:val="16"/>
                <w:szCs w:val="16"/>
              </w:rPr>
            </w:pPr>
            <w:r w:rsidRPr="004D4CD1">
              <w:rPr>
                <w:rFonts w:ascii="Arial" w:hAnsi="Arial" w:cs="Arial"/>
                <w:sz w:val="16"/>
                <w:szCs w:val="16"/>
              </w:rPr>
              <w:t>Per cent of GDP</w:t>
            </w:r>
          </w:p>
        </w:tc>
        <w:tc>
          <w:tcPr>
            <w:tcW w:w="1017" w:type="dxa"/>
            <w:tcBorders>
              <w:top w:val="nil"/>
              <w:left w:val="nil"/>
              <w:bottom w:val="nil"/>
              <w:right w:val="nil"/>
            </w:tcBorders>
            <w:shd w:val="clear" w:color="auto" w:fill="auto"/>
            <w:noWrap/>
            <w:vAlign w:val="center"/>
            <w:hideMark/>
          </w:tcPr>
          <w:p w14:paraId="552F0418"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0.8</w:t>
            </w:r>
          </w:p>
        </w:tc>
        <w:tc>
          <w:tcPr>
            <w:tcW w:w="1017" w:type="dxa"/>
            <w:gridSpan w:val="2"/>
            <w:tcBorders>
              <w:top w:val="nil"/>
              <w:left w:val="nil"/>
              <w:bottom w:val="nil"/>
              <w:right w:val="nil"/>
            </w:tcBorders>
            <w:shd w:val="clear" w:color="000000" w:fill="E6F2FF"/>
            <w:noWrap/>
            <w:vAlign w:val="center"/>
            <w:hideMark/>
          </w:tcPr>
          <w:p w14:paraId="07BCEAAF"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0.9</w:t>
            </w:r>
          </w:p>
        </w:tc>
        <w:tc>
          <w:tcPr>
            <w:tcW w:w="1017" w:type="dxa"/>
            <w:tcBorders>
              <w:top w:val="nil"/>
              <w:left w:val="nil"/>
              <w:bottom w:val="nil"/>
              <w:right w:val="nil"/>
            </w:tcBorders>
            <w:shd w:val="clear" w:color="auto" w:fill="auto"/>
            <w:noWrap/>
            <w:vAlign w:val="center"/>
            <w:hideMark/>
          </w:tcPr>
          <w:p w14:paraId="7583E681"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1.0</w:t>
            </w:r>
          </w:p>
        </w:tc>
        <w:tc>
          <w:tcPr>
            <w:tcW w:w="1017" w:type="dxa"/>
            <w:tcBorders>
              <w:top w:val="nil"/>
              <w:left w:val="nil"/>
              <w:bottom w:val="nil"/>
              <w:right w:val="nil"/>
            </w:tcBorders>
            <w:shd w:val="clear" w:color="auto" w:fill="auto"/>
            <w:noWrap/>
            <w:vAlign w:val="center"/>
            <w:hideMark/>
          </w:tcPr>
          <w:p w14:paraId="602EE623"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1.1</w:t>
            </w:r>
          </w:p>
        </w:tc>
        <w:tc>
          <w:tcPr>
            <w:tcW w:w="1017" w:type="dxa"/>
            <w:tcBorders>
              <w:top w:val="nil"/>
              <w:left w:val="nil"/>
              <w:bottom w:val="nil"/>
              <w:right w:val="nil"/>
            </w:tcBorders>
            <w:shd w:val="clear" w:color="auto" w:fill="auto"/>
            <w:noWrap/>
            <w:vAlign w:val="center"/>
            <w:hideMark/>
          </w:tcPr>
          <w:p w14:paraId="023FAF8D"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1.1</w:t>
            </w:r>
          </w:p>
        </w:tc>
      </w:tr>
      <w:tr w:rsidR="004D4CD1" w:rsidRPr="004D4CD1" w14:paraId="642647D2" w14:textId="77777777" w:rsidTr="004D4CD1">
        <w:trPr>
          <w:trHeight w:val="253"/>
        </w:trPr>
        <w:tc>
          <w:tcPr>
            <w:tcW w:w="2614" w:type="dxa"/>
            <w:tcBorders>
              <w:top w:val="nil"/>
              <w:left w:val="nil"/>
              <w:bottom w:val="nil"/>
              <w:right w:val="nil"/>
            </w:tcBorders>
            <w:shd w:val="clear" w:color="auto" w:fill="auto"/>
            <w:noWrap/>
            <w:vAlign w:val="center"/>
            <w:hideMark/>
          </w:tcPr>
          <w:p w14:paraId="52B8CB3F" w14:textId="77777777" w:rsidR="004D4CD1" w:rsidRPr="004D4CD1" w:rsidRDefault="004D4CD1" w:rsidP="004D4CD1">
            <w:pPr>
              <w:spacing w:before="0" w:after="0" w:line="240" w:lineRule="auto"/>
              <w:rPr>
                <w:rFonts w:ascii="Arial" w:hAnsi="Arial" w:cs="Arial"/>
                <w:sz w:val="16"/>
                <w:szCs w:val="16"/>
              </w:rPr>
            </w:pPr>
            <w:r w:rsidRPr="004D4CD1">
              <w:rPr>
                <w:rFonts w:ascii="Arial" w:hAnsi="Arial" w:cs="Arial"/>
                <w:sz w:val="16"/>
                <w:szCs w:val="16"/>
              </w:rPr>
              <w:t>Total interest expense(b)</w:t>
            </w:r>
          </w:p>
        </w:tc>
        <w:tc>
          <w:tcPr>
            <w:tcW w:w="1017" w:type="dxa"/>
            <w:tcBorders>
              <w:top w:val="nil"/>
              <w:left w:val="nil"/>
              <w:bottom w:val="nil"/>
              <w:right w:val="nil"/>
            </w:tcBorders>
            <w:shd w:val="clear" w:color="auto" w:fill="auto"/>
            <w:noWrap/>
            <w:vAlign w:val="center"/>
            <w:hideMark/>
          </w:tcPr>
          <w:p w14:paraId="165A1BB6"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27,667</w:t>
            </w:r>
          </w:p>
        </w:tc>
        <w:tc>
          <w:tcPr>
            <w:tcW w:w="1017" w:type="dxa"/>
            <w:gridSpan w:val="2"/>
            <w:tcBorders>
              <w:top w:val="nil"/>
              <w:left w:val="nil"/>
              <w:bottom w:val="nil"/>
              <w:right w:val="nil"/>
            </w:tcBorders>
            <w:shd w:val="clear" w:color="000000" w:fill="E6F2FF"/>
            <w:noWrap/>
            <w:vAlign w:val="center"/>
            <w:hideMark/>
          </w:tcPr>
          <w:p w14:paraId="19E5D735"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33,414</w:t>
            </w:r>
          </w:p>
        </w:tc>
        <w:tc>
          <w:tcPr>
            <w:tcW w:w="1017" w:type="dxa"/>
            <w:tcBorders>
              <w:top w:val="nil"/>
              <w:left w:val="nil"/>
              <w:bottom w:val="nil"/>
              <w:right w:val="nil"/>
            </w:tcBorders>
            <w:shd w:val="clear" w:color="auto" w:fill="auto"/>
            <w:noWrap/>
            <w:vAlign w:val="center"/>
            <w:hideMark/>
          </w:tcPr>
          <w:p w14:paraId="217DC7AD"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34,300</w:t>
            </w:r>
          </w:p>
        </w:tc>
        <w:tc>
          <w:tcPr>
            <w:tcW w:w="1017" w:type="dxa"/>
            <w:tcBorders>
              <w:top w:val="nil"/>
              <w:left w:val="nil"/>
              <w:bottom w:val="nil"/>
              <w:right w:val="nil"/>
            </w:tcBorders>
            <w:shd w:val="clear" w:color="auto" w:fill="auto"/>
            <w:noWrap/>
            <w:vAlign w:val="center"/>
            <w:hideMark/>
          </w:tcPr>
          <w:p w14:paraId="7161ECE5"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39,085</w:t>
            </w:r>
          </w:p>
        </w:tc>
        <w:tc>
          <w:tcPr>
            <w:tcW w:w="1017" w:type="dxa"/>
            <w:tcBorders>
              <w:top w:val="nil"/>
              <w:left w:val="nil"/>
              <w:bottom w:val="nil"/>
              <w:right w:val="nil"/>
            </w:tcBorders>
            <w:shd w:val="clear" w:color="auto" w:fill="auto"/>
            <w:noWrap/>
            <w:vAlign w:val="center"/>
            <w:hideMark/>
          </w:tcPr>
          <w:p w14:paraId="54C9FE1B"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41,190</w:t>
            </w:r>
          </w:p>
        </w:tc>
      </w:tr>
      <w:tr w:rsidR="004D4CD1" w:rsidRPr="004D4CD1" w14:paraId="008FF71D" w14:textId="77777777" w:rsidTr="004D4CD1">
        <w:trPr>
          <w:trHeight w:val="253"/>
        </w:trPr>
        <w:tc>
          <w:tcPr>
            <w:tcW w:w="2614" w:type="dxa"/>
            <w:tcBorders>
              <w:top w:val="nil"/>
              <w:left w:val="nil"/>
              <w:bottom w:val="nil"/>
              <w:right w:val="nil"/>
            </w:tcBorders>
            <w:shd w:val="clear" w:color="auto" w:fill="auto"/>
            <w:noWrap/>
            <w:vAlign w:val="center"/>
            <w:hideMark/>
          </w:tcPr>
          <w:p w14:paraId="2B9E205A" w14:textId="77777777" w:rsidR="004D4CD1" w:rsidRPr="004D4CD1" w:rsidRDefault="004D4CD1" w:rsidP="004D4CD1">
            <w:pPr>
              <w:spacing w:before="0" w:after="0" w:line="240" w:lineRule="auto"/>
              <w:ind w:firstLineChars="100" w:firstLine="160"/>
              <w:rPr>
                <w:rFonts w:ascii="Arial" w:hAnsi="Arial" w:cs="Arial"/>
                <w:sz w:val="16"/>
                <w:szCs w:val="16"/>
              </w:rPr>
            </w:pPr>
            <w:r w:rsidRPr="004D4CD1">
              <w:rPr>
                <w:rFonts w:ascii="Arial" w:hAnsi="Arial" w:cs="Arial"/>
                <w:sz w:val="16"/>
                <w:szCs w:val="16"/>
              </w:rPr>
              <w:t>Per cent of GDP</w:t>
            </w:r>
          </w:p>
        </w:tc>
        <w:tc>
          <w:tcPr>
            <w:tcW w:w="1017" w:type="dxa"/>
            <w:tcBorders>
              <w:top w:val="nil"/>
              <w:left w:val="nil"/>
              <w:bottom w:val="nil"/>
              <w:right w:val="nil"/>
            </w:tcBorders>
            <w:shd w:val="clear" w:color="auto" w:fill="auto"/>
            <w:noWrap/>
            <w:vAlign w:val="center"/>
            <w:hideMark/>
          </w:tcPr>
          <w:p w14:paraId="6C4BE719"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1.0</w:t>
            </w:r>
          </w:p>
        </w:tc>
        <w:tc>
          <w:tcPr>
            <w:tcW w:w="1017" w:type="dxa"/>
            <w:gridSpan w:val="2"/>
            <w:tcBorders>
              <w:top w:val="nil"/>
              <w:left w:val="nil"/>
              <w:bottom w:val="nil"/>
              <w:right w:val="nil"/>
            </w:tcBorders>
            <w:shd w:val="clear" w:color="000000" w:fill="E6F2FF"/>
            <w:noWrap/>
            <w:vAlign w:val="center"/>
            <w:hideMark/>
          </w:tcPr>
          <w:p w14:paraId="36ED9215"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1.2</w:t>
            </w:r>
          </w:p>
        </w:tc>
        <w:tc>
          <w:tcPr>
            <w:tcW w:w="1017" w:type="dxa"/>
            <w:tcBorders>
              <w:top w:val="nil"/>
              <w:left w:val="nil"/>
              <w:bottom w:val="nil"/>
              <w:right w:val="nil"/>
            </w:tcBorders>
            <w:shd w:val="clear" w:color="auto" w:fill="auto"/>
            <w:noWrap/>
            <w:vAlign w:val="center"/>
            <w:hideMark/>
          </w:tcPr>
          <w:p w14:paraId="530A0DF6"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1.2</w:t>
            </w:r>
          </w:p>
        </w:tc>
        <w:tc>
          <w:tcPr>
            <w:tcW w:w="1017" w:type="dxa"/>
            <w:tcBorders>
              <w:top w:val="nil"/>
              <w:left w:val="nil"/>
              <w:bottom w:val="nil"/>
              <w:right w:val="nil"/>
            </w:tcBorders>
            <w:shd w:val="clear" w:color="auto" w:fill="auto"/>
            <w:noWrap/>
            <w:vAlign w:val="center"/>
            <w:hideMark/>
          </w:tcPr>
          <w:p w14:paraId="43C68A82"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1.3</w:t>
            </w:r>
          </w:p>
        </w:tc>
        <w:tc>
          <w:tcPr>
            <w:tcW w:w="1017" w:type="dxa"/>
            <w:tcBorders>
              <w:top w:val="nil"/>
              <w:left w:val="nil"/>
              <w:bottom w:val="nil"/>
              <w:right w:val="nil"/>
            </w:tcBorders>
            <w:shd w:val="clear" w:color="auto" w:fill="auto"/>
            <w:noWrap/>
            <w:vAlign w:val="center"/>
            <w:hideMark/>
          </w:tcPr>
          <w:p w14:paraId="32BC6589"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1.3</w:t>
            </w:r>
          </w:p>
        </w:tc>
      </w:tr>
      <w:tr w:rsidR="004D4CD1" w:rsidRPr="004D4CD1" w14:paraId="486A8CDE" w14:textId="77777777" w:rsidTr="004D4CD1">
        <w:trPr>
          <w:trHeight w:val="253"/>
        </w:trPr>
        <w:tc>
          <w:tcPr>
            <w:tcW w:w="2614" w:type="dxa"/>
            <w:tcBorders>
              <w:top w:val="nil"/>
              <w:left w:val="nil"/>
              <w:bottom w:val="nil"/>
              <w:right w:val="nil"/>
            </w:tcBorders>
            <w:shd w:val="clear" w:color="auto" w:fill="auto"/>
            <w:noWrap/>
            <w:vAlign w:val="center"/>
            <w:hideMark/>
          </w:tcPr>
          <w:p w14:paraId="2E07CBCF" w14:textId="77777777" w:rsidR="004D4CD1" w:rsidRPr="004D4CD1" w:rsidRDefault="004D4CD1" w:rsidP="004D4CD1">
            <w:pPr>
              <w:spacing w:before="0" w:after="0" w:line="240" w:lineRule="auto"/>
              <w:rPr>
                <w:rFonts w:ascii="Arial" w:hAnsi="Arial" w:cs="Arial"/>
                <w:sz w:val="16"/>
                <w:szCs w:val="16"/>
              </w:rPr>
            </w:pPr>
            <w:r w:rsidRPr="004D4CD1">
              <w:rPr>
                <w:rFonts w:ascii="Arial" w:hAnsi="Arial" w:cs="Arial"/>
                <w:sz w:val="16"/>
                <w:szCs w:val="16"/>
              </w:rPr>
              <w:t>Interest income</w:t>
            </w:r>
          </w:p>
        </w:tc>
        <w:tc>
          <w:tcPr>
            <w:tcW w:w="1017" w:type="dxa"/>
            <w:tcBorders>
              <w:top w:val="nil"/>
              <w:left w:val="nil"/>
              <w:bottom w:val="nil"/>
              <w:right w:val="nil"/>
            </w:tcBorders>
            <w:shd w:val="clear" w:color="auto" w:fill="auto"/>
            <w:noWrap/>
            <w:vAlign w:val="center"/>
            <w:hideMark/>
          </w:tcPr>
          <w:p w14:paraId="7C22877C"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11,131</w:t>
            </w:r>
          </w:p>
        </w:tc>
        <w:tc>
          <w:tcPr>
            <w:tcW w:w="1017" w:type="dxa"/>
            <w:gridSpan w:val="2"/>
            <w:tcBorders>
              <w:top w:val="nil"/>
              <w:left w:val="nil"/>
              <w:bottom w:val="nil"/>
              <w:right w:val="nil"/>
            </w:tcBorders>
            <w:shd w:val="clear" w:color="000000" w:fill="E6F2FF"/>
            <w:noWrap/>
            <w:vAlign w:val="center"/>
            <w:hideMark/>
          </w:tcPr>
          <w:p w14:paraId="53B489BB"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10,276</w:t>
            </w:r>
          </w:p>
        </w:tc>
        <w:tc>
          <w:tcPr>
            <w:tcW w:w="1017" w:type="dxa"/>
            <w:tcBorders>
              <w:top w:val="nil"/>
              <w:left w:val="nil"/>
              <w:bottom w:val="nil"/>
              <w:right w:val="nil"/>
            </w:tcBorders>
            <w:shd w:val="clear" w:color="auto" w:fill="auto"/>
            <w:noWrap/>
            <w:vAlign w:val="center"/>
            <w:hideMark/>
          </w:tcPr>
          <w:p w14:paraId="5014BFE5"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9,998</w:t>
            </w:r>
          </w:p>
        </w:tc>
        <w:tc>
          <w:tcPr>
            <w:tcW w:w="1017" w:type="dxa"/>
            <w:tcBorders>
              <w:top w:val="nil"/>
              <w:left w:val="nil"/>
              <w:bottom w:val="nil"/>
              <w:right w:val="nil"/>
            </w:tcBorders>
            <w:shd w:val="clear" w:color="auto" w:fill="auto"/>
            <w:noWrap/>
            <w:vAlign w:val="center"/>
            <w:hideMark/>
          </w:tcPr>
          <w:p w14:paraId="4712A2C9"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10,573</w:t>
            </w:r>
          </w:p>
        </w:tc>
        <w:tc>
          <w:tcPr>
            <w:tcW w:w="1017" w:type="dxa"/>
            <w:tcBorders>
              <w:top w:val="nil"/>
              <w:left w:val="nil"/>
              <w:bottom w:val="nil"/>
              <w:right w:val="nil"/>
            </w:tcBorders>
            <w:shd w:val="clear" w:color="auto" w:fill="auto"/>
            <w:noWrap/>
            <w:vAlign w:val="center"/>
            <w:hideMark/>
          </w:tcPr>
          <w:p w14:paraId="30FBD6C2"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11,338</w:t>
            </w:r>
          </w:p>
        </w:tc>
      </w:tr>
      <w:tr w:rsidR="004D4CD1" w:rsidRPr="004D4CD1" w14:paraId="1BAEAE46" w14:textId="77777777" w:rsidTr="004D4CD1">
        <w:trPr>
          <w:trHeight w:val="253"/>
        </w:trPr>
        <w:tc>
          <w:tcPr>
            <w:tcW w:w="2614" w:type="dxa"/>
            <w:tcBorders>
              <w:top w:val="nil"/>
              <w:left w:val="nil"/>
              <w:bottom w:val="nil"/>
              <w:right w:val="nil"/>
            </w:tcBorders>
            <w:shd w:val="clear" w:color="auto" w:fill="auto"/>
            <w:noWrap/>
            <w:vAlign w:val="center"/>
            <w:hideMark/>
          </w:tcPr>
          <w:p w14:paraId="3AAB09EC" w14:textId="77777777" w:rsidR="004D4CD1" w:rsidRPr="004D4CD1" w:rsidRDefault="004D4CD1" w:rsidP="004D4CD1">
            <w:pPr>
              <w:spacing w:before="0" w:after="0" w:line="240" w:lineRule="auto"/>
              <w:ind w:firstLineChars="100" w:firstLine="160"/>
              <w:rPr>
                <w:rFonts w:ascii="Arial" w:hAnsi="Arial" w:cs="Arial"/>
                <w:sz w:val="16"/>
                <w:szCs w:val="16"/>
              </w:rPr>
            </w:pPr>
            <w:r w:rsidRPr="004D4CD1">
              <w:rPr>
                <w:rFonts w:ascii="Arial" w:hAnsi="Arial" w:cs="Arial"/>
                <w:sz w:val="16"/>
                <w:szCs w:val="16"/>
              </w:rPr>
              <w:t>Per cent of GDP</w:t>
            </w:r>
          </w:p>
        </w:tc>
        <w:tc>
          <w:tcPr>
            <w:tcW w:w="1017" w:type="dxa"/>
            <w:tcBorders>
              <w:top w:val="nil"/>
              <w:left w:val="nil"/>
              <w:bottom w:val="nil"/>
              <w:right w:val="nil"/>
            </w:tcBorders>
            <w:shd w:val="clear" w:color="auto" w:fill="auto"/>
            <w:noWrap/>
            <w:vAlign w:val="center"/>
            <w:hideMark/>
          </w:tcPr>
          <w:p w14:paraId="4EA88471"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0.4</w:t>
            </w:r>
          </w:p>
        </w:tc>
        <w:tc>
          <w:tcPr>
            <w:tcW w:w="1017" w:type="dxa"/>
            <w:gridSpan w:val="2"/>
            <w:tcBorders>
              <w:top w:val="nil"/>
              <w:left w:val="nil"/>
              <w:bottom w:val="nil"/>
              <w:right w:val="nil"/>
            </w:tcBorders>
            <w:shd w:val="clear" w:color="000000" w:fill="E6F2FF"/>
            <w:noWrap/>
            <w:vAlign w:val="center"/>
            <w:hideMark/>
          </w:tcPr>
          <w:p w14:paraId="31EDB77F"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0.4</w:t>
            </w:r>
          </w:p>
        </w:tc>
        <w:tc>
          <w:tcPr>
            <w:tcW w:w="1017" w:type="dxa"/>
            <w:tcBorders>
              <w:top w:val="nil"/>
              <w:left w:val="nil"/>
              <w:bottom w:val="nil"/>
              <w:right w:val="nil"/>
            </w:tcBorders>
            <w:shd w:val="clear" w:color="auto" w:fill="auto"/>
            <w:noWrap/>
            <w:vAlign w:val="center"/>
            <w:hideMark/>
          </w:tcPr>
          <w:p w14:paraId="07A551D1"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0.3</w:t>
            </w:r>
          </w:p>
        </w:tc>
        <w:tc>
          <w:tcPr>
            <w:tcW w:w="1017" w:type="dxa"/>
            <w:tcBorders>
              <w:top w:val="nil"/>
              <w:left w:val="nil"/>
              <w:bottom w:val="nil"/>
              <w:right w:val="nil"/>
            </w:tcBorders>
            <w:shd w:val="clear" w:color="auto" w:fill="auto"/>
            <w:noWrap/>
            <w:vAlign w:val="center"/>
            <w:hideMark/>
          </w:tcPr>
          <w:p w14:paraId="6C4067C2"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0.3</w:t>
            </w:r>
          </w:p>
        </w:tc>
        <w:tc>
          <w:tcPr>
            <w:tcW w:w="1017" w:type="dxa"/>
            <w:tcBorders>
              <w:top w:val="nil"/>
              <w:left w:val="nil"/>
              <w:bottom w:val="nil"/>
              <w:right w:val="nil"/>
            </w:tcBorders>
            <w:shd w:val="clear" w:color="auto" w:fill="auto"/>
            <w:noWrap/>
            <w:vAlign w:val="center"/>
            <w:hideMark/>
          </w:tcPr>
          <w:p w14:paraId="7DD97D73"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0.4</w:t>
            </w:r>
          </w:p>
        </w:tc>
      </w:tr>
      <w:tr w:rsidR="004D4CD1" w:rsidRPr="004D4CD1" w14:paraId="0B59AD9E" w14:textId="77777777" w:rsidTr="004D4CD1">
        <w:trPr>
          <w:trHeight w:val="253"/>
        </w:trPr>
        <w:tc>
          <w:tcPr>
            <w:tcW w:w="2614" w:type="dxa"/>
            <w:tcBorders>
              <w:top w:val="nil"/>
              <w:left w:val="nil"/>
              <w:bottom w:val="nil"/>
              <w:right w:val="nil"/>
            </w:tcBorders>
            <w:shd w:val="clear" w:color="auto" w:fill="auto"/>
            <w:noWrap/>
            <w:vAlign w:val="center"/>
            <w:hideMark/>
          </w:tcPr>
          <w:p w14:paraId="176072E6" w14:textId="77777777" w:rsidR="004D4CD1" w:rsidRPr="004D4CD1" w:rsidRDefault="004D4CD1" w:rsidP="004D4CD1">
            <w:pPr>
              <w:spacing w:before="0" w:after="0" w:line="240" w:lineRule="auto"/>
              <w:rPr>
                <w:rFonts w:ascii="Arial" w:hAnsi="Arial" w:cs="Arial"/>
                <w:sz w:val="16"/>
                <w:szCs w:val="16"/>
              </w:rPr>
            </w:pPr>
            <w:r w:rsidRPr="004D4CD1">
              <w:rPr>
                <w:rFonts w:ascii="Arial" w:hAnsi="Arial" w:cs="Arial"/>
                <w:sz w:val="16"/>
                <w:szCs w:val="16"/>
              </w:rPr>
              <w:t>Net interest expense(c)</w:t>
            </w:r>
          </w:p>
        </w:tc>
        <w:tc>
          <w:tcPr>
            <w:tcW w:w="1017" w:type="dxa"/>
            <w:tcBorders>
              <w:top w:val="nil"/>
              <w:left w:val="nil"/>
              <w:bottom w:val="nil"/>
              <w:right w:val="nil"/>
            </w:tcBorders>
            <w:shd w:val="clear" w:color="auto" w:fill="auto"/>
            <w:noWrap/>
            <w:vAlign w:val="center"/>
            <w:hideMark/>
          </w:tcPr>
          <w:p w14:paraId="6A248F42"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16,536</w:t>
            </w:r>
          </w:p>
        </w:tc>
        <w:tc>
          <w:tcPr>
            <w:tcW w:w="1017" w:type="dxa"/>
            <w:gridSpan w:val="2"/>
            <w:tcBorders>
              <w:top w:val="nil"/>
              <w:left w:val="nil"/>
              <w:bottom w:val="nil"/>
              <w:right w:val="nil"/>
            </w:tcBorders>
            <w:shd w:val="clear" w:color="000000" w:fill="E6F2FF"/>
            <w:noWrap/>
            <w:vAlign w:val="center"/>
            <w:hideMark/>
          </w:tcPr>
          <w:p w14:paraId="1798CF8A"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23,138</w:t>
            </w:r>
          </w:p>
        </w:tc>
        <w:tc>
          <w:tcPr>
            <w:tcW w:w="1017" w:type="dxa"/>
            <w:tcBorders>
              <w:top w:val="nil"/>
              <w:left w:val="nil"/>
              <w:bottom w:val="nil"/>
              <w:right w:val="nil"/>
            </w:tcBorders>
            <w:shd w:val="clear" w:color="auto" w:fill="auto"/>
            <w:noWrap/>
            <w:vAlign w:val="center"/>
            <w:hideMark/>
          </w:tcPr>
          <w:p w14:paraId="5C5E9E93"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24,302</w:t>
            </w:r>
          </w:p>
        </w:tc>
        <w:tc>
          <w:tcPr>
            <w:tcW w:w="1017" w:type="dxa"/>
            <w:tcBorders>
              <w:top w:val="nil"/>
              <w:left w:val="nil"/>
              <w:bottom w:val="nil"/>
              <w:right w:val="nil"/>
            </w:tcBorders>
            <w:shd w:val="clear" w:color="auto" w:fill="auto"/>
            <w:noWrap/>
            <w:vAlign w:val="center"/>
            <w:hideMark/>
          </w:tcPr>
          <w:p w14:paraId="34F64525"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28,511</w:t>
            </w:r>
          </w:p>
        </w:tc>
        <w:tc>
          <w:tcPr>
            <w:tcW w:w="1017" w:type="dxa"/>
            <w:tcBorders>
              <w:top w:val="nil"/>
              <w:left w:val="nil"/>
              <w:bottom w:val="nil"/>
              <w:right w:val="nil"/>
            </w:tcBorders>
            <w:shd w:val="clear" w:color="auto" w:fill="auto"/>
            <w:noWrap/>
            <w:vAlign w:val="center"/>
            <w:hideMark/>
          </w:tcPr>
          <w:p w14:paraId="66C76AD0"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29,853</w:t>
            </w:r>
          </w:p>
        </w:tc>
      </w:tr>
      <w:tr w:rsidR="004D4CD1" w:rsidRPr="004D4CD1" w14:paraId="26835CDA" w14:textId="77777777" w:rsidTr="004D4CD1">
        <w:trPr>
          <w:trHeight w:val="253"/>
        </w:trPr>
        <w:tc>
          <w:tcPr>
            <w:tcW w:w="2614" w:type="dxa"/>
            <w:tcBorders>
              <w:top w:val="nil"/>
              <w:left w:val="nil"/>
              <w:bottom w:val="single" w:sz="4" w:space="0" w:color="293F5B"/>
              <w:right w:val="nil"/>
            </w:tcBorders>
            <w:shd w:val="clear" w:color="auto" w:fill="auto"/>
            <w:noWrap/>
            <w:vAlign w:val="center"/>
            <w:hideMark/>
          </w:tcPr>
          <w:p w14:paraId="0A664A23" w14:textId="77777777" w:rsidR="004D4CD1" w:rsidRPr="004D4CD1" w:rsidRDefault="004D4CD1" w:rsidP="004D4CD1">
            <w:pPr>
              <w:spacing w:before="0" w:after="0" w:line="240" w:lineRule="auto"/>
              <w:ind w:firstLineChars="100" w:firstLine="160"/>
              <w:rPr>
                <w:rFonts w:ascii="Arial" w:hAnsi="Arial" w:cs="Arial"/>
                <w:sz w:val="16"/>
                <w:szCs w:val="16"/>
              </w:rPr>
            </w:pPr>
            <w:r w:rsidRPr="004D4CD1">
              <w:rPr>
                <w:rFonts w:ascii="Arial" w:hAnsi="Arial" w:cs="Arial"/>
                <w:sz w:val="16"/>
                <w:szCs w:val="16"/>
              </w:rPr>
              <w:t>Per cent of GDP</w:t>
            </w:r>
          </w:p>
        </w:tc>
        <w:tc>
          <w:tcPr>
            <w:tcW w:w="1017" w:type="dxa"/>
            <w:tcBorders>
              <w:top w:val="nil"/>
              <w:left w:val="nil"/>
              <w:bottom w:val="single" w:sz="4" w:space="0" w:color="293F5B"/>
              <w:right w:val="nil"/>
            </w:tcBorders>
            <w:shd w:val="clear" w:color="auto" w:fill="auto"/>
            <w:noWrap/>
            <w:vAlign w:val="center"/>
            <w:hideMark/>
          </w:tcPr>
          <w:p w14:paraId="1136DBFC"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0.6</w:t>
            </w:r>
          </w:p>
        </w:tc>
        <w:tc>
          <w:tcPr>
            <w:tcW w:w="1017" w:type="dxa"/>
            <w:gridSpan w:val="2"/>
            <w:tcBorders>
              <w:top w:val="nil"/>
              <w:left w:val="nil"/>
              <w:bottom w:val="single" w:sz="4" w:space="0" w:color="293F5B"/>
              <w:right w:val="nil"/>
            </w:tcBorders>
            <w:shd w:val="clear" w:color="000000" w:fill="E6F2FF"/>
            <w:noWrap/>
            <w:vAlign w:val="center"/>
            <w:hideMark/>
          </w:tcPr>
          <w:p w14:paraId="00A22007"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0.8</w:t>
            </w:r>
          </w:p>
        </w:tc>
        <w:tc>
          <w:tcPr>
            <w:tcW w:w="1017" w:type="dxa"/>
            <w:tcBorders>
              <w:top w:val="nil"/>
              <w:left w:val="nil"/>
              <w:bottom w:val="single" w:sz="4" w:space="0" w:color="293F5B"/>
              <w:right w:val="nil"/>
            </w:tcBorders>
            <w:shd w:val="clear" w:color="auto" w:fill="auto"/>
            <w:noWrap/>
            <w:vAlign w:val="center"/>
            <w:hideMark/>
          </w:tcPr>
          <w:p w14:paraId="66B358F9"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0.8</w:t>
            </w:r>
          </w:p>
        </w:tc>
        <w:tc>
          <w:tcPr>
            <w:tcW w:w="1017" w:type="dxa"/>
            <w:tcBorders>
              <w:top w:val="nil"/>
              <w:left w:val="nil"/>
              <w:bottom w:val="single" w:sz="4" w:space="0" w:color="293F5B"/>
              <w:right w:val="nil"/>
            </w:tcBorders>
            <w:shd w:val="clear" w:color="auto" w:fill="auto"/>
            <w:noWrap/>
            <w:vAlign w:val="center"/>
            <w:hideMark/>
          </w:tcPr>
          <w:p w14:paraId="09693DA6"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0.9</w:t>
            </w:r>
          </w:p>
        </w:tc>
        <w:tc>
          <w:tcPr>
            <w:tcW w:w="1017" w:type="dxa"/>
            <w:tcBorders>
              <w:top w:val="nil"/>
              <w:left w:val="nil"/>
              <w:bottom w:val="single" w:sz="4" w:space="0" w:color="293F5B"/>
              <w:right w:val="nil"/>
            </w:tcBorders>
            <w:shd w:val="clear" w:color="auto" w:fill="auto"/>
            <w:noWrap/>
            <w:vAlign w:val="center"/>
            <w:hideMark/>
          </w:tcPr>
          <w:p w14:paraId="256ECB8B" w14:textId="77777777" w:rsidR="004D4CD1" w:rsidRPr="004D4CD1" w:rsidRDefault="004D4CD1" w:rsidP="004D4CD1">
            <w:pPr>
              <w:spacing w:before="0" w:after="0" w:line="240" w:lineRule="auto"/>
              <w:jc w:val="right"/>
              <w:rPr>
                <w:rFonts w:ascii="Arial" w:hAnsi="Arial" w:cs="Arial"/>
                <w:sz w:val="16"/>
                <w:szCs w:val="16"/>
              </w:rPr>
            </w:pPr>
            <w:r w:rsidRPr="004D4CD1">
              <w:rPr>
                <w:rFonts w:ascii="Arial" w:hAnsi="Arial" w:cs="Arial"/>
                <w:sz w:val="16"/>
                <w:szCs w:val="16"/>
              </w:rPr>
              <w:t>0.9</w:t>
            </w:r>
          </w:p>
        </w:tc>
      </w:tr>
    </w:tbl>
    <w:p w14:paraId="20513B00" w14:textId="0EE32393" w:rsidR="00BA2D06" w:rsidRPr="0098325D" w:rsidRDefault="00BA2D06" w:rsidP="0047635F">
      <w:pPr>
        <w:pStyle w:val="ChartandTableFootnoteAlpha"/>
        <w:numPr>
          <w:ilvl w:val="0"/>
          <w:numId w:val="42"/>
        </w:numPr>
      </w:pPr>
      <w:r w:rsidRPr="0098325D">
        <w:t>Interest expense is an accrual measure, with the relevant amount recognised in the period in which the expense is incurred, but not necessarily paid.</w:t>
      </w:r>
    </w:p>
    <w:p w14:paraId="675133EF" w14:textId="54FC925F" w:rsidR="00BA2D06" w:rsidRPr="0098325D" w:rsidRDefault="00BA2D06" w:rsidP="00BA2D06">
      <w:pPr>
        <w:pStyle w:val="ChartandTableFootnoteAlpha"/>
      </w:pPr>
      <w:r w:rsidRPr="0098325D">
        <w:t xml:space="preserve">Total </w:t>
      </w:r>
      <w:r w:rsidR="009E3B6F">
        <w:t>i</w:t>
      </w:r>
      <w:r w:rsidRPr="0098325D">
        <w:t>nterest expense includes interest expense on AGS, loans and other borrowing, as well as interest expense on lease liabilities and other financing costs (including debt not expected to be repaid (DNER)).</w:t>
      </w:r>
    </w:p>
    <w:p w14:paraId="314235DC" w14:textId="77777777" w:rsidR="00BA2D06" w:rsidRPr="0098325D" w:rsidRDefault="00BA2D06" w:rsidP="00BA2D06">
      <w:pPr>
        <w:pStyle w:val="ChartandTableFootnoteAlpha"/>
      </w:pPr>
      <w:r w:rsidRPr="0098325D">
        <w:t>Net interest expense is equal to the difference between interest expenses and interest income.</w:t>
      </w:r>
    </w:p>
    <w:p w14:paraId="54191130" w14:textId="77777777" w:rsidR="00BA2D06" w:rsidRPr="00614428" w:rsidRDefault="00BA2D06" w:rsidP="00BA2D06">
      <w:pPr>
        <w:pStyle w:val="ChartLine"/>
      </w:pPr>
    </w:p>
    <w:p w14:paraId="60B5373A" w14:textId="77777777" w:rsidR="00BA2D06" w:rsidRPr="001A4F7E" w:rsidRDefault="00BA2D06" w:rsidP="00BA2D06"/>
    <w:p w14:paraId="238829CB" w14:textId="5AE12E64" w:rsidR="00CF5ED6" w:rsidRDefault="00CF5ED6">
      <w:pPr>
        <w:spacing w:before="0" w:after="160" w:line="259" w:lineRule="auto"/>
      </w:pPr>
      <w:r>
        <w:br w:type="page"/>
      </w:r>
    </w:p>
    <w:p w14:paraId="7C4DD75C" w14:textId="77777777" w:rsidR="001A4F7E" w:rsidRPr="0098325D" w:rsidRDefault="001A4F7E" w:rsidP="007A4243">
      <w:pPr>
        <w:pStyle w:val="Heading1"/>
      </w:pPr>
      <w:r w:rsidRPr="0098325D">
        <w:lastRenderedPageBreak/>
        <w:t xml:space="preserve">Appendix A: AGS </w:t>
      </w:r>
      <w:r w:rsidRPr="007A4243">
        <w:t>issuance</w:t>
      </w:r>
      <w:bookmarkEnd w:id="55"/>
      <w:bookmarkEnd w:id="56"/>
    </w:p>
    <w:p w14:paraId="514BD15E" w14:textId="53E2DF7F" w:rsidR="001A4F7E" w:rsidRPr="004C05FA" w:rsidRDefault="001A4F7E" w:rsidP="001A4F7E">
      <w:r w:rsidRPr="004C05FA">
        <w:t xml:space="preserve">The </w:t>
      </w:r>
      <w:r w:rsidR="009753D1" w:rsidRPr="004C05FA">
        <w:t>Australian Office of Financial Management (</w:t>
      </w:r>
      <w:r w:rsidRPr="004C05FA">
        <w:t>AOFM</w:t>
      </w:r>
      <w:r w:rsidR="009753D1" w:rsidRPr="004C05FA">
        <w:t>)</w:t>
      </w:r>
      <w:r w:rsidRPr="004C05FA">
        <w:t xml:space="preserve"> is responsible for issuing AGS and managing the Government</w:t>
      </w:r>
      <w:r w:rsidR="00B57616" w:rsidRPr="004C05FA">
        <w:t>’</w:t>
      </w:r>
      <w:r w:rsidRPr="004C05FA">
        <w:t xml:space="preserve">s financing activities. The AOFM currently issues </w:t>
      </w:r>
      <w:r w:rsidR="00814C9D" w:rsidRPr="004C05FA">
        <w:t>three</w:t>
      </w:r>
      <w:r w:rsidRPr="004C05FA">
        <w:t> types of securities:</w:t>
      </w:r>
    </w:p>
    <w:p w14:paraId="64ABE12E" w14:textId="2F89FA6A" w:rsidR="001A4F7E" w:rsidRPr="004C05FA" w:rsidRDefault="001A4F7E" w:rsidP="001A4F7E">
      <w:pPr>
        <w:pStyle w:val="Bullet"/>
      </w:pPr>
      <w:r w:rsidRPr="004C05FA">
        <w:rPr>
          <w:rStyle w:val="Strong"/>
        </w:rPr>
        <w:t>Treasury Bonds:</w:t>
      </w:r>
      <w:r w:rsidRPr="004C05FA">
        <w:t xml:space="preserve"> medium to long</w:t>
      </w:r>
      <w:r w:rsidR="00B57616" w:rsidRPr="004C05FA">
        <w:noBreakHyphen/>
      </w:r>
      <w:r w:rsidRPr="004C05FA">
        <w:t xml:space="preserve">term securities with a fixed annual rate of interest payable every </w:t>
      </w:r>
      <w:r w:rsidR="00814C9D" w:rsidRPr="004C05FA">
        <w:t>six</w:t>
      </w:r>
      <w:r w:rsidRPr="004C05FA">
        <w:t xml:space="preserve"> months.</w:t>
      </w:r>
      <w:r w:rsidR="00F10650" w:rsidRPr="004C05FA">
        <w:t xml:space="preserve"> This will include </w:t>
      </w:r>
      <w:r w:rsidR="00DC130D" w:rsidRPr="004C05FA">
        <w:t xml:space="preserve">the </w:t>
      </w:r>
      <w:r w:rsidR="003C703F" w:rsidRPr="004C05FA">
        <w:t>G</w:t>
      </w:r>
      <w:r w:rsidR="00DC130D" w:rsidRPr="004C05FA">
        <w:t xml:space="preserve">reen </w:t>
      </w:r>
      <w:r w:rsidR="003C703F" w:rsidRPr="004C05FA">
        <w:t>Treasury B</w:t>
      </w:r>
      <w:r w:rsidR="00DC130D" w:rsidRPr="004C05FA">
        <w:t xml:space="preserve">onds the Government will begin issuing </w:t>
      </w:r>
      <w:r w:rsidR="002F25D7" w:rsidRPr="004C05FA">
        <w:t xml:space="preserve">before </w:t>
      </w:r>
      <w:r w:rsidR="00DC130D" w:rsidRPr="004C05FA">
        <w:t>30 June 2024.</w:t>
      </w:r>
    </w:p>
    <w:p w14:paraId="30EAA057" w14:textId="6ABF3306" w:rsidR="001A4F7E" w:rsidRPr="004C05FA" w:rsidRDefault="001A4F7E" w:rsidP="001A4F7E">
      <w:pPr>
        <w:pStyle w:val="Bullet"/>
      </w:pPr>
      <w:r w:rsidRPr="004C05FA">
        <w:rPr>
          <w:rStyle w:val="Strong"/>
        </w:rPr>
        <w:t>Treasury Indexed Bonds (TIBs):</w:t>
      </w:r>
      <w:r w:rsidRPr="004C05FA">
        <w:t xml:space="preserve"> medium to long</w:t>
      </w:r>
      <w:r w:rsidR="00B57616" w:rsidRPr="004C05FA">
        <w:noBreakHyphen/>
      </w:r>
      <w:r w:rsidRPr="004C05FA">
        <w:t>term securities for which the capital value of the security is adjusted for movements in the consumer price index (CPI). Interest on TIBs is paid quarterly, at a fixed rate, on the adjusted capital value.</w:t>
      </w:r>
    </w:p>
    <w:p w14:paraId="34160266" w14:textId="5C97F1C2" w:rsidR="001A4F7E" w:rsidRPr="004C05FA" w:rsidRDefault="001A4F7E" w:rsidP="001A4F7E">
      <w:pPr>
        <w:pStyle w:val="Bullet"/>
      </w:pPr>
      <w:r w:rsidRPr="004C05FA">
        <w:rPr>
          <w:rStyle w:val="Strong"/>
        </w:rPr>
        <w:t>Treasury Notes:</w:t>
      </w:r>
      <w:r w:rsidRPr="004C05FA">
        <w:t xml:space="preserve"> short</w:t>
      </w:r>
      <w:r w:rsidR="00B57616" w:rsidRPr="004C05FA">
        <w:noBreakHyphen/>
      </w:r>
      <w:r w:rsidRPr="004C05FA">
        <w:t>term discount securities which mature within one year of issuance. The volume of Treasury Notes on issue will vary over the course of the year, depending on the size and profile of the within</w:t>
      </w:r>
      <w:r w:rsidR="00B57616" w:rsidRPr="004C05FA">
        <w:noBreakHyphen/>
      </w:r>
      <w:r w:rsidRPr="004C05FA">
        <w:t>year funding requirements.</w:t>
      </w:r>
    </w:p>
    <w:p w14:paraId="4B66BFE5" w14:textId="3A6AC9B4" w:rsidR="001A4F7E" w:rsidRPr="004C05FA" w:rsidRDefault="001A4F7E" w:rsidP="00396838">
      <w:r w:rsidRPr="004C05FA">
        <w:t xml:space="preserve">Within these </w:t>
      </w:r>
      <w:r w:rsidR="00814C9D" w:rsidRPr="004C05FA">
        <w:t>three</w:t>
      </w:r>
      <w:r w:rsidRPr="004C05FA">
        <w:t xml:space="preserve"> broad categories of AGS, issuance is undertaken into a limited number of maturities (known as lines). The number of lines on issue is determined by the AOFM as part of its debt portfolio management role. Each line has a fixed maturity date (the date on which the Government repays the principal it has borrowed) and, for Treasury Bonds and TIBs, a coupon rate (the annual fixed interest rate paid on the security).</w:t>
      </w:r>
    </w:p>
    <w:p w14:paraId="3FDCA0EA" w14:textId="5625296F" w:rsidR="001A4F7E" w:rsidRPr="004C05FA" w:rsidRDefault="001A4F7E" w:rsidP="00396838">
      <w:r w:rsidRPr="004C05FA">
        <w:t xml:space="preserve">Concentrating AGS issuance into a limited number of lines (rather than issuing securities with a specific tenor, such as </w:t>
      </w:r>
      <w:r w:rsidR="00814C9D" w:rsidRPr="004C05FA">
        <w:t>ten</w:t>
      </w:r>
      <w:r w:rsidRPr="004C05FA">
        <w:t xml:space="preserve"> years) ensures each line is sufficiently large that it can be more readily traded in the secondary market. Strong liquidity in the secondary market is attractive to investors and intermediaries, promotes demand for AGS and assists in lowering borrowing costs. All AGS issuance is undertaken in Australian dollars.</w:t>
      </w:r>
    </w:p>
    <w:p w14:paraId="0E15F9FE" w14:textId="60ADFF60" w:rsidR="001A4F7E" w:rsidRPr="004C05FA" w:rsidRDefault="001A4F7E" w:rsidP="00396838">
      <w:r w:rsidRPr="004C05FA">
        <w:t>The AOFM exercises operational independence in the execution of its duties. Its announced issuance program for each year is determined on the basis of maturing AGS, net new issuance required to fund the Budget and operational considerations.</w:t>
      </w:r>
      <w:r w:rsidR="0011575E" w:rsidRPr="004C05FA">
        <w:t xml:space="preserve"> </w:t>
      </w:r>
    </w:p>
    <w:p w14:paraId="7C243599" w14:textId="77777777" w:rsidR="001A4F7E" w:rsidRPr="004C05FA" w:rsidRDefault="001A4F7E" w:rsidP="00396838">
      <w:r w:rsidRPr="004C05FA">
        <w:t>Operational considerations often mean that the annual issuance program may not be equivalent to the financing task for a particular year. For example, the AOFM may decide there is merit in holding higher or lower cash balances. The AOFM may also choose to smooth issuance across several financial years in order to reduce changes in AGS issuance from one financial year to the next.</w:t>
      </w:r>
    </w:p>
    <w:p w14:paraId="75DDFFDF" w14:textId="053EF7B2" w:rsidR="0011575E" w:rsidRPr="004C05FA" w:rsidRDefault="001A4F7E" w:rsidP="000727FE">
      <w:r w:rsidRPr="004C05FA">
        <w:t>The AOFM aims to maintain an AGS yield curve out to a 30</w:t>
      </w:r>
      <w:r w:rsidR="00B57616" w:rsidRPr="004C05FA">
        <w:noBreakHyphen/>
      </w:r>
      <w:r w:rsidRPr="004C05FA">
        <w:t xml:space="preserve">year benchmark bond. This facilitates a lower risk profile of maturing debt, broadens the investor base and helps to reduce the impact of interest rate volatility on budget outcomes. </w:t>
      </w:r>
      <w:bookmarkStart w:id="57" w:name="_Toc51582826"/>
      <w:r w:rsidRPr="004C05FA">
        <w:t>Further details on the AOFM</w:t>
      </w:r>
      <w:r w:rsidR="00B57616" w:rsidRPr="004C05FA">
        <w:t>’</w:t>
      </w:r>
      <w:r w:rsidRPr="004C05FA">
        <w:t xml:space="preserve">s debt issuance program are available on the AOFM website at </w:t>
      </w:r>
      <w:bookmarkEnd w:id="57"/>
      <w:r w:rsidRPr="004C05FA">
        <w:rPr>
          <w:rStyle w:val="Hyperlink"/>
        </w:rPr>
        <w:fldChar w:fldCharType="begin"/>
      </w:r>
      <w:r w:rsidRPr="004C05FA">
        <w:rPr>
          <w:rStyle w:val="Hyperlink"/>
        </w:rPr>
        <w:instrText>HYPERLINK "https://www.aofm.gov.au/"</w:instrText>
      </w:r>
      <w:r w:rsidRPr="004C05FA">
        <w:rPr>
          <w:rStyle w:val="Hyperlink"/>
        </w:rPr>
        <w:fldChar w:fldCharType="separate"/>
      </w:r>
      <w:r w:rsidRPr="004C05FA">
        <w:rPr>
          <w:rStyle w:val="Hyperlink"/>
        </w:rPr>
        <w:t>www.aofm.gov.au</w:t>
      </w:r>
      <w:r w:rsidRPr="004C05FA">
        <w:rPr>
          <w:rStyle w:val="Hyperlink"/>
        </w:rPr>
        <w:fldChar w:fldCharType="end"/>
      </w:r>
      <w:r w:rsidRPr="004C05FA">
        <w:t>.</w:t>
      </w:r>
      <w:r w:rsidR="006638EB" w:rsidRPr="004C05FA">
        <w:t xml:space="preserve"> </w:t>
      </w:r>
    </w:p>
    <w:p w14:paraId="1084A388" w14:textId="74D614A4" w:rsidR="00A11F5D" w:rsidRPr="001A4F7E" w:rsidRDefault="001A4F7E" w:rsidP="000727FE">
      <w:r w:rsidRPr="004C05FA">
        <w:lastRenderedPageBreak/>
        <w:t>The AOFM publishes an issuance program for the budget year only. Estimates beyond the budget year are based on a set of technical assumptions and will vary with changes to these assumptions and budget estimates</w:t>
      </w:r>
      <w:r w:rsidRPr="00DA4572">
        <w:t>.</w:t>
      </w:r>
    </w:p>
    <w:sectPr w:rsidR="00A11F5D" w:rsidRPr="001A4F7E" w:rsidSect="00C5566B">
      <w:headerReference w:type="even" r:id="rId22"/>
      <w:headerReference w:type="default" r:id="rId23"/>
      <w:footerReference w:type="even" r:id="rId24"/>
      <w:footerReference w:type="default" r:id="rId25"/>
      <w:footerReference w:type="first" r:id="rId26"/>
      <w:footnotePr>
        <w:numStart w:val="36"/>
      </w:footnotePr>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74B6" w14:textId="77777777" w:rsidR="00F3135A" w:rsidRDefault="00F3135A" w:rsidP="00E40261">
      <w:pPr>
        <w:spacing w:after="0" w:line="240" w:lineRule="auto"/>
      </w:pPr>
      <w:r>
        <w:separator/>
      </w:r>
    </w:p>
  </w:endnote>
  <w:endnote w:type="continuationSeparator" w:id="0">
    <w:p w14:paraId="1A72CD00" w14:textId="77777777" w:rsidR="00F3135A" w:rsidRDefault="00F3135A" w:rsidP="00E40261">
      <w:pPr>
        <w:spacing w:after="0" w:line="240" w:lineRule="auto"/>
      </w:pPr>
      <w:r>
        <w:continuationSeparator/>
      </w:r>
    </w:p>
  </w:endnote>
  <w:endnote w:type="continuationNotice" w:id="1">
    <w:p w14:paraId="4A17B280" w14:textId="77777777" w:rsidR="00F3135A" w:rsidRDefault="00F3135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83E2" w14:textId="544B552B" w:rsidR="001A4F7E" w:rsidRPr="001A7712" w:rsidRDefault="00A47846" w:rsidP="00BF5E88">
    <w:pPr>
      <w:pStyle w:val="FooterOdd"/>
    </w:pPr>
    <w:r>
      <w:fldChar w:fldCharType="begin"/>
    </w:r>
    <w:r>
      <w:instrText>SUBJECT   \* MERGEFORMAT</w:instrText>
    </w:r>
    <w:r>
      <w:fldChar w:fldCharType="separate"/>
    </w:r>
    <w:r w:rsidR="000B38EA">
      <w:t>Statement 7: Debt Statement</w:t>
    </w:r>
    <w:r>
      <w:fldChar w:fldCharType="end"/>
    </w:r>
    <w:r w:rsidR="001A4F7E" w:rsidRPr="001A7712">
      <w:t xml:space="preserve">  |  </w:t>
    </w:r>
    <w:r w:rsidR="001A4F7E" w:rsidRPr="00653D2B">
      <w:rPr>
        <w:b/>
        <w:bCs/>
      </w:rPr>
      <w:t xml:space="preserve">Page </w:t>
    </w:r>
    <w:r w:rsidR="001A4F7E" w:rsidRPr="00653D2B">
      <w:rPr>
        <w:b/>
        <w:bCs/>
      </w:rPr>
      <w:fldChar w:fldCharType="begin"/>
    </w:r>
    <w:r w:rsidR="001A4F7E" w:rsidRPr="00653D2B">
      <w:rPr>
        <w:b/>
        <w:bCs/>
      </w:rPr>
      <w:instrText xml:space="preserve"> PAGE  \* Arabic  \* MERGEFORMAT </w:instrText>
    </w:r>
    <w:r w:rsidR="001A4F7E" w:rsidRPr="00653D2B">
      <w:rPr>
        <w:b/>
        <w:bCs/>
      </w:rPr>
      <w:fldChar w:fldCharType="separate"/>
    </w:r>
    <w:r w:rsidR="001A4F7E" w:rsidRPr="00653D2B">
      <w:rPr>
        <w:b/>
        <w:bCs/>
      </w:rPr>
      <w:t>1</w:t>
    </w:r>
    <w:r w:rsidR="001A4F7E" w:rsidRPr="00653D2B">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C17D" w14:textId="7CC2DD07" w:rsidR="001A4F7E" w:rsidRDefault="001A4F7E"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A47846">
      <w:fldChar w:fldCharType="begin"/>
    </w:r>
    <w:r w:rsidR="00A47846">
      <w:instrText>SUBJECT   \* MERGEFORMAT</w:instrText>
    </w:r>
    <w:r w:rsidR="00A47846">
      <w:fldChar w:fldCharType="separate"/>
    </w:r>
    <w:r w:rsidR="000B38EA">
      <w:t>Statement 7: Debt Statement</w:t>
    </w:r>
    <w:r w:rsidR="00A4784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5735" w14:textId="3B2B8703" w:rsidR="001A4F7E" w:rsidRDefault="00A47846" w:rsidP="002A6A16">
    <w:pPr>
      <w:pStyle w:val="FooterOdd"/>
    </w:pPr>
    <w:r>
      <w:fldChar w:fldCharType="begin"/>
    </w:r>
    <w:r>
      <w:instrText>SUBJECT   \* MERGEFORMAT</w:instrText>
    </w:r>
    <w:r>
      <w:fldChar w:fldCharType="separate"/>
    </w:r>
    <w:r w:rsidR="000B38EA">
      <w:t>Statement 7: Debt Statement</w:t>
    </w:r>
    <w:r>
      <w:fldChar w:fldCharType="end"/>
    </w:r>
    <w:r w:rsidR="001A4F7E" w:rsidRPr="00B3705D">
      <w:t xml:space="preserve">  |  </w:t>
    </w:r>
    <w:r w:rsidR="001A4F7E" w:rsidRPr="00B3705D">
      <w:rPr>
        <w:b/>
        <w:bCs/>
      </w:rPr>
      <w:t xml:space="preserve">Page </w:t>
    </w:r>
    <w:r w:rsidR="001A4F7E" w:rsidRPr="00B3705D">
      <w:rPr>
        <w:b/>
        <w:bCs/>
      </w:rPr>
      <w:fldChar w:fldCharType="begin"/>
    </w:r>
    <w:r w:rsidR="001A4F7E" w:rsidRPr="00B3705D">
      <w:rPr>
        <w:b/>
        <w:bCs/>
      </w:rPr>
      <w:instrText xml:space="preserve"> PAGE  \* Arabic  \* MERGEFORMAT </w:instrText>
    </w:r>
    <w:r w:rsidR="001A4F7E" w:rsidRPr="00B3705D">
      <w:rPr>
        <w:b/>
        <w:bCs/>
      </w:rPr>
      <w:fldChar w:fldCharType="separate"/>
    </w:r>
    <w:r w:rsidR="001A4F7E">
      <w:rPr>
        <w:b/>
        <w:bCs/>
      </w:rPr>
      <w:t>1</w:t>
    </w:r>
    <w:r w:rsidR="001A4F7E" w:rsidRPr="00B3705D">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9C10" w14:textId="38C07BA9" w:rsidR="001A4F7E" w:rsidRDefault="00A47846" w:rsidP="00360947">
    <w:pPr>
      <w:pStyle w:val="FooterOdd"/>
    </w:pPr>
    <w:r>
      <w:fldChar w:fldCharType="begin"/>
    </w:r>
    <w:r>
      <w:instrText>SUBJECT   \* MERGEFORMAT</w:instrText>
    </w:r>
    <w:r>
      <w:fldChar w:fldCharType="separate"/>
    </w:r>
    <w:r w:rsidR="000B38EA">
      <w:t>Statement 7: Debt Statement</w:t>
    </w:r>
    <w:r>
      <w:fldChar w:fldCharType="end"/>
    </w:r>
    <w:r w:rsidR="001A4F7E" w:rsidRPr="00B3705D">
      <w:t xml:space="preserve">  |  </w:t>
    </w:r>
    <w:r w:rsidR="001A4F7E" w:rsidRPr="00B3705D">
      <w:rPr>
        <w:b/>
        <w:bCs/>
      </w:rPr>
      <w:t xml:space="preserve">Page </w:t>
    </w:r>
    <w:r w:rsidR="001A4F7E" w:rsidRPr="00B3705D">
      <w:rPr>
        <w:b/>
        <w:bCs/>
      </w:rPr>
      <w:fldChar w:fldCharType="begin"/>
    </w:r>
    <w:r w:rsidR="001A4F7E" w:rsidRPr="00B3705D">
      <w:rPr>
        <w:b/>
        <w:bCs/>
      </w:rPr>
      <w:instrText xml:space="preserve"> PAGE  \* Arabic  \* MERGEFORMAT </w:instrText>
    </w:r>
    <w:r w:rsidR="001A4F7E" w:rsidRPr="00B3705D">
      <w:rPr>
        <w:b/>
        <w:bCs/>
      </w:rPr>
      <w:fldChar w:fldCharType="separate"/>
    </w:r>
    <w:r w:rsidR="001A4F7E">
      <w:rPr>
        <w:b/>
        <w:bCs/>
      </w:rPr>
      <w:t>1</w:t>
    </w:r>
    <w:r w:rsidR="001A4F7E" w:rsidRPr="00B3705D">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0C28" w14:textId="5DE8319F" w:rsidR="00FB5DDD" w:rsidRDefault="00FB5DDD" w:rsidP="005915F7">
    <w:pPr>
      <w:pStyle w:val="FooterEven"/>
      <w:tabs>
        <w:tab w:val="clear" w:pos="4153"/>
        <w:tab w:val="clear" w:pos="8306"/>
        <w:tab w:val="center" w:pos="3855"/>
      </w:tabs>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A47846">
      <w:fldChar w:fldCharType="begin"/>
    </w:r>
    <w:r w:rsidR="00A47846">
      <w:instrText>SUBJECT   \* MERGEFORMAT</w:instrText>
    </w:r>
    <w:r w:rsidR="00A47846">
      <w:fldChar w:fldCharType="separate"/>
    </w:r>
    <w:r w:rsidR="000B38EA">
      <w:t>Statement 7: Debt Statement</w:t>
    </w:r>
    <w:r w:rsidR="00A4784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2E31" w14:textId="1EF69F40" w:rsidR="00FB5DDD" w:rsidRDefault="00A47846" w:rsidP="002A6A16">
    <w:pPr>
      <w:pStyle w:val="FooterOdd"/>
    </w:pPr>
    <w:r>
      <w:fldChar w:fldCharType="begin"/>
    </w:r>
    <w:r>
      <w:instrText>SUBJECT   \* MERGEFORMAT</w:instrText>
    </w:r>
    <w:r>
      <w:fldChar w:fldCharType="separate"/>
    </w:r>
    <w:r w:rsidR="000B38EA">
      <w:t>Statement 7: Debt Statement</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69CA" w14:textId="472374A5" w:rsidR="00FB5DDD" w:rsidRDefault="00A47846" w:rsidP="00360947">
    <w:pPr>
      <w:pStyle w:val="FooterOdd"/>
    </w:pPr>
    <w:r>
      <w:fldChar w:fldCharType="begin"/>
    </w:r>
    <w:r>
      <w:instrText>SUBJECT   \* MERGEFORMAT</w:instrText>
    </w:r>
    <w:r>
      <w:fldChar w:fldCharType="separate"/>
    </w:r>
    <w:r w:rsidR="000B38EA">
      <w:t>Statement 7: Debt Statement</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A2A4D" w14:textId="77777777" w:rsidR="00F3135A" w:rsidRPr="003C1CA4" w:rsidRDefault="00F3135A"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0FF1C194" w14:textId="77777777" w:rsidR="00F3135A" w:rsidRDefault="00F3135A" w:rsidP="00E40261">
      <w:pPr>
        <w:spacing w:after="0" w:line="240" w:lineRule="auto"/>
      </w:pPr>
      <w:r>
        <w:continuationSeparator/>
      </w:r>
    </w:p>
  </w:footnote>
  <w:footnote w:type="continuationNotice" w:id="1">
    <w:p w14:paraId="271B982B" w14:textId="77777777" w:rsidR="00F3135A" w:rsidRDefault="00F3135A">
      <w:pPr>
        <w:spacing w:before="0" w:after="0" w:line="240" w:lineRule="auto"/>
      </w:pPr>
    </w:p>
  </w:footnote>
  <w:footnote w:id="2">
    <w:p w14:paraId="08ED5409" w14:textId="77777777" w:rsidR="001A4F7E" w:rsidRPr="00294FB2" w:rsidRDefault="001A4F7E" w:rsidP="00294FB2">
      <w:pPr>
        <w:pStyle w:val="FootnoteText"/>
      </w:pPr>
      <w:r w:rsidRPr="00294FB2">
        <w:rPr>
          <w:rStyle w:val="FootnoteReference"/>
          <w:vertAlign w:val="baseline"/>
        </w:rPr>
        <w:footnoteRef/>
      </w:r>
      <w:r w:rsidRPr="00294FB2">
        <w:t xml:space="preserve"> </w:t>
      </w:r>
      <w:r w:rsidRPr="004C05FA">
        <w:tab/>
        <w:t>For Treasury Indexed Bonds (TIBs), the final repayment amount paid to investors includes an additional amount to reflect the impact of inflation over the life of the security. This additional amount is not included in the calculation of face value.</w:t>
      </w:r>
    </w:p>
  </w:footnote>
  <w:footnote w:id="3">
    <w:p w14:paraId="13BD8596" w14:textId="419C2B0D" w:rsidR="001A4F7E" w:rsidRDefault="001A4F7E" w:rsidP="00294FB2">
      <w:pPr>
        <w:pStyle w:val="FootnoteText"/>
      </w:pPr>
      <w:r w:rsidRPr="00294FB2">
        <w:rPr>
          <w:rStyle w:val="FootnoteReference"/>
          <w:vertAlign w:val="baseline"/>
        </w:rPr>
        <w:footnoteRef/>
      </w:r>
      <w:r w:rsidRPr="00294FB2">
        <w:t xml:space="preserve"> </w:t>
      </w:r>
      <w:r w:rsidRPr="004C05FA">
        <w:tab/>
        <w:t>End</w:t>
      </w:r>
      <w:r w:rsidR="00B57616" w:rsidRPr="004C05FA">
        <w:noBreakHyphen/>
      </w:r>
      <w:r w:rsidRPr="004C05FA">
        <w:t>of</w:t>
      </w:r>
      <w:r w:rsidR="00B57616" w:rsidRPr="004C05FA">
        <w:noBreakHyphen/>
      </w:r>
      <w:r w:rsidRPr="004C05FA">
        <w:t>year values are estimates of AGS on issue at 30 June for the particular year. The precise timing and level of within</w:t>
      </w:r>
      <w:r w:rsidR="00B57616" w:rsidRPr="004C05FA">
        <w:noBreakHyphen/>
      </w:r>
      <w:r w:rsidRPr="004C05FA">
        <w:t>year peaks of AGS on issue cannot be determined with accuracy. The timing of the within</w:t>
      </w:r>
      <w:r w:rsidR="00B57616" w:rsidRPr="004C05FA">
        <w:noBreakHyphen/>
      </w:r>
      <w:r w:rsidRPr="004C05FA">
        <w:t xml:space="preserve">year peak is therefore reported to the given month in the particular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9421" w14:textId="7B9374D9" w:rsidR="001A4F7E" w:rsidRDefault="00543E0F" w:rsidP="001C5E21">
    <w:pPr>
      <w:pStyle w:val="Header"/>
      <w:tabs>
        <w:tab w:val="clear" w:pos="4153"/>
        <w:tab w:val="clear" w:pos="8306"/>
        <w:tab w:val="left" w:pos="5086"/>
      </w:tabs>
    </w:pPr>
    <w:r>
      <w:rPr>
        <w:noProof/>
      </w:rPr>
      <w:drawing>
        <wp:anchor distT="0" distB="0" distL="114300" distR="114300" simplePos="0" relativeHeight="251658241" behindDoc="1" locked="1" layoutInCell="1" allowOverlap="1" wp14:anchorId="62F6A164" wp14:editId="5BF462CC">
          <wp:simplePos x="0" y="0"/>
          <wp:positionH relativeFrom="page">
            <wp:align>center</wp:align>
          </wp:positionH>
          <wp:positionV relativeFrom="page">
            <wp:align>center</wp:align>
          </wp:positionV>
          <wp:extent cx="7560000" cy="10692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F9A8" w14:textId="440D63A8" w:rsidR="001A4F7E" w:rsidRPr="007B4FD5" w:rsidRDefault="00543E0F" w:rsidP="001A419F">
    <w:pPr>
      <w:pStyle w:val="Header"/>
    </w:pPr>
    <w:r>
      <w:rPr>
        <w:noProof/>
      </w:rPr>
      <w:drawing>
        <wp:anchor distT="0" distB="0" distL="114300" distR="114300" simplePos="0" relativeHeight="251658240" behindDoc="1" locked="1" layoutInCell="1" allowOverlap="1" wp14:anchorId="50B50F54" wp14:editId="51A6DD27">
          <wp:simplePos x="1331366" y="1148486"/>
          <wp:positionH relativeFrom="page">
            <wp:align>center</wp:align>
          </wp:positionH>
          <wp:positionV relativeFrom="page">
            <wp:align>center</wp:align>
          </wp:positionV>
          <wp:extent cx="7560000" cy="10692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34AC" w14:textId="77777777" w:rsidR="001A4F7E" w:rsidRPr="00AA5439" w:rsidRDefault="001A4F7E"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1A4F7E" w14:paraId="0F4E2844" w14:textId="77777777" w:rsidTr="008C56E1">
      <w:trPr>
        <w:trHeight w:hRule="exact" w:val="340"/>
      </w:trPr>
      <w:tc>
        <w:tcPr>
          <w:tcW w:w="7797" w:type="dxa"/>
        </w:tcPr>
        <w:p w14:paraId="4F26671A" w14:textId="083A64BF" w:rsidR="001A4F7E" w:rsidRPr="008C56E1" w:rsidRDefault="001A4F7E" w:rsidP="008C56E1">
          <w:pPr>
            <w:pStyle w:val="HeaderEven"/>
          </w:pPr>
          <w:r w:rsidRPr="008C56E1">
            <w:rPr>
              <w:noProof/>
              <w:position w:val="-8"/>
            </w:rPr>
            <w:drawing>
              <wp:inline distT="0" distB="0" distL="0" distR="0" wp14:anchorId="2716380A" wp14:editId="1A7094C7">
                <wp:extent cx="878400" cy="198000"/>
                <wp:effectExtent l="0" t="0" r="0" b="0"/>
                <wp:docPr id="216" name="Picture 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r w:rsidR="00A47846">
            <w:fldChar w:fldCharType="begin"/>
          </w:r>
          <w:r w:rsidR="00A47846">
            <w:instrText>TITLE   \* MERGEFORMAT</w:instrText>
          </w:r>
          <w:r w:rsidR="00A47846">
            <w:fldChar w:fldCharType="separate"/>
          </w:r>
          <w:r w:rsidR="000B38EA">
            <w:t>Budget Paper No. 1</w:t>
          </w:r>
          <w:r w:rsidR="00A47846">
            <w:fldChar w:fldCharType="end"/>
          </w:r>
        </w:p>
      </w:tc>
    </w:tr>
  </w:tbl>
  <w:p w14:paraId="446B67AF" w14:textId="77777777" w:rsidR="001A4F7E" w:rsidRPr="00AA5439" w:rsidRDefault="001A4F7E" w:rsidP="00AA5439">
    <w:pPr>
      <w:pStyle w:val="HeaderEven"/>
      <w:rPr>
        <w:sz w:val="2"/>
        <w:szCs w:val="4"/>
      </w:rPr>
    </w:pPr>
  </w:p>
  <w:p w14:paraId="67757A24" w14:textId="77777777" w:rsidR="001A4F7E" w:rsidRPr="007703C7" w:rsidRDefault="001A4F7E" w:rsidP="007703C7">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7C56" w14:textId="77777777" w:rsidR="001A4F7E" w:rsidRPr="000635BE" w:rsidRDefault="001A4F7E"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A4F7E" w14:paraId="558D3534" w14:textId="77777777" w:rsidTr="002A6A16">
      <w:trPr>
        <w:trHeight w:hRule="exact" w:val="340"/>
      </w:trPr>
      <w:tc>
        <w:tcPr>
          <w:tcW w:w="7797" w:type="dxa"/>
        </w:tcPr>
        <w:p w14:paraId="139BA81E" w14:textId="4A50EF37" w:rsidR="001A4F7E" w:rsidRDefault="00A47846" w:rsidP="000635BE">
          <w:pPr>
            <w:pStyle w:val="HeaderOdd"/>
          </w:pPr>
          <w:r>
            <w:fldChar w:fldCharType="begin"/>
          </w:r>
          <w:r>
            <w:instrText>TITLE   \* MERGEFORMAT</w:instrText>
          </w:r>
          <w:r>
            <w:fldChar w:fldCharType="separate"/>
          </w:r>
          <w:r w:rsidR="000B38EA">
            <w:t>Budget Paper No. 1</w:t>
          </w:r>
          <w:r>
            <w:fldChar w:fldCharType="end"/>
          </w:r>
          <w:r w:rsidR="001A4F7E">
            <w:t xml:space="preserve">  |  </w:t>
          </w:r>
          <w:r w:rsidR="001A4F7E" w:rsidRPr="00D47C6E">
            <w:rPr>
              <w:noProof/>
              <w:position w:val="-6"/>
            </w:rPr>
            <w:drawing>
              <wp:inline distT="0" distB="0" distL="0" distR="0" wp14:anchorId="6C085229" wp14:editId="1644CDC2">
                <wp:extent cx="860400" cy="144000"/>
                <wp:effectExtent l="0" t="0" r="0" b="8890"/>
                <wp:docPr id="217" name="Pictur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Picture 2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00" cy="144000"/>
                        </a:xfrm>
                        <a:prstGeom prst="rect">
                          <a:avLst/>
                        </a:prstGeom>
                      </pic:spPr>
                    </pic:pic>
                  </a:graphicData>
                </a:graphic>
              </wp:inline>
            </w:drawing>
          </w:r>
        </w:p>
      </w:tc>
    </w:tr>
  </w:tbl>
  <w:p w14:paraId="253EEF79" w14:textId="77777777" w:rsidR="001A4F7E" w:rsidRPr="00AA5439" w:rsidRDefault="001A4F7E" w:rsidP="00AA5439">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0B88" w14:textId="675C0D71" w:rsidR="001A4F7E" w:rsidRPr="00543E0F" w:rsidRDefault="00543E0F" w:rsidP="00543E0F">
    <w:pPr>
      <w:pStyle w:val="Header"/>
    </w:pPr>
    <w:r>
      <w:rPr>
        <w:noProof/>
      </w:rPr>
      <w:drawing>
        <wp:anchor distT="0" distB="0" distL="114300" distR="114300" simplePos="0" relativeHeight="251658242" behindDoc="1" locked="1" layoutInCell="1" allowOverlap="1" wp14:anchorId="41124C96" wp14:editId="3607BA85">
          <wp:simplePos x="1331366" y="1148486"/>
          <wp:positionH relativeFrom="page">
            <wp:align>center</wp:align>
          </wp:positionH>
          <wp:positionV relativeFrom="page">
            <wp:align>center</wp:align>
          </wp:positionV>
          <wp:extent cx="7559675" cy="1069149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902"/>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6CC16A05" w14:textId="77777777" w:rsidTr="001A419F">
      <w:trPr>
        <w:trHeight w:hRule="exact" w:val="340"/>
      </w:trPr>
      <w:tc>
        <w:tcPr>
          <w:tcW w:w="7797" w:type="dxa"/>
        </w:tcPr>
        <w:p w14:paraId="28DACB99" w14:textId="101EEC28" w:rsidR="00FB5DDD" w:rsidRPr="008C56E1" w:rsidRDefault="00FB5DDD" w:rsidP="00F60EA1">
          <w:pPr>
            <w:pStyle w:val="HeaderEven"/>
          </w:pPr>
          <w:r w:rsidRPr="008C56E1">
            <w:rPr>
              <w:noProof/>
              <w:position w:val="-8"/>
            </w:rPr>
            <w:drawing>
              <wp:inline distT="0" distB="0" distL="0" distR="0" wp14:anchorId="29F0B44A" wp14:editId="6D881334">
                <wp:extent cx="874979" cy="198000"/>
                <wp:effectExtent l="0" t="0" r="190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A47846">
            <w:fldChar w:fldCharType="begin"/>
          </w:r>
          <w:r w:rsidR="00A47846">
            <w:instrText>TITLE   \* MERGEFORMAT</w:instrText>
          </w:r>
          <w:r w:rsidR="00A47846">
            <w:fldChar w:fldCharType="separate"/>
          </w:r>
          <w:r w:rsidR="000B38EA">
            <w:t>Budget Paper No. 1</w:t>
          </w:r>
          <w:r w:rsidR="00A47846">
            <w:fldChar w:fldCharType="end"/>
          </w:r>
        </w:p>
      </w:tc>
    </w:tr>
  </w:tbl>
  <w:p w14:paraId="530D3FEB" w14:textId="01C6EB56" w:rsidR="00FB5DDD" w:rsidRPr="00AA5439" w:rsidRDefault="00543E0F" w:rsidP="00543E0F">
    <w:pPr>
      <w:pStyle w:val="Header"/>
    </w:pPr>
    <w:r>
      <w:rPr>
        <w:noProof/>
      </w:rPr>
      <w:drawing>
        <wp:anchor distT="0" distB="0" distL="114300" distR="114300" simplePos="0" relativeHeight="251658243" behindDoc="1" locked="1" layoutInCell="1" allowOverlap="1" wp14:anchorId="1BC77EC6" wp14:editId="1E8E5188">
          <wp:simplePos x="1331366" y="1148486"/>
          <wp:positionH relativeFrom="page">
            <wp:align>center</wp:align>
          </wp:positionH>
          <wp:positionV relativeFrom="page">
            <wp:align>center</wp:align>
          </wp:positionV>
          <wp:extent cx="7559675" cy="10691495"/>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0691902"/>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326CF" w14:paraId="103CBD8A" w14:textId="77777777" w:rsidTr="001A419F">
      <w:trPr>
        <w:trHeight w:hRule="exact" w:val="340"/>
      </w:trPr>
      <w:tc>
        <w:tcPr>
          <w:tcW w:w="7797" w:type="dxa"/>
          <w:tcMar>
            <w:left w:w="108" w:type="dxa"/>
            <w:right w:w="108" w:type="dxa"/>
          </w:tcMar>
        </w:tcPr>
        <w:p w14:paraId="5ACD477F" w14:textId="46E3FE9D" w:rsidR="00E326CF" w:rsidRPr="00D13BF9" w:rsidRDefault="00A47846" w:rsidP="00D13BF9">
          <w:pPr>
            <w:pStyle w:val="HeaderOdd"/>
          </w:pPr>
          <w:r>
            <w:fldChar w:fldCharType="begin"/>
          </w:r>
          <w:r>
            <w:instrText>TITLE   \* MERGEFORMAT</w:instrText>
          </w:r>
          <w:r>
            <w:fldChar w:fldCharType="separate"/>
          </w:r>
          <w:r w:rsidR="000B38EA">
            <w:t>Budget Paper No. 1</w:t>
          </w:r>
          <w:r>
            <w:fldChar w:fldCharType="end"/>
          </w:r>
          <w:r w:rsidR="00E326CF" w:rsidRPr="00D13BF9">
            <w:t xml:space="preserve">  |  </w:t>
          </w:r>
          <w:r w:rsidR="00E326CF" w:rsidRPr="00C9389A">
            <w:rPr>
              <w:noProof/>
              <w:position w:val="-8"/>
            </w:rPr>
            <w:drawing>
              <wp:inline distT="0" distB="0" distL="0" distR="0" wp14:anchorId="054007EA" wp14:editId="1855B325">
                <wp:extent cx="878400" cy="1980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287CC951" w14:textId="0E270F7D" w:rsidR="00FB5DDD" w:rsidRPr="00543E0F" w:rsidRDefault="00543E0F" w:rsidP="00543E0F">
    <w:pPr>
      <w:pStyle w:val="Header"/>
    </w:pPr>
    <w:r>
      <w:rPr>
        <w:noProof/>
      </w:rPr>
      <w:drawing>
        <wp:anchor distT="0" distB="0" distL="114300" distR="114300" simplePos="0" relativeHeight="251658244" behindDoc="1" locked="1" layoutInCell="1" allowOverlap="1" wp14:anchorId="0B89E0EA" wp14:editId="0D651D90">
          <wp:simplePos x="0" y="0"/>
          <wp:positionH relativeFrom="page">
            <wp:align>center</wp:align>
          </wp:positionH>
          <wp:positionV relativeFrom="page">
            <wp:align>center</wp:align>
          </wp:positionV>
          <wp:extent cx="7560000" cy="10692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BCB6900"/>
    <w:multiLevelType w:val="singleLevel"/>
    <w:tmpl w:val="C64E315A"/>
    <w:lvl w:ilvl="0">
      <w:start w:val="1"/>
      <w:numFmt w:val="lowerLetter"/>
      <w:lvlText w:val="%1)"/>
      <w:lvlJc w:val="left"/>
      <w:pPr>
        <w:ind w:left="360" w:hanging="360"/>
      </w:pPr>
      <w:rPr>
        <w:b w:val="0"/>
        <w:i w:val="0"/>
        <w:color w:val="000000"/>
        <w:sz w:val="16"/>
      </w:rPr>
    </w:lvl>
  </w:abstractNum>
  <w:abstractNum w:abstractNumId="14" w15:restartNumberingAfterBreak="0">
    <w:nsid w:val="22F25A76"/>
    <w:multiLevelType w:val="singleLevel"/>
    <w:tmpl w:val="C64E315A"/>
    <w:lvl w:ilvl="0">
      <w:start w:val="1"/>
      <w:numFmt w:val="lowerLetter"/>
      <w:lvlText w:val="%1)"/>
      <w:lvlJc w:val="left"/>
      <w:pPr>
        <w:ind w:left="360" w:hanging="360"/>
      </w:pPr>
      <w:rPr>
        <w:b w:val="0"/>
        <w:i w:val="0"/>
        <w:color w:val="000000"/>
        <w:sz w:val="16"/>
      </w:rPr>
    </w:lvl>
  </w:abstractNum>
  <w:abstractNum w:abstractNumId="15" w15:restartNumberingAfterBreak="0">
    <w:nsid w:val="2E996D30"/>
    <w:multiLevelType w:val="hybridMultilevel"/>
    <w:tmpl w:val="36A6D3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2E19AC"/>
    <w:multiLevelType w:val="singleLevel"/>
    <w:tmpl w:val="C64E315A"/>
    <w:lvl w:ilvl="0">
      <w:start w:val="1"/>
      <w:numFmt w:val="lowerLetter"/>
      <w:lvlText w:val="%1)"/>
      <w:lvlJc w:val="left"/>
      <w:pPr>
        <w:ind w:left="360" w:hanging="360"/>
      </w:pPr>
      <w:rPr>
        <w:b w:val="0"/>
        <w:i w:val="0"/>
        <w:color w:val="000000"/>
        <w:sz w:val="16"/>
      </w:rPr>
    </w:lvl>
  </w:abstractNum>
  <w:abstractNum w:abstractNumId="1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8" w15:restartNumberingAfterBreak="0">
    <w:nsid w:val="4C9526B9"/>
    <w:multiLevelType w:val="multilevel"/>
    <w:tmpl w:val="34423532"/>
    <w:name w:val="StandardNumberedList"/>
    <w:lvl w:ilvl="0">
      <w:start w:val="1"/>
      <w:numFmt w:val="decimal"/>
      <w:pStyle w:val="OutlineNumbered1"/>
      <w:lvlText w:val="%1."/>
      <w:lvlJc w:val="left"/>
      <w:pPr>
        <w:tabs>
          <w:tab w:val="num" w:pos="472"/>
        </w:tabs>
        <w:ind w:left="472" w:hanging="472"/>
      </w:pPr>
      <w:rPr>
        <w:rFonts w:ascii="Arial" w:hAnsi="Arial" w:cs="Arial" w:hint="default"/>
      </w:r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CE8308D"/>
    <w:multiLevelType w:val="singleLevel"/>
    <w:tmpl w:val="C64E315A"/>
    <w:lvl w:ilvl="0">
      <w:start w:val="1"/>
      <w:numFmt w:val="lowerLetter"/>
      <w:lvlText w:val="%1)"/>
      <w:lvlJc w:val="left"/>
      <w:pPr>
        <w:ind w:left="360" w:hanging="360"/>
      </w:pPr>
      <w:rPr>
        <w:b w:val="0"/>
        <w:i w:val="0"/>
        <w:color w:val="000000"/>
        <w:sz w:val="16"/>
      </w:rPr>
    </w:lvl>
  </w:abstractNum>
  <w:abstractNum w:abstractNumId="20" w15:restartNumberingAfterBreak="0">
    <w:nsid w:val="55E90B4E"/>
    <w:multiLevelType w:val="hybridMultilevel"/>
    <w:tmpl w:val="C07259FE"/>
    <w:lvl w:ilvl="0" w:tplc="EECCBC2E">
      <w:start w:val="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136032"/>
    <w:multiLevelType w:val="singleLevel"/>
    <w:tmpl w:val="C64E315A"/>
    <w:lvl w:ilvl="0">
      <w:start w:val="1"/>
      <w:numFmt w:val="lowerLetter"/>
      <w:lvlText w:val="%1)"/>
      <w:lvlJc w:val="left"/>
      <w:pPr>
        <w:ind w:left="360" w:hanging="360"/>
      </w:pPr>
      <w:rPr>
        <w:b w:val="0"/>
        <w:i w:val="0"/>
        <w:color w:val="000000"/>
        <w:sz w:val="16"/>
      </w:rPr>
    </w:lvl>
  </w:abstractNum>
  <w:abstractNum w:abstractNumId="22" w15:restartNumberingAfterBreak="0">
    <w:nsid w:val="61AF36A5"/>
    <w:multiLevelType w:val="singleLevel"/>
    <w:tmpl w:val="C64E315A"/>
    <w:lvl w:ilvl="0">
      <w:start w:val="1"/>
      <w:numFmt w:val="lowerLetter"/>
      <w:lvlText w:val="%1)"/>
      <w:lvlJc w:val="left"/>
      <w:pPr>
        <w:ind w:left="360" w:hanging="360"/>
      </w:pPr>
      <w:rPr>
        <w:b w:val="0"/>
        <w:i w:val="0"/>
        <w:color w:val="000000"/>
        <w:sz w:val="16"/>
      </w:rPr>
    </w:lvl>
  </w:abstractNum>
  <w:abstractNum w:abstractNumId="23"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7"/>
  </w:num>
  <w:num w:numId="2">
    <w:abstractNumId w:val="11"/>
  </w:num>
  <w:num w:numId="3">
    <w:abstractNumId w:val="10"/>
  </w:num>
  <w:num w:numId="4">
    <w:abstractNumId w:val="12"/>
  </w:num>
  <w:num w:numId="5">
    <w:abstractNumId w:val="10"/>
  </w:num>
  <w:num w:numId="6">
    <w:abstractNumId w:val="16"/>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20"/>
  </w:num>
  <w:num w:numId="32">
    <w:abstractNumId w:val="19"/>
  </w:num>
  <w:num w:numId="33">
    <w:abstractNumId w:val="13"/>
  </w:num>
  <w:num w:numId="34">
    <w:abstractNumId w:val="22"/>
  </w:num>
  <w:num w:numId="35">
    <w:abstractNumId w:val="21"/>
  </w:num>
  <w:num w:numId="36">
    <w:abstractNumId w:val="14"/>
  </w:num>
  <w:num w:numId="37">
    <w:abstractNumId w:val="15"/>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stylePaneSortMethod w:val="0000"/>
  <w:documentProtection w:edit="comments" w:enforcement="0"/>
  <w:defaultTabStop w:val="720"/>
  <w:evenAndOddHeaders/>
  <w:characterSpacingControl w:val="doNotCompress"/>
  <w:hdrShapeDefaults>
    <o:shapedefaults v:ext="edit" spidmax="2052"/>
  </w:hdrShapeDefaults>
  <w:footnotePr>
    <w:numStart w:val="36"/>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1A4F7E"/>
    <w:rsid w:val="000004EA"/>
    <w:rsid w:val="0000172D"/>
    <w:rsid w:val="00001C6A"/>
    <w:rsid w:val="00002370"/>
    <w:rsid w:val="00003D64"/>
    <w:rsid w:val="0000430B"/>
    <w:rsid w:val="0000606E"/>
    <w:rsid w:val="000072FC"/>
    <w:rsid w:val="000073E6"/>
    <w:rsid w:val="000108EF"/>
    <w:rsid w:val="0001190E"/>
    <w:rsid w:val="00011937"/>
    <w:rsid w:val="00011DBB"/>
    <w:rsid w:val="000128F1"/>
    <w:rsid w:val="00012997"/>
    <w:rsid w:val="00013EA8"/>
    <w:rsid w:val="000145FE"/>
    <w:rsid w:val="000147E0"/>
    <w:rsid w:val="000151B7"/>
    <w:rsid w:val="0001538A"/>
    <w:rsid w:val="00016066"/>
    <w:rsid w:val="00017F9F"/>
    <w:rsid w:val="000208BA"/>
    <w:rsid w:val="00022961"/>
    <w:rsid w:val="00023CD6"/>
    <w:rsid w:val="000242F5"/>
    <w:rsid w:val="00024BA4"/>
    <w:rsid w:val="0002541C"/>
    <w:rsid w:val="000254E5"/>
    <w:rsid w:val="0002686E"/>
    <w:rsid w:val="00032217"/>
    <w:rsid w:val="00033D17"/>
    <w:rsid w:val="000353BC"/>
    <w:rsid w:val="00035D8D"/>
    <w:rsid w:val="00036EF6"/>
    <w:rsid w:val="00037ADD"/>
    <w:rsid w:val="00040F27"/>
    <w:rsid w:val="00041153"/>
    <w:rsid w:val="00042070"/>
    <w:rsid w:val="000428D0"/>
    <w:rsid w:val="0004440E"/>
    <w:rsid w:val="000445B4"/>
    <w:rsid w:val="0004524E"/>
    <w:rsid w:val="00046590"/>
    <w:rsid w:val="00051983"/>
    <w:rsid w:val="00052071"/>
    <w:rsid w:val="0005320B"/>
    <w:rsid w:val="00053464"/>
    <w:rsid w:val="000546EB"/>
    <w:rsid w:val="00055508"/>
    <w:rsid w:val="00060F58"/>
    <w:rsid w:val="00060FF9"/>
    <w:rsid w:val="0006176E"/>
    <w:rsid w:val="000618AD"/>
    <w:rsid w:val="000622DA"/>
    <w:rsid w:val="00062A53"/>
    <w:rsid w:val="000635BE"/>
    <w:rsid w:val="00064293"/>
    <w:rsid w:val="0006505E"/>
    <w:rsid w:val="00066315"/>
    <w:rsid w:val="0007078B"/>
    <w:rsid w:val="00070AC1"/>
    <w:rsid w:val="00071377"/>
    <w:rsid w:val="000713E9"/>
    <w:rsid w:val="00072635"/>
    <w:rsid w:val="000727FE"/>
    <w:rsid w:val="0007505A"/>
    <w:rsid w:val="00077CB9"/>
    <w:rsid w:val="00077F75"/>
    <w:rsid w:val="0008046B"/>
    <w:rsid w:val="00082267"/>
    <w:rsid w:val="00082B64"/>
    <w:rsid w:val="0008399A"/>
    <w:rsid w:val="0008432A"/>
    <w:rsid w:val="0008597F"/>
    <w:rsid w:val="00085B89"/>
    <w:rsid w:val="0008624B"/>
    <w:rsid w:val="000864D9"/>
    <w:rsid w:val="000875F4"/>
    <w:rsid w:val="0009038A"/>
    <w:rsid w:val="00090F3F"/>
    <w:rsid w:val="000917C7"/>
    <w:rsid w:val="000918E6"/>
    <w:rsid w:val="0009451B"/>
    <w:rsid w:val="0009535C"/>
    <w:rsid w:val="000960E2"/>
    <w:rsid w:val="0009656C"/>
    <w:rsid w:val="00097BE8"/>
    <w:rsid w:val="000A1CE8"/>
    <w:rsid w:val="000A1D50"/>
    <w:rsid w:val="000A1FE3"/>
    <w:rsid w:val="000A34FA"/>
    <w:rsid w:val="000A4832"/>
    <w:rsid w:val="000A595A"/>
    <w:rsid w:val="000A688D"/>
    <w:rsid w:val="000A72BA"/>
    <w:rsid w:val="000A74A2"/>
    <w:rsid w:val="000B064C"/>
    <w:rsid w:val="000B11D9"/>
    <w:rsid w:val="000B30ED"/>
    <w:rsid w:val="000B3677"/>
    <w:rsid w:val="000B38A8"/>
    <w:rsid w:val="000B38EA"/>
    <w:rsid w:val="000B4AAA"/>
    <w:rsid w:val="000C0A5A"/>
    <w:rsid w:val="000C2685"/>
    <w:rsid w:val="000C3636"/>
    <w:rsid w:val="000C3C49"/>
    <w:rsid w:val="000C5EC1"/>
    <w:rsid w:val="000C6FC2"/>
    <w:rsid w:val="000C714D"/>
    <w:rsid w:val="000C730F"/>
    <w:rsid w:val="000D0608"/>
    <w:rsid w:val="000D06D5"/>
    <w:rsid w:val="000D06EF"/>
    <w:rsid w:val="000D0B5A"/>
    <w:rsid w:val="000D1C44"/>
    <w:rsid w:val="000D2326"/>
    <w:rsid w:val="000D26BC"/>
    <w:rsid w:val="000D660E"/>
    <w:rsid w:val="000D68D5"/>
    <w:rsid w:val="000D7743"/>
    <w:rsid w:val="000D78F4"/>
    <w:rsid w:val="000E0FD9"/>
    <w:rsid w:val="000E105B"/>
    <w:rsid w:val="000E149B"/>
    <w:rsid w:val="000E1578"/>
    <w:rsid w:val="000E19C4"/>
    <w:rsid w:val="000E25BA"/>
    <w:rsid w:val="000E2C4A"/>
    <w:rsid w:val="000E52C5"/>
    <w:rsid w:val="000E6E11"/>
    <w:rsid w:val="000E7432"/>
    <w:rsid w:val="000E75B5"/>
    <w:rsid w:val="000E7DD2"/>
    <w:rsid w:val="000F142A"/>
    <w:rsid w:val="000F24D7"/>
    <w:rsid w:val="000F3BAA"/>
    <w:rsid w:val="000F3BE3"/>
    <w:rsid w:val="000F5792"/>
    <w:rsid w:val="000F59A3"/>
    <w:rsid w:val="000F5CB1"/>
    <w:rsid w:val="000F622D"/>
    <w:rsid w:val="000F63B5"/>
    <w:rsid w:val="000F6BB6"/>
    <w:rsid w:val="000F6CB8"/>
    <w:rsid w:val="0010284D"/>
    <w:rsid w:val="00103089"/>
    <w:rsid w:val="00103F65"/>
    <w:rsid w:val="00106584"/>
    <w:rsid w:val="0010674E"/>
    <w:rsid w:val="00106DD9"/>
    <w:rsid w:val="0010741F"/>
    <w:rsid w:val="00107CB7"/>
    <w:rsid w:val="00110B8F"/>
    <w:rsid w:val="00110C16"/>
    <w:rsid w:val="00111590"/>
    <w:rsid w:val="0011175D"/>
    <w:rsid w:val="00112678"/>
    <w:rsid w:val="00113AB0"/>
    <w:rsid w:val="00115663"/>
    <w:rsid w:val="0011575E"/>
    <w:rsid w:val="001163AC"/>
    <w:rsid w:val="00116AF4"/>
    <w:rsid w:val="00120256"/>
    <w:rsid w:val="0012149D"/>
    <w:rsid w:val="00121504"/>
    <w:rsid w:val="0012212B"/>
    <w:rsid w:val="00122F6F"/>
    <w:rsid w:val="00123888"/>
    <w:rsid w:val="0012476C"/>
    <w:rsid w:val="0012587A"/>
    <w:rsid w:val="00126177"/>
    <w:rsid w:val="001278F1"/>
    <w:rsid w:val="00130B07"/>
    <w:rsid w:val="00131235"/>
    <w:rsid w:val="00132B63"/>
    <w:rsid w:val="00132B8D"/>
    <w:rsid w:val="00132F8B"/>
    <w:rsid w:val="00134728"/>
    <w:rsid w:val="001359C3"/>
    <w:rsid w:val="001375DA"/>
    <w:rsid w:val="00137967"/>
    <w:rsid w:val="00137ADA"/>
    <w:rsid w:val="00140DBF"/>
    <w:rsid w:val="00141645"/>
    <w:rsid w:val="00141B2A"/>
    <w:rsid w:val="00142507"/>
    <w:rsid w:val="001426AD"/>
    <w:rsid w:val="00142A62"/>
    <w:rsid w:val="00143A75"/>
    <w:rsid w:val="001472CA"/>
    <w:rsid w:val="00147BA6"/>
    <w:rsid w:val="00147D6B"/>
    <w:rsid w:val="00150644"/>
    <w:rsid w:val="001506D4"/>
    <w:rsid w:val="001512BC"/>
    <w:rsid w:val="00151912"/>
    <w:rsid w:val="00153E85"/>
    <w:rsid w:val="001559ED"/>
    <w:rsid w:val="001569FD"/>
    <w:rsid w:val="00160928"/>
    <w:rsid w:val="00163DCF"/>
    <w:rsid w:val="001653C7"/>
    <w:rsid w:val="00165BDA"/>
    <w:rsid w:val="00171D80"/>
    <w:rsid w:val="00172CFE"/>
    <w:rsid w:val="001746CF"/>
    <w:rsid w:val="001752E9"/>
    <w:rsid w:val="00175AFE"/>
    <w:rsid w:val="00175C7E"/>
    <w:rsid w:val="0017730D"/>
    <w:rsid w:val="00180409"/>
    <w:rsid w:val="00180B7A"/>
    <w:rsid w:val="001810EB"/>
    <w:rsid w:val="0018130D"/>
    <w:rsid w:val="001820D1"/>
    <w:rsid w:val="00183175"/>
    <w:rsid w:val="00184D6A"/>
    <w:rsid w:val="001852E8"/>
    <w:rsid w:val="0018563B"/>
    <w:rsid w:val="0018570E"/>
    <w:rsid w:val="00185A72"/>
    <w:rsid w:val="001862FA"/>
    <w:rsid w:val="001869E5"/>
    <w:rsid w:val="00190703"/>
    <w:rsid w:val="0019115B"/>
    <w:rsid w:val="001958FA"/>
    <w:rsid w:val="00196536"/>
    <w:rsid w:val="001969DC"/>
    <w:rsid w:val="00196F2B"/>
    <w:rsid w:val="001970E6"/>
    <w:rsid w:val="0019743E"/>
    <w:rsid w:val="00197B22"/>
    <w:rsid w:val="001A0773"/>
    <w:rsid w:val="001A1C9D"/>
    <w:rsid w:val="001A2352"/>
    <w:rsid w:val="001A2508"/>
    <w:rsid w:val="001A29D1"/>
    <w:rsid w:val="001A419F"/>
    <w:rsid w:val="001A4CC9"/>
    <w:rsid w:val="001A4F7E"/>
    <w:rsid w:val="001A5693"/>
    <w:rsid w:val="001A57F8"/>
    <w:rsid w:val="001A5A92"/>
    <w:rsid w:val="001A7712"/>
    <w:rsid w:val="001B020F"/>
    <w:rsid w:val="001B0B62"/>
    <w:rsid w:val="001B10A8"/>
    <w:rsid w:val="001B3460"/>
    <w:rsid w:val="001B3946"/>
    <w:rsid w:val="001B3D8C"/>
    <w:rsid w:val="001B59AA"/>
    <w:rsid w:val="001C165B"/>
    <w:rsid w:val="001C29BA"/>
    <w:rsid w:val="001C40CE"/>
    <w:rsid w:val="001C5E21"/>
    <w:rsid w:val="001C6954"/>
    <w:rsid w:val="001C74EF"/>
    <w:rsid w:val="001D1244"/>
    <w:rsid w:val="001D1E84"/>
    <w:rsid w:val="001D33D6"/>
    <w:rsid w:val="001D47A2"/>
    <w:rsid w:val="001D512F"/>
    <w:rsid w:val="001D52D0"/>
    <w:rsid w:val="001D6C52"/>
    <w:rsid w:val="001D75AD"/>
    <w:rsid w:val="001D762B"/>
    <w:rsid w:val="001D7B18"/>
    <w:rsid w:val="001E1E02"/>
    <w:rsid w:val="001E23F0"/>
    <w:rsid w:val="001E3808"/>
    <w:rsid w:val="001E43E5"/>
    <w:rsid w:val="001E6318"/>
    <w:rsid w:val="001E6FD3"/>
    <w:rsid w:val="001E7776"/>
    <w:rsid w:val="001F0387"/>
    <w:rsid w:val="001F08E1"/>
    <w:rsid w:val="001F2381"/>
    <w:rsid w:val="001F3A2D"/>
    <w:rsid w:val="001F4C90"/>
    <w:rsid w:val="001F4EF3"/>
    <w:rsid w:val="001F5327"/>
    <w:rsid w:val="001F6E0C"/>
    <w:rsid w:val="002022A5"/>
    <w:rsid w:val="00204B38"/>
    <w:rsid w:val="00206291"/>
    <w:rsid w:val="00206677"/>
    <w:rsid w:val="00206A05"/>
    <w:rsid w:val="002075CF"/>
    <w:rsid w:val="0020783B"/>
    <w:rsid w:val="00210067"/>
    <w:rsid w:val="00211237"/>
    <w:rsid w:val="0021176D"/>
    <w:rsid w:val="00211FB3"/>
    <w:rsid w:val="00212116"/>
    <w:rsid w:val="0021265D"/>
    <w:rsid w:val="00216EBD"/>
    <w:rsid w:val="00217EBA"/>
    <w:rsid w:val="0022039F"/>
    <w:rsid w:val="0022137F"/>
    <w:rsid w:val="00222096"/>
    <w:rsid w:val="002230C2"/>
    <w:rsid w:val="00224031"/>
    <w:rsid w:val="0022407B"/>
    <w:rsid w:val="00224922"/>
    <w:rsid w:val="00225F9D"/>
    <w:rsid w:val="002271F6"/>
    <w:rsid w:val="00227C63"/>
    <w:rsid w:val="002305DB"/>
    <w:rsid w:val="002333B6"/>
    <w:rsid w:val="002354EF"/>
    <w:rsid w:val="00235AC1"/>
    <w:rsid w:val="00235AE8"/>
    <w:rsid w:val="00235F95"/>
    <w:rsid w:val="002373C6"/>
    <w:rsid w:val="00237C71"/>
    <w:rsid w:val="00237F04"/>
    <w:rsid w:val="00241B2A"/>
    <w:rsid w:val="00241F83"/>
    <w:rsid w:val="00242462"/>
    <w:rsid w:val="00242479"/>
    <w:rsid w:val="002442A7"/>
    <w:rsid w:val="00244982"/>
    <w:rsid w:val="0024521A"/>
    <w:rsid w:val="002467FD"/>
    <w:rsid w:val="00246CFE"/>
    <w:rsid w:val="00250208"/>
    <w:rsid w:val="002503AA"/>
    <w:rsid w:val="0025041F"/>
    <w:rsid w:val="00251028"/>
    <w:rsid w:val="00251FBE"/>
    <w:rsid w:val="0025437D"/>
    <w:rsid w:val="00254A4D"/>
    <w:rsid w:val="0025717B"/>
    <w:rsid w:val="00257579"/>
    <w:rsid w:val="002606A7"/>
    <w:rsid w:val="0026211A"/>
    <w:rsid w:val="00263180"/>
    <w:rsid w:val="00265BE1"/>
    <w:rsid w:val="002665CB"/>
    <w:rsid w:val="00266649"/>
    <w:rsid w:val="00267200"/>
    <w:rsid w:val="00267A52"/>
    <w:rsid w:val="00272447"/>
    <w:rsid w:val="00276A16"/>
    <w:rsid w:val="0027737F"/>
    <w:rsid w:val="00281716"/>
    <w:rsid w:val="00282221"/>
    <w:rsid w:val="00284B43"/>
    <w:rsid w:val="0028521B"/>
    <w:rsid w:val="0028542D"/>
    <w:rsid w:val="00286B87"/>
    <w:rsid w:val="00287995"/>
    <w:rsid w:val="00287BDE"/>
    <w:rsid w:val="00287F86"/>
    <w:rsid w:val="00291729"/>
    <w:rsid w:val="00291745"/>
    <w:rsid w:val="00292B57"/>
    <w:rsid w:val="00292C32"/>
    <w:rsid w:val="00292CF1"/>
    <w:rsid w:val="00293236"/>
    <w:rsid w:val="00293259"/>
    <w:rsid w:val="0029387B"/>
    <w:rsid w:val="00293E10"/>
    <w:rsid w:val="002946BB"/>
    <w:rsid w:val="00294A09"/>
    <w:rsid w:val="00294FB2"/>
    <w:rsid w:val="00296E60"/>
    <w:rsid w:val="0029767D"/>
    <w:rsid w:val="002A0F8D"/>
    <w:rsid w:val="002A2876"/>
    <w:rsid w:val="002A3787"/>
    <w:rsid w:val="002A3A4A"/>
    <w:rsid w:val="002A4FD0"/>
    <w:rsid w:val="002A5D30"/>
    <w:rsid w:val="002A68D6"/>
    <w:rsid w:val="002A6A16"/>
    <w:rsid w:val="002A7381"/>
    <w:rsid w:val="002B061D"/>
    <w:rsid w:val="002B0885"/>
    <w:rsid w:val="002B09A5"/>
    <w:rsid w:val="002B2D95"/>
    <w:rsid w:val="002B3B33"/>
    <w:rsid w:val="002B4DA9"/>
    <w:rsid w:val="002B6106"/>
    <w:rsid w:val="002B71E8"/>
    <w:rsid w:val="002B7724"/>
    <w:rsid w:val="002C0355"/>
    <w:rsid w:val="002C2097"/>
    <w:rsid w:val="002C3DEB"/>
    <w:rsid w:val="002C423A"/>
    <w:rsid w:val="002C44BB"/>
    <w:rsid w:val="002C4CE3"/>
    <w:rsid w:val="002C596C"/>
    <w:rsid w:val="002C5DA7"/>
    <w:rsid w:val="002C5E24"/>
    <w:rsid w:val="002C6334"/>
    <w:rsid w:val="002C6B1F"/>
    <w:rsid w:val="002D12CF"/>
    <w:rsid w:val="002D2FDC"/>
    <w:rsid w:val="002D52C1"/>
    <w:rsid w:val="002D6166"/>
    <w:rsid w:val="002D6A56"/>
    <w:rsid w:val="002D6F19"/>
    <w:rsid w:val="002D789E"/>
    <w:rsid w:val="002E1A24"/>
    <w:rsid w:val="002E2462"/>
    <w:rsid w:val="002E3592"/>
    <w:rsid w:val="002E42EA"/>
    <w:rsid w:val="002E455B"/>
    <w:rsid w:val="002E4D28"/>
    <w:rsid w:val="002E638A"/>
    <w:rsid w:val="002E69DF"/>
    <w:rsid w:val="002E6D4A"/>
    <w:rsid w:val="002E7B71"/>
    <w:rsid w:val="002F0136"/>
    <w:rsid w:val="002F25D7"/>
    <w:rsid w:val="002F3F70"/>
    <w:rsid w:val="002F40F3"/>
    <w:rsid w:val="002F5568"/>
    <w:rsid w:val="002F56C8"/>
    <w:rsid w:val="002F5CD2"/>
    <w:rsid w:val="002F5F04"/>
    <w:rsid w:val="002F6D60"/>
    <w:rsid w:val="003000CD"/>
    <w:rsid w:val="0030025D"/>
    <w:rsid w:val="0030076C"/>
    <w:rsid w:val="00300C51"/>
    <w:rsid w:val="0030466A"/>
    <w:rsid w:val="00304A44"/>
    <w:rsid w:val="00304A9C"/>
    <w:rsid w:val="00305105"/>
    <w:rsid w:val="003052DB"/>
    <w:rsid w:val="00305C47"/>
    <w:rsid w:val="003079BF"/>
    <w:rsid w:val="003105FF"/>
    <w:rsid w:val="003136C3"/>
    <w:rsid w:val="00313EB6"/>
    <w:rsid w:val="003146DC"/>
    <w:rsid w:val="00316E16"/>
    <w:rsid w:val="00317FAB"/>
    <w:rsid w:val="00317FDE"/>
    <w:rsid w:val="00320C5D"/>
    <w:rsid w:val="00320C7A"/>
    <w:rsid w:val="00321CF6"/>
    <w:rsid w:val="00322056"/>
    <w:rsid w:val="00325683"/>
    <w:rsid w:val="0032762E"/>
    <w:rsid w:val="003303B0"/>
    <w:rsid w:val="00330C36"/>
    <w:rsid w:val="00332ABC"/>
    <w:rsid w:val="00335DB8"/>
    <w:rsid w:val="00336630"/>
    <w:rsid w:val="003374C3"/>
    <w:rsid w:val="003376BA"/>
    <w:rsid w:val="00337A1B"/>
    <w:rsid w:val="00337CB4"/>
    <w:rsid w:val="00340F30"/>
    <w:rsid w:val="003410BF"/>
    <w:rsid w:val="00341212"/>
    <w:rsid w:val="00341705"/>
    <w:rsid w:val="003421CD"/>
    <w:rsid w:val="003439CA"/>
    <w:rsid w:val="003442CC"/>
    <w:rsid w:val="003451F5"/>
    <w:rsid w:val="003463B9"/>
    <w:rsid w:val="00346A42"/>
    <w:rsid w:val="003478ED"/>
    <w:rsid w:val="003506C0"/>
    <w:rsid w:val="00350AEA"/>
    <w:rsid w:val="00351AA7"/>
    <w:rsid w:val="00352240"/>
    <w:rsid w:val="003536C5"/>
    <w:rsid w:val="00354E39"/>
    <w:rsid w:val="00355C93"/>
    <w:rsid w:val="00357496"/>
    <w:rsid w:val="003603B8"/>
    <w:rsid w:val="00360947"/>
    <w:rsid w:val="0036215C"/>
    <w:rsid w:val="003624CE"/>
    <w:rsid w:val="003644FF"/>
    <w:rsid w:val="00364845"/>
    <w:rsid w:val="0037189D"/>
    <w:rsid w:val="00372510"/>
    <w:rsid w:val="003751A2"/>
    <w:rsid w:val="00375A51"/>
    <w:rsid w:val="00376330"/>
    <w:rsid w:val="00376594"/>
    <w:rsid w:val="00377927"/>
    <w:rsid w:val="0038007A"/>
    <w:rsid w:val="0038017C"/>
    <w:rsid w:val="003809EA"/>
    <w:rsid w:val="0038198E"/>
    <w:rsid w:val="00381A84"/>
    <w:rsid w:val="00381D29"/>
    <w:rsid w:val="00382AF5"/>
    <w:rsid w:val="00382E3D"/>
    <w:rsid w:val="0038357A"/>
    <w:rsid w:val="0038393D"/>
    <w:rsid w:val="00383A2B"/>
    <w:rsid w:val="003853D3"/>
    <w:rsid w:val="003867A3"/>
    <w:rsid w:val="0038683A"/>
    <w:rsid w:val="00391232"/>
    <w:rsid w:val="003913D6"/>
    <w:rsid w:val="0039431F"/>
    <w:rsid w:val="00394705"/>
    <w:rsid w:val="00396782"/>
    <w:rsid w:val="00396838"/>
    <w:rsid w:val="003A006A"/>
    <w:rsid w:val="003A00ED"/>
    <w:rsid w:val="003A2F06"/>
    <w:rsid w:val="003A39C6"/>
    <w:rsid w:val="003A3AC2"/>
    <w:rsid w:val="003A3DB1"/>
    <w:rsid w:val="003A403E"/>
    <w:rsid w:val="003A4150"/>
    <w:rsid w:val="003A479B"/>
    <w:rsid w:val="003A4E18"/>
    <w:rsid w:val="003A6647"/>
    <w:rsid w:val="003A756B"/>
    <w:rsid w:val="003B0948"/>
    <w:rsid w:val="003B3670"/>
    <w:rsid w:val="003B4245"/>
    <w:rsid w:val="003B4A52"/>
    <w:rsid w:val="003B59F2"/>
    <w:rsid w:val="003B7141"/>
    <w:rsid w:val="003C0531"/>
    <w:rsid w:val="003C07C3"/>
    <w:rsid w:val="003C1103"/>
    <w:rsid w:val="003C1441"/>
    <w:rsid w:val="003C1580"/>
    <w:rsid w:val="003C1CA4"/>
    <w:rsid w:val="003C2CDC"/>
    <w:rsid w:val="003C608C"/>
    <w:rsid w:val="003C703F"/>
    <w:rsid w:val="003D173A"/>
    <w:rsid w:val="003D1F2F"/>
    <w:rsid w:val="003D3518"/>
    <w:rsid w:val="003D3670"/>
    <w:rsid w:val="003D43BC"/>
    <w:rsid w:val="003D46BF"/>
    <w:rsid w:val="003D503B"/>
    <w:rsid w:val="003D5414"/>
    <w:rsid w:val="003D7354"/>
    <w:rsid w:val="003E0301"/>
    <w:rsid w:val="003E1792"/>
    <w:rsid w:val="003E1A17"/>
    <w:rsid w:val="003E22EA"/>
    <w:rsid w:val="003E49DD"/>
    <w:rsid w:val="003E4F46"/>
    <w:rsid w:val="003E5F52"/>
    <w:rsid w:val="003F1A97"/>
    <w:rsid w:val="003F1AF2"/>
    <w:rsid w:val="003F42F4"/>
    <w:rsid w:val="003F5DC4"/>
    <w:rsid w:val="003F6288"/>
    <w:rsid w:val="003F6DEA"/>
    <w:rsid w:val="003F7762"/>
    <w:rsid w:val="004006FD"/>
    <w:rsid w:val="0040151D"/>
    <w:rsid w:val="004023EE"/>
    <w:rsid w:val="004044D7"/>
    <w:rsid w:val="00404C6C"/>
    <w:rsid w:val="00405C0B"/>
    <w:rsid w:val="00407B3F"/>
    <w:rsid w:val="00410AC2"/>
    <w:rsid w:val="00411208"/>
    <w:rsid w:val="00414D61"/>
    <w:rsid w:val="0041595F"/>
    <w:rsid w:val="00417C99"/>
    <w:rsid w:val="004220CF"/>
    <w:rsid w:val="004233DE"/>
    <w:rsid w:val="00423A86"/>
    <w:rsid w:val="00423F3F"/>
    <w:rsid w:val="004265F2"/>
    <w:rsid w:val="00430B7F"/>
    <w:rsid w:val="00430E69"/>
    <w:rsid w:val="004310C3"/>
    <w:rsid w:val="00434D54"/>
    <w:rsid w:val="004357E8"/>
    <w:rsid w:val="00436049"/>
    <w:rsid w:val="00436B3C"/>
    <w:rsid w:val="004372BD"/>
    <w:rsid w:val="004418D3"/>
    <w:rsid w:val="004429F1"/>
    <w:rsid w:val="00442CC5"/>
    <w:rsid w:val="004464CE"/>
    <w:rsid w:val="00446E19"/>
    <w:rsid w:val="00446F8F"/>
    <w:rsid w:val="00447E2C"/>
    <w:rsid w:val="00450338"/>
    <w:rsid w:val="004510E4"/>
    <w:rsid w:val="00452BE9"/>
    <w:rsid w:val="00452E82"/>
    <w:rsid w:val="004543B0"/>
    <w:rsid w:val="0045619D"/>
    <w:rsid w:val="004634FE"/>
    <w:rsid w:val="0046391C"/>
    <w:rsid w:val="00465A7D"/>
    <w:rsid w:val="00465E45"/>
    <w:rsid w:val="004672C8"/>
    <w:rsid w:val="004708FB"/>
    <w:rsid w:val="00472B42"/>
    <w:rsid w:val="00473DFF"/>
    <w:rsid w:val="00476292"/>
    <w:rsid w:val="0047635F"/>
    <w:rsid w:val="00477720"/>
    <w:rsid w:val="00482445"/>
    <w:rsid w:val="00483BC9"/>
    <w:rsid w:val="0048486A"/>
    <w:rsid w:val="00484C25"/>
    <w:rsid w:val="0048563A"/>
    <w:rsid w:val="00485A87"/>
    <w:rsid w:val="004861C3"/>
    <w:rsid w:val="00486481"/>
    <w:rsid w:val="00491323"/>
    <w:rsid w:val="00491951"/>
    <w:rsid w:val="00491BA3"/>
    <w:rsid w:val="00491EA6"/>
    <w:rsid w:val="0049238F"/>
    <w:rsid w:val="004926A9"/>
    <w:rsid w:val="00495C4B"/>
    <w:rsid w:val="0049644B"/>
    <w:rsid w:val="004A300E"/>
    <w:rsid w:val="004A67FC"/>
    <w:rsid w:val="004A6911"/>
    <w:rsid w:val="004A79D0"/>
    <w:rsid w:val="004B3E52"/>
    <w:rsid w:val="004B3F3C"/>
    <w:rsid w:val="004B4057"/>
    <w:rsid w:val="004B5BAD"/>
    <w:rsid w:val="004C05FA"/>
    <w:rsid w:val="004C0EB4"/>
    <w:rsid w:val="004C2381"/>
    <w:rsid w:val="004C27F0"/>
    <w:rsid w:val="004C3F27"/>
    <w:rsid w:val="004C4D8D"/>
    <w:rsid w:val="004C5453"/>
    <w:rsid w:val="004C5946"/>
    <w:rsid w:val="004C60B9"/>
    <w:rsid w:val="004C6330"/>
    <w:rsid w:val="004C6A77"/>
    <w:rsid w:val="004D1621"/>
    <w:rsid w:val="004D480A"/>
    <w:rsid w:val="004D49DE"/>
    <w:rsid w:val="004D4CD1"/>
    <w:rsid w:val="004D4DD6"/>
    <w:rsid w:val="004D4E2E"/>
    <w:rsid w:val="004D4FC3"/>
    <w:rsid w:val="004D5026"/>
    <w:rsid w:val="004D58BF"/>
    <w:rsid w:val="004E02F3"/>
    <w:rsid w:val="004E06DE"/>
    <w:rsid w:val="004E100E"/>
    <w:rsid w:val="004E1CFB"/>
    <w:rsid w:val="004E2726"/>
    <w:rsid w:val="004E39D9"/>
    <w:rsid w:val="004E595A"/>
    <w:rsid w:val="004F1EF7"/>
    <w:rsid w:val="004F3ADC"/>
    <w:rsid w:val="004F3FD9"/>
    <w:rsid w:val="004F4007"/>
    <w:rsid w:val="004F4541"/>
    <w:rsid w:val="004F5A37"/>
    <w:rsid w:val="004F60DD"/>
    <w:rsid w:val="004F7A05"/>
    <w:rsid w:val="004F7A18"/>
    <w:rsid w:val="004F7DC7"/>
    <w:rsid w:val="00501EE3"/>
    <w:rsid w:val="00502B5C"/>
    <w:rsid w:val="00502D51"/>
    <w:rsid w:val="00504CCD"/>
    <w:rsid w:val="00506B6F"/>
    <w:rsid w:val="00507152"/>
    <w:rsid w:val="00510ACF"/>
    <w:rsid w:val="0051163C"/>
    <w:rsid w:val="005121DE"/>
    <w:rsid w:val="005125B1"/>
    <w:rsid w:val="00513017"/>
    <w:rsid w:val="005130DB"/>
    <w:rsid w:val="005138EA"/>
    <w:rsid w:val="00513FCE"/>
    <w:rsid w:val="00514748"/>
    <w:rsid w:val="0051519F"/>
    <w:rsid w:val="005151D9"/>
    <w:rsid w:val="005157F2"/>
    <w:rsid w:val="0051724C"/>
    <w:rsid w:val="00517DBE"/>
    <w:rsid w:val="00520FEC"/>
    <w:rsid w:val="00521083"/>
    <w:rsid w:val="00521FE7"/>
    <w:rsid w:val="005220E3"/>
    <w:rsid w:val="00522B94"/>
    <w:rsid w:val="005231E8"/>
    <w:rsid w:val="00524AF1"/>
    <w:rsid w:val="00525723"/>
    <w:rsid w:val="00525C7B"/>
    <w:rsid w:val="00525F63"/>
    <w:rsid w:val="00526392"/>
    <w:rsid w:val="00527563"/>
    <w:rsid w:val="00527D67"/>
    <w:rsid w:val="0053153E"/>
    <w:rsid w:val="00531D81"/>
    <w:rsid w:val="00532259"/>
    <w:rsid w:val="005323E1"/>
    <w:rsid w:val="005326E3"/>
    <w:rsid w:val="00533EB7"/>
    <w:rsid w:val="00534EDF"/>
    <w:rsid w:val="00535827"/>
    <w:rsid w:val="00535EEF"/>
    <w:rsid w:val="00537C64"/>
    <w:rsid w:val="00537F64"/>
    <w:rsid w:val="00543B90"/>
    <w:rsid w:val="00543E0F"/>
    <w:rsid w:val="00544139"/>
    <w:rsid w:val="00544795"/>
    <w:rsid w:val="005476BD"/>
    <w:rsid w:val="00550317"/>
    <w:rsid w:val="0055131C"/>
    <w:rsid w:val="00551E91"/>
    <w:rsid w:val="00551FAF"/>
    <w:rsid w:val="0055231B"/>
    <w:rsid w:val="005532F2"/>
    <w:rsid w:val="00553ECF"/>
    <w:rsid w:val="00556FE1"/>
    <w:rsid w:val="00557DA8"/>
    <w:rsid w:val="0056022D"/>
    <w:rsid w:val="005604E8"/>
    <w:rsid w:val="0056105F"/>
    <w:rsid w:val="00561BFB"/>
    <w:rsid w:val="00561F14"/>
    <w:rsid w:val="005642C7"/>
    <w:rsid w:val="00565B18"/>
    <w:rsid w:val="00566C1B"/>
    <w:rsid w:val="005673BD"/>
    <w:rsid w:val="0056782C"/>
    <w:rsid w:val="0057193A"/>
    <w:rsid w:val="00572680"/>
    <w:rsid w:val="005733BE"/>
    <w:rsid w:val="0057540F"/>
    <w:rsid w:val="00575478"/>
    <w:rsid w:val="005758F8"/>
    <w:rsid w:val="00575CEA"/>
    <w:rsid w:val="005770A6"/>
    <w:rsid w:val="00580067"/>
    <w:rsid w:val="00580C18"/>
    <w:rsid w:val="00582F2A"/>
    <w:rsid w:val="00583771"/>
    <w:rsid w:val="00583E4B"/>
    <w:rsid w:val="00586F0B"/>
    <w:rsid w:val="00587644"/>
    <w:rsid w:val="005915F7"/>
    <w:rsid w:val="00591EF8"/>
    <w:rsid w:val="005920C7"/>
    <w:rsid w:val="0059224A"/>
    <w:rsid w:val="00593596"/>
    <w:rsid w:val="005936FE"/>
    <w:rsid w:val="00593EF8"/>
    <w:rsid w:val="005950FF"/>
    <w:rsid w:val="00596A90"/>
    <w:rsid w:val="00597DB1"/>
    <w:rsid w:val="005A037D"/>
    <w:rsid w:val="005A1366"/>
    <w:rsid w:val="005A1AA2"/>
    <w:rsid w:val="005A304B"/>
    <w:rsid w:val="005A4350"/>
    <w:rsid w:val="005A43A4"/>
    <w:rsid w:val="005A5481"/>
    <w:rsid w:val="005A5C6A"/>
    <w:rsid w:val="005A6343"/>
    <w:rsid w:val="005A6583"/>
    <w:rsid w:val="005A6F5F"/>
    <w:rsid w:val="005A7618"/>
    <w:rsid w:val="005B04E6"/>
    <w:rsid w:val="005B1F7B"/>
    <w:rsid w:val="005B2452"/>
    <w:rsid w:val="005B2F30"/>
    <w:rsid w:val="005B3010"/>
    <w:rsid w:val="005B323F"/>
    <w:rsid w:val="005B56DE"/>
    <w:rsid w:val="005B58BD"/>
    <w:rsid w:val="005B5F6A"/>
    <w:rsid w:val="005B6605"/>
    <w:rsid w:val="005B6C1D"/>
    <w:rsid w:val="005C00C6"/>
    <w:rsid w:val="005C3818"/>
    <w:rsid w:val="005C5D34"/>
    <w:rsid w:val="005C669A"/>
    <w:rsid w:val="005D004B"/>
    <w:rsid w:val="005D0827"/>
    <w:rsid w:val="005D13F7"/>
    <w:rsid w:val="005D23CB"/>
    <w:rsid w:val="005D4BAF"/>
    <w:rsid w:val="005D4BE4"/>
    <w:rsid w:val="005D5625"/>
    <w:rsid w:val="005D5998"/>
    <w:rsid w:val="005D6113"/>
    <w:rsid w:val="005D642B"/>
    <w:rsid w:val="005D6ADA"/>
    <w:rsid w:val="005D7041"/>
    <w:rsid w:val="005D7973"/>
    <w:rsid w:val="005D7E3B"/>
    <w:rsid w:val="005E0112"/>
    <w:rsid w:val="005E185B"/>
    <w:rsid w:val="005E1B80"/>
    <w:rsid w:val="005E29D1"/>
    <w:rsid w:val="005E3A61"/>
    <w:rsid w:val="005E4598"/>
    <w:rsid w:val="005E4C0D"/>
    <w:rsid w:val="005E4D17"/>
    <w:rsid w:val="005E4F85"/>
    <w:rsid w:val="005E543A"/>
    <w:rsid w:val="005E6761"/>
    <w:rsid w:val="005E6C24"/>
    <w:rsid w:val="005E792C"/>
    <w:rsid w:val="005F1237"/>
    <w:rsid w:val="005F1F86"/>
    <w:rsid w:val="005F29A7"/>
    <w:rsid w:val="005F38D5"/>
    <w:rsid w:val="005F3A6D"/>
    <w:rsid w:val="005F3DD0"/>
    <w:rsid w:val="005F5F48"/>
    <w:rsid w:val="005F6909"/>
    <w:rsid w:val="005F7E0F"/>
    <w:rsid w:val="00600542"/>
    <w:rsid w:val="00601F3B"/>
    <w:rsid w:val="00602611"/>
    <w:rsid w:val="0060305C"/>
    <w:rsid w:val="006037EE"/>
    <w:rsid w:val="006059E3"/>
    <w:rsid w:val="00605E59"/>
    <w:rsid w:val="00606F9D"/>
    <w:rsid w:val="00607DAF"/>
    <w:rsid w:val="00613B4D"/>
    <w:rsid w:val="00613D77"/>
    <w:rsid w:val="00614554"/>
    <w:rsid w:val="00614FC4"/>
    <w:rsid w:val="00622160"/>
    <w:rsid w:val="00622CDB"/>
    <w:rsid w:val="00623297"/>
    <w:rsid w:val="006235FF"/>
    <w:rsid w:val="006241A3"/>
    <w:rsid w:val="00624815"/>
    <w:rsid w:val="00624B86"/>
    <w:rsid w:val="006258D9"/>
    <w:rsid w:val="006259E9"/>
    <w:rsid w:val="00627973"/>
    <w:rsid w:val="00630213"/>
    <w:rsid w:val="00630349"/>
    <w:rsid w:val="00630592"/>
    <w:rsid w:val="00631FB8"/>
    <w:rsid w:val="006324FB"/>
    <w:rsid w:val="006342D7"/>
    <w:rsid w:val="006356A9"/>
    <w:rsid w:val="00641BBF"/>
    <w:rsid w:val="00641D8F"/>
    <w:rsid w:val="0064308E"/>
    <w:rsid w:val="0064518F"/>
    <w:rsid w:val="00647810"/>
    <w:rsid w:val="006501AC"/>
    <w:rsid w:val="006510BC"/>
    <w:rsid w:val="00652A75"/>
    <w:rsid w:val="00652C74"/>
    <w:rsid w:val="0065300B"/>
    <w:rsid w:val="00653B1E"/>
    <w:rsid w:val="00653D2B"/>
    <w:rsid w:val="00654418"/>
    <w:rsid w:val="00655AEE"/>
    <w:rsid w:val="0065604D"/>
    <w:rsid w:val="006568AA"/>
    <w:rsid w:val="00662ED8"/>
    <w:rsid w:val="006638EB"/>
    <w:rsid w:val="00664F1B"/>
    <w:rsid w:val="006656C2"/>
    <w:rsid w:val="00665CC2"/>
    <w:rsid w:val="00665D54"/>
    <w:rsid w:val="00666C25"/>
    <w:rsid w:val="006671A5"/>
    <w:rsid w:val="006674ED"/>
    <w:rsid w:val="0066753A"/>
    <w:rsid w:val="00667EC0"/>
    <w:rsid w:val="00670DF5"/>
    <w:rsid w:val="00671F98"/>
    <w:rsid w:val="00672738"/>
    <w:rsid w:val="0067485E"/>
    <w:rsid w:val="00674DD6"/>
    <w:rsid w:val="0067565D"/>
    <w:rsid w:val="00676ADF"/>
    <w:rsid w:val="00677EBB"/>
    <w:rsid w:val="00680768"/>
    <w:rsid w:val="00680E4C"/>
    <w:rsid w:val="00681FD0"/>
    <w:rsid w:val="00682D05"/>
    <w:rsid w:val="006835B0"/>
    <w:rsid w:val="006840C0"/>
    <w:rsid w:val="00685244"/>
    <w:rsid w:val="006870A8"/>
    <w:rsid w:val="00687F3A"/>
    <w:rsid w:val="00690681"/>
    <w:rsid w:val="0069158F"/>
    <w:rsid w:val="00691DB0"/>
    <w:rsid w:val="00692105"/>
    <w:rsid w:val="00692BED"/>
    <w:rsid w:val="0069354E"/>
    <w:rsid w:val="00694539"/>
    <w:rsid w:val="00694B51"/>
    <w:rsid w:val="006956BC"/>
    <w:rsid w:val="0069577C"/>
    <w:rsid w:val="00695C8D"/>
    <w:rsid w:val="0069688B"/>
    <w:rsid w:val="006975F8"/>
    <w:rsid w:val="006A0639"/>
    <w:rsid w:val="006A0CB3"/>
    <w:rsid w:val="006A0FC2"/>
    <w:rsid w:val="006A1E9D"/>
    <w:rsid w:val="006A20CD"/>
    <w:rsid w:val="006A4241"/>
    <w:rsid w:val="006A4AD6"/>
    <w:rsid w:val="006A5EBE"/>
    <w:rsid w:val="006A6A41"/>
    <w:rsid w:val="006A6FA4"/>
    <w:rsid w:val="006A7AD4"/>
    <w:rsid w:val="006A7C4C"/>
    <w:rsid w:val="006B0CDC"/>
    <w:rsid w:val="006B1EDD"/>
    <w:rsid w:val="006B2F16"/>
    <w:rsid w:val="006B6167"/>
    <w:rsid w:val="006B7136"/>
    <w:rsid w:val="006C070C"/>
    <w:rsid w:val="006C1494"/>
    <w:rsid w:val="006C2C87"/>
    <w:rsid w:val="006C2DEA"/>
    <w:rsid w:val="006C3E1F"/>
    <w:rsid w:val="006C44FE"/>
    <w:rsid w:val="006C4809"/>
    <w:rsid w:val="006C49CD"/>
    <w:rsid w:val="006C4A90"/>
    <w:rsid w:val="006C6127"/>
    <w:rsid w:val="006C6733"/>
    <w:rsid w:val="006C77A8"/>
    <w:rsid w:val="006D0F50"/>
    <w:rsid w:val="006D14E4"/>
    <w:rsid w:val="006D35E9"/>
    <w:rsid w:val="006D3A9C"/>
    <w:rsid w:val="006D44A1"/>
    <w:rsid w:val="006D4A4D"/>
    <w:rsid w:val="006D67E6"/>
    <w:rsid w:val="006D6F74"/>
    <w:rsid w:val="006D7D39"/>
    <w:rsid w:val="006E03E2"/>
    <w:rsid w:val="006E067B"/>
    <w:rsid w:val="006E191B"/>
    <w:rsid w:val="006E43B1"/>
    <w:rsid w:val="006E6E94"/>
    <w:rsid w:val="006E6FBC"/>
    <w:rsid w:val="006E7F46"/>
    <w:rsid w:val="006F0ABD"/>
    <w:rsid w:val="006F1028"/>
    <w:rsid w:val="006F170C"/>
    <w:rsid w:val="006F2910"/>
    <w:rsid w:val="006F3C12"/>
    <w:rsid w:val="006F512C"/>
    <w:rsid w:val="006F5668"/>
    <w:rsid w:val="006F579D"/>
    <w:rsid w:val="006F6A66"/>
    <w:rsid w:val="00700E4F"/>
    <w:rsid w:val="00701A90"/>
    <w:rsid w:val="00701EDD"/>
    <w:rsid w:val="00702304"/>
    <w:rsid w:val="00703522"/>
    <w:rsid w:val="0070438C"/>
    <w:rsid w:val="00706834"/>
    <w:rsid w:val="00706E6F"/>
    <w:rsid w:val="00707828"/>
    <w:rsid w:val="00707A32"/>
    <w:rsid w:val="00707D4B"/>
    <w:rsid w:val="007107A4"/>
    <w:rsid w:val="00711761"/>
    <w:rsid w:val="007149D4"/>
    <w:rsid w:val="0071695A"/>
    <w:rsid w:val="0072272B"/>
    <w:rsid w:val="00723C84"/>
    <w:rsid w:val="0072449F"/>
    <w:rsid w:val="0072560C"/>
    <w:rsid w:val="007257CA"/>
    <w:rsid w:val="00725CB8"/>
    <w:rsid w:val="0072657A"/>
    <w:rsid w:val="00727F3C"/>
    <w:rsid w:val="007300B0"/>
    <w:rsid w:val="0073016F"/>
    <w:rsid w:val="00730FC1"/>
    <w:rsid w:val="0073160A"/>
    <w:rsid w:val="00731AB8"/>
    <w:rsid w:val="00733E29"/>
    <w:rsid w:val="0073508B"/>
    <w:rsid w:val="007357B9"/>
    <w:rsid w:val="0073583B"/>
    <w:rsid w:val="0074335D"/>
    <w:rsid w:val="00744D65"/>
    <w:rsid w:val="0074527D"/>
    <w:rsid w:val="00745AE1"/>
    <w:rsid w:val="00745D29"/>
    <w:rsid w:val="007472FC"/>
    <w:rsid w:val="007505C7"/>
    <w:rsid w:val="00750A94"/>
    <w:rsid w:val="00753F01"/>
    <w:rsid w:val="00754CF2"/>
    <w:rsid w:val="00755F34"/>
    <w:rsid w:val="00756DF6"/>
    <w:rsid w:val="00757CB9"/>
    <w:rsid w:val="00760A83"/>
    <w:rsid w:val="00761315"/>
    <w:rsid w:val="00761BFA"/>
    <w:rsid w:val="0076259F"/>
    <w:rsid w:val="00763844"/>
    <w:rsid w:val="00764EC5"/>
    <w:rsid w:val="00766E8C"/>
    <w:rsid w:val="007674BB"/>
    <w:rsid w:val="007703C7"/>
    <w:rsid w:val="00770A7A"/>
    <w:rsid w:val="007741CE"/>
    <w:rsid w:val="00774A01"/>
    <w:rsid w:val="00774E74"/>
    <w:rsid w:val="007750B5"/>
    <w:rsid w:val="00776D73"/>
    <w:rsid w:val="007847F6"/>
    <w:rsid w:val="007854E2"/>
    <w:rsid w:val="00785B26"/>
    <w:rsid w:val="00785C00"/>
    <w:rsid w:val="00785F7A"/>
    <w:rsid w:val="00787499"/>
    <w:rsid w:val="007875D9"/>
    <w:rsid w:val="007877B4"/>
    <w:rsid w:val="00787DEE"/>
    <w:rsid w:val="00790B6B"/>
    <w:rsid w:val="00791275"/>
    <w:rsid w:val="007912FE"/>
    <w:rsid w:val="007913DD"/>
    <w:rsid w:val="00792F0C"/>
    <w:rsid w:val="00793042"/>
    <w:rsid w:val="0079324B"/>
    <w:rsid w:val="0079376E"/>
    <w:rsid w:val="0079444F"/>
    <w:rsid w:val="00795627"/>
    <w:rsid w:val="00795BC0"/>
    <w:rsid w:val="00795E09"/>
    <w:rsid w:val="00796884"/>
    <w:rsid w:val="0079768B"/>
    <w:rsid w:val="007A17FC"/>
    <w:rsid w:val="007A199D"/>
    <w:rsid w:val="007A25E9"/>
    <w:rsid w:val="007A3992"/>
    <w:rsid w:val="007A4243"/>
    <w:rsid w:val="007A69FE"/>
    <w:rsid w:val="007A7613"/>
    <w:rsid w:val="007B197A"/>
    <w:rsid w:val="007B249C"/>
    <w:rsid w:val="007B2B55"/>
    <w:rsid w:val="007B57B3"/>
    <w:rsid w:val="007B62AC"/>
    <w:rsid w:val="007B63FE"/>
    <w:rsid w:val="007B7177"/>
    <w:rsid w:val="007B7453"/>
    <w:rsid w:val="007B77AE"/>
    <w:rsid w:val="007C15F6"/>
    <w:rsid w:val="007C41D5"/>
    <w:rsid w:val="007C43C9"/>
    <w:rsid w:val="007C6245"/>
    <w:rsid w:val="007D174C"/>
    <w:rsid w:val="007D281A"/>
    <w:rsid w:val="007D3325"/>
    <w:rsid w:val="007D3555"/>
    <w:rsid w:val="007D5AEF"/>
    <w:rsid w:val="007D6CD6"/>
    <w:rsid w:val="007E081E"/>
    <w:rsid w:val="007E0C78"/>
    <w:rsid w:val="007E2049"/>
    <w:rsid w:val="007E2475"/>
    <w:rsid w:val="007E33DD"/>
    <w:rsid w:val="007E3958"/>
    <w:rsid w:val="007E4DE9"/>
    <w:rsid w:val="007E54B4"/>
    <w:rsid w:val="007E6294"/>
    <w:rsid w:val="007F026B"/>
    <w:rsid w:val="007F03D7"/>
    <w:rsid w:val="007F1768"/>
    <w:rsid w:val="007F1FC5"/>
    <w:rsid w:val="007F7BAA"/>
    <w:rsid w:val="008018C2"/>
    <w:rsid w:val="00803229"/>
    <w:rsid w:val="00803C29"/>
    <w:rsid w:val="00803ED2"/>
    <w:rsid w:val="0080532E"/>
    <w:rsid w:val="008063BF"/>
    <w:rsid w:val="0080668C"/>
    <w:rsid w:val="00806F8B"/>
    <w:rsid w:val="008119A8"/>
    <w:rsid w:val="00811DFB"/>
    <w:rsid w:val="008127CD"/>
    <w:rsid w:val="00814372"/>
    <w:rsid w:val="00814C9D"/>
    <w:rsid w:val="00815390"/>
    <w:rsid w:val="00817C91"/>
    <w:rsid w:val="00817D70"/>
    <w:rsid w:val="00820E01"/>
    <w:rsid w:val="00821C9F"/>
    <w:rsid w:val="008220B6"/>
    <w:rsid w:val="0082264C"/>
    <w:rsid w:val="008232A9"/>
    <w:rsid w:val="008238BB"/>
    <w:rsid w:val="00824E07"/>
    <w:rsid w:val="008253FB"/>
    <w:rsid w:val="008265BA"/>
    <w:rsid w:val="008278F1"/>
    <w:rsid w:val="008326B1"/>
    <w:rsid w:val="00834DC8"/>
    <w:rsid w:val="00835DBF"/>
    <w:rsid w:val="00840491"/>
    <w:rsid w:val="0084195F"/>
    <w:rsid w:val="00842155"/>
    <w:rsid w:val="00842C1C"/>
    <w:rsid w:val="00844064"/>
    <w:rsid w:val="00844747"/>
    <w:rsid w:val="00844FC1"/>
    <w:rsid w:val="0084503D"/>
    <w:rsid w:val="00845DFE"/>
    <w:rsid w:val="00846EB5"/>
    <w:rsid w:val="00847BB6"/>
    <w:rsid w:val="00850716"/>
    <w:rsid w:val="0085083D"/>
    <w:rsid w:val="00854F01"/>
    <w:rsid w:val="00855FEC"/>
    <w:rsid w:val="008566B9"/>
    <w:rsid w:val="00856AA2"/>
    <w:rsid w:val="00856D2E"/>
    <w:rsid w:val="00860698"/>
    <w:rsid w:val="00860FFF"/>
    <w:rsid w:val="00861696"/>
    <w:rsid w:val="00861BF7"/>
    <w:rsid w:val="00862AF1"/>
    <w:rsid w:val="0086316A"/>
    <w:rsid w:val="00863ABB"/>
    <w:rsid w:val="0086472C"/>
    <w:rsid w:val="00865168"/>
    <w:rsid w:val="0087078B"/>
    <w:rsid w:val="0087192E"/>
    <w:rsid w:val="008734E4"/>
    <w:rsid w:val="00873630"/>
    <w:rsid w:val="00875976"/>
    <w:rsid w:val="00876B47"/>
    <w:rsid w:val="0087707B"/>
    <w:rsid w:val="00877180"/>
    <w:rsid w:val="00877C5F"/>
    <w:rsid w:val="00881D59"/>
    <w:rsid w:val="008833EB"/>
    <w:rsid w:val="00883B10"/>
    <w:rsid w:val="00883BD4"/>
    <w:rsid w:val="00884365"/>
    <w:rsid w:val="00884BA4"/>
    <w:rsid w:val="00885620"/>
    <w:rsid w:val="00885EF1"/>
    <w:rsid w:val="00886D81"/>
    <w:rsid w:val="0088705D"/>
    <w:rsid w:val="0088745F"/>
    <w:rsid w:val="008901B6"/>
    <w:rsid w:val="00891563"/>
    <w:rsid w:val="0089286C"/>
    <w:rsid w:val="00893C22"/>
    <w:rsid w:val="0089475F"/>
    <w:rsid w:val="0089581A"/>
    <w:rsid w:val="0089761E"/>
    <w:rsid w:val="008A0760"/>
    <w:rsid w:val="008A2F46"/>
    <w:rsid w:val="008A4435"/>
    <w:rsid w:val="008A5143"/>
    <w:rsid w:val="008A751E"/>
    <w:rsid w:val="008B29FC"/>
    <w:rsid w:val="008B471A"/>
    <w:rsid w:val="008B4B69"/>
    <w:rsid w:val="008B53A0"/>
    <w:rsid w:val="008B53E8"/>
    <w:rsid w:val="008B5572"/>
    <w:rsid w:val="008B59DE"/>
    <w:rsid w:val="008B6B3E"/>
    <w:rsid w:val="008B77C1"/>
    <w:rsid w:val="008C0901"/>
    <w:rsid w:val="008C0F9B"/>
    <w:rsid w:val="008C1808"/>
    <w:rsid w:val="008C2AAD"/>
    <w:rsid w:val="008C3B2C"/>
    <w:rsid w:val="008C3D00"/>
    <w:rsid w:val="008C3D2C"/>
    <w:rsid w:val="008C56E1"/>
    <w:rsid w:val="008C601F"/>
    <w:rsid w:val="008C63D4"/>
    <w:rsid w:val="008C7EFE"/>
    <w:rsid w:val="008D0B0D"/>
    <w:rsid w:val="008D1778"/>
    <w:rsid w:val="008D32B2"/>
    <w:rsid w:val="008D3CA1"/>
    <w:rsid w:val="008D3EF8"/>
    <w:rsid w:val="008D411E"/>
    <w:rsid w:val="008D45DE"/>
    <w:rsid w:val="008D4F0C"/>
    <w:rsid w:val="008D643A"/>
    <w:rsid w:val="008D6596"/>
    <w:rsid w:val="008D71E5"/>
    <w:rsid w:val="008E035F"/>
    <w:rsid w:val="008E0CF8"/>
    <w:rsid w:val="008E2EB8"/>
    <w:rsid w:val="008E45B5"/>
    <w:rsid w:val="008E4890"/>
    <w:rsid w:val="008E4FC7"/>
    <w:rsid w:val="008E5231"/>
    <w:rsid w:val="008E566C"/>
    <w:rsid w:val="008E586D"/>
    <w:rsid w:val="008E5C87"/>
    <w:rsid w:val="008E5FDF"/>
    <w:rsid w:val="008E640B"/>
    <w:rsid w:val="008E6809"/>
    <w:rsid w:val="008E7225"/>
    <w:rsid w:val="008F0CF2"/>
    <w:rsid w:val="008F15D0"/>
    <w:rsid w:val="008F1C3C"/>
    <w:rsid w:val="008F23D3"/>
    <w:rsid w:val="008F33E2"/>
    <w:rsid w:val="008F4484"/>
    <w:rsid w:val="008F551B"/>
    <w:rsid w:val="008F55F8"/>
    <w:rsid w:val="008F5BF8"/>
    <w:rsid w:val="008F6732"/>
    <w:rsid w:val="008F6F00"/>
    <w:rsid w:val="008F7699"/>
    <w:rsid w:val="0090001A"/>
    <w:rsid w:val="009004F7"/>
    <w:rsid w:val="00901BD7"/>
    <w:rsid w:val="00903002"/>
    <w:rsid w:val="00906588"/>
    <w:rsid w:val="009104A8"/>
    <w:rsid w:val="00913A97"/>
    <w:rsid w:val="00913FD9"/>
    <w:rsid w:val="0091437A"/>
    <w:rsid w:val="00914B2D"/>
    <w:rsid w:val="00914C1D"/>
    <w:rsid w:val="00917485"/>
    <w:rsid w:val="0092054D"/>
    <w:rsid w:val="00921DFF"/>
    <w:rsid w:val="00923DAB"/>
    <w:rsid w:val="009245C5"/>
    <w:rsid w:val="00926158"/>
    <w:rsid w:val="00927475"/>
    <w:rsid w:val="0093086C"/>
    <w:rsid w:val="00930F44"/>
    <w:rsid w:val="009322F0"/>
    <w:rsid w:val="00932A99"/>
    <w:rsid w:val="0093363A"/>
    <w:rsid w:val="00933E0D"/>
    <w:rsid w:val="009345C5"/>
    <w:rsid w:val="00934AAB"/>
    <w:rsid w:val="00936655"/>
    <w:rsid w:val="00936904"/>
    <w:rsid w:val="00937AED"/>
    <w:rsid w:val="00940615"/>
    <w:rsid w:val="0094116A"/>
    <w:rsid w:val="0094345F"/>
    <w:rsid w:val="00943C1D"/>
    <w:rsid w:val="00943C8B"/>
    <w:rsid w:val="0094406A"/>
    <w:rsid w:val="00944B53"/>
    <w:rsid w:val="00945C29"/>
    <w:rsid w:val="0094622B"/>
    <w:rsid w:val="0094672B"/>
    <w:rsid w:val="009467B8"/>
    <w:rsid w:val="00946CBF"/>
    <w:rsid w:val="00950FC7"/>
    <w:rsid w:val="00951D35"/>
    <w:rsid w:val="0095269D"/>
    <w:rsid w:val="009526DA"/>
    <w:rsid w:val="00953B77"/>
    <w:rsid w:val="00955D2D"/>
    <w:rsid w:val="009564CA"/>
    <w:rsid w:val="00957138"/>
    <w:rsid w:val="00960AFB"/>
    <w:rsid w:val="00965F12"/>
    <w:rsid w:val="009660D2"/>
    <w:rsid w:val="009677A4"/>
    <w:rsid w:val="00970E72"/>
    <w:rsid w:val="00972A75"/>
    <w:rsid w:val="00972B2B"/>
    <w:rsid w:val="00973AAF"/>
    <w:rsid w:val="0097441C"/>
    <w:rsid w:val="00974A05"/>
    <w:rsid w:val="00975371"/>
    <w:rsid w:val="009753D1"/>
    <w:rsid w:val="009804F5"/>
    <w:rsid w:val="00982658"/>
    <w:rsid w:val="0098325D"/>
    <w:rsid w:val="00983CDD"/>
    <w:rsid w:val="00984D4C"/>
    <w:rsid w:val="0098629D"/>
    <w:rsid w:val="009900D8"/>
    <w:rsid w:val="0099042D"/>
    <w:rsid w:val="00992891"/>
    <w:rsid w:val="00994ADB"/>
    <w:rsid w:val="00997029"/>
    <w:rsid w:val="00997919"/>
    <w:rsid w:val="009A11A6"/>
    <w:rsid w:val="009A2E9D"/>
    <w:rsid w:val="009A2ECC"/>
    <w:rsid w:val="009A35DF"/>
    <w:rsid w:val="009A4BF8"/>
    <w:rsid w:val="009A553C"/>
    <w:rsid w:val="009A650F"/>
    <w:rsid w:val="009A6CA2"/>
    <w:rsid w:val="009A749C"/>
    <w:rsid w:val="009A7DCC"/>
    <w:rsid w:val="009B0095"/>
    <w:rsid w:val="009B2827"/>
    <w:rsid w:val="009B2CFA"/>
    <w:rsid w:val="009B306D"/>
    <w:rsid w:val="009B5282"/>
    <w:rsid w:val="009B53A4"/>
    <w:rsid w:val="009B5834"/>
    <w:rsid w:val="009B5C44"/>
    <w:rsid w:val="009B636B"/>
    <w:rsid w:val="009B765D"/>
    <w:rsid w:val="009C100B"/>
    <w:rsid w:val="009C2C17"/>
    <w:rsid w:val="009C30C8"/>
    <w:rsid w:val="009C3162"/>
    <w:rsid w:val="009C37E9"/>
    <w:rsid w:val="009C3A40"/>
    <w:rsid w:val="009C4104"/>
    <w:rsid w:val="009C4905"/>
    <w:rsid w:val="009C4B91"/>
    <w:rsid w:val="009C6CDC"/>
    <w:rsid w:val="009C7F78"/>
    <w:rsid w:val="009D44CF"/>
    <w:rsid w:val="009D46F0"/>
    <w:rsid w:val="009D4802"/>
    <w:rsid w:val="009D5483"/>
    <w:rsid w:val="009D56A0"/>
    <w:rsid w:val="009D58E6"/>
    <w:rsid w:val="009D612B"/>
    <w:rsid w:val="009D6BB9"/>
    <w:rsid w:val="009D7662"/>
    <w:rsid w:val="009E3817"/>
    <w:rsid w:val="009E3B6F"/>
    <w:rsid w:val="009E492C"/>
    <w:rsid w:val="009E526C"/>
    <w:rsid w:val="009E6BC5"/>
    <w:rsid w:val="009E766A"/>
    <w:rsid w:val="009F0574"/>
    <w:rsid w:val="009F1A7F"/>
    <w:rsid w:val="009F27BE"/>
    <w:rsid w:val="009F3C3B"/>
    <w:rsid w:val="009F4533"/>
    <w:rsid w:val="009F4D67"/>
    <w:rsid w:val="009F5320"/>
    <w:rsid w:val="009F5BE3"/>
    <w:rsid w:val="009F5C4A"/>
    <w:rsid w:val="009F6EA0"/>
    <w:rsid w:val="009F7BD8"/>
    <w:rsid w:val="00A01FBF"/>
    <w:rsid w:val="00A036A8"/>
    <w:rsid w:val="00A04475"/>
    <w:rsid w:val="00A04616"/>
    <w:rsid w:val="00A0490A"/>
    <w:rsid w:val="00A05028"/>
    <w:rsid w:val="00A0723F"/>
    <w:rsid w:val="00A078A5"/>
    <w:rsid w:val="00A101B1"/>
    <w:rsid w:val="00A11F5D"/>
    <w:rsid w:val="00A15466"/>
    <w:rsid w:val="00A15A7F"/>
    <w:rsid w:val="00A16260"/>
    <w:rsid w:val="00A17EC2"/>
    <w:rsid w:val="00A209D4"/>
    <w:rsid w:val="00A20D14"/>
    <w:rsid w:val="00A26245"/>
    <w:rsid w:val="00A267BA"/>
    <w:rsid w:val="00A268AC"/>
    <w:rsid w:val="00A27919"/>
    <w:rsid w:val="00A27A1C"/>
    <w:rsid w:val="00A27D29"/>
    <w:rsid w:val="00A3117D"/>
    <w:rsid w:val="00A31A78"/>
    <w:rsid w:val="00A31D2C"/>
    <w:rsid w:val="00A3411C"/>
    <w:rsid w:val="00A36880"/>
    <w:rsid w:val="00A41B10"/>
    <w:rsid w:val="00A41D14"/>
    <w:rsid w:val="00A46E1A"/>
    <w:rsid w:val="00A46F4E"/>
    <w:rsid w:val="00A47211"/>
    <w:rsid w:val="00A47846"/>
    <w:rsid w:val="00A5066D"/>
    <w:rsid w:val="00A511BB"/>
    <w:rsid w:val="00A52AFA"/>
    <w:rsid w:val="00A53D0C"/>
    <w:rsid w:val="00A53D0D"/>
    <w:rsid w:val="00A56DD4"/>
    <w:rsid w:val="00A56EA3"/>
    <w:rsid w:val="00A571C0"/>
    <w:rsid w:val="00A57527"/>
    <w:rsid w:val="00A57736"/>
    <w:rsid w:val="00A57763"/>
    <w:rsid w:val="00A60160"/>
    <w:rsid w:val="00A60F63"/>
    <w:rsid w:val="00A64571"/>
    <w:rsid w:val="00A652AB"/>
    <w:rsid w:val="00A656C7"/>
    <w:rsid w:val="00A6600C"/>
    <w:rsid w:val="00A66899"/>
    <w:rsid w:val="00A671FC"/>
    <w:rsid w:val="00A71420"/>
    <w:rsid w:val="00A74AB7"/>
    <w:rsid w:val="00A75136"/>
    <w:rsid w:val="00A75A12"/>
    <w:rsid w:val="00A76750"/>
    <w:rsid w:val="00A77F14"/>
    <w:rsid w:val="00A80177"/>
    <w:rsid w:val="00A80DC4"/>
    <w:rsid w:val="00A814AC"/>
    <w:rsid w:val="00A814EF"/>
    <w:rsid w:val="00A819BF"/>
    <w:rsid w:val="00A83CE3"/>
    <w:rsid w:val="00A84252"/>
    <w:rsid w:val="00A85845"/>
    <w:rsid w:val="00A85B62"/>
    <w:rsid w:val="00A87063"/>
    <w:rsid w:val="00A874CA"/>
    <w:rsid w:val="00A876FA"/>
    <w:rsid w:val="00A907E5"/>
    <w:rsid w:val="00A91441"/>
    <w:rsid w:val="00A91E4E"/>
    <w:rsid w:val="00A92316"/>
    <w:rsid w:val="00A92E67"/>
    <w:rsid w:val="00A93E19"/>
    <w:rsid w:val="00A94958"/>
    <w:rsid w:val="00A97817"/>
    <w:rsid w:val="00AA2F55"/>
    <w:rsid w:val="00AA340C"/>
    <w:rsid w:val="00AA5439"/>
    <w:rsid w:val="00AA63AC"/>
    <w:rsid w:val="00AA71F1"/>
    <w:rsid w:val="00AB25EB"/>
    <w:rsid w:val="00AB3E76"/>
    <w:rsid w:val="00AB3FBD"/>
    <w:rsid w:val="00AB4714"/>
    <w:rsid w:val="00AB4EEE"/>
    <w:rsid w:val="00AB5E51"/>
    <w:rsid w:val="00AB63E5"/>
    <w:rsid w:val="00AC2FED"/>
    <w:rsid w:val="00AC3EB4"/>
    <w:rsid w:val="00AC56D9"/>
    <w:rsid w:val="00AC5AE4"/>
    <w:rsid w:val="00AC64F3"/>
    <w:rsid w:val="00AC7C83"/>
    <w:rsid w:val="00AC7E6D"/>
    <w:rsid w:val="00AD15DC"/>
    <w:rsid w:val="00AD1B6C"/>
    <w:rsid w:val="00AD1C81"/>
    <w:rsid w:val="00AD21D0"/>
    <w:rsid w:val="00AD36F6"/>
    <w:rsid w:val="00AD68DA"/>
    <w:rsid w:val="00AD692E"/>
    <w:rsid w:val="00AE0000"/>
    <w:rsid w:val="00AE0EBD"/>
    <w:rsid w:val="00AE2822"/>
    <w:rsid w:val="00AE3816"/>
    <w:rsid w:val="00AE4AE0"/>
    <w:rsid w:val="00AE5089"/>
    <w:rsid w:val="00AE617D"/>
    <w:rsid w:val="00AF0011"/>
    <w:rsid w:val="00AF0F5A"/>
    <w:rsid w:val="00AF3DD5"/>
    <w:rsid w:val="00AF414F"/>
    <w:rsid w:val="00AF4270"/>
    <w:rsid w:val="00AF76BC"/>
    <w:rsid w:val="00AF7A67"/>
    <w:rsid w:val="00B004DC"/>
    <w:rsid w:val="00B01927"/>
    <w:rsid w:val="00B03BB0"/>
    <w:rsid w:val="00B048E2"/>
    <w:rsid w:val="00B04948"/>
    <w:rsid w:val="00B04DEC"/>
    <w:rsid w:val="00B051A3"/>
    <w:rsid w:val="00B051A6"/>
    <w:rsid w:val="00B05561"/>
    <w:rsid w:val="00B0566A"/>
    <w:rsid w:val="00B0675E"/>
    <w:rsid w:val="00B074E3"/>
    <w:rsid w:val="00B07BE6"/>
    <w:rsid w:val="00B07F8C"/>
    <w:rsid w:val="00B102C8"/>
    <w:rsid w:val="00B1162C"/>
    <w:rsid w:val="00B11763"/>
    <w:rsid w:val="00B117CA"/>
    <w:rsid w:val="00B13293"/>
    <w:rsid w:val="00B13327"/>
    <w:rsid w:val="00B13B63"/>
    <w:rsid w:val="00B14AFD"/>
    <w:rsid w:val="00B151E6"/>
    <w:rsid w:val="00B15291"/>
    <w:rsid w:val="00B16732"/>
    <w:rsid w:val="00B1739A"/>
    <w:rsid w:val="00B173AB"/>
    <w:rsid w:val="00B20FF9"/>
    <w:rsid w:val="00B212A1"/>
    <w:rsid w:val="00B258F5"/>
    <w:rsid w:val="00B26C0C"/>
    <w:rsid w:val="00B270B2"/>
    <w:rsid w:val="00B3012E"/>
    <w:rsid w:val="00B31531"/>
    <w:rsid w:val="00B327A4"/>
    <w:rsid w:val="00B34062"/>
    <w:rsid w:val="00B340F3"/>
    <w:rsid w:val="00B34699"/>
    <w:rsid w:val="00B35367"/>
    <w:rsid w:val="00B37A36"/>
    <w:rsid w:val="00B37B1E"/>
    <w:rsid w:val="00B40D76"/>
    <w:rsid w:val="00B4250D"/>
    <w:rsid w:val="00B42C73"/>
    <w:rsid w:val="00B43C7A"/>
    <w:rsid w:val="00B44368"/>
    <w:rsid w:val="00B474A8"/>
    <w:rsid w:val="00B47D40"/>
    <w:rsid w:val="00B53541"/>
    <w:rsid w:val="00B552B9"/>
    <w:rsid w:val="00B5671F"/>
    <w:rsid w:val="00B5689B"/>
    <w:rsid w:val="00B57616"/>
    <w:rsid w:val="00B60A89"/>
    <w:rsid w:val="00B61A24"/>
    <w:rsid w:val="00B62070"/>
    <w:rsid w:val="00B62B8E"/>
    <w:rsid w:val="00B62ED2"/>
    <w:rsid w:val="00B63AF8"/>
    <w:rsid w:val="00B63BFE"/>
    <w:rsid w:val="00B64328"/>
    <w:rsid w:val="00B66094"/>
    <w:rsid w:val="00B661C0"/>
    <w:rsid w:val="00B6681E"/>
    <w:rsid w:val="00B71B97"/>
    <w:rsid w:val="00B7218C"/>
    <w:rsid w:val="00B736ED"/>
    <w:rsid w:val="00B742E3"/>
    <w:rsid w:val="00B74CC9"/>
    <w:rsid w:val="00B7523A"/>
    <w:rsid w:val="00B75873"/>
    <w:rsid w:val="00B75A04"/>
    <w:rsid w:val="00B7663F"/>
    <w:rsid w:val="00B76A66"/>
    <w:rsid w:val="00B77E06"/>
    <w:rsid w:val="00B77FC7"/>
    <w:rsid w:val="00B8336B"/>
    <w:rsid w:val="00B83F09"/>
    <w:rsid w:val="00B83F61"/>
    <w:rsid w:val="00B91AED"/>
    <w:rsid w:val="00B91E17"/>
    <w:rsid w:val="00B92CD0"/>
    <w:rsid w:val="00B944C7"/>
    <w:rsid w:val="00B95E74"/>
    <w:rsid w:val="00B96349"/>
    <w:rsid w:val="00B96860"/>
    <w:rsid w:val="00B96A23"/>
    <w:rsid w:val="00B9712C"/>
    <w:rsid w:val="00B97FFA"/>
    <w:rsid w:val="00BA1C6A"/>
    <w:rsid w:val="00BA1EFD"/>
    <w:rsid w:val="00BA2D06"/>
    <w:rsid w:val="00BA2DAA"/>
    <w:rsid w:val="00BA3643"/>
    <w:rsid w:val="00BA3EAD"/>
    <w:rsid w:val="00BA4A5A"/>
    <w:rsid w:val="00BA7246"/>
    <w:rsid w:val="00BB0F17"/>
    <w:rsid w:val="00BB13B6"/>
    <w:rsid w:val="00BB207D"/>
    <w:rsid w:val="00BB2979"/>
    <w:rsid w:val="00BB52EC"/>
    <w:rsid w:val="00BB7135"/>
    <w:rsid w:val="00BB7D1D"/>
    <w:rsid w:val="00BC1866"/>
    <w:rsid w:val="00BC4A3F"/>
    <w:rsid w:val="00BC4E72"/>
    <w:rsid w:val="00BC6761"/>
    <w:rsid w:val="00BC6D11"/>
    <w:rsid w:val="00BC6DBC"/>
    <w:rsid w:val="00BD0B88"/>
    <w:rsid w:val="00BD0C9F"/>
    <w:rsid w:val="00BD2A81"/>
    <w:rsid w:val="00BD2DDD"/>
    <w:rsid w:val="00BD5ABB"/>
    <w:rsid w:val="00BD74EA"/>
    <w:rsid w:val="00BD7B60"/>
    <w:rsid w:val="00BD7D03"/>
    <w:rsid w:val="00BD7FC9"/>
    <w:rsid w:val="00BE0400"/>
    <w:rsid w:val="00BE0D17"/>
    <w:rsid w:val="00BE2265"/>
    <w:rsid w:val="00BE22A3"/>
    <w:rsid w:val="00BE2420"/>
    <w:rsid w:val="00BE253C"/>
    <w:rsid w:val="00BE4663"/>
    <w:rsid w:val="00BE5C14"/>
    <w:rsid w:val="00BE67B7"/>
    <w:rsid w:val="00BE712B"/>
    <w:rsid w:val="00BE760F"/>
    <w:rsid w:val="00BF064A"/>
    <w:rsid w:val="00BF2177"/>
    <w:rsid w:val="00BF2F2F"/>
    <w:rsid w:val="00BF5E88"/>
    <w:rsid w:val="00BF7EBD"/>
    <w:rsid w:val="00C002E1"/>
    <w:rsid w:val="00C007E6"/>
    <w:rsid w:val="00C016B2"/>
    <w:rsid w:val="00C02E60"/>
    <w:rsid w:val="00C03624"/>
    <w:rsid w:val="00C03B34"/>
    <w:rsid w:val="00C03CC0"/>
    <w:rsid w:val="00C04371"/>
    <w:rsid w:val="00C05159"/>
    <w:rsid w:val="00C05573"/>
    <w:rsid w:val="00C0559C"/>
    <w:rsid w:val="00C05B6E"/>
    <w:rsid w:val="00C060D7"/>
    <w:rsid w:val="00C062E6"/>
    <w:rsid w:val="00C063D6"/>
    <w:rsid w:val="00C066DA"/>
    <w:rsid w:val="00C07C32"/>
    <w:rsid w:val="00C121F1"/>
    <w:rsid w:val="00C12201"/>
    <w:rsid w:val="00C12E5E"/>
    <w:rsid w:val="00C14B8C"/>
    <w:rsid w:val="00C161D3"/>
    <w:rsid w:val="00C1658F"/>
    <w:rsid w:val="00C17C36"/>
    <w:rsid w:val="00C20A76"/>
    <w:rsid w:val="00C21110"/>
    <w:rsid w:val="00C2167C"/>
    <w:rsid w:val="00C21C84"/>
    <w:rsid w:val="00C22B95"/>
    <w:rsid w:val="00C25EDF"/>
    <w:rsid w:val="00C319E3"/>
    <w:rsid w:val="00C33129"/>
    <w:rsid w:val="00C34572"/>
    <w:rsid w:val="00C34650"/>
    <w:rsid w:val="00C36015"/>
    <w:rsid w:val="00C36DBC"/>
    <w:rsid w:val="00C36DE3"/>
    <w:rsid w:val="00C36F46"/>
    <w:rsid w:val="00C375B3"/>
    <w:rsid w:val="00C37891"/>
    <w:rsid w:val="00C3791A"/>
    <w:rsid w:val="00C37A9F"/>
    <w:rsid w:val="00C400C2"/>
    <w:rsid w:val="00C40352"/>
    <w:rsid w:val="00C412FE"/>
    <w:rsid w:val="00C41667"/>
    <w:rsid w:val="00C41E5E"/>
    <w:rsid w:val="00C4293F"/>
    <w:rsid w:val="00C437CE"/>
    <w:rsid w:val="00C44195"/>
    <w:rsid w:val="00C45EBB"/>
    <w:rsid w:val="00C461BE"/>
    <w:rsid w:val="00C465F4"/>
    <w:rsid w:val="00C47A3F"/>
    <w:rsid w:val="00C50C1E"/>
    <w:rsid w:val="00C510A8"/>
    <w:rsid w:val="00C52A45"/>
    <w:rsid w:val="00C52D5D"/>
    <w:rsid w:val="00C5566B"/>
    <w:rsid w:val="00C56056"/>
    <w:rsid w:val="00C571D3"/>
    <w:rsid w:val="00C571F6"/>
    <w:rsid w:val="00C6019D"/>
    <w:rsid w:val="00C601D0"/>
    <w:rsid w:val="00C60839"/>
    <w:rsid w:val="00C60A30"/>
    <w:rsid w:val="00C60B41"/>
    <w:rsid w:val="00C61E42"/>
    <w:rsid w:val="00C62C50"/>
    <w:rsid w:val="00C6399B"/>
    <w:rsid w:val="00C64193"/>
    <w:rsid w:val="00C64CC1"/>
    <w:rsid w:val="00C705EA"/>
    <w:rsid w:val="00C70B2B"/>
    <w:rsid w:val="00C70EE1"/>
    <w:rsid w:val="00C71405"/>
    <w:rsid w:val="00C73CE9"/>
    <w:rsid w:val="00C74A3A"/>
    <w:rsid w:val="00C74F1C"/>
    <w:rsid w:val="00C7502C"/>
    <w:rsid w:val="00C75ABC"/>
    <w:rsid w:val="00C75DFA"/>
    <w:rsid w:val="00C76590"/>
    <w:rsid w:val="00C76734"/>
    <w:rsid w:val="00C812E0"/>
    <w:rsid w:val="00C817DC"/>
    <w:rsid w:val="00C83C06"/>
    <w:rsid w:val="00C851C3"/>
    <w:rsid w:val="00C85746"/>
    <w:rsid w:val="00C85840"/>
    <w:rsid w:val="00C85BDE"/>
    <w:rsid w:val="00C9032F"/>
    <w:rsid w:val="00C90747"/>
    <w:rsid w:val="00C91551"/>
    <w:rsid w:val="00C92B6E"/>
    <w:rsid w:val="00C93398"/>
    <w:rsid w:val="00C9389A"/>
    <w:rsid w:val="00C94AB7"/>
    <w:rsid w:val="00C952D2"/>
    <w:rsid w:val="00C955C1"/>
    <w:rsid w:val="00C9603C"/>
    <w:rsid w:val="00C96C70"/>
    <w:rsid w:val="00C97CBF"/>
    <w:rsid w:val="00CA1578"/>
    <w:rsid w:val="00CA21C5"/>
    <w:rsid w:val="00CA2345"/>
    <w:rsid w:val="00CA23CD"/>
    <w:rsid w:val="00CA2DFB"/>
    <w:rsid w:val="00CA53DB"/>
    <w:rsid w:val="00CA7098"/>
    <w:rsid w:val="00CA7A56"/>
    <w:rsid w:val="00CB13B4"/>
    <w:rsid w:val="00CB155E"/>
    <w:rsid w:val="00CB4587"/>
    <w:rsid w:val="00CB7BE5"/>
    <w:rsid w:val="00CC173C"/>
    <w:rsid w:val="00CC284E"/>
    <w:rsid w:val="00CC2FA0"/>
    <w:rsid w:val="00CC43E9"/>
    <w:rsid w:val="00CC6004"/>
    <w:rsid w:val="00CD0AA2"/>
    <w:rsid w:val="00CD116C"/>
    <w:rsid w:val="00CD1430"/>
    <w:rsid w:val="00CD1BE9"/>
    <w:rsid w:val="00CD1BF5"/>
    <w:rsid w:val="00CD2480"/>
    <w:rsid w:val="00CD2EF4"/>
    <w:rsid w:val="00CD6A86"/>
    <w:rsid w:val="00CE03BE"/>
    <w:rsid w:val="00CE2104"/>
    <w:rsid w:val="00CE3480"/>
    <w:rsid w:val="00CE3A1B"/>
    <w:rsid w:val="00CF1771"/>
    <w:rsid w:val="00CF2D2F"/>
    <w:rsid w:val="00CF49F1"/>
    <w:rsid w:val="00CF55E5"/>
    <w:rsid w:val="00CF5ED6"/>
    <w:rsid w:val="00D0174A"/>
    <w:rsid w:val="00D017EE"/>
    <w:rsid w:val="00D02315"/>
    <w:rsid w:val="00D0242F"/>
    <w:rsid w:val="00D02E4A"/>
    <w:rsid w:val="00D03342"/>
    <w:rsid w:val="00D03711"/>
    <w:rsid w:val="00D0466A"/>
    <w:rsid w:val="00D067C0"/>
    <w:rsid w:val="00D1155A"/>
    <w:rsid w:val="00D11F8F"/>
    <w:rsid w:val="00D12AA9"/>
    <w:rsid w:val="00D12E5E"/>
    <w:rsid w:val="00D12F46"/>
    <w:rsid w:val="00D13BF9"/>
    <w:rsid w:val="00D1413B"/>
    <w:rsid w:val="00D1423E"/>
    <w:rsid w:val="00D14CB7"/>
    <w:rsid w:val="00D15817"/>
    <w:rsid w:val="00D1656D"/>
    <w:rsid w:val="00D1685E"/>
    <w:rsid w:val="00D204F2"/>
    <w:rsid w:val="00D21365"/>
    <w:rsid w:val="00D21432"/>
    <w:rsid w:val="00D22374"/>
    <w:rsid w:val="00D226D3"/>
    <w:rsid w:val="00D25BD3"/>
    <w:rsid w:val="00D27078"/>
    <w:rsid w:val="00D270F4"/>
    <w:rsid w:val="00D27A12"/>
    <w:rsid w:val="00D30469"/>
    <w:rsid w:val="00D34E2D"/>
    <w:rsid w:val="00D34E68"/>
    <w:rsid w:val="00D35B58"/>
    <w:rsid w:val="00D360F1"/>
    <w:rsid w:val="00D37076"/>
    <w:rsid w:val="00D374C6"/>
    <w:rsid w:val="00D40393"/>
    <w:rsid w:val="00D40D40"/>
    <w:rsid w:val="00D45297"/>
    <w:rsid w:val="00D46419"/>
    <w:rsid w:val="00D46D32"/>
    <w:rsid w:val="00D47C6E"/>
    <w:rsid w:val="00D50117"/>
    <w:rsid w:val="00D51193"/>
    <w:rsid w:val="00D523BE"/>
    <w:rsid w:val="00D53D18"/>
    <w:rsid w:val="00D53F4E"/>
    <w:rsid w:val="00D5401C"/>
    <w:rsid w:val="00D544F6"/>
    <w:rsid w:val="00D5569F"/>
    <w:rsid w:val="00D55D3D"/>
    <w:rsid w:val="00D561E9"/>
    <w:rsid w:val="00D563C2"/>
    <w:rsid w:val="00D56549"/>
    <w:rsid w:val="00D56C30"/>
    <w:rsid w:val="00D62209"/>
    <w:rsid w:val="00D62BA8"/>
    <w:rsid w:val="00D65463"/>
    <w:rsid w:val="00D656B1"/>
    <w:rsid w:val="00D67DF7"/>
    <w:rsid w:val="00D70284"/>
    <w:rsid w:val="00D70989"/>
    <w:rsid w:val="00D714B6"/>
    <w:rsid w:val="00D71A70"/>
    <w:rsid w:val="00D72E17"/>
    <w:rsid w:val="00D73549"/>
    <w:rsid w:val="00D73C3C"/>
    <w:rsid w:val="00D73F5C"/>
    <w:rsid w:val="00D74EDD"/>
    <w:rsid w:val="00D75A64"/>
    <w:rsid w:val="00D76378"/>
    <w:rsid w:val="00D76F56"/>
    <w:rsid w:val="00D77983"/>
    <w:rsid w:val="00D77E38"/>
    <w:rsid w:val="00D80F09"/>
    <w:rsid w:val="00D81A31"/>
    <w:rsid w:val="00D82B0F"/>
    <w:rsid w:val="00D839A9"/>
    <w:rsid w:val="00D8767E"/>
    <w:rsid w:val="00D91537"/>
    <w:rsid w:val="00D92618"/>
    <w:rsid w:val="00D93796"/>
    <w:rsid w:val="00D94EE1"/>
    <w:rsid w:val="00D951E7"/>
    <w:rsid w:val="00D9566E"/>
    <w:rsid w:val="00D962AC"/>
    <w:rsid w:val="00DA0460"/>
    <w:rsid w:val="00DA0F78"/>
    <w:rsid w:val="00DA1DFB"/>
    <w:rsid w:val="00DA3EEB"/>
    <w:rsid w:val="00DA42A3"/>
    <w:rsid w:val="00DA4572"/>
    <w:rsid w:val="00DA4C5F"/>
    <w:rsid w:val="00DA5507"/>
    <w:rsid w:val="00DA58C6"/>
    <w:rsid w:val="00DB36F5"/>
    <w:rsid w:val="00DB513A"/>
    <w:rsid w:val="00DB52EC"/>
    <w:rsid w:val="00DB63EC"/>
    <w:rsid w:val="00DB7050"/>
    <w:rsid w:val="00DB726A"/>
    <w:rsid w:val="00DB7588"/>
    <w:rsid w:val="00DB7EE9"/>
    <w:rsid w:val="00DC0FC4"/>
    <w:rsid w:val="00DC130D"/>
    <w:rsid w:val="00DC1B9B"/>
    <w:rsid w:val="00DC1D8F"/>
    <w:rsid w:val="00DC2FA0"/>
    <w:rsid w:val="00DC469E"/>
    <w:rsid w:val="00DC4A72"/>
    <w:rsid w:val="00DC5497"/>
    <w:rsid w:val="00DC5F18"/>
    <w:rsid w:val="00DC7859"/>
    <w:rsid w:val="00DC7DDD"/>
    <w:rsid w:val="00DD14E7"/>
    <w:rsid w:val="00DD3B0D"/>
    <w:rsid w:val="00DD5684"/>
    <w:rsid w:val="00DD57FE"/>
    <w:rsid w:val="00DD6AA5"/>
    <w:rsid w:val="00DE16EA"/>
    <w:rsid w:val="00DE1D70"/>
    <w:rsid w:val="00DE2872"/>
    <w:rsid w:val="00DE288A"/>
    <w:rsid w:val="00DE2F2C"/>
    <w:rsid w:val="00DE323B"/>
    <w:rsid w:val="00DE504B"/>
    <w:rsid w:val="00DE71D2"/>
    <w:rsid w:val="00DF0F2D"/>
    <w:rsid w:val="00DF13CB"/>
    <w:rsid w:val="00DF1D01"/>
    <w:rsid w:val="00DF2A20"/>
    <w:rsid w:val="00DF47CB"/>
    <w:rsid w:val="00DF5A91"/>
    <w:rsid w:val="00DF6D32"/>
    <w:rsid w:val="00E0097B"/>
    <w:rsid w:val="00E00F93"/>
    <w:rsid w:val="00E01C56"/>
    <w:rsid w:val="00E01F90"/>
    <w:rsid w:val="00E04F35"/>
    <w:rsid w:val="00E076FE"/>
    <w:rsid w:val="00E07AA1"/>
    <w:rsid w:val="00E07DB6"/>
    <w:rsid w:val="00E10E67"/>
    <w:rsid w:val="00E11F82"/>
    <w:rsid w:val="00E11FAE"/>
    <w:rsid w:val="00E12BBC"/>
    <w:rsid w:val="00E14032"/>
    <w:rsid w:val="00E155D6"/>
    <w:rsid w:val="00E17ACB"/>
    <w:rsid w:val="00E20550"/>
    <w:rsid w:val="00E20E72"/>
    <w:rsid w:val="00E210A6"/>
    <w:rsid w:val="00E223F8"/>
    <w:rsid w:val="00E22550"/>
    <w:rsid w:val="00E23C53"/>
    <w:rsid w:val="00E24A02"/>
    <w:rsid w:val="00E24D15"/>
    <w:rsid w:val="00E25025"/>
    <w:rsid w:val="00E2559B"/>
    <w:rsid w:val="00E259C0"/>
    <w:rsid w:val="00E25F6B"/>
    <w:rsid w:val="00E30E9E"/>
    <w:rsid w:val="00E326CF"/>
    <w:rsid w:val="00E3616C"/>
    <w:rsid w:val="00E362FF"/>
    <w:rsid w:val="00E40261"/>
    <w:rsid w:val="00E402DB"/>
    <w:rsid w:val="00E404C5"/>
    <w:rsid w:val="00E407C4"/>
    <w:rsid w:val="00E40F46"/>
    <w:rsid w:val="00E41094"/>
    <w:rsid w:val="00E4269B"/>
    <w:rsid w:val="00E42F49"/>
    <w:rsid w:val="00E4685E"/>
    <w:rsid w:val="00E47546"/>
    <w:rsid w:val="00E47746"/>
    <w:rsid w:val="00E51447"/>
    <w:rsid w:val="00E548C3"/>
    <w:rsid w:val="00E54D23"/>
    <w:rsid w:val="00E54FA5"/>
    <w:rsid w:val="00E5523D"/>
    <w:rsid w:val="00E553BB"/>
    <w:rsid w:val="00E561B0"/>
    <w:rsid w:val="00E57FA1"/>
    <w:rsid w:val="00E6073B"/>
    <w:rsid w:val="00E60DC2"/>
    <w:rsid w:val="00E622F9"/>
    <w:rsid w:val="00E64D35"/>
    <w:rsid w:val="00E64D60"/>
    <w:rsid w:val="00E653F9"/>
    <w:rsid w:val="00E65DF7"/>
    <w:rsid w:val="00E66445"/>
    <w:rsid w:val="00E66821"/>
    <w:rsid w:val="00E7022A"/>
    <w:rsid w:val="00E70282"/>
    <w:rsid w:val="00E704F9"/>
    <w:rsid w:val="00E70A30"/>
    <w:rsid w:val="00E71045"/>
    <w:rsid w:val="00E7146A"/>
    <w:rsid w:val="00E7194C"/>
    <w:rsid w:val="00E71FF8"/>
    <w:rsid w:val="00E72E76"/>
    <w:rsid w:val="00E75036"/>
    <w:rsid w:val="00E75353"/>
    <w:rsid w:val="00E75910"/>
    <w:rsid w:val="00E77E5F"/>
    <w:rsid w:val="00E80210"/>
    <w:rsid w:val="00E8073C"/>
    <w:rsid w:val="00E809B5"/>
    <w:rsid w:val="00E8284E"/>
    <w:rsid w:val="00E8334A"/>
    <w:rsid w:val="00E83EB7"/>
    <w:rsid w:val="00E843C2"/>
    <w:rsid w:val="00E85029"/>
    <w:rsid w:val="00E85988"/>
    <w:rsid w:val="00E903D5"/>
    <w:rsid w:val="00E91AEB"/>
    <w:rsid w:val="00E94599"/>
    <w:rsid w:val="00E9480B"/>
    <w:rsid w:val="00E95A82"/>
    <w:rsid w:val="00E9675D"/>
    <w:rsid w:val="00E973B8"/>
    <w:rsid w:val="00EA12FE"/>
    <w:rsid w:val="00EA2A17"/>
    <w:rsid w:val="00EA2E0F"/>
    <w:rsid w:val="00EA32D2"/>
    <w:rsid w:val="00EA42E5"/>
    <w:rsid w:val="00EA52E4"/>
    <w:rsid w:val="00EA56A9"/>
    <w:rsid w:val="00EA6002"/>
    <w:rsid w:val="00EA65DB"/>
    <w:rsid w:val="00EA6864"/>
    <w:rsid w:val="00EA69D1"/>
    <w:rsid w:val="00EA6C93"/>
    <w:rsid w:val="00EB1244"/>
    <w:rsid w:val="00EB1F71"/>
    <w:rsid w:val="00EB3889"/>
    <w:rsid w:val="00EB3D45"/>
    <w:rsid w:val="00EB41AE"/>
    <w:rsid w:val="00EB5CB2"/>
    <w:rsid w:val="00EB5F30"/>
    <w:rsid w:val="00EB6597"/>
    <w:rsid w:val="00EB6892"/>
    <w:rsid w:val="00EB7001"/>
    <w:rsid w:val="00EB723F"/>
    <w:rsid w:val="00EC0DBA"/>
    <w:rsid w:val="00EC15D3"/>
    <w:rsid w:val="00EC2C3B"/>
    <w:rsid w:val="00EC361E"/>
    <w:rsid w:val="00EC4089"/>
    <w:rsid w:val="00EC537D"/>
    <w:rsid w:val="00EC5BB9"/>
    <w:rsid w:val="00EC61E0"/>
    <w:rsid w:val="00EC6A49"/>
    <w:rsid w:val="00ED0018"/>
    <w:rsid w:val="00ED2925"/>
    <w:rsid w:val="00ED5729"/>
    <w:rsid w:val="00ED64A4"/>
    <w:rsid w:val="00ED7D26"/>
    <w:rsid w:val="00EE2396"/>
    <w:rsid w:val="00EE310C"/>
    <w:rsid w:val="00EE4527"/>
    <w:rsid w:val="00EE542A"/>
    <w:rsid w:val="00EE65A5"/>
    <w:rsid w:val="00EE66C7"/>
    <w:rsid w:val="00EE6AE7"/>
    <w:rsid w:val="00EE6BA7"/>
    <w:rsid w:val="00EE761F"/>
    <w:rsid w:val="00EE77B6"/>
    <w:rsid w:val="00EF19CC"/>
    <w:rsid w:val="00EF1A84"/>
    <w:rsid w:val="00EF1B7E"/>
    <w:rsid w:val="00EF2835"/>
    <w:rsid w:val="00EF338C"/>
    <w:rsid w:val="00EF4C8A"/>
    <w:rsid w:val="00EF5176"/>
    <w:rsid w:val="00EF5186"/>
    <w:rsid w:val="00EF55E2"/>
    <w:rsid w:val="00EF687D"/>
    <w:rsid w:val="00F01642"/>
    <w:rsid w:val="00F03B6B"/>
    <w:rsid w:val="00F05937"/>
    <w:rsid w:val="00F074B1"/>
    <w:rsid w:val="00F07BAC"/>
    <w:rsid w:val="00F10650"/>
    <w:rsid w:val="00F11365"/>
    <w:rsid w:val="00F1232F"/>
    <w:rsid w:val="00F12BAD"/>
    <w:rsid w:val="00F138DB"/>
    <w:rsid w:val="00F13E5B"/>
    <w:rsid w:val="00F13EE6"/>
    <w:rsid w:val="00F14ED2"/>
    <w:rsid w:val="00F15B5A"/>
    <w:rsid w:val="00F15C31"/>
    <w:rsid w:val="00F21349"/>
    <w:rsid w:val="00F21490"/>
    <w:rsid w:val="00F225AA"/>
    <w:rsid w:val="00F24AF3"/>
    <w:rsid w:val="00F2590C"/>
    <w:rsid w:val="00F26807"/>
    <w:rsid w:val="00F26F4F"/>
    <w:rsid w:val="00F30BD7"/>
    <w:rsid w:val="00F312A7"/>
    <w:rsid w:val="00F3135A"/>
    <w:rsid w:val="00F31AE3"/>
    <w:rsid w:val="00F328C7"/>
    <w:rsid w:val="00F357BF"/>
    <w:rsid w:val="00F362DE"/>
    <w:rsid w:val="00F36AEB"/>
    <w:rsid w:val="00F37395"/>
    <w:rsid w:val="00F405A6"/>
    <w:rsid w:val="00F422A9"/>
    <w:rsid w:val="00F4294D"/>
    <w:rsid w:val="00F436BC"/>
    <w:rsid w:val="00F45469"/>
    <w:rsid w:val="00F45992"/>
    <w:rsid w:val="00F45B9C"/>
    <w:rsid w:val="00F463F3"/>
    <w:rsid w:val="00F4702B"/>
    <w:rsid w:val="00F51DA2"/>
    <w:rsid w:val="00F52E89"/>
    <w:rsid w:val="00F54992"/>
    <w:rsid w:val="00F56750"/>
    <w:rsid w:val="00F6035C"/>
    <w:rsid w:val="00F609F5"/>
    <w:rsid w:val="00F60EA1"/>
    <w:rsid w:val="00F641B5"/>
    <w:rsid w:val="00F661F0"/>
    <w:rsid w:val="00F66B02"/>
    <w:rsid w:val="00F67B10"/>
    <w:rsid w:val="00F71D37"/>
    <w:rsid w:val="00F72BC0"/>
    <w:rsid w:val="00F72C02"/>
    <w:rsid w:val="00F7409B"/>
    <w:rsid w:val="00F742FA"/>
    <w:rsid w:val="00F74C23"/>
    <w:rsid w:val="00F7604D"/>
    <w:rsid w:val="00F77431"/>
    <w:rsid w:val="00F8052E"/>
    <w:rsid w:val="00F80B10"/>
    <w:rsid w:val="00F814FF"/>
    <w:rsid w:val="00F843F2"/>
    <w:rsid w:val="00F84837"/>
    <w:rsid w:val="00F84F40"/>
    <w:rsid w:val="00F85B91"/>
    <w:rsid w:val="00F85F66"/>
    <w:rsid w:val="00F86640"/>
    <w:rsid w:val="00F86E94"/>
    <w:rsid w:val="00F90FFB"/>
    <w:rsid w:val="00F912A8"/>
    <w:rsid w:val="00F918EF"/>
    <w:rsid w:val="00F9394E"/>
    <w:rsid w:val="00F939A4"/>
    <w:rsid w:val="00F945D0"/>
    <w:rsid w:val="00F94863"/>
    <w:rsid w:val="00F95276"/>
    <w:rsid w:val="00F969AE"/>
    <w:rsid w:val="00F974B8"/>
    <w:rsid w:val="00FA3B13"/>
    <w:rsid w:val="00FA532E"/>
    <w:rsid w:val="00FA67FB"/>
    <w:rsid w:val="00FA77B1"/>
    <w:rsid w:val="00FA788C"/>
    <w:rsid w:val="00FA7D31"/>
    <w:rsid w:val="00FB2796"/>
    <w:rsid w:val="00FB2B2F"/>
    <w:rsid w:val="00FB37DB"/>
    <w:rsid w:val="00FB485C"/>
    <w:rsid w:val="00FB5CE5"/>
    <w:rsid w:val="00FB5DDD"/>
    <w:rsid w:val="00FC1033"/>
    <w:rsid w:val="00FC12A0"/>
    <w:rsid w:val="00FC18C5"/>
    <w:rsid w:val="00FC18FF"/>
    <w:rsid w:val="00FC1F81"/>
    <w:rsid w:val="00FC2330"/>
    <w:rsid w:val="00FC4A73"/>
    <w:rsid w:val="00FC4C43"/>
    <w:rsid w:val="00FC5C33"/>
    <w:rsid w:val="00FC72B2"/>
    <w:rsid w:val="00FC7371"/>
    <w:rsid w:val="00FD12F6"/>
    <w:rsid w:val="00FD2689"/>
    <w:rsid w:val="00FD572D"/>
    <w:rsid w:val="00FD5964"/>
    <w:rsid w:val="00FD67AA"/>
    <w:rsid w:val="00FE1566"/>
    <w:rsid w:val="00FE1BBB"/>
    <w:rsid w:val="00FE47CB"/>
    <w:rsid w:val="00FE48A3"/>
    <w:rsid w:val="00FE61A3"/>
    <w:rsid w:val="00FE695B"/>
    <w:rsid w:val="00FF502A"/>
    <w:rsid w:val="00FF5BE7"/>
    <w:rsid w:val="00FF7111"/>
    <w:rsid w:val="05364EDF"/>
    <w:rsid w:val="10A0F7C9"/>
    <w:rsid w:val="223894A7"/>
    <w:rsid w:val="5AC124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C207EBB"/>
  <w15:chartTrackingRefBased/>
  <w15:docId w15:val="{C39AFDF5-57E6-4E4D-9C41-35E0085A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9A7"/>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5F29A7"/>
    <w:pPr>
      <w:spacing w:after="240"/>
      <w:outlineLvl w:val="0"/>
    </w:pPr>
    <w:rPr>
      <w:rFonts w:ascii="Arial Bold" w:hAnsi="Arial Bold"/>
      <w:b/>
      <w:kern w:val="34"/>
      <w:sz w:val="36"/>
    </w:rPr>
  </w:style>
  <w:style w:type="paragraph" w:styleId="Heading2">
    <w:name w:val="heading 2"/>
    <w:basedOn w:val="HeadingBase"/>
    <w:next w:val="Normal"/>
    <w:link w:val="Heading2Char"/>
    <w:qFormat/>
    <w:rsid w:val="005F29A7"/>
    <w:pPr>
      <w:spacing w:before="240" w:after="240"/>
      <w:outlineLvl w:val="1"/>
    </w:pPr>
    <w:rPr>
      <w:rFonts w:ascii="Arial Bold" w:hAnsi="Arial Bold"/>
      <w:b/>
      <w:sz w:val="26"/>
    </w:rPr>
  </w:style>
  <w:style w:type="paragraph" w:styleId="Heading3">
    <w:name w:val="heading 3"/>
    <w:basedOn w:val="HeadingBase"/>
    <w:next w:val="Normal"/>
    <w:link w:val="Heading3Char"/>
    <w:qFormat/>
    <w:rsid w:val="005F29A7"/>
    <w:pPr>
      <w:spacing w:before="120" w:after="120"/>
      <w:outlineLvl w:val="2"/>
    </w:pPr>
    <w:rPr>
      <w:rFonts w:ascii="Arial Bold" w:hAnsi="Arial Bold"/>
      <w:b/>
      <w:sz w:val="22"/>
    </w:rPr>
  </w:style>
  <w:style w:type="paragraph" w:styleId="Heading4">
    <w:name w:val="heading 4"/>
    <w:basedOn w:val="HeadingBase"/>
    <w:next w:val="Normal"/>
    <w:link w:val="Heading4Char"/>
    <w:qFormat/>
    <w:rsid w:val="005F29A7"/>
    <w:pPr>
      <w:spacing w:after="120"/>
      <w:outlineLvl w:val="3"/>
    </w:pPr>
    <w:rPr>
      <w:rFonts w:ascii="Arial Bold" w:hAnsi="Arial Bold"/>
      <w:b/>
      <w:sz w:val="20"/>
    </w:rPr>
  </w:style>
  <w:style w:type="paragraph" w:styleId="Heading5">
    <w:name w:val="heading 5"/>
    <w:basedOn w:val="HeadingBase"/>
    <w:next w:val="Normal"/>
    <w:link w:val="Heading5Char"/>
    <w:qFormat/>
    <w:rsid w:val="005F29A7"/>
    <w:pPr>
      <w:spacing w:after="120"/>
      <w:outlineLvl w:val="4"/>
    </w:pPr>
    <w:rPr>
      <w:bCs/>
      <w:i/>
      <w:iCs/>
      <w:sz w:val="20"/>
      <w:szCs w:val="26"/>
    </w:rPr>
  </w:style>
  <w:style w:type="paragraph" w:styleId="Heading6">
    <w:name w:val="heading 6"/>
    <w:basedOn w:val="HeadingBase"/>
    <w:next w:val="Normal"/>
    <w:link w:val="Heading6Char"/>
    <w:rsid w:val="005F29A7"/>
    <w:pPr>
      <w:spacing w:after="120"/>
      <w:outlineLvl w:val="5"/>
    </w:pPr>
    <w:rPr>
      <w:bCs/>
      <w:sz w:val="20"/>
      <w:szCs w:val="22"/>
    </w:rPr>
  </w:style>
  <w:style w:type="paragraph" w:styleId="Heading7">
    <w:name w:val="heading 7"/>
    <w:basedOn w:val="HeadingBase"/>
    <w:next w:val="Normal"/>
    <w:link w:val="Heading7Char"/>
    <w:rsid w:val="005F29A7"/>
    <w:pPr>
      <w:spacing w:before="120"/>
      <w:outlineLvl w:val="6"/>
    </w:pPr>
    <w:rPr>
      <w:sz w:val="20"/>
      <w:szCs w:val="24"/>
    </w:rPr>
  </w:style>
  <w:style w:type="paragraph" w:styleId="Heading8">
    <w:name w:val="heading 8"/>
    <w:basedOn w:val="HeadingBase"/>
    <w:next w:val="Normal"/>
    <w:link w:val="Heading8Char"/>
    <w:rsid w:val="005F29A7"/>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5F29A7"/>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5F29A7"/>
    <w:pPr>
      <w:tabs>
        <w:tab w:val="center" w:pos="4153"/>
        <w:tab w:val="right" w:pos="8306"/>
      </w:tabs>
    </w:pPr>
  </w:style>
  <w:style w:type="character" w:customStyle="1" w:styleId="HeaderChar">
    <w:name w:val="Header Char"/>
    <w:basedOn w:val="DefaultParagraphFont"/>
    <w:link w:val="Header"/>
    <w:rsid w:val="005F29A7"/>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5F29A7"/>
    <w:pPr>
      <w:tabs>
        <w:tab w:val="center" w:pos="4153"/>
        <w:tab w:val="right" w:pos="8306"/>
      </w:tabs>
    </w:pPr>
  </w:style>
  <w:style w:type="character" w:customStyle="1" w:styleId="FooterChar">
    <w:name w:val="Footer Char"/>
    <w:basedOn w:val="DefaultParagraphFont"/>
    <w:link w:val="Footer"/>
    <w:rsid w:val="005F29A7"/>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5F29A7"/>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5F29A7"/>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5F29A7"/>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5F29A7"/>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5F29A7"/>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5F29A7"/>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5F29A7"/>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5F29A7"/>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5F29A7"/>
    <w:pPr>
      <w:jc w:val="center"/>
    </w:pPr>
    <w:rPr>
      <w:rFonts w:ascii="Arial Bold" w:hAnsi="Arial Bold"/>
      <w:b/>
      <w:caps/>
      <w:sz w:val="22"/>
    </w:rPr>
  </w:style>
  <w:style w:type="paragraph" w:customStyle="1" w:styleId="FileProperties">
    <w:name w:val="File Properties"/>
    <w:basedOn w:val="Normal"/>
    <w:rsid w:val="005F29A7"/>
    <w:pPr>
      <w:spacing w:before="0"/>
    </w:pPr>
    <w:rPr>
      <w:i/>
    </w:rPr>
  </w:style>
  <w:style w:type="paragraph" w:customStyle="1" w:styleId="AlphaParagraph">
    <w:name w:val="Alpha Paragraph"/>
    <w:basedOn w:val="Normal"/>
    <w:rsid w:val="005F29A7"/>
    <w:pPr>
      <w:numPr>
        <w:numId w:val="1"/>
      </w:numPr>
      <w:tabs>
        <w:tab w:val="clear" w:pos="567"/>
        <w:tab w:val="num" w:pos="360"/>
      </w:tabs>
      <w:ind w:left="0" w:firstLine="0"/>
    </w:pPr>
  </w:style>
  <w:style w:type="paragraph" w:customStyle="1" w:styleId="HeadingBase">
    <w:name w:val="Heading Base"/>
    <w:link w:val="HeadingBaseChar"/>
    <w:rsid w:val="005F29A7"/>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60F58"/>
    <w:rPr>
      <w:bCs/>
      <w:color w:val="002A54" w:themeColor="text2"/>
      <w:szCs w:val="52"/>
    </w:rPr>
  </w:style>
  <w:style w:type="paragraph" w:customStyle="1" w:styleId="BoxText">
    <w:name w:val="Box Text"/>
    <w:basedOn w:val="Normal"/>
    <w:link w:val="BoxTextChar"/>
    <w:qFormat/>
    <w:rsid w:val="005F29A7"/>
    <w:pPr>
      <w:spacing w:before="120" w:after="120" w:line="240" w:lineRule="auto"/>
    </w:pPr>
  </w:style>
  <w:style w:type="paragraph" w:customStyle="1" w:styleId="BoxBullet">
    <w:name w:val="Box Bullet"/>
    <w:basedOn w:val="BoxText"/>
    <w:rsid w:val="005F29A7"/>
    <w:pPr>
      <w:numPr>
        <w:numId w:val="2"/>
      </w:numPr>
    </w:pPr>
  </w:style>
  <w:style w:type="paragraph" w:customStyle="1" w:styleId="BoxHeading">
    <w:name w:val="Box Heading"/>
    <w:basedOn w:val="HeadingBase"/>
    <w:next w:val="BoxText"/>
    <w:rsid w:val="005F29A7"/>
    <w:pPr>
      <w:spacing w:before="120" w:after="120"/>
    </w:pPr>
    <w:rPr>
      <w:b/>
      <w:sz w:val="20"/>
    </w:rPr>
  </w:style>
  <w:style w:type="character" w:customStyle="1" w:styleId="Heading6Char">
    <w:name w:val="Heading 6 Char"/>
    <w:basedOn w:val="DefaultParagraphFont"/>
    <w:link w:val="Heading6"/>
    <w:rsid w:val="005F29A7"/>
    <w:rPr>
      <w:rFonts w:ascii="Arial" w:eastAsia="Times New Roman" w:hAnsi="Arial" w:cs="Times New Roman"/>
      <w:bCs/>
      <w:sz w:val="20"/>
      <w:lang w:eastAsia="en-AU"/>
    </w:rPr>
  </w:style>
  <w:style w:type="paragraph" w:customStyle="1" w:styleId="Bullet">
    <w:name w:val="Bullet"/>
    <w:basedOn w:val="Normal"/>
    <w:qFormat/>
    <w:rsid w:val="005F29A7"/>
    <w:pPr>
      <w:numPr>
        <w:numId w:val="3"/>
      </w:numPr>
      <w:spacing w:after="160"/>
      <w:ind w:left="284" w:hanging="284"/>
    </w:pPr>
  </w:style>
  <w:style w:type="paragraph" w:styleId="Caption">
    <w:name w:val="caption"/>
    <w:basedOn w:val="Normal"/>
    <w:next w:val="Normal"/>
    <w:rsid w:val="005F29A7"/>
    <w:rPr>
      <w:b/>
      <w:bCs/>
    </w:rPr>
  </w:style>
  <w:style w:type="paragraph" w:customStyle="1" w:styleId="ChartandTableFootnote">
    <w:name w:val="Chart and Table Footnote"/>
    <w:basedOn w:val="HeadingBase"/>
    <w:next w:val="Normal"/>
    <w:rsid w:val="005F29A7"/>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5F29A7"/>
    <w:pPr>
      <w:keepNext w:val="0"/>
      <w:numPr>
        <w:numId w:val="8"/>
      </w:numPr>
      <w:spacing w:before="30"/>
    </w:pPr>
    <w:rPr>
      <w:color w:val="000000"/>
      <w:sz w:val="16"/>
    </w:rPr>
  </w:style>
  <w:style w:type="paragraph" w:customStyle="1" w:styleId="ChartandTableFootnoteSmall">
    <w:name w:val="Chart and Table Footnote Small"/>
    <w:basedOn w:val="HeadingBase"/>
    <w:next w:val="Normal"/>
    <w:rsid w:val="005F29A7"/>
    <w:pPr>
      <w:keepNext w:val="0"/>
      <w:tabs>
        <w:tab w:val="left" w:pos="284"/>
      </w:tabs>
      <w:jc w:val="both"/>
    </w:pPr>
    <w:rPr>
      <w:color w:val="000000"/>
      <w:sz w:val="15"/>
    </w:rPr>
  </w:style>
  <w:style w:type="paragraph" w:customStyle="1" w:styleId="ChartGraphic">
    <w:name w:val="Chart Graphic"/>
    <w:basedOn w:val="HeadingBase"/>
    <w:rsid w:val="005F29A7"/>
    <w:rPr>
      <w:sz w:val="20"/>
    </w:rPr>
  </w:style>
  <w:style w:type="paragraph" w:customStyle="1" w:styleId="TableLine">
    <w:name w:val="Table Line"/>
    <w:basedOn w:val="Normal"/>
    <w:next w:val="Normal"/>
    <w:autoRedefine/>
    <w:rsid w:val="005F29A7"/>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5F29A7"/>
    <w:pPr>
      <w:spacing w:after="60"/>
    </w:pPr>
    <w:rPr>
      <w:sz w:val="19"/>
    </w:rPr>
  </w:style>
  <w:style w:type="character" w:styleId="CommentReference">
    <w:name w:val="annotation reference"/>
    <w:basedOn w:val="DefaultParagraphFont"/>
    <w:semiHidden/>
    <w:rsid w:val="005F29A7"/>
    <w:rPr>
      <w:sz w:val="16"/>
      <w:szCs w:val="16"/>
    </w:rPr>
  </w:style>
  <w:style w:type="paragraph" w:styleId="CommentText">
    <w:name w:val="annotation text"/>
    <w:basedOn w:val="Normal"/>
    <w:link w:val="CommentTextChar"/>
    <w:semiHidden/>
    <w:rsid w:val="005F29A7"/>
  </w:style>
  <w:style w:type="character" w:customStyle="1" w:styleId="CommentTextChar">
    <w:name w:val="Comment Text Char"/>
    <w:basedOn w:val="DefaultParagraphFont"/>
    <w:link w:val="CommentText"/>
    <w:semiHidden/>
    <w:rsid w:val="005F29A7"/>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5F29A7"/>
    <w:rPr>
      <w:b/>
      <w:bCs/>
    </w:rPr>
  </w:style>
  <w:style w:type="character" w:customStyle="1" w:styleId="CommentSubjectChar">
    <w:name w:val="Comment Subject Char"/>
    <w:basedOn w:val="CommentTextChar"/>
    <w:link w:val="CommentSubject"/>
    <w:semiHidden/>
    <w:rsid w:val="005F29A7"/>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5F29A7"/>
    <w:pPr>
      <w:spacing w:after="720"/>
      <w:outlineLvl w:val="9"/>
    </w:pPr>
  </w:style>
  <w:style w:type="character" w:styleId="Strong">
    <w:name w:val="Strong"/>
    <w:basedOn w:val="DefaultParagraphFont"/>
    <w:uiPriority w:val="22"/>
    <w:qFormat/>
    <w:rsid w:val="00B37A36"/>
    <w:rPr>
      <w:b/>
      <w:bCs/>
      <w:color w:val="auto"/>
    </w:rPr>
  </w:style>
  <w:style w:type="paragraph" w:customStyle="1" w:styleId="Dash">
    <w:name w:val="Dash"/>
    <w:basedOn w:val="Normal"/>
    <w:qFormat/>
    <w:rsid w:val="005F29A7"/>
    <w:pPr>
      <w:numPr>
        <w:ilvl w:val="1"/>
        <w:numId w:val="3"/>
      </w:numPr>
      <w:tabs>
        <w:tab w:val="left" w:pos="567"/>
      </w:tabs>
    </w:pPr>
  </w:style>
  <w:style w:type="paragraph" w:styleId="DocumentMap">
    <w:name w:val="Document Map"/>
    <w:basedOn w:val="Normal"/>
    <w:link w:val="DocumentMapChar"/>
    <w:semiHidden/>
    <w:rsid w:val="005F29A7"/>
    <w:pPr>
      <w:shd w:val="clear" w:color="auto" w:fill="000080"/>
    </w:pPr>
    <w:rPr>
      <w:rFonts w:ascii="Tahoma" w:hAnsi="Tahoma" w:cs="Tahoma"/>
    </w:rPr>
  </w:style>
  <w:style w:type="character" w:customStyle="1" w:styleId="DocumentMapChar">
    <w:name w:val="Document Map Char"/>
    <w:basedOn w:val="DefaultParagraphFont"/>
    <w:link w:val="DocumentMap"/>
    <w:semiHidden/>
    <w:rsid w:val="005F29A7"/>
    <w:rPr>
      <w:rFonts w:ascii="Tahoma" w:eastAsia="Times New Roman" w:hAnsi="Tahoma" w:cs="Tahoma"/>
      <w:sz w:val="19"/>
      <w:szCs w:val="20"/>
      <w:shd w:val="clear" w:color="auto" w:fill="000080"/>
      <w:lang w:eastAsia="en-AU"/>
    </w:rPr>
  </w:style>
  <w:style w:type="paragraph" w:customStyle="1" w:styleId="DoubleDot">
    <w:name w:val="Double Dot"/>
    <w:basedOn w:val="Normal"/>
    <w:rsid w:val="005F29A7"/>
    <w:pPr>
      <w:numPr>
        <w:ilvl w:val="2"/>
        <w:numId w:val="3"/>
      </w:numPr>
      <w:tabs>
        <w:tab w:val="clear" w:pos="850"/>
        <w:tab w:val="num" w:pos="360"/>
        <w:tab w:val="left" w:pos="851"/>
      </w:tabs>
    </w:pPr>
  </w:style>
  <w:style w:type="paragraph" w:customStyle="1" w:styleId="FigureHeading">
    <w:name w:val="Figure Heading"/>
    <w:basedOn w:val="HeadingBase"/>
    <w:next w:val="ChartGraphic"/>
    <w:rsid w:val="005F29A7"/>
    <w:pPr>
      <w:spacing w:before="120" w:after="20"/>
    </w:pPr>
    <w:rPr>
      <w:b/>
      <w:sz w:val="20"/>
    </w:rPr>
  </w:style>
  <w:style w:type="paragraph" w:customStyle="1" w:styleId="FooterBase">
    <w:name w:val="Footer Base"/>
    <w:rsid w:val="005F29A7"/>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5F29A7"/>
    <w:pPr>
      <w:pBdr>
        <w:top w:val="single" w:sz="4" w:space="10" w:color="002A54" w:themeColor="text2"/>
      </w:pBdr>
      <w:jc w:val="left"/>
    </w:pPr>
    <w:rPr>
      <w:sz w:val="18"/>
    </w:rPr>
  </w:style>
  <w:style w:type="paragraph" w:customStyle="1" w:styleId="FooterOdd">
    <w:name w:val="Footer Odd"/>
    <w:basedOn w:val="Footer"/>
    <w:qFormat/>
    <w:rsid w:val="005F29A7"/>
    <w:pPr>
      <w:pBdr>
        <w:top w:val="single" w:sz="4" w:space="10" w:color="002A54" w:themeColor="text2"/>
      </w:pBdr>
      <w:jc w:val="right"/>
    </w:pPr>
    <w:rPr>
      <w:sz w:val="18"/>
    </w:rPr>
  </w:style>
  <w:style w:type="character" w:styleId="FootnoteReference">
    <w:name w:val="footnote reference"/>
    <w:basedOn w:val="DefaultParagraphFont"/>
    <w:rsid w:val="005F29A7"/>
    <w:rPr>
      <w:vertAlign w:val="superscript"/>
    </w:rPr>
  </w:style>
  <w:style w:type="paragraph" w:styleId="FootnoteText">
    <w:name w:val="footnote text"/>
    <w:basedOn w:val="Normal"/>
    <w:link w:val="FootnoteTextChar"/>
    <w:rsid w:val="005F29A7"/>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5F29A7"/>
    <w:rPr>
      <w:rFonts w:ascii="Book Antiqua" w:eastAsia="Times New Roman" w:hAnsi="Book Antiqua" w:cs="Times New Roman"/>
      <w:sz w:val="18"/>
      <w:szCs w:val="20"/>
      <w:lang w:eastAsia="en-AU"/>
    </w:rPr>
  </w:style>
  <w:style w:type="paragraph" w:customStyle="1" w:styleId="HeaderBase">
    <w:name w:val="Header Base"/>
    <w:rsid w:val="005F29A7"/>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5F29A7"/>
  </w:style>
  <w:style w:type="paragraph" w:customStyle="1" w:styleId="HeaderOdd">
    <w:name w:val="Header Odd"/>
    <w:basedOn w:val="HeaderBase"/>
    <w:rsid w:val="005F29A7"/>
    <w:pPr>
      <w:jc w:val="right"/>
    </w:pPr>
  </w:style>
  <w:style w:type="character" w:customStyle="1" w:styleId="Heading1Char">
    <w:name w:val="Heading 1 Char"/>
    <w:basedOn w:val="DefaultParagraphFont"/>
    <w:link w:val="Heading1"/>
    <w:rsid w:val="005F29A7"/>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5F29A7"/>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5F29A7"/>
    <w:rPr>
      <w:rFonts w:ascii="Arial Bold" w:eastAsia="Times New Roman" w:hAnsi="Arial Bold" w:cs="Times New Roman"/>
      <w:b/>
      <w:szCs w:val="20"/>
      <w:lang w:eastAsia="en-AU"/>
    </w:rPr>
  </w:style>
  <w:style w:type="paragraph" w:customStyle="1" w:styleId="Heading3noTOC">
    <w:name w:val="Heading 3 no TOC"/>
    <w:basedOn w:val="Heading3"/>
    <w:rsid w:val="005F29A7"/>
    <w:pPr>
      <w:outlineLvl w:val="9"/>
    </w:pPr>
  </w:style>
  <w:style w:type="character" w:customStyle="1" w:styleId="Heading4Char">
    <w:name w:val="Heading 4 Char"/>
    <w:basedOn w:val="DefaultParagraphFont"/>
    <w:link w:val="Heading4"/>
    <w:rsid w:val="005F29A7"/>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5F29A7"/>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5F29A7"/>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5F29A7"/>
    <w:rPr>
      <w:rFonts w:ascii="Times New Roman" w:eastAsia="Times New Roman" w:hAnsi="Times New Roman" w:cs="Times New Roman"/>
      <w:i/>
      <w:iCs/>
      <w:sz w:val="16"/>
      <w:szCs w:val="24"/>
      <w:lang w:eastAsia="en-AU"/>
    </w:rPr>
  </w:style>
  <w:style w:type="character" w:styleId="Hyperlink">
    <w:name w:val="Hyperlink"/>
    <w:basedOn w:val="DefaultParagraphFont"/>
    <w:uiPriority w:val="99"/>
    <w:unhideWhenUsed/>
    <w:rsid w:val="005F29A7"/>
    <w:rPr>
      <w:color w:val="auto"/>
      <w:u w:val="single"/>
    </w:rPr>
  </w:style>
  <w:style w:type="paragraph" w:styleId="Index4">
    <w:name w:val="index 4"/>
    <w:basedOn w:val="Normal"/>
    <w:next w:val="Normal"/>
    <w:autoRedefine/>
    <w:semiHidden/>
    <w:rsid w:val="005F29A7"/>
    <w:pPr>
      <w:ind w:left="800" w:hanging="200"/>
    </w:pPr>
  </w:style>
  <w:style w:type="paragraph" w:styleId="Index5">
    <w:name w:val="index 5"/>
    <w:basedOn w:val="Normal"/>
    <w:next w:val="Normal"/>
    <w:autoRedefine/>
    <w:semiHidden/>
    <w:rsid w:val="005F29A7"/>
    <w:pPr>
      <w:ind w:left="1000" w:hanging="200"/>
    </w:pPr>
  </w:style>
  <w:style w:type="paragraph" w:styleId="Index6">
    <w:name w:val="index 6"/>
    <w:basedOn w:val="Normal"/>
    <w:next w:val="Normal"/>
    <w:autoRedefine/>
    <w:semiHidden/>
    <w:rsid w:val="005F29A7"/>
    <w:pPr>
      <w:ind w:left="1200" w:hanging="200"/>
    </w:pPr>
  </w:style>
  <w:style w:type="paragraph" w:styleId="Index7">
    <w:name w:val="index 7"/>
    <w:basedOn w:val="Normal"/>
    <w:next w:val="Normal"/>
    <w:autoRedefine/>
    <w:semiHidden/>
    <w:rsid w:val="005F29A7"/>
    <w:pPr>
      <w:ind w:left="1400" w:hanging="200"/>
    </w:pPr>
  </w:style>
  <w:style w:type="paragraph" w:styleId="Index8">
    <w:name w:val="index 8"/>
    <w:basedOn w:val="Normal"/>
    <w:next w:val="Normal"/>
    <w:autoRedefine/>
    <w:semiHidden/>
    <w:rsid w:val="005F29A7"/>
    <w:pPr>
      <w:ind w:left="1600" w:hanging="200"/>
    </w:pPr>
  </w:style>
  <w:style w:type="paragraph" w:styleId="Index9">
    <w:name w:val="index 9"/>
    <w:basedOn w:val="Normal"/>
    <w:next w:val="Normal"/>
    <w:autoRedefine/>
    <w:semiHidden/>
    <w:rsid w:val="005F29A7"/>
    <w:pPr>
      <w:ind w:left="1800" w:hanging="200"/>
    </w:pPr>
  </w:style>
  <w:style w:type="paragraph" w:styleId="MacroText">
    <w:name w:val="macro"/>
    <w:link w:val="MacroTextChar"/>
    <w:unhideWhenUsed/>
    <w:rsid w:val="005F29A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5F29A7"/>
    <w:rPr>
      <w:rFonts w:ascii="Courier New" w:eastAsia="Times New Roman" w:hAnsi="Courier New" w:cs="Courier New"/>
      <w:sz w:val="20"/>
      <w:szCs w:val="20"/>
      <w:lang w:eastAsia="en-AU"/>
    </w:rPr>
  </w:style>
  <w:style w:type="paragraph" w:styleId="NormalIndent">
    <w:name w:val="Normal Indent"/>
    <w:basedOn w:val="Normal"/>
    <w:rsid w:val="005F29A7"/>
    <w:pPr>
      <w:ind w:left="567"/>
    </w:pPr>
  </w:style>
  <w:style w:type="paragraph" w:customStyle="1" w:styleId="NoteTableHeading">
    <w:name w:val="Note Table Heading"/>
    <w:basedOn w:val="HeadingBase"/>
    <w:next w:val="Normal"/>
    <w:rsid w:val="005F29A7"/>
    <w:pPr>
      <w:spacing w:before="240"/>
    </w:pPr>
    <w:rPr>
      <w:b/>
      <w:sz w:val="20"/>
    </w:rPr>
  </w:style>
  <w:style w:type="paragraph" w:customStyle="1" w:styleId="OverviewParagraph">
    <w:name w:val="Overview Paragraph"/>
    <w:basedOn w:val="Normal"/>
    <w:rsid w:val="005F29A7"/>
    <w:pPr>
      <w:spacing w:before="120" w:after="120" w:line="240" w:lineRule="auto"/>
    </w:pPr>
  </w:style>
  <w:style w:type="character" w:styleId="PageNumber">
    <w:name w:val="page number"/>
    <w:basedOn w:val="DefaultParagraphFont"/>
    <w:rsid w:val="005F29A7"/>
    <w:rPr>
      <w:rFonts w:ascii="Arial" w:hAnsi="Arial" w:cs="Arial"/>
    </w:rPr>
  </w:style>
  <w:style w:type="paragraph" w:customStyle="1" w:styleId="SingleParagraph">
    <w:name w:val="Single Paragraph"/>
    <w:basedOn w:val="Normal"/>
    <w:rsid w:val="005F29A7"/>
    <w:pPr>
      <w:spacing w:before="0" w:after="0"/>
    </w:pPr>
  </w:style>
  <w:style w:type="paragraph" w:customStyle="1" w:styleId="Source">
    <w:name w:val="Source"/>
    <w:basedOn w:val="Normal"/>
    <w:rsid w:val="005F29A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5F29A7"/>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5F29A7"/>
    <w:pPr>
      <w:jc w:val="center"/>
    </w:pPr>
  </w:style>
  <w:style w:type="paragraph" w:customStyle="1" w:styleId="TableColumnHeadingLeft">
    <w:name w:val="Table Column Heading Left"/>
    <w:basedOn w:val="TableColumnHeadingBase"/>
    <w:next w:val="Normal"/>
    <w:rsid w:val="005F29A7"/>
  </w:style>
  <w:style w:type="paragraph" w:customStyle="1" w:styleId="TableColumnHeadingRight">
    <w:name w:val="Table Column Heading Right"/>
    <w:basedOn w:val="TableColumnHeadingBase"/>
    <w:next w:val="Normal"/>
    <w:rsid w:val="005F29A7"/>
    <w:pPr>
      <w:jc w:val="right"/>
    </w:pPr>
  </w:style>
  <w:style w:type="paragraph" w:customStyle="1" w:styleId="TableGraphic">
    <w:name w:val="Table Graphic"/>
    <w:basedOn w:val="Normal"/>
    <w:next w:val="Normal"/>
    <w:rsid w:val="005F29A7"/>
    <w:pPr>
      <w:spacing w:after="0" w:line="240" w:lineRule="auto"/>
      <w:ind w:right="-113"/>
    </w:pPr>
  </w:style>
  <w:style w:type="table" w:styleId="TableGrid">
    <w:name w:val="Table Grid"/>
    <w:basedOn w:val="TableNormal"/>
    <w:rsid w:val="005F29A7"/>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5F29A7"/>
    <w:pPr>
      <w:spacing w:before="120" w:after="20"/>
    </w:pPr>
    <w:rPr>
      <w:b/>
      <w:sz w:val="20"/>
    </w:rPr>
  </w:style>
  <w:style w:type="paragraph" w:customStyle="1" w:styleId="TableHeadingcontinued">
    <w:name w:val="Table Heading continued"/>
    <w:basedOn w:val="HeadingBase"/>
    <w:next w:val="TableGraphic"/>
    <w:rsid w:val="005F29A7"/>
    <w:pPr>
      <w:spacing w:before="120" w:after="20"/>
    </w:pPr>
    <w:rPr>
      <w:rFonts w:ascii="Arial Bold" w:hAnsi="Arial Bold"/>
      <w:b/>
      <w:sz w:val="20"/>
    </w:rPr>
  </w:style>
  <w:style w:type="paragraph" w:styleId="TableofFigures">
    <w:name w:val="table of figures"/>
    <w:basedOn w:val="Normal"/>
    <w:next w:val="Normal"/>
    <w:rsid w:val="005F29A7"/>
  </w:style>
  <w:style w:type="paragraph" w:customStyle="1" w:styleId="TableTextBase">
    <w:name w:val="Table Text Base"/>
    <w:basedOn w:val="Normal"/>
    <w:rsid w:val="005F29A7"/>
    <w:pPr>
      <w:spacing w:before="20" w:after="20" w:line="240" w:lineRule="auto"/>
    </w:pPr>
    <w:rPr>
      <w:rFonts w:ascii="Arial" w:hAnsi="Arial"/>
      <w:sz w:val="16"/>
    </w:rPr>
  </w:style>
  <w:style w:type="paragraph" w:customStyle="1" w:styleId="TableTextCentred">
    <w:name w:val="Table Text Centred"/>
    <w:basedOn w:val="TableTextBase"/>
    <w:rsid w:val="005F29A7"/>
    <w:pPr>
      <w:jc w:val="center"/>
    </w:pPr>
  </w:style>
  <w:style w:type="paragraph" w:customStyle="1" w:styleId="TableTextIndented">
    <w:name w:val="Table Text Indented"/>
    <w:basedOn w:val="TableTextBase"/>
    <w:rsid w:val="005F29A7"/>
    <w:pPr>
      <w:ind w:left="284"/>
    </w:pPr>
  </w:style>
  <w:style w:type="paragraph" w:customStyle="1" w:styleId="TableTextLeft">
    <w:name w:val="Table Text Left"/>
    <w:basedOn w:val="TableTextBase"/>
    <w:rsid w:val="005F29A7"/>
  </w:style>
  <w:style w:type="paragraph" w:customStyle="1" w:styleId="TableTextRight">
    <w:name w:val="Table Text Right"/>
    <w:basedOn w:val="TableTextBase"/>
    <w:rsid w:val="005F29A7"/>
    <w:pPr>
      <w:jc w:val="right"/>
    </w:pPr>
  </w:style>
  <w:style w:type="paragraph" w:styleId="TOAHeading">
    <w:name w:val="toa heading"/>
    <w:basedOn w:val="Normal"/>
    <w:next w:val="Normal"/>
    <w:rsid w:val="005F29A7"/>
    <w:pPr>
      <w:spacing w:before="120"/>
    </w:pPr>
    <w:rPr>
      <w:rFonts w:ascii="Arial" w:hAnsi="Arial" w:cs="Arial"/>
      <w:b/>
      <w:bCs/>
      <w:sz w:val="24"/>
      <w:szCs w:val="24"/>
    </w:rPr>
  </w:style>
  <w:style w:type="paragraph" w:styleId="TOC1">
    <w:name w:val="toc 1"/>
    <w:basedOn w:val="HeaderBase"/>
    <w:next w:val="Normal"/>
    <w:uiPriority w:val="39"/>
    <w:rsid w:val="005F29A7"/>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5F29A7"/>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5F29A7"/>
    <w:pPr>
      <w:tabs>
        <w:tab w:val="right" w:leader="dot" w:pos="7700"/>
      </w:tabs>
      <w:spacing w:before="40"/>
      <w:ind w:right="851"/>
    </w:pPr>
    <w:rPr>
      <w:sz w:val="20"/>
    </w:rPr>
  </w:style>
  <w:style w:type="paragraph" w:styleId="TOC4">
    <w:name w:val="toc 4"/>
    <w:basedOn w:val="HeadingBase"/>
    <w:next w:val="Normal"/>
    <w:uiPriority w:val="2"/>
    <w:unhideWhenUsed/>
    <w:rsid w:val="005F29A7"/>
    <w:pPr>
      <w:tabs>
        <w:tab w:val="right" w:leader="dot" w:pos="7700"/>
      </w:tabs>
      <w:spacing w:before="40"/>
      <w:ind w:right="851"/>
    </w:pPr>
    <w:rPr>
      <w:sz w:val="20"/>
    </w:rPr>
  </w:style>
  <w:style w:type="paragraph" w:styleId="TOC5">
    <w:name w:val="toc 5"/>
    <w:basedOn w:val="Normal"/>
    <w:next w:val="Normal"/>
    <w:autoRedefine/>
    <w:uiPriority w:val="2"/>
    <w:semiHidden/>
    <w:rsid w:val="005F29A7"/>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5F29A7"/>
    <w:pPr>
      <w:tabs>
        <w:tab w:val="left" w:pos="851"/>
      </w:tabs>
      <w:ind w:left="851" w:hanging="851"/>
    </w:pPr>
    <w:rPr>
      <w:color w:val="000000"/>
    </w:rPr>
  </w:style>
  <w:style w:type="paragraph" w:styleId="TOC7">
    <w:name w:val="toc 7"/>
    <w:basedOn w:val="Normal"/>
    <w:next w:val="Normal"/>
    <w:autoRedefine/>
    <w:uiPriority w:val="2"/>
    <w:semiHidden/>
    <w:rsid w:val="005F29A7"/>
    <w:pPr>
      <w:ind w:left="1200"/>
    </w:pPr>
  </w:style>
  <w:style w:type="paragraph" w:styleId="TOC8">
    <w:name w:val="toc 8"/>
    <w:basedOn w:val="Normal"/>
    <w:next w:val="Normal"/>
    <w:autoRedefine/>
    <w:uiPriority w:val="2"/>
    <w:semiHidden/>
    <w:rsid w:val="005F29A7"/>
    <w:pPr>
      <w:ind w:left="1400"/>
    </w:pPr>
  </w:style>
  <w:style w:type="paragraph" w:styleId="TOC9">
    <w:name w:val="toc 9"/>
    <w:basedOn w:val="Normal"/>
    <w:next w:val="Normal"/>
    <w:autoRedefine/>
    <w:uiPriority w:val="2"/>
    <w:semiHidden/>
    <w:rsid w:val="005F29A7"/>
    <w:pPr>
      <w:ind w:left="1600"/>
    </w:pPr>
  </w:style>
  <w:style w:type="paragraph" w:customStyle="1" w:styleId="TPHeading1">
    <w:name w:val="TP Heading 1"/>
    <w:basedOn w:val="HeadingBase"/>
    <w:semiHidden/>
    <w:rsid w:val="005F29A7"/>
    <w:pPr>
      <w:spacing w:before="60" w:after="60"/>
      <w:ind w:left="1134"/>
    </w:pPr>
    <w:rPr>
      <w:rFonts w:ascii="Arial Bold" w:hAnsi="Arial Bold"/>
      <w:b/>
      <w:caps/>
      <w:spacing w:val="-10"/>
      <w:sz w:val="28"/>
    </w:rPr>
  </w:style>
  <w:style w:type="paragraph" w:customStyle="1" w:styleId="TPHeading2">
    <w:name w:val="TP Heading 2"/>
    <w:basedOn w:val="HeadingBase"/>
    <w:semiHidden/>
    <w:rsid w:val="005F29A7"/>
    <w:pPr>
      <w:ind w:left="1134"/>
    </w:pPr>
    <w:rPr>
      <w:caps/>
      <w:spacing w:val="-10"/>
      <w:sz w:val="28"/>
    </w:rPr>
  </w:style>
  <w:style w:type="paragraph" w:customStyle="1" w:styleId="TPHeading3">
    <w:name w:val="TP Heading 3"/>
    <w:basedOn w:val="HeadingBase"/>
    <w:semiHidden/>
    <w:rsid w:val="005F29A7"/>
    <w:pPr>
      <w:ind w:left="1134"/>
    </w:pPr>
    <w:rPr>
      <w:caps/>
      <w:spacing w:val="-10"/>
    </w:rPr>
  </w:style>
  <w:style w:type="paragraph" w:customStyle="1" w:styleId="TPHeading3bold">
    <w:name w:val="TP Heading 3 bold"/>
    <w:basedOn w:val="TPHeading3"/>
    <w:semiHidden/>
    <w:rsid w:val="005F29A7"/>
    <w:rPr>
      <w:rFonts w:cs="Arial"/>
      <w:b/>
      <w:sz w:val="22"/>
      <w:szCs w:val="22"/>
    </w:rPr>
  </w:style>
  <w:style w:type="paragraph" w:customStyle="1" w:styleId="TPHEADING3boldspace">
    <w:name w:val="TP HEADING 3 bold space"/>
    <w:basedOn w:val="TPHeading3bold"/>
    <w:semiHidden/>
    <w:rsid w:val="005F29A7"/>
    <w:pPr>
      <w:spacing w:after="120"/>
    </w:pPr>
  </w:style>
  <w:style w:type="paragraph" w:customStyle="1" w:styleId="TPHEADING3space">
    <w:name w:val="TP HEADING 3 space"/>
    <w:basedOn w:val="TPHeading3"/>
    <w:semiHidden/>
    <w:rsid w:val="005F29A7"/>
    <w:pPr>
      <w:spacing w:before="120" w:after="120"/>
    </w:pPr>
    <w:rPr>
      <w:rFonts w:cs="Arial"/>
      <w:sz w:val="22"/>
      <w:szCs w:val="22"/>
    </w:rPr>
  </w:style>
  <w:style w:type="paragraph" w:customStyle="1" w:styleId="TPHeading4">
    <w:name w:val="TP Heading 4"/>
    <w:basedOn w:val="TPHeading3"/>
    <w:semiHidden/>
    <w:rsid w:val="005F29A7"/>
    <w:rPr>
      <w:sz w:val="20"/>
    </w:rPr>
  </w:style>
  <w:style w:type="paragraph" w:customStyle="1" w:styleId="TPHEADING4space">
    <w:name w:val="TP HEADING 4 space"/>
    <w:basedOn w:val="TPHEADING3space"/>
    <w:semiHidden/>
    <w:rsid w:val="005F29A7"/>
  </w:style>
  <w:style w:type="paragraph" w:customStyle="1" w:styleId="ChartLine">
    <w:name w:val="Chart Line"/>
    <w:basedOn w:val="Normal"/>
    <w:autoRedefine/>
    <w:qFormat/>
    <w:rsid w:val="005F29A7"/>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5F29A7"/>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5F29A7"/>
    <w:rPr>
      <w:sz w:val="16"/>
    </w:rPr>
  </w:style>
  <w:style w:type="paragraph" w:customStyle="1" w:styleId="Box-continuedon">
    <w:name w:val="Box - continued on"/>
    <w:basedOn w:val="Normal"/>
    <w:qFormat/>
    <w:rsid w:val="005F29A7"/>
    <w:pPr>
      <w:jc w:val="right"/>
    </w:pPr>
    <w:rPr>
      <w:rFonts w:asciiTheme="majorHAnsi" w:hAnsiTheme="majorHAnsi" w:cstheme="majorHAnsi"/>
      <w:i/>
      <w:iCs/>
      <w:sz w:val="18"/>
      <w:szCs w:val="24"/>
    </w:rPr>
  </w:style>
  <w:style w:type="paragraph" w:customStyle="1" w:styleId="BoxHeading2">
    <w:name w:val="Box Heading 2"/>
    <w:basedOn w:val="BoxHeading"/>
    <w:autoRedefine/>
    <w:rsid w:val="005F29A7"/>
    <w:pPr>
      <w:spacing w:after="0"/>
    </w:pPr>
    <w:rPr>
      <w:b w:val="0"/>
      <w:bCs/>
      <w:szCs w:val="14"/>
    </w:rPr>
  </w:style>
  <w:style w:type="character" w:customStyle="1" w:styleId="Heading9Char">
    <w:name w:val="Heading 9 Char"/>
    <w:basedOn w:val="DefaultParagraphFont"/>
    <w:link w:val="Heading9"/>
    <w:uiPriority w:val="9"/>
    <w:rsid w:val="005F29A7"/>
    <w:rPr>
      <w:rFonts w:ascii="Cambria" w:eastAsia="Times New Roman" w:hAnsi="Cambria" w:cs="Times New Roman"/>
      <w:lang w:eastAsia="en-AU"/>
    </w:rPr>
  </w:style>
  <w:style w:type="paragraph" w:customStyle="1" w:styleId="GhostLine">
    <w:name w:val="Ghost Line"/>
    <w:basedOn w:val="NoSpacing"/>
    <w:qFormat/>
    <w:rsid w:val="005F29A7"/>
    <w:pPr>
      <w:jc w:val="both"/>
    </w:pPr>
    <w:rPr>
      <w:rFonts w:ascii="Book Antiqua" w:hAnsi="Book Antiqua"/>
      <w:sz w:val="2"/>
    </w:rPr>
  </w:style>
  <w:style w:type="paragraph" w:styleId="NoSpacing">
    <w:name w:val="No Spacing"/>
    <w:uiPriority w:val="1"/>
    <w:qFormat/>
    <w:rsid w:val="005F29A7"/>
    <w:pPr>
      <w:spacing w:after="0" w:line="240" w:lineRule="auto"/>
    </w:pPr>
    <w:rPr>
      <w:rFonts w:eastAsia="Times New Roman" w:cs="Times New Roman"/>
      <w:sz w:val="19"/>
      <w:szCs w:val="20"/>
      <w:lang w:eastAsia="en-AU"/>
    </w:rPr>
  </w:style>
  <w:style w:type="paragraph" w:customStyle="1" w:styleId="StatementWhite">
    <w:name w:val="Statement White"/>
    <w:basedOn w:val="Normal"/>
    <w:autoRedefine/>
    <w:qFormat/>
    <w:rsid w:val="001A4F7E"/>
    <w:pPr>
      <w:textboxTightWrap w:val="firstAndLastLine"/>
    </w:pPr>
    <w:rPr>
      <w:rFonts w:asciiTheme="minorHAnsi" w:hAnsiTheme="minorHAnsi" w:cstheme="minorHAnsi"/>
      <w:color w:val="FFFFFF" w:themeColor="background1"/>
      <w:kern w:val="18"/>
      <w:sz w:val="18"/>
    </w:rPr>
  </w:style>
  <w:style w:type="paragraph" w:customStyle="1" w:styleId="FooterOddWHITE">
    <w:name w:val="Footer Odd WHITE"/>
    <w:basedOn w:val="FooterOdd"/>
    <w:qFormat/>
    <w:rsid w:val="001A4F7E"/>
    <w:pPr>
      <w:pBdr>
        <w:top w:val="single" w:sz="4" w:space="10" w:color="FFFFFF" w:themeColor="background1"/>
      </w:pBdr>
    </w:pPr>
    <w:rPr>
      <w:color w:val="FFFFFF" w:themeColor="background1"/>
    </w:rPr>
  </w:style>
  <w:style w:type="paragraph" w:customStyle="1" w:styleId="BoxSubHeading">
    <w:name w:val="Box Sub Heading"/>
    <w:basedOn w:val="Heading6"/>
    <w:rsid w:val="001A4F7E"/>
    <w:pPr>
      <w:spacing w:before="120" w:after="40"/>
    </w:pPr>
  </w:style>
  <w:style w:type="paragraph" w:customStyle="1" w:styleId="ChartHeading">
    <w:name w:val="Chart Heading"/>
    <w:basedOn w:val="HeadingBase"/>
    <w:next w:val="ChartGraphic"/>
    <w:qFormat/>
    <w:rsid w:val="001A4F7E"/>
    <w:pPr>
      <w:spacing w:before="120" w:after="20"/>
    </w:pPr>
    <w:rPr>
      <w:b/>
      <w:sz w:val="20"/>
    </w:rPr>
  </w:style>
  <w:style w:type="character" w:styleId="EndnoteReference">
    <w:name w:val="endnote reference"/>
    <w:basedOn w:val="DefaultParagraphFont"/>
    <w:unhideWhenUsed/>
    <w:rsid w:val="001A4F7E"/>
    <w:rPr>
      <w:vertAlign w:val="superscript"/>
    </w:rPr>
  </w:style>
  <w:style w:type="paragraph" w:styleId="EndnoteText">
    <w:name w:val="endnote text"/>
    <w:basedOn w:val="Normal"/>
    <w:link w:val="EndnoteTextChar"/>
    <w:unhideWhenUsed/>
    <w:rsid w:val="001A4F7E"/>
    <w:rPr>
      <w:rFonts w:asciiTheme="minorHAnsi" w:hAnsiTheme="minorHAnsi"/>
    </w:rPr>
  </w:style>
  <w:style w:type="character" w:customStyle="1" w:styleId="EndnoteTextChar">
    <w:name w:val="Endnote Text Char"/>
    <w:basedOn w:val="DefaultParagraphFont"/>
    <w:link w:val="EndnoteText"/>
    <w:rsid w:val="001A4F7E"/>
    <w:rPr>
      <w:rFonts w:eastAsia="Times New Roman" w:cs="Times New Roman"/>
      <w:sz w:val="19"/>
      <w:szCs w:val="20"/>
      <w:lang w:eastAsia="en-AU"/>
    </w:rPr>
  </w:style>
  <w:style w:type="paragraph" w:styleId="Index1">
    <w:name w:val="index 1"/>
    <w:basedOn w:val="Normal"/>
    <w:next w:val="Normal"/>
    <w:rsid w:val="001A4F7E"/>
    <w:pPr>
      <w:ind w:left="200" w:hanging="200"/>
    </w:pPr>
    <w:rPr>
      <w:rFonts w:asciiTheme="minorHAnsi" w:hAnsiTheme="minorHAnsi"/>
    </w:rPr>
  </w:style>
  <w:style w:type="paragraph" w:styleId="Index2">
    <w:name w:val="index 2"/>
    <w:basedOn w:val="Normal"/>
    <w:next w:val="Normal"/>
    <w:rsid w:val="001A4F7E"/>
    <w:pPr>
      <w:ind w:left="400" w:hanging="200"/>
    </w:pPr>
    <w:rPr>
      <w:rFonts w:asciiTheme="minorHAnsi" w:hAnsiTheme="minorHAnsi"/>
    </w:rPr>
  </w:style>
  <w:style w:type="paragraph" w:styleId="Index3">
    <w:name w:val="index 3"/>
    <w:basedOn w:val="Normal"/>
    <w:next w:val="Normal"/>
    <w:rsid w:val="001A4F7E"/>
    <w:pPr>
      <w:ind w:left="600" w:hanging="200"/>
    </w:pPr>
    <w:rPr>
      <w:rFonts w:asciiTheme="minorHAnsi" w:hAnsiTheme="minorHAnsi"/>
    </w:rPr>
  </w:style>
  <w:style w:type="paragraph" w:styleId="IndexHeading">
    <w:name w:val="index heading"/>
    <w:basedOn w:val="Normal"/>
    <w:next w:val="Index1"/>
    <w:rsid w:val="001A4F7E"/>
    <w:rPr>
      <w:rFonts w:ascii="Arial Bold" w:hAnsi="Arial Bold" w:cs="Arial"/>
      <w:b/>
      <w:bCs/>
      <w:color w:val="002B54"/>
    </w:rPr>
  </w:style>
  <w:style w:type="paragraph" w:styleId="TableofAuthorities">
    <w:name w:val="table of authorities"/>
    <w:basedOn w:val="Normal"/>
    <w:next w:val="Normal"/>
    <w:rsid w:val="001A4F7E"/>
    <w:pPr>
      <w:ind w:left="200" w:hanging="200"/>
    </w:pPr>
    <w:rPr>
      <w:rFonts w:asciiTheme="minorHAnsi" w:hAnsiTheme="minorHAnsi"/>
    </w:rPr>
  </w:style>
  <w:style w:type="paragraph" w:customStyle="1" w:styleId="StatementWhite-Bullet">
    <w:name w:val="Statement White - Bullet"/>
    <w:basedOn w:val="Bullet"/>
    <w:qFormat/>
    <w:rsid w:val="001A4F7E"/>
    <w:pPr>
      <w:numPr>
        <w:numId w:val="0"/>
      </w:numPr>
      <w:tabs>
        <w:tab w:val="num" w:pos="283"/>
      </w:tabs>
      <w:ind w:left="284" w:hanging="284"/>
    </w:pPr>
    <w:rPr>
      <w:rFonts w:asciiTheme="minorHAnsi" w:hAnsiTheme="minorHAnsi"/>
      <w:color w:val="FFFFFF" w:themeColor="background1"/>
      <w:sz w:val="18"/>
    </w:rPr>
  </w:style>
  <w:style w:type="paragraph" w:customStyle="1" w:styleId="AppendixHeading">
    <w:name w:val="Appendix Heading"/>
    <w:basedOn w:val="HeadingBase"/>
    <w:rsid w:val="001A4F7E"/>
    <w:pPr>
      <w:spacing w:after="240"/>
      <w:jc w:val="center"/>
      <w:outlineLvl w:val="3"/>
    </w:pPr>
    <w:rPr>
      <w:b/>
      <w:smallCaps/>
      <w:sz w:val="30"/>
    </w:rPr>
  </w:style>
  <w:style w:type="paragraph" w:styleId="BalloonText">
    <w:name w:val="Balloon Text"/>
    <w:basedOn w:val="Normal"/>
    <w:link w:val="BalloonTextChar"/>
    <w:rsid w:val="001A4F7E"/>
    <w:pPr>
      <w:spacing w:before="0" w:line="260" w:lineRule="exact"/>
      <w:jc w:val="both"/>
    </w:pPr>
    <w:rPr>
      <w:rFonts w:ascii="Tahoma" w:hAnsi="Tahoma" w:cs="Tahoma"/>
      <w:sz w:val="16"/>
      <w:szCs w:val="16"/>
    </w:rPr>
  </w:style>
  <w:style w:type="character" w:customStyle="1" w:styleId="BalloonTextChar">
    <w:name w:val="Balloon Text Char"/>
    <w:basedOn w:val="DefaultParagraphFont"/>
    <w:link w:val="BalloonText"/>
    <w:rsid w:val="001A4F7E"/>
    <w:rPr>
      <w:rFonts w:ascii="Tahoma" w:eastAsia="Times New Roman" w:hAnsi="Tahoma" w:cs="Tahoma"/>
      <w:sz w:val="16"/>
      <w:szCs w:val="16"/>
      <w:lang w:eastAsia="en-AU"/>
    </w:rPr>
  </w:style>
  <w:style w:type="paragraph" w:customStyle="1" w:styleId="BlockedQuotation">
    <w:name w:val="Blocked Quotation"/>
    <w:basedOn w:val="Normal"/>
    <w:rsid w:val="001A4F7E"/>
    <w:pPr>
      <w:spacing w:before="0" w:line="260" w:lineRule="exact"/>
      <w:ind w:left="567"/>
      <w:jc w:val="both"/>
    </w:pPr>
    <w:rPr>
      <w:sz w:val="20"/>
    </w:rPr>
  </w:style>
  <w:style w:type="paragraph" w:customStyle="1" w:styleId="ContentsnoToC">
    <w:name w:val="Contents no ToC"/>
    <w:basedOn w:val="ContentsHeading"/>
    <w:rsid w:val="001A4F7E"/>
    <w:pPr>
      <w:jc w:val="center"/>
    </w:pPr>
    <w:rPr>
      <w:kern w:val="0"/>
    </w:rPr>
  </w:style>
  <w:style w:type="paragraph" w:customStyle="1" w:styleId="SourceBox">
    <w:name w:val="Source Box"/>
    <w:basedOn w:val="Source"/>
    <w:rsid w:val="001A4F7E"/>
    <w:pPr>
      <w:spacing w:before="0" w:after="120"/>
      <w:jc w:val="both"/>
    </w:pPr>
  </w:style>
  <w:style w:type="paragraph" w:customStyle="1" w:styleId="Boxcontinuedover">
    <w:name w:val="Box continued over"/>
    <w:basedOn w:val="BoxText"/>
    <w:qFormat/>
    <w:rsid w:val="001A4F7E"/>
    <w:pPr>
      <w:spacing w:before="240" w:after="0"/>
      <w:jc w:val="right"/>
    </w:pPr>
    <w:rPr>
      <w:rFonts w:ascii="Arial" w:hAnsi="Arial"/>
      <w:b/>
      <w:bCs/>
      <w:sz w:val="18"/>
      <w:szCs w:val="16"/>
    </w:rPr>
  </w:style>
  <w:style w:type="paragraph" w:customStyle="1" w:styleId="Default">
    <w:name w:val="Default"/>
    <w:rsid w:val="001A4F7E"/>
    <w:pPr>
      <w:autoSpaceDE w:val="0"/>
      <w:autoSpaceDN w:val="0"/>
      <w:adjustRightInd w:val="0"/>
      <w:spacing w:after="0" w:line="240" w:lineRule="auto"/>
    </w:pPr>
    <w:rPr>
      <w:rFonts w:ascii="Book Antiqua" w:eastAsia="Calibri" w:hAnsi="Book Antiqua" w:cs="Book Antiqua"/>
      <w:color w:val="000000"/>
      <w:sz w:val="24"/>
      <w:szCs w:val="24"/>
      <w:lang w:eastAsia="en-AU"/>
    </w:rPr>
  </w:style>
  <w:style w:type="paragraph" w:styleId="Revision">
    <w:name w:val="Revision"/>
    <w:hidden/>
    <w:uiPriority w:val="99"/>
    <w:semiHidden/>
    <w:rsid w:val="001A4F7E"/>
    <w:pPr>
      <w:spacing w:after="0" w:line="240" w:lineRule="auto"/>
    </w:pPr>
    <w:rPr>
      <w:rFonts w:ascii="Book Antiqua" w:eastAsia="Times New Roman" w:hAnsi="Book Antiqua" w:cs="Times New Roman"/>
      <w:sz w:val="20"/>
      <w:szCs w:val="20"/>
      <w:lang w:eastAsia="en-AU"/>
    </w:rPr>
  </w:style>
  <w:style w:type="paragraph" w:customStyle="1" w:styleId="chatandtablefootnotealphasmall">
    <w:name w:val="chat and table footnote alpha small"/>
    <w:basedOn w:val="ChartandTableFootnoteAlpha"/>
    <w:qFormat/>
    <w:rsid w:val="001A4F7E"/>
    <w:pPr>
      <w:numPr>
        <w:numId w:val="0"/>
      </w:numPr>
      <w:tabs>
        <w:tab w:val="num" w:pos="472"/>
      </w:tabs>
      <w:spacing w:before="0"/>
      <w:ind w:left="472" w:hanging="472"/>
      <w:jc w:val="both"/>
    </w:pPr>
    <w:rPr>
      <w:sz w:val="15"/>
    </w:rPr>
  </w:style>
  <w:style w:type="paragraph" w:styleId="NormalWeb">
    <w:name w:val="Normal (Web)"/>
    <w:basedOn w:val="Normal"/>
    <w:uiPriority w:val="99"/>
    <w:semiHidden/>
    <w:unhideWhenUsed/>
    <w:rsid w:val="001A4F7E"/>
    <w:pPr>
      <w:spacing w:before="0" w:line="260" w:lineRule="exact"/>
      <w:jc w:val="both"/>
    </w:pPr>
    <w:rPr>
      <w:rFonts w:ascii="Times New Roman" w:hAnsi="Times New Roman"/>
      <w:sz w:val="24"/>
      <w:szCs w:val="24"/>
    </w:rPr>
  </w:style>
  <w:style w:type="paragraph" w:customStyle="1" w:styleId="ListParagraph1">
    <w:name w:val="List Paragraph1"/>
    <w:basedOn w:val="Normal"/>
    <w:next w:val="ListParagraph"/>
    <w:uiPriority w:val="34"/>
    <w:qFormat/>
    <w:rsid w:val="001A4F7E"/>
    <w:pPr>
      <w:spacing w:before="0" w:after="0" w:line="240" w:lineRule="auto"/>
      <w:ind w:left="720"/>
    </w:pPr>
    <w:rPr>
      <w:rFonts w:ascii="Calibri" w:eastAsia="Calibri" w:hAnsi="Calibri" w:cs="Calibri"/>
      <w:sz w:val="22"/>
      <w:szCs w:val="22"/>
      <w:lang w:eastAsia="en-US"/>
    </w:rPr>
  </w:style>
  <w:style w:type="character" w:customStyle="1" w:styleId="UnresolvedMention1">
    <w:name w:val="Unresolved Mention1"/>
    <w:basedOn w:val="DefaultParagraphFont"/>
    <w:uiPriority w:val="99"/>
    <w:semiHidden/>
    <w:unhideWhenUsed/>
    <w:rsid w:val="001A4F7E"/>
    <w:rPr>
      <w:color w:val="605E5C"/>
      <w:shd w:val="clear" w:color="auto" w:fill="E1DFDD"/>
    </w:rPr>
  </w:style>
  <w:style w:type="paragraph" w:customStyle="1" w:styleId="OutlineNumbered1">
    <w:name w:val="Outline Numbered 1"/>
    <w:basedOn w:val="Normal"/>
    <w:link w:val="OutlineNumbered1Char"/>
    <w:rsid w:val="001A4F7E"/>
    <w:pPr>
      <w:numPr>
        <w:numId w:val="7"/>
      </w:numPr>
      <w:spacing w:before="0" w:line="260" w:lineRule="exact"/>
      <w:jc w:val="both"/>
    </w:pPr>
    <w:rPr>
      <w:color w:val="000000"/>
      <w:sz w:val="20"/>
    </w:rPr>
  </w:style>
  <w:style w:type="character" w:customStyle="1" w:styleId="HeadingBaseChar">
    <w:name w:val="Heading Base Char"/>
    <w:basedOn w:val="DefaultParagraphFont"/>
    <w:link w:val="HeadingBase"/>
    <w:rsid w:val="001A4F7E"/>
    <w:rPr>
      <w:rFonts w:ascii="Arial" w:eastAsia="Times New Roman" w:hAnsi="Arial" w:cs="Times New Roman"/>
      <w:sz w:val="24"/>
      <w:szCs w:val="20"/>
      <w:lang w:eastAsia="en-AU"/>
    </w:rPr>
  </w:style>
  <w:style w:type="character" w:customStyle="1" w:styleId="ChartandTableFootnoteAlphaChar">
    <w:name w:val="Chart and Table Footnote Alpha Char"/>
    <w:basedOn w:val="HeadingBaseChar"/>
    <w:link w:val="ChartandTableFootnoteAlpha"/>
    <w:rsid w:val="001A4F7E"/>
    <w:rPr>
      <w:rFonts w:ascii="Arial" w:eastAsia="Times New Roman" w:hAnsi="Arial" w:cs="Times New Roman"/>
      <w:color w:val="000000"/>
      <w:sz w:val="16"/>
      <w:szCs w:val="20"/>
      <w:lang w:eastAsia="en-AU"/>
    </w:rPr>
  </w:style>
  <w:style w:type="character" w:customStyle="1" w:styleId="OutlineNumbered1Char">
    <w:name w:val="Outline Numbered 1 Char"/>
    <w:basedOn w:val="ChartandTableFootnoteAlphaChar"/>
    <w:link w:val="OutlineNumbered1"/>
    <w:rsid w:val="001A4F7E"/>
    <w:rPr>
      <w:rFonts w:ascii="Book Antiqua" w:eastAsia="Times New Roman" w:hAnsi="Book Antiqua" w:cs="Times New Roman"/>
      <w:color w:val="000000"/>
      <w:sz w:val="20"/>
      <w:szCs w:val="20"/>
      <w:lang w:eastAsia="en-AU"/>
    </w:rPr>
  </w:style>
  <w:style w:type="paragraph" w:customStyle="1" w:styleId="OutlineNumbered2">
    <w:name w:val="Outline Numbered 2"/>
    <w:basedOn w:val="Normal"/>
    <w:link w:val="OutlineNumbered2Char"/>
    <w:rsid w:val="001A4F7E"/>
    <w:pPr>
      <w:numPr>
        <w:ilvl w:val="1"/>
        <w:numId w:val="7"/>
      </w:numPr>
      <w:spacing w:before="0" w:line="260" w:lineRule="exact"/>
      <w:jc w:val="both"/>
    </w:pPr>
    <w:rPr>
      <w:color w:val="000000"/>
      <w:sz w:val="20"/>
    </w:rPr>
  </w:style>
  <w:style w:type="character" w:customStyle="1" w:styleId="OutlineNumbered2Char">
    <w:name w:val="Outline Numbered 2 Char"/>
    <w:basedOn w:val="ChartandTableFootnoteAlphaChar"/>
    <w:link w:val="OutlineNumbered2"/>
    <w:rsid w:val="001A4F7E"/>
    <w:rPr>
      <w:rFonts w:ascii="Book Antiqua" w:eastAsia="Times New Roman" w:hAnsi="Book Antiqua" w:cs="Times New Roman"/>
      <w:color w:val="000000"/>
      <w:sz w:val="20"/>
      <w:szCs w:val="20"/>
      <w:lang w:eastAsia="en-AU"/>
    </w:rPr>
  </w:style>
  <w:style w:type="paragraph" w:customStyle="1" w:styleId="OutlineNumbered3">
    <w:name w:val="Outline Numbered 3"/>
    <w:basedOn w:val="Normal"/>
    <w:link w:val="OutlineNumbered3Char"/>
    <w:rsid w:val="001A4F7E"/>
    <w:pPr>
      <w:numPr>
        <w:ilvl w:val="2"/>
        <w:numId w:val="7"/>
      </w:numPr>
      <w:spacing w:before="0" w:line="260" w:lineRule="exact"/>
      <w:jc w:val="both"/>
    </w:pPr>
    <w:rPr>
      <w:color w:val="000000"/>
      <w:sz w:val="20"/>
    </w:rPr>
  </w:style>
  <w:style w:type="character" w:customStyle="1" w:styleId="OutlineNumbered3Char">
    <w:name w:val="Outline Numbered 3 Char"/>
    <w:basedOn w:val="ChartandTableFootnoteAlphaChar"/>
    <w:link w:val="OutlineNumbered3"/>
    <w:rsid w:val="001A4F7E"/>
    <w:rPr>
      <w:rFonts w:ascii="Book Antiqua" w:eastAsia="Times New Roman" w:hAnsi="Book Antiqua" w:cs="Times New Roman"/>
      <w:color w:val="000000"/>
      <w:sz w:val="20"/>
      <w:szCs w:val="20"/>
      <w:lang w:eastAsia="en-AU"/>
    </w:rPr>
  </w:style>
  <w:style w:type="paragraph" w:styleId="ListParagraph">
    <w:name w:val="List Paragraph"/>
    <w:basedOn w:val="Normal"/>
    <w:uiPriority w:val="34"/>
    <w:qFormat/>
    <w:rsid w:val="001A4F7E"/>
    <w:pPr>
      <w:spacing w:before="0" w:line="260" w:lineRule="exact"/>
      <w:ind w:left="720"/>
      <w:contextualSpacing/>
      <w:jc w:val="both"/>
    </w:pPr>
    <w:rPr>
      <w:sz w:val="20"/>
    </w:rPr>
  </w:style>
  <w:style w:type="character" w:styleId="FollowedHyperlink">
    <w:name w:val="FollowedHyperlink"/>
    <w:basedOn w:val="DefaultParagraphFont"/>
    <w:uiPriority w:val="99"/>
    <w:semiHidden/>
    <w:unhideWhenUsed/>
    <w:rsid w:val="001A4F7E"/>
    <w:rPr>
      <w:color w:val="E61E26" w:themeColor="followedHyperlink"/>
      <w:u w:val="single"/>
    </w:rPr>
  </w:style>
  <w:style w:type="character" w:styleId="UnresolvedMention">
    <w:name w:val="Unresolved Mention"/>
    <w:basedOn w:val="DefaultParagraphFont"/>
    <w:uiPriority w:val="99"/>
    <w:semiHidden/>
    <w:unhideWhenUsed/>
    <w:rsid w:val="004F7A05"/>
    <w:rPr>
      <w:color w:val="605E5C"/>
      <w:shd w:val="clear" w:color="auto" w:fill="E1DFDD"/>
    </w:rPr>
  </w:style>
  <w:style w:type="character" w:styleId="Mention">
    <w:name w:val="Mention"/>
    <w:basedOn w:val="DefaultParagraphFont"/>
    <w:uiPriority w:val="99"/>
    <w:unhideWhenUsed/>
    <w:rsid w:val="000875F4"/>
    <w:rPr>
      <w:color w:val="2B579A"/>
      <w:shd w:val="clear" w:color="auto" w:fill="E1DFDD"/>
    </w:rPr>
  </w:style>
  <w:style w:type="character" w:customStyle="1" w:styleId="FramedHeader">
    <w:name w:val="Framed Header"/>
    <w:basedOn w:val="DefaultParagraphFont"/>
    <w:rsid w:val="005F29A7"/>
    <w:rPr>
      <w:rFonts w:ascii="Book Antiqua" w:hAnsi="Book Antiqua"/>
      <w:i/>
      <w:dstrike w:val="0"/>
      <w:color w:val="auto"/>
      <w:sz w:val="20"/>
      <w:vertAlign w:val="baseline"/>
    </w:rPr>
  </w:style>
  <w:style w:type="character" w:customStyle="1" w:styleId="HiddenSequenceCode">
    <w:name w:val="Hidden Sequence Code"/>
    <w:basedOn w:val="DefaultParagraphFont"/>
    <w:rsid w:val="005F29A7"/>
    <w:rPr>
      <w:rFonts w:ascii="Times New Roman" w:hAnsi="Times New Roman"/>
      <w:vanish/>
      <w:sz w:val="16"/>
    </w:rPr>
  </w:style>
  <w:style w:type="character" w:customStyle="1" w:styleId="BoxTextChar">
    <w:name w:val="Box Text Char"/>
    <w:basedOn w:val="DefaultParagraphFont"/>
    <w:link w:val="BoxText"/>
    <w:rsid w:val="005F29A7"/>
    <w:rPr>
      <w:rFonts w:ascii="Book Antiqua" w:eastAsia="Times New Roman" w:hAnsi="Book Antiqua" w:cs="Times New Roman"/>
      <w:sz w:val="1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8371">
      <w:bodyDiv w:val="1"/>
      <w:marLeft w:val="0"/>
      <w:marRight w:val="0"/>
      <w:marTop w:val="0"/>
      <w:marBottom w:val="0"/>
      <w:divBdr>
        <w:top w:val="none" w:sz="0" w:space="0" w:color="auto"/>
        <w:left w:val="none" w:sz="0" w:space="0" w:color="auto"/>
        <w:bottom w:val="none" w:sz="0" w:space="0" w:color="auto"/>
        <w:right w:val="none" w:sz="0" w:space="0" w:color="auto"/>
      </w:divBdr>
    </w:div>
    <w:div w:id="57754268">
      <w:bodyDiv w:val="1"/>
      <w:marLeft w:val="0"/>
      <w:marRight w:val="0"/>
      <w:marTop w:val="0"/>
      <w:marBottom w:val="0"/>
      <w:divBdr>
        <w:top w:val="none" w:sz="0" w:space="0" w:color="auto"/>
        <w:left w:val="none" w:sz="0" w:space="0" w:color="auto"/>
        <w:bottom w:val="none" w:sz="0" w:space="0" w:color="auto"/>
        <w:right w:val="none" w:sz="0" w:space="0" w:color="auto"/>
      </w:divBdr>
    </w:div>
    <w:div w:id="64374918">
      <w:bodyDiv w:val="1"/>
      <w:marLeft w:val="0"/>
      <w:marRight w:val="0"/>
      <w:marTop w:val="0"/>
      <w:marBottom w:val="0"/>
      <w:divBdr>
        <w:top w:val="none" w:sz="0" w:space="0" w:color="auto"/>
        <w:left w:val="none" w:sz="0" w:space="0" w:color="auto"/>
        <w:bottom w:val="none" w:sz="0" w:space="0" w:color="auto"/>
        <w:right w:val="none" w:sz="0" w:space="0" w:color="auto"/>
      </w:divBdr>
    </w:div>
    <w:div w:id="82068287">
      <w:bodyDiv w:val="1"/>
      <w:marLeft w:val="0"/>
      <w:marRight w:val="0"/>
      <w:marTop w:val="0"/>
      <w:marBottom w:val="0"/>
      <w:divBdr>
        <w:top w:val="none" w:sz="0" w:space="0" w:color="auto"/>
        <w:left w:val="none" w:sz="0" w:space="0" w:color="auto"/>
        <w:bottom w:val="none" w:sz="0" w:space="0" w:color="auto"/>
        <w:right w:val="none" w:sz="0" w:space="0" w:color="auto"/>
      </w:divBdr>
    </w:div>
    <w:div w:id="86705129">
      <w:bodyDiv w:val="1"/>
      <w:marLeft w:val="0"/>
      <w:marRight w:val="0"/>
      <w:marTop w:val="0"/>
      <w:marBottom w:val="0"/>
      <w:divBdr>
        <w:top w:val="none" w:sz="0" w:space="0" w:color="auto"/>
        <w:left w:val="none" w:sz="0" w:space="0" w:color="auto"/>
        <w:bottom w:val="none" w:sz="0" w:space="0" w:color="auto"/>
        <w:right w:val="none" w:sz="0" w:space="0" w:color="auto"/>
      </w:divBdr>
    </w:div>
    <w:div w:id="93938164">
      <w:bodyDiv w:val="1"/>
      <w:marLeft w:val="0"/>
      <w:marRight w:val="0"/>
      <w:marTop w:val="0"/>
      <w:marBottom w:val="0"/>
      <w:divBdr>
        <w:top w:val="none" w:sz="0" w:space="0" w:color="auto"/>
        <w:left w:val="none" w:sz="0" w:space="0" w:color="auto"/>
        <w:bottom w:val="none" w:sz="0" w:space="0" w:color="auto"/>
        <w:right w:val="none" w:sz="0" w:space="0" w:color="auto"/>
      </w:divBdr>
    </w:div>
    <w:div w:id="132598485">
      <w:bodyDiv w:val="1"/>
      <w:marLeft w:val="0"/>
      <w:marRight w:val="0"/>
      <w:marTop w:val="0"/>
      <w:marBottom w:val="0"/>
      <w:divBdr>
        <w:top w:val="none" w:sz="0" w:space="0" w:color="auto"/>
        <w:left w:val="none" w:sz="0" w:space="0" w:color="auto"/>
        <w:bottom w:val="none" w:sz="0" w:space="0" w:color="auto"/>
        <w:right w:val="none" w:sz="0" w:space="0" w:color="auto"/>
      </w:divBdr>
    </w:div>
    <w:div w:id="132724921">
      <w:bodyDiv w:val="1"/>
      <w:marLeft w:val="0"/>
      <w:marRight w:val="0"/>
      <w:marTop w:val="0"/>
      <w:marBottom w:val="0"/>
      <w:divBdr>
        <w:top w:val="none" w:sz="0" w:space="0" w:color="auto"/>
        <w:left w:val="none" w:sz="0" w:space="0" w:color="auto"/>
        <w:bottom w:val="none" w:sz="0" w:space="0" w:color="auto"/>
        <w:right w:val="none" w:sz="0" w:space="0" w:color="auto"/>
      </w:divBdr>
    </w:div>
    <w:div w:id="140926277">
      <w:bodyDiv w:val="1"/>
      <w:marLeft w:val="0"/>
      <w:marRight w:val="0"/>
      <w:marTop w:val="0"/>
      <w:marBottom w:val="0"/>
      <w:divBdr>
        <w:top w:val="none" w:sz="0" w:space="0" w:color="auto"/>
        <w:left w:val="none" w:sz="0" w:space="0" w:color="auto"/>
        <w:bottom w:val="none" w:sz="0" w:space="0" w:color="auto"/>
        <w:right w:val="none" w:sz="0" w:space="0" w:color="auto"/>
      </w:divBdr>
    </w:div>
    <w:div w:id="141780858">
      <w:bodyDiv w:val="1"/>
      <w:marLeft w:val="0"/>
      <w:marRight w:val="0"/>
      <w:marTop w:val="0"/>
      <w:marBottom w:val="0"/>
      <w:divBdr>
        <w:top w:val="none" w:sz="0" w:space="0" w:color="auto"/>
        <w:left w:val="none" w:sz="0" w:space="0" w:color="auto"/>
        <w:bottom w:val="none" w:sz="0" w:space="0" w:color="auto"/>
        <w:right w:val="none" w:sz="0" w:space="0" w:color="auto"/>
      </w:divBdr>
    </w:div>
    <w:div w:id="193427014">
      <w:bodyDiv w:val="1"/>
      <w:marLeft w:val="0"/>
      <w:marRight w:val="0"/>
      <w:marTop w:val="0"/>
      <w:marBottom w:val="0"/>
      <w:divBdr>
        <w:top w:val="none" w:sz="0" w:space="0" w:color="auto"/>
        <w:left w:val="none" w:sz="0" w:space="0" w:color="auto"/>
        <w:bottom w:val="none" w:sz="0" w:space="0" w:color="auto"/>
        <w:right w:val="none" w:sz="0" w:space="0" w:color="auto"/>
      </w:divBdr>
    </w:div>
    <w:div w:id="212036957">
      <w:bodyDiv w:val="1"/>
      <w:marLeft w:val="0"/>
      <w:marRight w:val="0"/>
      <w:marTop w:val="0"/>
      <w:marBottom w:val="0"/>
      <w:divBdr>
        <w:top w:val="none" w:sz="0" w:space="0" w:color="auto"/>
        <w:left w:val="none" w:sz="0" w:space="0" w:color="auto"/>
        <w:bottom w:val="none" w:sz="0" w:space="0" w:color="auto"/>
        <w:right w:val="none" w:sz="0" w:space="0" w:color="auto"/>
      </w:divBdr>
    </w:div>
    <w:div w:id="260144794">
      <w:bodyDiv w:val="1"/>
      <w:marLeft w:val="0"/>
      <w:marRight w:val="0"/>
      <w:marTop w:val="0"/>
      <w:marBottom w:val="0"/>
      <w:divBdr>
        <w:top w:val="none" w:sz="0" w:space="0" w:color="auto"/>
        <w:left w:val="none" w:sz="0" w:space="0" w:color="auto"/>
        <w:bottom w:val="none" w:sz="0" w:space="0" w:color="auto"/>
        <w:right w:val="none" w:sz="0" w:space="0" w:color="auto"/>
      </w:divBdr>
    </w:div>
    <w:div w:id="266693145">
      <w:bodyDiv w:val="1"/>
      <w:marLeft w:val="0"/>
      <w:marRight w:val="0"/>
      <w:marTop w:val="0"/>
      <w:marBottom w:val="0"/>
      <w:divBdr>
        <w:top w:val="none" w:sz="0" w:space="0" w:color="auto"/>
        <w:left w:val="none" w:sz="0" w:space="0" w:color="auto"/>
        <w:bottom w:val="none" w:sz="0" w:space="0" w:color="auto"/>
        <w:right w:val="none" w:sz="0" w:space="0" w:color="auto"/>
      </w:divBdr>
    </w:div>
    <w:div w:id="304622091">
      <w:bodyDiv w:val="1"/>
      <w:marLeft w:val="0"/>
      <w:marRight w:val="0"/>
      <w:marTop w:val="0"/>
      <w:marBottom w:val="0"/>
      <w:divBdr>
        <w:top w:val="none" w:sz="0" w:space="0" w:color="auto"/>
        <w:left w:val="none" w:sz="0" w:space="0" w:color="auto"/>
        <w:bottom w:val="none" w:sz="0" w:space="0" w:color="auto"/>
        <w:right w:val="none" w:sz="0" w:space="0" w:color="auto"/>
      </w:divBdr>
    </w:div>
    <w:div w:id="327515769">
      <w:bodyDiv w:val="1"/>
      <w:marLeft w:val="0"/>
      <w:marRight w:val="0"/>
      <w:marTop w:val="0"/>
      <w:marBottom w:val="0"/>
      <w:divBdr>
        <w:top w:val="none" w:sz="0" w:space="0" w:color="auto"/>
        <w:left w:val="none" w:sz="0" w:space="0" w:color="auto"/>
        <w:bottom w:val="none" w:sz="0" w:space="0" w:color="auto"/>
        <w:right w:val="none" w:sz="0" w:space="0" w:color="auto"/>
      </w:divBdr>
    </w:div>
    <w:div w:id="330303690">
      <w:bodyDiv w:val="1"/>
      <w:marLeft w:val="0"/>
      <w:marRight w:val="0"/>
      <w:marTop w:val="0"/>
      <w:marBottom w:val="0"/>
      <w:divBdr>
        <w:top w:val="none" w:sz="0" w:space="0" w:color="auto"/>
        <w:left w:val="none" w:sz="0" w:space="0" w:color="auto"/>
        <w:bottom w:val="none" w:sz="0" w:space="0" w:color="auto"/>
        <w:right w:val="none" w:sz="0" w:space="0" w:color="auto"/>
      </w:divBdr>
    </w:div>
    <w:div w:id="370300333">
      <w:bodyDiv w:val="1"/>
      <w:marLeft w:val="0"/>
      <w:marRight w:val="0"/>
      <w:marTop w:val="0"/>
      <w:marBottom w:val="0"/>
      <w:divBdr>
        <w:top w:val="none" w:sz="0" w:space="0" w:color="auto"/>
        <w:left w:val="none" w:sz="0" w:space="0" w:color="auto"/>
        <w:bottom w:val="none" w:sz="0" w:space="0" w:color="auto"/>
        <w:right w:val="none" w:sz="0" w:space="0" w:color="auto"/>
      </w:divBdr>
    </w:div>
    <w:div w:id="389307699">
      <w:bodyDiv w:val="1"/>
      <w:marLeft w:val="0"/>
      <w:marRight w:val="0"/>
      <w:marTop w:val="0"/>
      <w:marBottom w:val="0"/>
      <w:divBdr>
        <w:top w:val="none" w:sz="0" w:space="0" w:color="auto"/>
        <w:left w:val="none" w:sz="0" w:space="0" w:color="auto"/>
        <w:bottom w:val="none" w:sz="0" w:space="0" w:color="auto"/>
        <w:right w:val="none" w:sz="0" w:space="0" w:color="auto"/>
      </w:divBdr>
    </w:div>
    <w:div w:id="463547410">
      <w:bodyDiv w:val="1"/>
      <w:marLeft w:val="0"/>
      <w:marRight w:val="0"/>
      <w:marTop w:val="0"/>
      <w:marBottom w:val="0"/>
      <w:divBdr>
        <w:top w:val="none" w:sz="0" w:space="0" w:color="auto"/>
        <w:left w:val="none" w:sz="0" w:space="0" w:color="auto"/>
        <w:bottom w:val="none" w:sz="0" w:space="0" w:color="auto"/>
        <w:right w:val="none" w:sz="0" w:space="0" w:color="auto"/>
      </w:divBdr>
    </w:div>
    <w:div w:id="480463180">
      <w:bodyDiv w:val="1"/>
      <w:marLeft w:val="0"/>
      <w:marRight w:val="0"/>
      <w:marTop w:val="0"/>
      <w:marBottom w:val="0"/>
      <w:divBdr>
        <w:top w:val="none" w:sz="0" w:space="0" w:color="auto"/>
        <w:left w:val="none" w:sz="0" w:space="0" w:color="auto"/>
        <w:bottom w:val="none" w:sz="0" w:space="0" w:color="auto"/>
        <w:right w:val="none" w:sz="0" w:space="0" w:color="auto"/>
      </w:divBdr>
    </w:div>
    <w:div w:id="487022302">
      <w:bodyDiv w:val="1"/>
      <w:marLeft w:val="0"/>
      <w:marRight w:val="0"/>
      <w:marTop w:val="0"/>
      <w:marBottom w:val="0"/>
      <w:divBdr>
        <w:top w:val="none" w:sz="0" w:space="0" w:color="auto"/>
        <w:left w:val="none" w:sz="0" w:space="0" w:color="auto"/>
        <w:bottom w:val="none" w:sz="0" w:space="0" w:color="auto"/>
        <w:right w:val="none" w:sz="0" w:space="0" w:color="auto"/>
      </w:divBdr>
    </w:div>
    <w:div w:id="494879255">
      <w:bodyDiv w:val="1"/>
      <w:marLeft w:val="0"/>
      <w:marRight w:val="0"/>
      <w:marTop w:val="0"/>
      <w:marBottom w:val="0"/>
      <w:divBdr>
        <w:top w:val="none" w:sz="0" w:space="0" w:color="auto"/>
        <w:left w:val="none" w:sz="0" w:space="0" w:color="auto"/>
        <w:bottom w:val="none" w:sz="0" w:space="0" w:color="auto"/>
        <w:right w:val="none" w:sz="0" w:space="0" w:color="auto"/>
      </w:divBdr>
    </w:div>
    <w:div w:id="505485161">
      <w:bodyDiv w:val="1"/>
      <w:marLeft w:val="0"/>
      <w:marRight w:val="0"/>
      <w:marTop w:val="0"/>
      <w:marBottom w:val="0"/>
      <w:divBdr>
        <w:top w:val="none" w:sz="0" w:space="0" w:color="auto"/>
        <w:left w:val="none" w:sz="0" w:space="0" w:color="auto"/>
        <w:bottom w:val="none" w:sz="0" w:space="0" w:color="auto"/>
        <w:right w:val="none" w:sz="0" w:space="0" w:color="auto"/>
      </w:divBdr>
    </w:div>
    <w:div w:id="534738909">
      <w:bodyDiv w:val="1"/>
      <w:marLeft w:val="0"/>
      <w:marRight w:val="0"/>
      <w:marTop w:val="0"/>
      <w:marBottom w:val="0"/>
      <w:divBdr>
        <w:top w:val="none" w:sz="0" w:space="0" w:color="auto"/>
        <w:left w:val="none" w:sz="0" w:space="0" w:color="auto"/>
        <w:bottom w:val="none" w:sz="0" w:space="0" w:color="auto"/>
        <w:right w:val="none" w:sz="0" w:space="0" w:color="auto"/>
      </w:divBdr>
    </w:div>
    <w:div w:id="539783121">
      <w:bodyDiv w:val="1"/>
      <w:marLeft w:val="0"/>
      <w:marRight w:val="0"/>
      <w:marTop w:val="0"/>
      <w:marBottom w:val="0"/>
      <w:divBdr>
        <w:top w:val="none" w:sz="0" w:space="0" w:color="auto"/>
        <w:left w:val="none" w:sz="0" w:space="0" w:color="auto"/>
        <w:bottom w:val="none" w:sz="0" w:space="0" w:color="auto"/>
        <w:right w:val="none" w:sz="0" w:space="0" w:color="auto"/>
      </w:divBdr>
    </w:div>
    <w:div w:id="580410108">
      <w:bodyDiv w:val="1"/>
      <w:marLeft w:val="0"/>
      <w:marRight w:val="0"/>
      <w:marTop w:val="0"/>
      <w:marBottom w:val="0"/>
      <w:divBdr>
        <w:top w:val="none" w:sz="0" w:space="0" w:color="auto"/>
        <w:left w:val="none" w:sz="0" w:space="0" w:color="auto"/>
        <w:bottom w:val="none" w:sz="0" w:space="0" w:color="auto"/>
        <w:right w:val="none" w:sz="0" w:space="0" w:color="auto"/>
      </w:divBdr>
    </w:div>
    <w:div w:id="616912416">
      <w:bodyDiv w:val="1"/>
      <w:marLeft w:val="0"/>
      <w:marRight w:val="0"/>
      <w:marTop w:val="0"/>
      <w:marBottom w:val="0"/>
      <w:divBdr>
        <w:top w:val="none" w:sz="0" w:space="0" w:color="auto"/>
        <w:left w:val="none" w:sz="0" w:space="0" w:color="auto"/>
        <w:bottom w:val="none" w:sz="0" w:space="0" w:color="auto"/>
        <w:right w:val="none" w:sz="0" w:space="0" w:color="auto"/>
      </w:divBdr>
    </w:div>
    <w:div w:id="626014065">
      <w:bodyDiv w:val="1"/>
      <w:marLeft w:val="0"/>
      <w:marRight w:val="0"/>
      <w:marTop w:val="0"/>
      <w:marBottom w:val="0"/>
      <w:divBdr>
        <w:top w:val="none" w:sz="0" w:space="0" w:color="auto"/>
        <w:left w:val="none" w:sz="0" w:space="0" w:color="auto"/>
        <w:bottom w:val="none" w:sz="0" w:space="0" w:color="auto"/>
        <w:right w:val="none" w:sz="0" w:space="0" w:color="auto"/>
      </w:divBdr>
    </w:div>
    <w:div w:id="693456166">
      <w:bodyDiv w:val="1"/>
      <w:marLeft w:val="0"/>
      <w:marRight w:val="0"/>
      <w:marTop w:val="0"/>
      <w:marBottom w:val="0"/>
      <w:divBdr>
        <w:top w:val="none" w:sz="0" w:space="0" w:color="auto"/>
        <w:left w:val="none" w:sz="0" w:space="0" w:color="auto"/>
        <w:bottom w:val="none" w:sz="0" w:space="0" w:color="auto"/>
        <w:right w:val="none" w:sz="0" w:space="0" w:color="auto"/>
      </w:divBdr>
    </w:div>
    <w:div w:id="703947768">
      <w:bodyDiv w:val="1"/>
      <w:marLeft w:val="0"/>
      <w:marRight w:val="0"/>
      <w:marTop w:val="0"/>
      <w:marBottom w:val="0"/>
      <w:divBdr>
        <w:top w:val="none" w:sz="0" w:space="0" w:color="auto"/>
        <w:left w:val="none" w:sz="0" w:space="0" w:color="auto"/>
        <w:bottom w:val="none" w:sz="0" w:space="0" w:color="auto"/>
        <w:right w:val="none" w:sz="0" w:space="0" w:color="auto"/>
      </w:divBdr>
    </w:div>
    <w:div w:id="712920504">
      <w:bodyDiv w:val="1"/>
      <w:marLeft w:val="0"/>
      <w:marRight w:val="0"/>
      <w:marTop w:val="0"/>
      <w:marBottom w:val="0"/>
      <w:divBdr>
        <w:top w:val="none" w:sz="0" w:space="0" w:color="auto"/>
        <w:left w:val="none" w:sz="0" w:space="0" w:color="auto"/>
        <w:bottom w:val="none" w:sz="0" w:space="0" w:color="auto"/>
        <w:right w:val="none" w:sz="0" w:space="0" w:color="auto"/>
      </w:divBdr>
    </w:div>
    <w:div w:id="713043748">
      <w:bodyDiv w:val="1"/>
      <w:marLeft w:val="0"/>
      <w:marRight w:val="0"/>
      <w:marTop w:val="0"/>
      <w:marBottom w:val="0"/>
      <w:divBdr>
        <w:top w:val="none" w:sz="0" w:space="0" w:color="auto"/>
        <w:left w:val="none" w:sz="0" w:space="0" w:color="auto"/>
        <w:bottom w:val="none" w:sz="0" w:space="0" w:color="auto"/>
        <w:right w:val="none" w:sz="0" w:space="0" w:color="auto"/>
      </w:divBdr>
    </w:div>
    <w:div w:id="726340615">
      <w:bodyDiv w:val="1"/>
      <w:marLeft w:val="0"/>
      <w:marRight w:val="0"/>
      <w:marTop w:val="0"/>
      <w:marBottom w:val="0"/>
      <w:divBdr>
        <w:top w:val="none" w:sz="0" w:space="0" w:color="auto"/>
        <w:left w:val="none" w:sz="0" w:space="0" w:color="auto"/>
        <w:bottom w:val="none" w:sz="0" w:space="0" w:color="auto"/>
        <w:right w:val="none" w:sz="0" w:space="0" w:color="auto"/>
      </w:divBdr>
    </w:div>
    <w:div w:id="749739719">
      <w:bodyDiv w:val="1"/>
      <w:marLeft w:val="0"/>
      <w:marRight w:val="0"/>
      <w:marTop w:val="0"/>
      <w:marBottom w:val="0"/>
      <w:divBdr>
        <w:top w:val="none" w:sz="0" w:space="0" w:color="auto"/>
        <w:left w:val="none" w:sz="0" w:space="0" w:color="auto"/>
        <w:bottom w:val="none" w:sz="0" w:space="0" w:color="auto"/>
        <w:right w:val="none" w:sz="0" w:space="0" w:color="auto"/>
      </w:divBdr>
    </w:div>
    <w:div w:id="785581030">
      <w:bodyDiv w:val="1"/>
      <w:marLeft w:val="0"/>
      <w:marRight w:val="0"/>
      <w:marTop w:val="0"/>
      <w:marBottom w:val="0"/>
      <w:divBdr>
        <w:top w:val="none" w:sz="0" w:space="0" w:color="auto"/>
        <w:left w:val="none" w:sz="0" w:space="0" w:color="auto"/>
        <w:bottom w:val="none" w:sz="0" w:space="0" w:color="auto"/>
        <w:right w:val="none" w:sz="0" w:space="0" w:color="auto"/>
      </w:divBdr>
    </w:div>
    <w:div w:id="788470168">
      <w:bodyDiv w:val="1"/>
      <w:marLeft w:val="0"/>
      <w:marRight w:val="0"/>
      <w:marTop w:val="0"/>
      <w:marBottom w:val="0"/>
      <w:divBdr>
        <w:top w:val="none" w:sz="0" w:space="0" w:color="auto"/>
        <w:left w:val="none" w:sz="0" w:space="0" w:color="auto"/>
        <w:bottom w:val="none" w:sz="0" w:space="0" w:color="auto"/>
        <w:right w:val="none" w:sz="0" w:space="0" w:color="auto"/>
      </w:divBdr>
    </w:div>
    <w:div w:id="792598063">
      <w:bodyDiv w:val="1"/>
      <w:marLeft w:val="0"/>
      <w:marRight w:val="0"/>
      <w:marTop w:val="0"/>
      <w:marBottom w:val="0"/>
      <w:divBdr>
        <w:top w:val="none" w:sz="0" w:space="0" w:color="auto"/>
        <w:left w:val="none" w:sz="0" w:space="0" w:color="auto"/>
        <w:bottom w:val="none" w:sz="0" w:space="0" w:color="auto"/>
        <w:right w:val="none" w:sz="0" w:space="0" w:color="auto"/>
      </w:divBdr>
    </w:div>
    <w:div w:id="795294936">
      <w:bodyDiv w:val="1"/>
      <w:marLeft w:val="0"/>
      <w:marRight w:val="0"/>
      <w:marTop w:val="0"/>
      <w:marBottom w:val="0"/>
      <w:divBdr>
        <w:top w:val="none" w:sz="0" w:space="0" w:color="auto"/>
        <w:left w:val="none" w:sz="0" w:space="0" w:color="auto"/>
        <w:bottom w:val="none" w:sz="0" w:space="0" w:color="auto"/>
        <w:right w:val="none" w:sz="0" w:space="0" w:color="auto"/>
      </w:divBdr>
    </w:div>
    <w:div w:id="801268118">
      <w:bodyDiv w:val="1"/>
      <w:marLeft w:val="0"/>
      <w:marRight w:val="0"/>
      <w:marTop w:val="0"/>
      <w:marBottom w:val="0"/>
      <w:divBdr>
        <w:top w:val="none" w:sz="0" w:space="0" w:color="auto"/>
        <w:left w:val="none" w:sz="0" w:space="0" w:color="auto"/>
        <w:bottom w:val="none" w:sz="0" w:space="0" w:color="auto"/>
        <w:right w:val="none" w:sz="0" w:space="0" w:color="auto"/>
      </w:divBdr>
    </w:div>
    <w:div w:id="809592157">
      <w:bodyDiv w:val="1"/>
      <w:marLeft w:val="0"/>
      <w:marRight w:val="0"/>
      <w:marTop w:val="0"/>
      <w:marBottom w:val="0"/>
      <w:divBdr>
        <w:top w:val="none" w:sz="0" w:space="0" w:color="auto"/>
        <w:left w:val="none" w:sz="0" w:space="0" w:color="auto"/>
        <w:bottom w:val="none" w:sz="0" w:space="0" w:color="auto"/>
        <w:right w:val="none" w:sz="0" w:space="0" w:color="auto"/>
      </w:divBdr>
    </w:div>
    <w:div w:id="813137237">
      <w:bodyDiv w:val="1"/>
      <w:marLeft w:val="0"/>
      <w:marRight w:val="0"/>
      <w:marTop w:val="0"/>
      <w:marBottom w:val="0"/>
      <w:divBdr>
        <w:top w:val="none" w:sz="0" w:space="0" w:color="auto"/>
        <w:left w:val="none" w:sz="0" w:space="0" w:color="auto"/>
        <w:bottom w:val="none" w:sz="0" w:space="0" w:color="auto"/>
        <w:right w:val="none" w:sz="0" w:space="0" w:color="auto"/>
      </w:divBdr>
    </w:div>
    <w:div w:id="826744429">
      <w:bodyDiv w:val="1"/>
      <w:marLeft w:val="0"/>
      <w:marRight w:val="0"/>
      <w:marTop w:val="0"/>
      <w:marBottom w:val="0"/>
      <w:divBdr>
        <w:top w:val="none" w:sz="0" w:space="0" w:color="auto"/>
        <w:left w:val="none" w:sz="0" w:space="0" w:color="auto"/>
        <w:bottom w:val="none" w:sz="0" w:space="0" w:color="auto"/>
        <w:right w:val="none" w:sz="0" w:space="0" w:color="auto"/>
      </w:divBdr>
    </w:div>
    <w:div w:id="872617970">
      <w:bodyDiv w:val="1"/>
      <w:marLeft w:val="0"/>
      <w:marRight w:val="0"/>
      <w:marTop w:val="0"/>
      <w:marBottom w:val="0"/>
      <w:divBdr>
        <w:top w:val="none" w:sz="0" w:space="0" w:color="auto"/>
        <w:left w:val="none" w:sz="0" w:space="0" w:color="auto"/>
        <w:bottom w:val="none" w:sz="0" w:space="0" w:color="auto"/>
        <w:right w:val="none" w:sz="0" w:space="0" w:color="auto"/>
      </w:divBdr>
    </w:div>
    <w:div w:id="877938084">
      <w:bodyDiv w:val="1"/>
      <w:marLeft w:val="0"/>
      <w:marRight w:val="0"/>
      <w:marTop w:val="0"/>
      <w:marBottom w:val="0"/>
      <w:divBdr>
        <w:top w:val="none" w:sz="0" w:space="0" w:color="auto"/>
        <w:left w:val="none" w:sz="0" w:space="0" w:color="auto"/>
        <w:bottom w:val="none" w:sz="0" w:space="0" w:color="auto"/>
        <w:right w:val="none" w:sz="0" w:space="0" w:color="auto"/>
      </w:divBdr>
    </w:div>
    <w:div w:id="894894724">
      <w:bodyDiv w:val="1"/>
      <w:marLeft w:val="0"/>
      <w:marRight w:val="0"/>
      <w:marTop w:val="0"/>
      <w:marBottom w:val="0"/>
      <w:divBdr>
        <w:top w:val="none" w:sz="0" w:space="0" w:color="auto"/>
        <w:left w:val="none" w:sz="0" w:space="0" w:color="auto"/>
        <w:bottom w:val="none" w:sz="0" w:space="0" w:color="auto"/>
        <w:right w:val="none" w:sz="0" w:space="0" w:color="auto"/>
      </w:divBdr>
    </w:div>
    <w:div w:id="896236256">
      <w:bodyDiv w:val="1"/>
      <w:marLeft w:val="0"/>
      <w:marRight w:val="0"/>
      <w:marTop w:val="0"/>
      <w:marBottom w:val="0"/>
      <w:divBdr>
        <w:top w:val="none" w:sz="0" w:space="0" w:color="auto"/>
        <w:left w:val="none" w:sz="0" w:space="0" w:color="auto"/>
        <w:bottom w:val="none" w:sz="0" w:space="0" w:color="auto"/>
        <w:right w:val="none" w:sz="0" w:space="0" w:color="auto"/>
      </w:divBdr>
    </w:div>
    <w:div w:id="931812828">
      <w:bodyDiv w:val="1"/>
      <w:marLeft w:val="0"/>
      <w:marRight w:val="0"/>
      <w:marTop w:val="0"/>
      <w:marBottom w:val="0"/>
      <w:divBdr>
        <w:top w:val="none" w:sz="0" w:space="0" w:color="auto"/>
        <w:left w:val="none" w:sz="0" w:space="0" w:color="auto"/>
        <w:bottom w:val="none" w:sz="0" w:space="0" w:color="auto"/>
        <w:right w:val="none" w:sz="0" w:space="0" w:color="auto"/>
      </w:divBdr>
    </w:div>
    <w:div w:id="969286941">
      <w:bodyDiv w:val="1"/>
      <w:marLeft w:val="0"/>
      <w:marRight w:val="0"/>
      <w:marTop w:val="0"/>
      <w:marBottom w:val="0"/>
      <w:divBdr>
        <w:top w:val="none" w:sz="0" w:space="0" w:color="auto"/>
        <w:left w:val="none" w:sz="0" w:space="0" w:color="auto"/>
        <w:bottom w:val="none" w:sz="0" w:space="0" w:color="auto"/>
        <w:right w:val="none" w:sz="0" w:space="0" w:color="auto"/>
      </w:divBdr>
    </w:div>
    <w:div w:id="972173032">
      <w:bodyDiv w:val="1"/>
      <w:marLeft w:val="0"/>
      <w:marRight w:val="0"/>
      <w:marTop w:val="0"/>
      <w:marBottom w:val="0"/>
      <w:divBdr>
        <w:top w:val="none" w:sz="0" w:space="0" w:color="auto"/>
        <w:left w:val="none" w:sz="0" w:space="0" w:color="auto"/>
        <w:bottom w:val="none" w:sz="0" w:space="0" w:color="auto"/>
        <w:right w:val="none" w:sz="0" w:space="0" w:color="auto"/>
      </w:divBdr>
    </w:div>
    <w:div w:id="1013610015">
      <w:bodyDiv w:val="1"/>
      <w:marLeft w:val="0"/>
      <w:marRight w:val="0"/>
      <w:marTop w:val="0"/>
      <w:marBottom w:val="0"/>
      <w:divBdr>
        <w:top w:val="none" w:sz="0" w:space="0" w:color="auto"/>
        <w:left w:val="none" w:sz="0" w:space="0" w:color="auto"/>
        <w:bottom w:val="none" w:sz="0" w:space="0" w:color="auto"/>
        <w:right w:val="none" w:sz="0" w:space="0" w:color="auto"/>
      </w:divBdr>
    </w:div>
    <w:div w:id="1060134645">
      <w:bodyDiv w:val="1"/>
      <w:marLeft w:val="0"/>
      <w:marRight w:val="0"/>
      <w:marTop w:val="0"/>
      <w:marBottom w:val="0"/>
      <w:divBdr>
        <w:top w:val="none" w:sz="0" w:space="0" w:color="auto"/>
        <w:left w:val="none" w:sz="0" w:space="0" w:color="auto"/>
        <w:bottom w:val="none" w:sz="0" w:space="0" w:color="auto"/>
        <w:right w:val="none" w:sz="0" w:space="0" w:color="auto"/>
      </w:divBdr>
    </w:div>
    <w:div w:id="1087119339">
      <w:bodyDiv w:val="1"/>
      <w:marLeft w:val="0"/>
      <w:marRight w:val="0"/>
      <w:marTop w:val="0"/>
      <w:marBottom w:val="0"/>
      <w:divBdr>
        <w:top w:val="none" w:sz="0" w:space="0" w:color="auto"/>
        <w:left w:val="none" w:sz="0" w:space="0" w:color="auto"/>
        <w:bottom w:val="none" w:sz="0" w:space="0" w:color="auto"/>
        <w:right w:val="none" w:sz="0" w:space="0" w:color="auto"/>
      </w:divBdr>
    </w:div>
    <w:div w:id="1091049813">
      <w:bodyDiv w:val="1"/>
      <w:marLeft w:val="0"/>
      <w:marRight w:val="0"/>
      <w:marTop w:val="0"/>
      <w:marBottom w:val="0"/>
      <w:divBdr>
        <w:top w:val="none" w:sz="0" w:space="0" w:color="auto"/>
        <w:left w:val="none" w:sz="0" w:space="0" w:color="auto"/>
        <w:bottom w:val="none" w:sz="0" w:space="0" w:color="auto"/>
        <w:right w:val="none" w:sz="0" w:space="0" w:color="auto"/>
      </w:divBdr>
    </w:div>
    <w:div w:id="1124999086">
      <w:bodyDiv w:val="1"/>
      <w:marLeft w:val="0"/>
      <w:marRight w:val="0"/>
      <w:marTop w:val="0"/>
      <w:marBottom w:val="0"/>
      <w:divBdr>
        <w:top w:val="none" w:sz="0" w:space="0" w:color="auto"/>
        <w:left w:val="none" w:sz="0" w:space="0" w:color="auto"/>
        <w:bottom w:val="none" w:sz="0" w:space="0" w:color="auto"/>
        <w:right w:val="none" w:sz="0" w:space="0" w:color="auto"/>
      </w:divBdr>
    </w:div>
    <w:div w:id="1127119949">
      <w:bodyDiv w:val="1"/>
      <w:marLeft w:val="0"/>
      <w:marRight w:val="0"/>
      <w:marTop w:val="0"/>
      <w:marBottom w:val="0"/>
      <w:divBdr>
        <w:top w:val="none" w:sz="0" w:space="0" w:color="auto"/>
        <w:left w:val="none" w:sz="0" w:space="0" w:color="auto"/>
        <w:bottom w:val="none" w:sz="0" w:space="0" w:color="auto"/>
        <w:right w:val="none" w:sz="0" w:space="0" w:color="auto"/>
      </w:divBdr>
    </w:div>
    <w:div w:id="1162164711">
      <w:bodyDiv w:val="1"/>
      <w:marLeft w:val="0"/>
      <w:marRight w:val="0"/>
      <w:marTop w:val="0"/>
      <w:marBottom w:val="0"/>
      <w:divBdr>
        <w:top w:val="none" w:sz="0" w:space="0" w:color="auto"/>
        <w:left w:val="none" w:sz="0" w:space="0" w:color="auto"/>
        <w:bottom w:val="none" w:sz="0" w:space="0" w:color="auto"/>
        <w:right w:val="none" w:sz="0" w:space="0" w:color="auto"/>
      </w:divBdr>
    </w:div>
    <w:div w:id="1180702360">
      <w:bodyDiv w:val="1"/>
      <w:marLeft w:val="0"/>
      <w:marRight w:val="0"/>
      <w:marTop w:val="0"/>
      <w:marBottom w:val="0"/>
      <w:divBdr>
        <w:top w:val="none" w:sz="0" w:space="0" w:color="auto"/>
        <w:left w:val="none" w:sz="0" w:space="0" w:color="auto"/>
        <w:bottom w:val="none" w:sz="0" w:space="0" w:color="auto"/>
        <w:right w:val="none" w:sz="0" w:space="0" w:color="auto"/>
      </w:divBdr>
    </w:div>
    <w:div w:id="1208375482">
      <w:bodyDiv w:val="1"/>
      <w:marLeft w:val="0"/>
      <w:marRight w:val="0"/>
      <w:marTop w:val="0"/>
      <w:marBottom w:val="0"/>
      <w:divBdr>
        <w:top w:val="none" w:sz="0" w:space="0" w:color="auto"/>
        <w:left w:val="none" w:sz="0" w:space="0" w:color="auto"/>
        <w:bottom w:val="none" w:sz="0" w:space="0" w:color="auto"/>
        <w:right w:val="none" w:sz="0" w:space="0" w:color="auto"/>
      </w:divBdr>
    </w:div>
    <w:div w:id="1226065059">
      <w:bodyDiv w:val="1"/>
      <w:marLeft w:val="0"/>
      <w:marRight w:val="0"/>
      <w:marTop w:val="0"/>
      <w:marBottom w:val="0"/>
      <w:divBdr>
        <w:top w:val="none" w:sz="0" w:space="0" w:color="auto"/>
        <w:left w:val="none" w:sz="0" w:space="0" w:color="auto"/>
        <w:bottom w:val="none" w:sz="0" w:space="0" w:color="auto"/>
        <w:right w:val="none" w:sz="0" w:space="0" w:color="auto"/>
      </w:divBdr>
    </w:div>
    <w:div w:id="1227036311">
      <w:bodyDiv w:val="1"/>
      <w:marLeft w:val="0"/>
      <w:marRight w:val="0"/>
      <w:marTop w:val="0"/>
      <w:marBottom w:val="0"/>
      <w:divBdr>
        <w:top w:val="none" w:sz="0" w:space="0" w:color="auto"/>
        <w:left w:val="none" w:sz="0" w:space="0" w:color="auto"/>
        <w:bottom w:val="none" w:sz="0" w:space="0" w:color="auto"/>
        <w:right w:val="none" w:sz="0" w:space="0" w:color="auto"/>
      </w:divBdr>
    </w:div>
    <w:div w:id="1243174198">
      <w:bodyDiv w:val="1"/>
      <w:marLeft w:val="0"/>
      <w:marRight w:val="0"/>
      <w:marTop w:val="0"/>
      <w:marBottom w:val="0"/>
      <w:divBdr>
        <w:top w:val="none" w:sz="0" w:space="0" w:color="auto"/>
        <w:left w:val="none" w:sz="0" w:space="0" w:color="auto"/>
        <w:bottom w:val="none" w:sz="0" w:space="0" w:color="auto"/>
        <w:right w:val="none" w:sz="0" w:space="0" w:color="auto"/>
      </w:divBdr>
    </w:div>
    <w:div w:id="1297368617">
      <w:bodyDiv w:val="1"/>
      <w:marLeft w:val="0"/>
      <w:marRight w:val="0"/>
      <w:marTop w:val="0"/>
      <w:marBottom w:val="0"/>
      <w:divBdr>
        <w:top w:val="none" w:sz="0" w:space="0" w:color="auto"/>
        <w:left w:val="none" w:sz="0" w:space="0" w:color="auto"/>
        <w:bottom w:val="none" w:sz="0" w:space="0" w:color="auto"/>
        <w:right w:val="none" w:sz="0" w:space="0" w:color="auto"/>
      </w:divBdr>
    </w:div>
    <w:div w:id="1309552940">
      <w:bodyDiv w:val="1"/>
      <w:marLeft w:val="0"/>
      <w:marRight w:val="0"/>
      <w:marTop w:val="0"/>
      <w:marBottom w:val="0"/>
      <w:divBdr>
        <w:top w:val="none" w:sz="0" w:space="0" w:color="auto"/>
        <w:left w:val="none" w:sz="0" w:space="0" w:color="auto"/>
        <w:bottom w:val="none" w:sz="0" w:space="0" w:color="auto"/>
        <w:right w:val="none" w:sz="0" w:space="0" w:color="auto"/>
      </w:divBdr>
    </w:div>
    <w:div w:id="1376542115">
      <w:bodyDiv w:val="1"/>
      <w:marLeft w:val="0"/>
      <w:marRight w:val="0"/>
      <w:marTop w:val="0"/>
      <w:marBottom w:val="0"/>
      <w:divBdr>
        <w:top w:val="none" w:sz="0" w:space="0" w:color="auto"/>
        <w:left w:val="none" w:sz="0" w:space="0" w:color="auto"/>
        <w:bottom w:val="none" w:sz="0" w:space="0" w:color="auto"/>
        <w:right w:val="none" w:sz="0" w:space="0" w:color="auto"/>
      </w:divBdr>
    </w:div>
    <w:div w:id="1414623979">
      <w:bodyDiv w:val="1"/>
      <w:marLeft w:val="0"/>
      <w:marRight w:val="0"/>
      <w:marTop w:val="0"/>
      <w:marBottom w:val="0"/>
      <w:divBdr>
        <w:top w:val="none" w:sz="0" w:space="0" w:color="auto"/>
        <w:left w:val="none" w:sz="0" w:space="0" w:color="auto"/>
        <w:bottom w:val="none" w:sz="0" w:space="0" w:color="auto"/>
        <w:right w:val="none" w:sz="0" w:space="0" w:color="auto"/>
      </w:divBdr>
    </w:div>
    <w:div w:id="1469200536">
      <w:bodyDiv w:val="1"/>
      <w:marLeft w:val="0"/>
      <w:marRight w:val="0"/>
      <w:marTop w:val="0"/>
      <w:marBottom w:val="0"/>
      <w:divBdr>
        <w:top w:val="none" w:sz="0" w:space="0" w:color="auto"/>
        <w:left w:val="none" w:sz="0" w:space="0" w:color="auto"/>
        <w:bottom w:val="none" w:sz="0" w:space="0" w:color="auto"/>
        <w:right w:val="none" w:sz="0" w:space="0" w:color="auto"/>
      </w:divBdr>
    </w:div>
    <w:div w:id="1470513790">
      <w:bodyDiv w:val="1"/>
      <w:marLeft w:val="0"/>
      <w:marRight w:val="0"/>
      <w:marTop w:val="0"/>
      <w:marBottom w:val="0"/>
      <w:divBdr>
        <w:top w:val="none" w:sz="0" w:space="0" w:color="auto"/>
        <w:left w:val="none" w:sz="0" w:space="0" w:color="auto"/>
        <w:bottom w:val="none" w:sz="0" w:space="0" w:color="auto"/>
        <w:right w:val="none" w:sz="0" w:space="0" w:color="auto"/>
      </w:divBdr>
    </w:div>
    <w:div w:id="1494561665">
      <w:bodyDiv w:val="1"/>
      <w:marLeft w:val="0"/>
      <w:marRight w:val="0"/>
      <w:marTop w:val="0"/>
      <w:marBottom w:val="0"/>
      <w:divBdr>
        <w:top w:val="none" w:sz="0" w:space="0" w:color="auto"/>
        <w:left w:val="none" w:sz="0" w:space="0" w:color="auto"/>
        <w:bottom w:val="none" w:sz="0" w:space="0" w:color="auto"/>
        <w:right w:val="none" w:sz="0" w:space="0" w:color="auto"/>
      </w:divBdr>
    </w:div>
    <w:div w:id="1496071471">
      <w:bodyDiv w:val="1"/>
      <w:marLeft w:val="0"/>
      <w:marRight w:val="0"/>
      <w:marTop w:val="0"/>
      <w:marBottom w:val="0"/>
      <w:divBdr>
        <w:top w:val="none" w:sz="0" w:space="0" w:color="auto"/>
        <w:left w:val="none" w:sz="0" w:space="0" w:color="auto"/>
        <w:bottom w:val="none" w:sz="0" w:space="0" w:color="auto"/>
        <w:right w:val="none" w:sz="0" w:space="0" w:color="auto"/>
      </w:divBdr>
    </w:div>
    <w:div w:id="1520047306">
      <w:bodyDiv w:val="1"/>
      <w:marLeft w:val="0"/>
      <w:marRight w:val="0"/>
      <w:marTop w:val="0"/>
      <w:marBottom w:val="0"/>
      <w:divBdr>
        <w:top w:val="none" w:sz="0" w:space="0" w:color="auto"/>
        <w:left w:val="none" w:sz="0" w:space="0" w:color="auto"/>
        <w:bottom w:val="none" w:sz="0" w:space="0" w:color="auto"/>
        <w:right w:val="none" w:sz="0" w:space="0" w:color="auto"/>
      </w:divBdr>
    </w:div>
    <w:div w:id="1559853229">
      <w:bodyDiv w:val="1"/>
      <w:marLeft w:val="0"/>
      <w:marRight w:val="0"/>
      <w:marTop w:val="0"/>
      <w:marBottom w:val="0"/>
      <w:divBdr>
        <w:top w:val="none" w:sz="0" w:space="0" w:color="auto"/>
        <w:left w:val="none" w:sz="0" w:space="0" w:color="auto"/>
        <w:bottom w:val="none" w:sz="0" w:space="0" w:color="auto"/>
        <w:right w:val="none" w:sz="0" w:space="0" w:color="auto"/>
      </w:divBdr>
    </w:div>
    <w:div w:id="1578898499">
      <w:bodyDiv w:val="1"/>
      <w:marLeft w:val="0"/>
      <w:marRight w:val="0"/>
      <w:marTop w:val="0"/>
      <w:marBottom w:val="0"/>
      <w:divBdr>
        <w:top w:val="none" w:sz="0" w:space="0" w:color="auto"/>
        <w:left w:val="none" w:sz="0" w:space="0" w:color="auto"/>
        <w:bottom w:val="none" w:sz="0" w:space="0" w:color="auto"/>
        <w:right w:val="none" w:sz="0" w:space="0" w:color="auto"/>
      </w:divBdr>
    </w:div>
    <w:div w:id="1595745727">
      <w:bodyDiv w:val="1"/>
      <w:marLeft w:val="0"/>
      <w:marRight w:val="0"/>
      <w:marTop w:val="0"/>
      <w:marBottom w:val="0"/>
      <w:divBdr>
        <w:top w:val="none" w:sz="0" w:space="0" w:color="auto"/>
        <w:left w:val="none" w:sz="0" w:space="0" w:color="auto"/>
        <w:bottom w:val="none" w:sz="0" w:space="0" w:color="auto"/>
        <w:right w:val="none" w:sz="0" w:space="0" w:color="auto"/>
      </w:divBdr>
    </w:div>
    <w:div w:id="1648124102">
      <w:bodyDiv w:val="1"/>
      <w:marLeft w:val="0"/>
      <w:marRight w:val="0"/>
      <w:marTop w:val="0"/>
      <w:marBottom w:val="0"/>
      <w:divBdr>
        <w:top w:val="none" w:sz="0" w:space="0" w:color="auto"/>
        <w:left w:val="none" w:sz="0" w:space="0" w:color="auto"/>
        <w:bottom w:val="none" w:sz="0" w:space="0" w:color="auto"/>
        <w:right w:val="none" w:sz="0" w:space="0" w:color="auto"/>
      </w:divBdr>
    </w:div>
    <w:div w:id="1689521999">
      <w:bodyDiv w:val="1"/>
      <w:marLeft w:val="0"/>
      <w:marRight w:val="0"/>
      <w:marTop w:val="0"/>
      <w:marBottom w:val="0"/>
      <w:divBdr>
        <w:top w:val="none" w:sz="0" w:space="0" w:color="auto"/>
        <w:left w:val="none" w:sz="0" w:space="0" w:color="auto"/>
        <w:bottom w:val="none" w:sz="0" w:space="0" w:color="auto"/>
        <w:right w:val="none" w:sz="0" w:space="0" w:color="auto"/>
      </w:divBdr>
    </w:div>
    <w:div w:id="1694963210">
      <w:bodyDiv w:val="1"/>
      <w:marLeft w:val="0"/>
      <w:marRight w:val="0"/>
      <w:marTop w:val="0"/>
      <w:marBottom w:val="0"/>
      <w:divBdr>
        <w:top w:val="none" w:sz="0" w:space="0" w:color="auto"/>
        <w:left w:val="none" w:sz="0" w:space="0" w:color="auto"/>
        <w:bottom w:val="none" w:sz="0" w:space="0" w:color="auto"/>
        <w:right w:val="none" w:sz="0" w:space="0" w:color="auto"/>
      </w:divBdr>
    </w:div>
    <w:div w:id="1727293345">
      <w:bodyDiv w:val="1"/>
      <w:marLeft w:val="0"/>
      <w:marRight w:val="0"/>
      <w:marTop w:val="0"/>
      <w:marBottom w:val="0"/>
      <w:divBdr>
        <w:top w:val="none" w:sz="0" w:space="0" w:color="auto"/>
        <w:left w:val="none" w:sz="0" w:space="0" w:color="auto"/>
        <w:bottom w:val="none" w:sz="0" w:space="0" w:color="auto"/>
        <w:right w:val="none" w:sz="0" w:space="0" w:color="auto"/>
      </w:divBdr>
    </w:div>
    <w:div w:id="1792092107">
      <w:bodyDiv w:val="1"/>
      <w:marLeft w:val="0"/>
      <w:marRight w:val="0"/>
      <w:marTop w:val="0"/>
      <w:marBottom w:val="0"/>
      <w:divBdr>
        <w:top w:val="none" w:sz="0" w:space="0" w:color="auto"/>
        <w:left w:val="none" w:sz="0" w:space="0" w:color="auto"/>
        <w:bottom w:val="none" w:sz="0" w:space="0" w:color="auto"/>
        <w:right w:val="none" w:sz="0" w:space="0" w:color="auto"/>
      </w:divBdr>
    </w:div>
    <w:div w:id="1810778866">
      <w:bodyDiv w:val="1"/>
      <w:marLeft w:val="0"/>
      <w:marRight w:val="0"/>
      <w:marTop w:val="0"/>
      <w:marBottom w:val="0"/>
      <w:divBdr>
        <w:top w:val="none" w:sz="0" w:space="0" w:color="auto"/>
        <w:left w:val="none" w:sz="0" w:space="0" w:color="auto"/>
        <w:bottom w:val="none" w:sz="0" w:space="0" w:color="auto"/>
        <w:right w:val="none" w:sz="0" w:space="0" w:color="auto"/>
      </w:divBdr>
    </w:div>
    <w:div w:id="1813280507">
      <w:bodyDiv w:val="1"/>
      <w:marLeft w:val="0"/>
      <w:marRight w:val="0"/>
      <w:marTop w:val="0"/>
      <w:marBottom w:val="0"/>
      <w:divBdr>
        <w:top w:val="none" w:sz="0" w:space="0" w:color="auto"/>
        <w:left w:val="none" w:sz="0" w:space="0" w:color="auto"/>
        <w:bottom w:val="none" w:sz="0" w:space="0" w:color="auto"/>
        <w:right w:val="none" w:sz="0" w:space="0" w:color="auto"/>
      </w:divBdr>
    </w:div>
    <w:div w:id="1883128877">
      <w:bodyDiv w:val="1"/>
      <w:marLeft w:val="0"/>
      <w:marRight w:val="0"/>
      <w:marTop w:val="0"/>
      <w:marBottom w:val="0"/>
      <w:divBdr>
        <w:top w:val="none" w:sz="0" w:space="0" w:color="auto"/>
        <w:left w:val="none" w:sz="0" w:space="0" w:color="auto"/>
        <w:bottom w:val="none" w:sz="0" w:space="0" w:color="auto"/>
        <w:right w:val="none" w:sz="0" w:space="0" w:color="auto"/>
      </w:divBdr>
    </w:div>
    <w:div w:id="1950090697">
      <w:bodyDiv w:val="1"/>
      <w:marLeft w:val="0"/>
      <w:marRight w:val="0"/>
      <w:marTop w:val="0"/>
      <w:marBottom w:val="0"/>
      <w:divBdr>
        <w:top w:val="none" w:sz="0" w:space="0" w:color="auto"/>
        <w:left w:val="none" w:sz="0" w:space="0" w:color="auto"/>
        <w:bottom w:val="none" w:sz="0" w:space="0" w:color="auto"/>
        <w:right w:val="none" w:sz="0" w:space="0" w:color="auto"/>
      </w:divBdr>
    </w:div>
    <w:div w:id="1970864876">
      <w:bodyDiv w:val="1"/>
      <w:marLeft w:val="0"/>
      <w:marRight w:val="0"/>
      <w:marTop w:val="0"/>
      <w:marBottom w:val="0"/>
      <w:divBdr>
        <w:top w:val="none" w:sz="0" w:space="0" w:color="auto"/>
        <w:left w:val="none" w:sz="0" w:space="0" w:color="auto"/>
        <w:bottom w:val="none" w:sz="0" w:space="0" w:color="auto"/>
        <w:right w:val="none" w:sz="0" w:space="0" w:color="auto"/>
      </w:divBdr>
    </w:div>
    <w:div w:id="1985350092">
      <w:bodyDiv w:val="1"/>
      <w:marLeft w:val="0"/>
      <w:marRight w:val="0"/>
      <w:marTop w:val="0"/>
      <w:marBottom w:val="0"/>
      <w:divBdr>
        <w:top w:val="none" w:sz="0" w:space="0" w:color="auto"/>
        <w:left w:val="none" w:sz="0" w:space="0" w:color="auto"/>
        <w:bottom w:val="none" w:sz="0" w:space="0" w:color="auto"/>
        <w:right w:val="none" w:sz="0" w:space="0" w:color="auto"/>
      </w:divBdr>
    </w:div>
    <w:div w:id="2016103342">
      <w:bodyDiv w:val="1"/>
      <w:marLeft w:val="0"/>
      <w:marRight w:val="0"/>
      <w:marTop w:val="0"/>
      <w:marBottom w:val="0"/>
      <w:divBdr>
        <w:top w:val="none" w:sz="0" w:space="0" w:color="auto"/>
        <w:left w:val="none" w:sz="0" w:space="0" w:color="auto"/>
        <w:bottom w:val="none" w:sz="0" w:space="0" w:color="auto"/>
        <w:right w:val="none" w:sz="0" w:space="0" w:color="auto"/>
      </w:divBdr>
    </w:div>
    <w:div w:id="2020737506">
      <w:bodyDiv w:val="1"/>
      <w:marLeft w:val="0"/>
      <w:marRight w:val="0"/>
      <w:marTop w:val="0"/>
      <w:marBottom w:val="0"/>
      <w:divBdr>
        <w:top w:val="none" w:sz="0" w:space="0" w:color="auto"/>
        <w:left w:val="none" w:sz="0" w:space="0" w:color="auto"/>
        <w:bottom w:val="none" w:sz="0" w:space="0" w:color="auto"/>
        <w:right w:val="none" w:sz="0" w:space="0" w:color="auto"/>
      </w:divBdr>
    </w:div>
    <w:div w:id="2053192461">
      <w:bodyDiv w:val="1"/>
      <w:marLeft w:val="0"/>
      <w:marRight w:val="0"/>
      <w:marTop w:val="0"/>
      <w:marBottom w:val="0"/>
      <w:divBdr>
        <w:top w:val="none" w:sz="0" w:space="0" w:color="auto"/>
        <w:left w:val="none" w:sz="0" w:space="0" w:color="auto"/>
        <w:bottom w:val="none" w:sz="0" w:space="0" w:color="auto"/>
        <w:right w:val="none" w:sz="0" w:space="0" w:color="auto"/>
      </w:divBdr>
    </w:div>
    <w:div w:id="2110080673">
      <w:bodyDiv w:val="1"/>
      <w:marLeft w:val="0"/>
      <w:marRight w:val="0"/>
      <w:marTop w:val="0"/>
      <w:marBottom w:val="0"/>
      <w:divBdr>
        <w:top w:val="none" w:sz="0" w:space="0" w:color="auto"/>
        <w:left w:val="none" w:sz="0" w:space="0" w:color="auto"/>
        <w:bottom w:val="none" w:sz="0" w:space="0" w:color="auto"/>
        <w:right w:val="none" w:sz="0" w:space="0" w:color="auto"/>
      </w:divBdr>
    </w:div>
    <w:div w:id="2122216177">
      <w:bodyDiv w:val="1"/>
      <w:marLeft w:val="0"/>
      <w:marRight w:val="0"/>
      <w:marTop w:val="0"/>
      <w:marBottom w:val="0"/>
      <w:divBdr>
        <w:top w:val="none" w:sz="0" w:space="0" w:color="auto"/>
        <w:left w:val="none" w:sz="0" w:space="0" w:color="auto"/>
        <w:bottom w:val="none" w:sz="0" w:space="0" w:color="auto"/>
        <w:right w:val="none" w:sz="0" w:space="0" w:color="auto"/>
      </w:divBdr>
    </w:div>
    <w:div w:id="2131505734">
      <w:bodyDiv w:val="1"/>
      <w:marLeft w:val="0"/>
      <w:marRight w:val="0"/>
      <w:marTop w:val="0"/>
      <w:marBottom w:val="0"/>
      <w:divBdr>
        <w:top w:val="none" w:sz="0" w:space="0" w:color="auto"/>
        <w:left w:val="none" w:sz="0" w:space="0" w:color="auto"/>
        <w:bottom w:val="none" w:sz="0" w:space="0" w:color="auto"/>
        <w:right w:val="none" w:sz="0" w:space="0" w:color="auto"/>
      </w:divBdr>
    </w:div>
    <w:div w:id="2137405211">
      <w:bodyDiv w:val="1"/>
      <w:marLeft w:val="0"/>
      <w:marRight w:val="0"/>
      <w:marTop w:val="0"/>
      <w:marBottom w:val="0"/>
      <w:divBdr>
        <w:top w:val="none" w:sz="0" w:space="0" w:color="auto"/>
        <w:left w:val="none" w:sz="0" w:space="0" w:color="auto"/>
        <w:bottom w:val="none" w:sz="0" w:space="0" w:color="auto"/>
        <w:right w:val="none" w:sz="0" w:space="0" w:color="auto"/>
      </w:divBdr>
    </w:div>
    <w:div w:id="21379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3C4E-E8D1-4934-94AC-7D6E0468EFBB}">
  <ds:schemaRefs>
    <ds:schemaRef ds:uri="http://schemas.microsoft.com/sharepoint/v3/contenttype/forms"/>
  </ds:schemaRefs>
</ds:datastoreItem>
</file>

<file path=customXml/itemProps2.xml><?xml version="1.0" encoding="utf-8"?>
<ds:datastoreItem xmlns:ds="http://schemas.openxmlformats.org/officeDocument/2006/customXml" ds:itemID="{35DB6A3E-CC41-4A58-9C28-B1F0AFD2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11A33-8F11-40AB-A32C-583CED517FDE}">
  <ds:schemaRefs>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sharepoint/v3"/>
    <ds:schemaRef ds:uri="http://schemas.microsoft.com/office/infopath/2007/PartnerControls"/>
    <ds:schemaRef ds:uri="244fe85f-b655-4145-9b20-543b75dc1c24"/>
    <ds:schemaRef ds:uri="9115ddca-c623-419f-a3c0-6a1c58c4dac8"/>
  </ds:schemaRefs>
</ds:datastoreItem>
</file>

<file path=customXml/itemProps4.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Template.dotm</Template>
  <TotalTime>1331</TotalTime>
  <Pages>18</Pages>
  <Words>3620</Words>
  <Characters>18463</Characters>
  <Application>Microsoft Office Word</Application>
  <DocSecurity>0</DocSecurity>
  <Lines>1008</Lines>
  <Paragraphs>765</Paragraphs>
  <ScaleCrop>false</ScaleCrop>
  <HeadingPairs>
    <vt:vector size="2" baseType="variant">
      <vt:variant>
        <vt:lpstr>Title</vt:lpstr>
      </vt:variant>
      <vt:variant>
        <vt:i4>1</vt:i4>
      </vt:variant>
    </vt:vector>
  </HeadingPairs>
  <TitlesOfParts>
    <vt:vector size="1" baseType="lpstr">
      <vt:lpstr>Budget Paper No. 1</vt:lpstr>
    </vt:vector>
  </TitlesOfParts>
  <Company/>
  <LinksUpToDate>false</LinksUpToDate>
  <CharactersWithSpaces>21444</CharactersWithSpaces>
  <SharedDoc>false</SharedDoc>
  <HLinks>
    <vt:vector size="72" baseType="variant">
      <vt:variant>
        <vt:i4>1376349</vt:i4>
      </vt:variant>
      <vt:variant>
        <vt:i4>241</vt:i4>
      </vt:variant>
      <vt:variant>
        <vt:i4>0</vt:i4>
      </vt:variant>
      <vt:variant>
        <vt:i4>5</vt:i4>
      </vt:variant>
      <vt:variant>
        <vt:lpwstr>https://www.aofm.gov.au/</vt:lpwstr>
      </vt:variant>
      <vt:variant>
        <vt:lpwstr/>
      </vt:variant>
      <vt:variant>
        <vt:i4>1310769</vt:i4>
      </vt:variant>
      <vt:variant>
        <vt:i4>84</vt:i4>
      </vt:variant>
      <vt:variant>
        <vt:i4>0</vt:i4>
      </vt:variant>
      <vt:variant>
        <vt:i4>5</vt:i4>
      </vt:variant>
      <vt:variant>
        <vt:lpwstr/>
      </vt:variant>
      <vt:variant>
        <vt:lpwstr>_Toc166143279</vt:lpwstr>
      </vt:variant>
      <vt:variant>
        <vt:i4>1310769</vt:i4>
      </vt:variant>
      <vt:variant>
        <vt:i4>78</vt:i4>
      </vt:variant>
      <vt:variant>
        <vt:i4>0</vt:i4>
      </vt:variant>
      <vt:variant>
        <vt:i4>5</vt:i4>
      </vt:variant>
      <vt:variant>
        <vt:lpwstr/>
      </vt:variant>
      <vt:variant>
        <vt:lpwstr>_Toc166143278</vt:lpwstr>
      </vt:variant>
      <vt:variant>
        <vt:i4>1310769</vt:i4>
      </vt:variant>
      <vt:variant>
        <vt:i4>72</vt:i4>
      </vt:variant>
      <vt:variant>
        <vt:i4>0</vt:i4>
      </vt:variant>
      <vt:variant>
        <vt:i4>5</vt:i4>
      </vt:variant>
      <vt:variant>
        <vt:lpwstr/>
      </vt:variant>
      <vt:variant>
        <vt:lpwstr>_Toc166143277</vt:lpwstr>
      </vt:variant>
      <vt:variant>
        <vt:i4>1310769</vt:i4>
      </vt:variant>
      <vt:variant>
        <vt:i4>66</vt:i4>
      </vt:variant>
      <vt:variant>
        <vt:i4>0</vt:i4>
      </vt:variant>
      <vt:variant>
        <vt:i4>5</vt:i4>
      </vt:variant>
      <vt:variant>
        <vt:lpwstr/>
      </vt:variant>
      <vt:variant>
        <vt:lpwstr>_Toc166143276</vt:lpwstr>
      </vt:variant>
      <vt:variant>
        <vt:i4>1310769</vt:i4>
      </vt:variant>
      <vt:variant>
        <vt:i4>60</vt:i4>
      </vt:variant>
      <vt:variant>
        <vt:i4>0</vt:i4>
      </vt:variant>
      <vt:variant>
        <vt:i4>5</vt:i4>
      </vt:variant>
      <vt:variant>
        <vt:lpwstr/>
      </vt:variant>
      <vt:variant>
        <vt:lpwstr>_Toc166143275</vt:lpwstr>
      </vt:variant>
      <vt:variant>
        <vt:i4>1310769</vt:i4>
      </vt:variant>
      <vt:variant>
        <vt:i4>54</vt:i4>
      </vt:variant>
      <vt:variant>
        <vt:i4>0</vt:i4>
      </vt:variant>
      <vt:variant>
        <vt:i4>5</vt:i4>
      </vt:variant>
      <vt:variant>
        <vt:lpwstr/>
      </vt:variant>
      <vt:variant>
        <vt:lpwstr>_Toc166143274</vt:lpwstr>
      </vt:variant>
      <vt:variant>
        <vt:i4>1310769</vt:i4>
      </vt:variant>
      <vt:variant>
        <vt:i4>48</vt:i4>
      </vt:variant>
      <vt:variant>
        <vt:i4>0</vt:i4>
      </vt:variant>
      <vt:variant>
        <vt:i4>5</vt:i4>
      </vt:variant>
      <vt:variant>
        <vt:lpwstr/>
      </vt:variant>
      <vt:variant>
        <vt:lpwstr>_Toc166143273</vt:lpwstr>
      </vt:variant>
      <vt:variant>
        <vt:i4>1310769</vt:i4>
      </vt:variant>
      <vt:variant>
        <vt:i4>42</vt:i4>
      </vt:variant>
      <vt:variant>
        <vt:i4>0</vt:i4>
      </vt:variant>
      <vt:variant>
        <vt:i4>5</vt:i4>
      </vt:variant>
      <vt:variant>
        <vt:lpwstr/>
      </vt:variant>
      <vt:variant>
        <vt:lpwstr>_Toc166143272</vt:lpwstr>
      </vt:variant>
      <vt:variant>
        <vt:i4>1310769</vt:i4>
      </vt:variant>
      <vt:variant>
        <vt:i4>36</vt:i4>
      </vt:variant>
      <vt:variant>
        <vt:i4>0</vt:i4>
      </vt:variant>
      <vt:variant>
        <vt:i4>5</vt:i4>
      </vt:variant>
      <vt:variant>
        <vt:lpwstr/>
      </vt:variant>
      <vt:variant>
        <vt:lpwstr>_Toc166143271</vt:lpwstr>
      </vt:variant>
      <vt:variant>
        <vt:i4>1310769</vt:i4>
      </vt:variant>
      <vt:variant>
        <vt:i4>30</vt:i4>
      </vt:variant>
      <vt:variant>
        <vt:i4>0</vt:i4>
      </vt:variant>
      <vt:variant>
        <vt:i4>5</vt:i4>
      </vt:variant>
      <vt:variant>
        <vt:lpwstr/>
      </vt:variant>
      <vt:variant>
        <vt:lpwstr>_Toc166143270</vt:lpwstr>
      </vt:variant>
      <vt:variant>
        <vt:i4>1376305</vt:i4>
      </vt:variant>
      <vt:variant>
        <vt:i4>24</vt:i4>
      </vt:variant>
      <vt:variant>
        <vt:i4>0</vt:i4>
      </vt:variant>
      <vt:variant>
        <vt:i4>5</vt:i4>
      </vt:variant>
      <vt:variant>
        <vt:lpwstr/>
      </vt:variant>
      <vt:variant>
        <vt:lpwstr>_Toc166143269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1</dc:title>
  <dc:subject>Statement 7: Debt Statement</dc:subject>
  <dc:creator>Australian Government</dc:creator>
  <cp:keywords/>
  <dc:description/>
  <cp:lastModifiedBy>Hill, Christine</cp:lastModifiedBy>
  <cp:revision>744</cp:revision>
  <cp:lastPrinted>2024-05-12T00:56:00Z</cp:lastPrinted>
  <dcterms:created xsi:type="dcterms:W3CDTF">2024-03-06T21:41:00Z</dcterms:created>
  <dcterms:modified xsi:type="dcterms:W3CDTF">2024-05-13T04:33:00Z</dcterms:modified>
</cp:coreProperties>
</file>