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3FAC" w14:textId="0FBF7F20" w:rsidR="003A1BEE" w:rsidRPr="00A405F7" w:rsidRDefault="003A1BEE" w:rsidP="00A405F7">
      <w:pPr>
        <w:pStyle w:val="Heading1-Statement"/>
      </w:pPr>
      <w:r w:rsidRPr="00A405F7">
        <w:t xml:space="preserve">Statement 8: </w:t>
      </w:r>
      <w:r w:rsidRPr="00A405F7" w:rsidDel="006167A2">
        <w:br/>
      </w:r>
      <w:r w:rsidRPr="00A405F7">
        <w:t xml:space="preserve">Forecasting Performance </w:t>
      </w:r>
      <w:r w:rsidRPr="00A405F7">
        <w:br/>
        <w:t>and Sensitivity Analysis</w:t>
      </w:r>
    </w:p>
    <w:p w14:paraId="56D396BB" w14:textId="77777777" w:rsidR="003A1BEE" w:rsidRPr="00045DEC" w:rsidRDefault="003A1BEE" w:rsidP="003A1BEE">
      <w:r w:rsidRPr="00045DEC">
        <w:t xml:space="preserve">Economic and fiscal forecasts and projections in the Budget are underpinned by a range of assumptions and judgements based on best available information at the time of preparation. In practice, economic and fiscal circumstances can evolve in ways that differ from expectations. </w:t>
      </w:r>
    </w:p>
    <w:p w14:paraId="0E4A5755" w14:textId="7B8FFE04" w:rsidR="003A1BEE" w:rsidRPr="00045DEC" w:rsidRDefault="003A1BEE" w:rsidP="003A1BEE">
      <w:r w:rsidRPr="00045DEC">
        <w:t xml:space="preserve">This </w:t>
      </w:r>
      <w:r w:rsidRPr="00045DEC" w:rsidDel="002E6AE1">
        <w:t xml:space="preserve">statement </w:t>
      </w:r>
      <w:r w:rsidRPr="00045DEC">
        <w:t>assesses:</w:t>
      </w:r>
      <w:r w:rsidR="000D56D4" w:rsidRPr="00045DEC">
        <w:t xml:space="preserve"> </w:t>
      </w:r>
    </w:p>
    <w:p w14:paraId="550511B9" w14:textId="3135CE82" w:rsidR="003A1BEE" w:rsidRPr="00045DEC" w:rsidRDefault="003A1BEE" w:rsidP="003A1BEE">
      <w:pPr>
        <w:pStyle w:val="Bullet-numbered"/>
      </w:pPr>
      <w:r w:rsidRPr="00045DEC">
        <w:t>The performance of past forecasts based on the variance between forecasts and actuals</w:t>
      </w:r>
      <w:r w:rsidR="00FA3530" w:rsidRPr="00045DEC">
        <w:t>.</w:t>
      </w:r>
    </w:p>
    <w:p w14:paraId="3E85C8BD" w14:textId="0F114E48" w:rsidR="003A1BEE" w:rsidRPr="00045DEC" w:rsidRDefault="003A1BEE" w:rsidP="003A1BEE">
      <w:pPr>
        <w:pStyle w:val="Bullet-numbered"/>
      </w:pPr>
      <w:r w:rsidRPr="00045DEC">
        <w:t>The uncertainty around current forecasts using confidence interval analysis</w:t>
      </w:r>
      <w:r w:rsidR="00FA3530" w:rsidRPr="00045DEC">
        <w:t>.</w:t>
      </w:r>
      <w:r w:rsidRPr="00045DEC">
        <w:t xml:space="preserve"> </w:t>
      </w:r>
    </w:p>
    <w:p w14:paraId="2D72CF08" w14:textId="5E10D756" w:rsidR="003A1BEE" w:rsidRPr="00045DEC" w:rsidRDefault="003A1BEE" w:rsidP="003A1BEE">
      <w:pPr>
        <w:pStyle w:val="Bullet-numbered"/>
      </w:pPr>
      <w:r w:rsidRPr="00045DEC">
        <w:t>The sensitivity of current forecasts to changes in key assumptions:</w:t>
      </w:r>
      <w:r w:rsidR="000D56D4" w:rsidRPr="00045DEC">
        <w:t xml:space="preserve"> </w:t>
      </w:r>
    </w:p>
    <w:p w14:paraId="287D2D9D" w14:textId="77777777" w:rsidR="003A1BEE" w:rsidRPr="00045DEC" w:rsidRDefault="003A1BEE" w:rsidP="003A1BEE">
      <w:pPr>
        <w:pStyle w:val="Dash"/>
      </w:pPr>
      <w:r w:rsidRPr="00045DEC">
        <w:t xml:space="preserve">Iron ore prices </w:t>
      </w:r>
    </w:p>
    <w:p w14:paraId="654BB35A" w14:textId="381C7572" w:rsidR="003A1BEE" w:rsidRPr="00DD10B1" w:rsidRDefault="003A1BEE" w:rsidP="003A1BEE">
      <w:pPr>
        <w:pStyle w:val="Dash"/>
        <w:rPr>
          <w:i/>
          <w:iCs/>
        </w:rPr>
      </w:pPr>
      <w:r w:rsidRPr="00045DEC">
        <w:t>Yields on Australian Government Securities</w:t>
      </w:r>
      <w:r w:rsidR="00FA3530" w:rsidRPr="00045DEC">
        <w:t>.</w:t>
      </w:r>
      <w:r w:rsidR="00942110" w:rsidRPr="00045DEC">
        <w:rPr>
          <w:i/>
        </w:rPr>
        <w:t xml:space="preserve"> </w:t>
      </w:r>
    </w:p>
    <w:p w14:paraId="242C834D" w14:textId="5E4FD7F3" w:rsidR="003A1BEE" w:rsidRPr="00045DEC" w:rsidRDefault="003A1BEE" w:rsidP="003A1BEE">
      <w:r w:rsidRPr="00045DEC">
        <w:t>The economic impact of other key variables, including</w:t>
      </w:r>
      <w:r w:rsidR="00566EB8" w:rsidRPr="00045DEC">
        <w:t xml:space="preserve"> </w:t>
      </w:r>
      <w:r w:rsidR="00C01F0B" w:rsidRPr="00045DEC">
        <w:t xml:space="preserve">iron ore and </w:t>
      </w:r>
      <w:r w:rsidRPr="00045DEC">
        <w:t>metallurgical coal</w:t>
      </w:r>
      <w:r w:rsidR="00B37E15" w:rsidRPr="00045DEC">
        <w:t xml:space="preserve"> prices</w:t>
      </w:r>
      <w:r w:rsidR="006743B1" w:rsidRPr="00045DEC">
        <w:t xml:space="preserve"> </w:t>
      </w:r>
      <w:r w:rsidRPr="00045DEC">
        <w:t xml:space="preserve">are considered in </w:t>
      </w:r>
      <w:r w:rsidRPr="00045DEC">
        <w:rPr>
          <w:rStyle w:val="Emphasis"/>
        </w:rPr>
        <w:t>Budget</w:t>
      </w:r>
      <w:r w:rsidR="00B002CB" w:rsidRPr="00045DEC">
        <w:rPr>
          <w:rStyle w:val="Emphasis"/>
        </w:rPr>
        <w:t> </w:t>
      </w:r>
      <w:r w:rsidRPr="00045DEC">
        <w:rPr>
          <w:rStyle w:val="Emphasis"/>
        </w:rPr>
        <w:t>Statement 2: Economic</w:t>
      </w:r>
      <w:r w:rsidR="00B002CB" w:rsidRPr="00045DEC">
        <w:rPr>
          <w:rStyle w:val="Emphasis"/>
        </w:rPr>
        <w:t> </w:t>
      </w:r>
      <w:r w:rsidRPr="00045DEC">
        <w:rPr>
          <w:rStyle w:val="Emphasis"/>
        </w:rPr>
        <w:t>Outlook</w:t>
      </w:r>
      <w:r w:rsidRPr="00045DEC">
        <w:t>.</w:t>
      </w:r>
      <w:r w:rsidRPr="00045DEC">
        <w:rPr>
          <w:i/>
        </w:rPr>
        <w:t xml:space="preserve"> </w:t>
      </w:r>
      <w:r w:rsidRPr="00045DEC">
        <w:t>The fiscal impact of key developments and Australia</w:t>
      </w:r>
      <w:r w:rsidR="00FE07A9" w:rsidRPr="00045DEC">
        <w:t>’</w:t>
      </w:r>
      <w:r w:rsidRPr="00045DEC">
        <w:t xml:space="preserve">s climate change outlook are considered in </w:t>
      </w:r>
      <w:r w:rsidRPr="00045DEC">
        <w:rPr>
          <w:rStyle w:val="Emphasis"/>
        </w:rPr>
        <w:t>Budget Statement 3: Fiscal</w:t>
      </w:r>
      <w:r w:rsidR="00B002CB" w:rsidRPr="00045DEC">
        <w:rPr>
          <w:rStyle w:val="Emphasis"/>
        </w:rPr>
        <w:t> </w:t>
      </w:r>
      <w:r w:rsidRPr="00045DEC">
        <w:rPr>
          <w:rStyle w:val="Emphasis"/>
        </w:rPr>
        <w:t>Strategy</w:t>
      </w:r>
      <w:r w:rsidR="00B002CB" w:rsidRPr="00045DEC">
        <w:rPr>
          <w:rStyle w:val="Emphasis"/>
        </w:rPr>
        <w:t> </w:t>
      </w:r>
      <w:r w:rsidRPr="00045DEC">
        <w:rPr>
          <w:rStyle w:val="Emphasis"/>
        </w:rPr>
        <w:t>and</w:t>
      </w:r>
      <w:r w:rsidR="00B002CB" w:rsidRPr="00045DEC">
        <w:rPr>
          <w:rStyle w:val="Emphasis"/>
        </w:rPr>
        <w:t> </w:t>
      </w:r>
      <w:r w:rsidRPr="00045DEC">
        <w:rPr>
          <w:rStyle w:val="Emphasis"/>
        </w:rPr>
        <w:t>Outlook.</w:t>
      </w:r>
    </w:p>
    <w:p w14:paraId="565AD978" w14:textId="7DC2E335" w:rsidR="001A6C90" w:rsidRPr="00782394" w:rsidRDefault="001A6C90" w:rsidP="00F27284">
      <w:r w:rsidRPr="00045DEC">
        <w:t>Forecasts are based on assumptions and judgements. Forecast accuracy depends on whether assumptions and judgements prove to be correct, and the reliability of the modelled economic and fiscal relationships.</w:t>
      </w:r>
      <w:r w:rsidR="00F55460" w:rsidRPr="00045DEC">
        <w:rPr>
          <w:i/>
        </w:rPr>
        <w:t xml:space="preserve"> </w:t>
      </w:r>
    </w:p>
    <w:p w14:paraId="4C29FC06" w14:textId="55819585" w:rsidR="009625F0" w:rsidRDefault="009625F0">
      <w:pPr>
        <w:spacing w:before="0" w:after="160" w:line="259" w:lineRule="auto"/>
        <w:rPr>
          <w:i/>
        </w:rPr>
      </w:pPr>
      <w:r>
        <w:rPr>
          <w:i/>
        </w:rPr>
        <w:br w:type="page"/>
      </w:r>
    </w:p>
    <w:p w14:paraId="0E8F9B56" w14:textId="77777777" w:rsidR="003A1BEE" w:rsidRPr="00F02293" w:rsidRDefault="003A1BEE" w:rsidP="003A1BEE">
      <w:pPr>
        <w:rPr>
          <w:i/>
        </w:rPr>
      </w:pPr>
    </w:p>
    <w:p w14:paraId="3646FD79" w14:textId="77777777" w:rsidR="003A1BEE" w:rsidRPr="00F02293" w:rsidRDefault="003A1BEE" w:rsidP="003A1BEE">
      <w:pPr>
        <w:rPr>
          <w:i/>
        </w:rPr>
        <w:sectPr w:rsidR="003A1BEE" w:rsidRPr="00F02293" w:rsidSect="004A40C4">
          <w:headerReference w:type="even" r:id="rId11"/>
          <w:headerReference w:type="default" r:id="rId12"/>
          <w:footerReference w:type="default" r:id="rId13"/>
          <w:headerReference w:type="first" r:id="rId14"/>
          <w:footerReference w:type="first" r:id="rId15"/>
          <w:footnotePr>
            <w:numStart w:val="38"/>
          </w:footnotePr>
          <w:pgSz w:w="11906" w:h="16838" w:code="9"/>
          <w:pgMar w:top="2835" w:right="2098" w:bottom="2466" w:left="2098" w:header="1814" w:footer="1814" w:gutter="0"/>
          <w:pgNumType w:start="253"/>
          <w:cols w:space="708"/>
          <w:titlePg/>
          <w:docGrid w:linePitch="360"/>
        </w:sectPr>
      </w:pPr>
    </w:p>
    <w:p w14:paraId="5C76CC85" w14:textId="55000B6B" w:rsidR="003A1BEE" w:rsidRPr="00045DEC" w:rsidRDefault="003A1BEE" w:rsidP="003A1BEE">
      <w:pPr>
        <w:pStyle w:val="ContentsHeading"/>
      </w:pPr>
      <w:r w:rsidRPr="00045DEC">
        <w:lastRenderedPageBreak/>
        <w:t>Statement contents</w:t>
      </w:r>
    </w:p>
    <w:p w14:paraId="0C6BF0F9" w14:textId="026CE2C1" w:rsidR="004A40C4" w:rsidRDefault="003A1BEE">
      <w:pPr>
        <w:pStyle w:val="TOC1"/>
        <w:rPr>
          <w:rFonts w:asciiTheme="minorHAnsi" w:eastAsiaTheme="minorEastAsia" w:hAnsiTheme="minorHAnsi" w:cstheme="minorBidi"/>
          <w:b w:val="0"/>
          <w:noProof/>
          <w:kern w:val="2"/>
          <w:sz w:val="22"/>
          <w:szCs w:val="22"/>
          <w14:ligatures w14:val="standardContextual"/>
        </w:rPr>
      </w:pPr>
      <w:r w:rsidRPr="00045DEC">
        <w:fldChar w:fldCharType="begin"/>
      </w:r>
      <w:r w:rsidRPr="00045DEC">
        <w:instrText xml:space="preserve"> TOC \h \z \u \t "Heading 2,1,Heading 3,2" </w:instrText>
      </w:r>
      <w:r w:rsidRPr="00045DEC">
        <w:fldChar w:fldCharType="separate"/>
      </w:r>
      <w:hyperlink w:anchor="_Toc166356108" w:history="1">
        <w:r w:rsidR="004A40C4" w:rsidRPr="00AC0EC8">
          <w:rPr>
            <w:rStyle w:val="Hyperlink"/>
            <w:noProof/>
          </w:rPr>
          <w:t>Assessing past forecasting performance</w:t>
        </w:r>
        <w:r w:rsidR="004A40C4">
          <w:rPr>
            <w:noProof/>
            <w:webHidden/>
          </w:rPr>
          <w:tab/>
        </w:r>
        <w:r w:rsidR="004A40C4">
          <w:rPr>
            <w:noProof/>
            <w:webHidden/>
          </w:rPr>
          <w:fldChar w:fldCharType="begin"/>
        </w:r>
        <w:r w:rsidR="004A40C4">
          <w:rPr>
            <w:noProof/>
            <w:webHidden/>
          </w:rPr>
          <w:instrText xml:space="preserve"> PAGEREF _Toc166356108 \h </w:instrText>
        </w:r>
        <w:r w:rsidR="004A40C4">
          <w:rPr>
            <w:noProof/>
            <w:webHidden/>
          </w:rPr>
        </w:r>
        <w:r w:rsidR="004A40C4">
          <w:rPr>
            <w:noProof/>
            <w:webHidden/>
          </w:rPr>
          <w:fldChar w:fldCharType="separate"/>
        </w:r>
        <w:r w:rsidR="005C6A82">
          <w:rPr>
            <w:noProof/>
            <w:webHidden/>
          </w:rPr>
          <w:t>257</w:t>
        </w:r>
        <w:r w:rsidR="004A40C4">
          <w:rPr>
            <w:noProof/>
            <w:webHidden/>
          </w:rPr>
          <w:fldChar w:fldCharType="end"/>
        </w:r>
      </w:hyperlink>
    </w:p>
    <w:p w14:paraId="24082B9E" w14:textId="7803448E"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09" w:history="1">
        <w:r w:rsidR="004A40C4" w:rsidRPr="00AC0EC8">
          <w:rPr>
            <w:rStyle w:val="Hyperlink"/>
            <w:noProof/>
          </w:rPr>
          <w:t>Economic forecasting performance</w:t>
        </w:r>
        <w:r w:rsidR="004A40C4">
          <w:rPr>
            <w:noProof/>
            <w:webHidden/>
          </w:rPr>
          <w:tab/>
        </w:r>
        <w:r w:rsidR="004A40C4">
          <w:rPr>
            <w:noProof/>
            <w:webHidden/>
          </w:rPr>
          <w:fldChar w:fldCharType="begin"/>
        </w:r>
        <w:r w:rsidR="004A40C4">
          <w:rPr>
            <w:noProof/>
            <w:webHidden/>
          </w:rPr>
          <w:instrText xml:space="preserve"> PAGEREF _Toc166356109 \h </w:instrText>
        </w:r>
        <w:r w:rsidR="004A40C4">
          <w:rPr>
            <w:noProof/>
            <w:webHidden/>
          </w:rPr>
        </w:r>
        <w:r w:rsidR="004A40C4">
          <w:rPr>
            <w:noProof/>
            <w:webHidden/>
          </w:rPr>
          <w:fldChar w:fldCharType="separate"/>
        </w:r>
        <w:r w:rsidR="005C6A82">
          <w:rPr>
            <w:noProof/>
            <w:webHidden/>
          </w:rPr>
          <w:t>258</w:t>
        </w:r>
        <w:r w:rsidR="004A40C4">
          <w:rPr>
            <w:noProof/>
            <w:webHidden/>
          </w:rPr>
          <w:fldChar w:fldCharType="end"/>
        </w:r>
      </w:hyperlink>
    </w:p>
    <w:p w14:paraId="687E17D9" w14:textId="69ABABA2"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10" w:history="1">
        <w:r w:rsidR="004A40C4" w:rsidRPr="00AC0EC8">
          <w:rPr>
            <w:rStyle w:val="Hyperlink"/>
            <w:noProof/>
          </w:rPr>
          <w:t>Fiscal forecasting performance</w:t>
        </w:r>
        <w:r w:rsidR="004A40C4">
          <w:rPr>
            <w:noProof/>
            <w:webHidden/>
          </w:rPr>
          <w:tab/>
        </w:r>
        <w:r w:rsidR="004A40C4">
          <w:rPr>
            <w:noProof/>
            <w:webHidden/>
          </w:rPr>
          <w:fldChar w:fldCharType="begin"/>
        </w:r>
        <w:r w:rsidR="004A40C4">
          <w:rPr>
            <w:noProof/>
            <w:webHidden/>
          </w:rPr>
          <w:instrText xml:space="preserve"> PAGEREF _Toc166356110 \h </w:instrText>
        </w:r>
        <w:r w:rsidR="004A40C4">
          <w:rPr>
            <w:noProof/>
            <w:webHidden/>
          </w:rPr>
        </w:r>
        <w:r w:rsidR="004A40C4">
          <w:rPr>
            <w:noProof/>
            <w:webHidden/>
          </w:rPr>
          <w:fldChar w:fldCharType="separate"/>
        </w:r>
        <w:r w:rsidR="005C6A82">
          <w:rPr>
            <w:noProof/>
            <w:webHidden/>
          </w:rPr>
          <w:t>259</w:t>
        </w:r>
        <w:r w:rsidR="004A40C4">
          <w:rPr>
            <w:noProof/>
            <w:webHidden/>
          </w:rPr>
          <w:fldChar w:fldCharType="end"/>
        </w:r>
      </w:hyperlink>
    </w:p>
    <w:p w14:paraId="4865DCAA" w14:textId="464685A2" w:rsidR="004A40C4" w:rsidRDefault="00E27041">
      <w:pPr>
        <w:pStyle w:val="TOC1"/>
        <w:rPr>
          <w:rFonts w:asciiTheme="minorHAnsi" w:eastAsiaTheme="minorEastAsia" w:hAnsiTheme="minorHAnsi" w:cstheme="minorBidi"/>
          <w:b w:val="0"/>
          <w:noProof/>
          <w:kern w:val="2"/>
          <w:sz w:val="22"/>
          <w:szCs w:val="22"/>
          <w14:ligatures w14:val="standardContextual"/>
        </w:rPr>
      </w:pPr>
      <w:hyperlink w:anchor="_Toc166356111" w:history="1">
        <w:r w:rsidR="004A40C4" w:rsidRPr="00AC0EC8">
          <w:rPr>
            <w:rStyle w:val="Hyperlink"/>
            <w:noProof/>
          </w:rPr>
          <w:t>Assessing forecast uncertainty – confidence interval analysis</w:t>
        </w:r>
        <w:r w:rsidR="004A40C4">
          <w:rPr>
            <w:noProof/>
            <w:webHidden/>
          </w:rPr>
          <w:tab/>
        </w:r>
        <w:r w:rsidR="004A40C4">
          <w:rPr>
            <w:noProof/>
            <w:webHidden/>
          </w:rPr>
          <w:fldChar w:fldCharType="begin"/>
        </w:r>
        <w:r w:rsidR="004A40C4">
          <w:rPr>
            <w:noProof/>
            <w:webHidden/>
          </w:rPr>
          <w:instrText xml:space="preserve"> PAGEREF _Toc166356111 \h </w:instrText>
        </w:r>
        <w:r w:rsidR="004A40C4">
          <w:rPr>
            <w:noProof/>
            <w:webHidden/>
          </w:rPr>
        </w:r>
        <w:r w:rsidR="004A40C4">
          <w:rPr>
            <w:noProof/>
            <w:webHidden/>
          </w:rPr>
          <w:fldChar w:fldCharType="separate"/>
        </w:r>
        <w:r w:rsidR="005C6A82">
          <w:rPr>
            <w:noProof/>
            <w:webHidden/>
          </w:rPr>
          <w:t>265</w:t>
        </w:r>
        <w:r w:rsidR="004A40C4">
          <w:rPr>
            <w:noProof/>
            <w:webHidden/>
          </w:rPr>
          <w:fldChar w:fldCharType="end"/>
        </w:r>
      </w:hyperlink>
    </w:p>
    <w:p w14:paraId="06CF30C4" w14:textId="747A5362"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12" w:history="1">
        <w:r w:rsidR="004A40C4" w:rsidRPr="00AC0EC8">
          <w:rPr>
            <w:rStyle w:val="Hyperlink"/>
            <w:noProof/>
          </w:rPr>
          <w:t>Economic uncertainty based on historical forecast errors</w:t>
        </w:r>
        <w:r w:rsidR="004A40C4">
          <w:rPr>
            <w:noProof/>
            <w:webHidden/>
          </w:rPr>
          <w:tab/>
        </w:r>
        <w:r w:rsidR="004A40C4">
          <w:rPr>
            <w:noProof/>
            <w:webHidden/>
          </w:rPr>
          <w:fldChar w:fldCharType="begin"/>
        </w:r>
        <w:r w:rsidR="004A40C4">
          <w:rPr>
            <w:noProof/>
            <w:webHidden/>
          </w:rPr>
          <w:instrText xml:space="preserve"> PAGEREF _Toc166356112 \h </w:instrText>
        </w:r>
        <w:r w:rsidR="004A40C4">
          <w:rPr>
            <w:noProof/>
            <w:webHidden/>
          </w:rPr>
        </w:r>
        <w:r w:rsidR="004A40C4">
          <w:rPr>
            <w:noProof/>
            <w:webHidden/>
          </w:rPr>
          <w:fldChar w:fldCharType="separate"/>
        </w:r>
        <w:r w:rsidR="005C6A82">
          <w:rPr>
            <w:noProof/>
            <w:webHidden/>
          </w:rPr>
          <w:t>265</w:t>
        </w:r>
        <w:r w:rsidR="004A40C4">
          <w:rPr>
            <w:noProof/>
            <w:webHidden/>
          </w:rPr>
          <w:fldChar w:fldCharType="end"/>
        </w:r>
      </w:hyperlink>
    </w:p>
    <w:p w14:paraId="558E7BDC" w14:textId="3CF457B5"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13" w:history="1">
        <w:r w:rsidR="004A40C4" w:rsidRPr="00AC0EC8">
          <w:rPr>
            <w:rStyle w:val="Hyperlink"/>
            <w:noProof/>
          </w:rPr>
          <w:t>Fiscal uncertainty based on historical forecast errors</w:t>
        </w:r>
        <w:r w:rsidR="004A40C4">
          <w:rPr>
            <w:noProof/>
            <w:webHidden/>
          </w:rPr>
          <w:tab/>
        </w:r>
        <w:r w:rsidR="004A40C4">
          <w:rPr>
            <w:noProof/>
            <w:webHidden/>
          </w:rPr>
          <w:fldChar w:fldCharType="begin"/>
        </w:r>
        <w:r w:rsidR="004A40C4">
          <w:rPr>
            <w:noProof/>
            <w:webHidden/>
          </w:rPr>
          <w:instrText xml:space="preserve"> PAGEREF _Toc166356113 \h </w:instrText>
        </w:r>
        <w:r w:rsidR="004A40C4">
          <w:rPr>
            <w:noProof/>
            <w:webHidden/>
          </w:rPr>
        </w:r>
        <w:r w:rsidR="004A40C4">
          <w:rPr>
            <w:noProof/>
            <w:webHidden/>
          </w:rPr>
          <w:fldChar w:fldCharType="separate"/>
        </w:r>
        <w:r w:rsidR="005C6A82">
          <w:rPr>
            <w:noProof/>
            <w:webHidden/>
          </w:rPr>
          <w:t>268</w:t>
        </w:r>
        <w:r w:rsidR="004A40C4">
          <w:rPr>
            <w:noProof/>
            <w:webHidden/>
          </w:rPr>
          <w:fldChar w:fldCharType="end"/>
        </w:r>
      </w:hyperlink>
    </w:p>
    <w:p w14:paraId="56328AA7" w14:textId="1298270A" w:rsidR="004A40C4" w:rsidRDefault="00E27041">
      <w:pPr>
        <w:pStyle w:val="TOC1"/>
        <w:rPr>
          <w:rFonts w:asciiTheme="minorHAnsi" w:eastAsiaTheme="minorEastAsia" w:hAnsiTheme="minorHAnsi" w:cstheme="minorBidi"/>
          <w:b w:val="0"/>
          <w:noProof/>
          <w:kern w:val="2"/>
          <w:sz w:val="22"/>
          <w:szCs w:val="22"/>
          <w14:ligatures w14:val="standardContextual"/>
        </w:rPr>
      </w:pPr>
      <w:hyperlink w:anchor="_Toc166356114" w:history="1">
        <w:r w:rsidR="004A40C4" w:rsidRPr="00AC0EC8">
          <w:rPr>
            <w:rStyle w:val="Hyperlink"/>
            <w:noProof/>
          </w:rPr>
          <w:t>Assessing current forecasts through sensitivity analysis</w:t>
        </w:r>
        <w:r w:rsidR="004A40C4">
          <w:rPr>
            <w:noProof/>
            <w:webHidden/>
          </w:rPr>
          <w:tab/>
        </w:r>
        <w:r w:rsidR="004A40C4">
          <w:rPr>
            <w:noProof/>
            <w:webHidden/>
          </w:rPr>
          <w:fldChar w:fldCharType="begin"/>
        </w:r>
        <w:r w:rsidR="004A40C4">
          <w:rPr>
            <w:noProof/>
            <w:webHidden/>
          </w:rPr>
          <w:instrText xml:space="preserve"> PAGEREF _Toc166356114 \h </w:instrText>
        </w:r>
        <w:r w:rsidR="004A40C4">
          <w:rPr>
            <w:noProof/>
            <w:webHidden/>
          </w:rPr>
        </w:r>
        <w:r w:rsidR="004A40C4">
          <w:rPr>
            <w:noProof/>
            <w:webHidden/>
          </w:rPr>
          <w:fldChar w:fldCharType="separate"/>
        </w:r>
        <w:r w:rsidR="005C6A82">
          <w:rPr>
            <w:noProof/>
            <w:webHidden/>
          </w:rPr>
          <w:t>271</w:t>
        </w:r>
        <w:r w:rsidR="004A40C4">
          <w:rPr>
            <w:noProof/>
            <w:webHidden/>
          </w:rPr>
          <w:fldChar w:fldCharType="end"/>
        </w:r>
      </w:hyperlink>
    </w:p>
    <w:p w14:paraId="6BFDF970" w14:textId="1118D4D7"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15" w:history="1">
        <w:r w:rsidR="004A40C4" w:rsidRPr="00AC0EC8">
          <w:rPr>
            <w:rStyle w:val="Hyperlink"/>
            <w:noProof/>
          </w:rPr>
          <w:t>Movements in iron ore prices</w:t>
        </w:r>
        <w:r w:rsidR="004A40C4">
          <w:rPr>
            <w:noProof/>
            <w:webHidden/>
          </w:rPr>
          <w:tab/>
        </w:r>
        <w:r w:rsidR="004A40C4">
          <w:rPr>
            <w:noProof/>
            <w:webHidden/>
          </w:rPr>
          <w:fldChar w:fldCharType="begin"/>
        </w:r>
        <w:r w:rsidR="004A40C4">
          <w:rPr>
            <w:noProof/>
            <w:webHidden/>
          </w:rPr>
          <w:instrText xml:space="preserve"> PAGEREF _Toc166356115 \h </w:instrText>
        </w:r>
        <w:r w:rsidR="004A40C4">
          <w:rPr>
            <w:noProof/>
            <w:webHidden/>
          </w:rPr>
        </w:r>
        <w:r w:rsidR="004A40C4">
          <w:rPr>
            <w:noProof/>
            <w:webHidden/>
          </w:rPr>
          <w:fldChar w:fldCharType="separate"/>
        </w:r>
        <w:r w:rsidR="005C6A82">
          <w:rPr>
            <w:noProof/>
            <w:webHidden/>
          </w:rPr>
          <w:t>271</w:t>
        </w:r>
        <w:r w:rsidR="004A40C4">
          <w:rPr>
            <w:noProof/>
            <w:webHidden/>
          </w:rPr>
          <w:fldChar w:fldCharType="end"/>
        </w:r>
      </w:hyperlink>
    </w:p>
    <w:p w14:paraId="0957368D" w14:textId="130B30C9" w:rsidR="004A40C4" w:rsidRDefault="00E27041">
      <w:pPr>
        <w:pStyle w:val="TOC2"/>
        <w:rPr>
          <w:rFonts w:asciiTheme="minorHAnsi" w:eastAsiaTheme="minorEastAsia" w:hAnsiTheme="minorHAnsi" w:cstheme="minorBidi"/>
          <w:noProof/>
          <w:kern w:val="2"/>
          <w:sz w:val="22"/>
          <w:szCs w:val="22"/>
          <w14:ligatures w14:val="standardContextual"/>
        </w:rPr>
      </w:pPr>
      <w:hyperlink w:anchor="_Toc166356116" w:history="1">
        <w:r w:rsidR="004A40C4" w:rsidRPr="00AC0EC8">
          <w:rPr>
            <w:rStyle w:val="Hyperlink"/>
            <w:noProof/>
          </w:rPr>
          <w:t>Movements in yields</w:t>
        </w:r>
        <w:r w:rsidR="004A40C4">
          <w:rPr>
            <w:noProof/>
            <w:webHidden/>
          </w:rPr>
          <w:tab/>
        </w:r>
        <w:r w:rsidR="004A40C4">
          <w:rPr>
            <w:noProof/>
            <w:webHidden/>
          </w:rPr>
          <w:fldChar w:fldCharType="begin"/>
        </w:r>
        <w:r w:rsidR="004A40C4">
          <w:rPr>
            <w:noProof/>
            <w:webHidden/>
          </w:rPr>
          <w:instrText xml:space="preserve"> PAGEREF _Toc166356116 \h </w:instrText>
        </w:r>
        <w:r w:rsidR="004A40C4">
          <w:rPr>
            <w:noProof/>
            <w:webHidden/>
          </w:rPr>
        </w:r>
        <w:r w:rsidR="004A40C4">
          <w:rPr>
            <w:noProof/>
            <w:webHidden/>
          </w:rPr>
          <w:fldChar w:fldCharType="separate"/>
        </w:r>
        <w:r w:rsidR="005C6A82">
          <w:rPr>
            <w:noProof/>
            <w:webHidden/>
          </w:rPr>
          <w:t>273</w:t>
        </w:r>
        <w:r w:rsidR="004A40C4">
          <w:rPr>
            <w:noProof/>
            <w:webHidden/>
          </w:rPr>
          <w:fldChar w:fldCharType="end"/>
        </w:r>
      </w:hyperlink>
    </w:p>
    <w:p w14:paraId="03F67D31" w14:textId="2EC19F11" w:rsidR="005356DA" w:rsidRDefault="003A1BEE" w:rsidP="005356DA">
      <w:pPr>
        <w:pStyle w:val="TOC1"/>
        <w:rPr>
          <w:rFonts w:cstheme="minorHAnsi"/>
          <w:b w:val="0"/>
          <w:lang w:val="en-US"/>
        </w:rPr>
        <w:sectPr w:rsidR="005356DA" w:rsidSect="00A52025">
          <w:headerReference w:type="even" r:id="rId16"/>
          <w:headerReference w:type="default" r:id="rId17"/>
          <w:footerReference w:type="even" r:id="rId18"/>
          <w:footerReference w:type="default" r:id="rId19"/>
          <w:headerReference w:type="first" r:id="rId20"/>
          <w:footerReference w:type="first" r:id="rId21"/>
          <w:footnotePr>
            <w:numStart w:val="38"/>
          </w:footnotePr>
          <w:pgSz w:w="11906" w:h="16838" w:code="9"/>
          <w:pgMar w:top="2835" w:right="2098" w:bottom="2466" w:left="2098" w:header="1814" w:footer="1814" w:gutter="0"/>
          <w:cols w:space="708"/>
          <w:titlePg/>
          <w:docGrid w:linePitch="360"/>
        </w:sectPr>
      </w:pPr>
      <w:r w:rsidRPr="00045DEC">
        <w:rPr>
          <w:rFonts w:cstheme="minorHAnsi"/>
          <w:b w:val="0"/>
          <w:lang w:val="en-US"/>
        </w:rPr>
        <w:fldChar w:fldCharType="end"/>
      </w:r>
    </w:p>
    <w:p w14:paraId="68D593C4" w14:textId="4762A786" w:rsidR="003A1BEE" w:rsidRPr="00045DEC" w:rsidRDefault="003A1BEE" w:rsidP="003A1BEE">
      <w:pPr>
        <w:pStyle w:val="Heading1"/>
      </w:pPr>
      <w:r w:rsidRPr="00045DEC">
        <w:lastRenderedPageBreak/>
        <w:t>Statement 8: Forecasting Performance and Sensitivity Analysis</w:t>
      </w:r>
    </w:p>
    <w:p w14:paraId="6492AE0D" w14:textId="77777777" w:rsidR="003A1BEE" w:rsidRPr="00045DEC" w:rsidRDefault="003A1BEE" w:rsidP="003A1BEE">
      <w:pPr>
        <w:pStyle w:val="Heading2"/>
      </w:pPr>
      <w:bookmarkStart w:id="0" w:name="_Toc166356108"/>
      <w:r w:rsidRPr="00045DEC">
        <w:t>Assessing past forecasting performance</w:t>
      </w:r>
      <w:bookmarkEnd w:id="0"/>
    </w:p>
    <w:p w14:paraId="6A2C1F7B" w14:textId="1B46D63B" w:rsidR="003A1BEE" w:rsidRPr="00045DEC" w:rsidRDefault="003A1BEE" w:rsidP="003A1BEE">
      <w:r w:rsidRPr="00045DEC">
        <w:t>This section assesses the variance between historical forecasts and outcomes (forecast errors) for real and nominal GDP, tax receipts, non</w:t>
      </w:r>
      <w:r w:rsidR="00FE07A9" w:rsidRPr="00045DEC">
        <w:noBreakHyphen/>
      </w:r>
      <w:r w:rsidRPr="00045DEC">
        <w:t xml:space="preserve">tax receipts, payments and the underlying cash balance. </w:t>
      </w:r>
    </w:p>
    <w:p w14:paraId="39C0AE11" w14:textId="249E1360" w:rsidR="003A1BEE" w:rsidRPr="00045DEC" w:rsidRDefault="003A1BEE" w:rsidP="003A1BEE">
      <w:r w:rsidRPr="00045DEC">
        <w:t>Forecasts are prepared using a range of techniques:</w:t>
      </w:r>
      <w:r w:rsidR="000D56D4" w:rsidRPr="00045DEC">
        <w:t xml:space="preserve"> </w:t>
      </w:r>
    </w:p>
    <w:p w14:paraId="2FE289BC" w14:textId="27782651" w:rsidR="003A1BEE" w:rsidRPr="00782394" w:rsidRDefault="003A1BEE" w:rsidP="003A1BEE">
      <w:pPr>
        <w:pStyle w:val="Bullet"/>
        <w:tabs>
          <w:tab w:val="clear" w:pos="283"/>
          <w:tab w:val="num" w:pos="850"/>
        </w:tabs>
      </w:pPr>
      <w:r w:rsidRPr="00045DEC">
        <w:t>Macroeconomic forecasts are prepared consistent with a national accounting framework using econometric models, analysis and professional judgement.</w:t>
      </w:r>
    </w:p>
    <w:p w14:paraId="20CAB6AF" w14:textId="2755F0F6" w:rsidR="003A1BEE" w:rsidRPr="00782394" w:rsidRDefault="003A1BEE" w:rsidP="003A1BEE">
      <w:pPr>
        <w:pStyle w:val="Bullet"/>
        <w:tabs>
          <w:tab w:val="clear" w:pos="283"/>
          <w:tab w:val="num" w:pos="850"/>
        </w:tabs>
      </w:pPr>
      <w:r w:rsidRPr="00045DEC">
        <w:t xml:space="preserve">Tax receipts forecasts are generally prepared using a </w:t>
      </w:r>
      <w:r w:rsidR="00FE07A9" w:rsidRPr="00045DEC">
        <w:t>‘</w:t>
      </w:r>
      <w:r w:rsidRPr="00045DEC">
        <w:t>base plus growth</w:t>
      </w:r>
      <w:r w:rsidR="00FE07A9" w:rsidRPr="00045DEC">
        <w:t>’</w:t>
      </w:r>
      <w:r w:rsidRPr="00045DEC">
        <w:t xml:space="preserve"> methodology. The last outcome for each head of revenue is the base to which growth rates are applied, using appropriate economic parameters. </w:t>
      </w:r>
      <w:r w:rsidR="0071532A" w:rsidRPr="00045DEC">
        <w:t>Forecasts are then updated to include costings of new policy.</w:t>
      </w:r>
    </w:p>
    <w:p w14:paraId="1BCF12B2" w14:textId="1637C29B" w:rsidR="003A1BEE" w:rsidRPr="00045DEC" w:rsidRDefault="003A1BEE" w:rsidP="003A1BEE">
      <w:pPr>
        <w:pStyle w:val="Bullet"/>
        <w:tabs>
          <w:tab w:val="clear" w:pos="283"/>
          <w:tab w:val="num" w:pos="850"/>
        </w:tabs>
      </w:pPr>
      <w:r w:rsidRPr="00045DEC">
        <w:t xml:space="preserve">Payments forecasts are generally prepared through analysis of payment program data, costings for new policies and historical trends in programs, in consultation with relevant agencies. </w:t>
      </w:r>
    </w:p>
    <w:p w14:paraId="720CF633" w14:textId="16D8CCDC" w:rsidR="003A1BEE" w:rsidRPr="00782394" w:rsidRDefault="003A1BEE" w:rsidP="00930A7D"/>
    <w:p w14:paraId="764E03ED" w14:textId="77777777" w:rsidR="003A1BEE" w:rsidRPr="00782394" w:rsidRDefault="003A1BEE" w:rsidP="003A1BEE">
      <w:pPr>
        <w:spacing w:before="0" w:after="160" w:line="259" w:lineRule="auto"/>
        <w:rPr>
          <w:rFonts w:ascii="Arial Bold" w:hAnsi="Arial Bold"/>
          <w:b/>
          <w:sz w:val="22"/>
        </w:rPr>
      </w:pPr>
      <w:r w:rsidRPr="00782394">
        <w:br w:type="page"/>
      </w:r>
    </w:p>
    <w:p w14:paraId="29F98F9D" w14:textId="78B36FE6" w:rsidR="003A1BEE" w:rsidRPr="00045DEC" w:rsidRDefault="003A1BEE" w:rsidP="003A1BEE">
      <w:pPr>
        <w:pStyle w:val="Heading3"/>
      </w:pPr>
      <w:bookmarkStart w:id="1" w:name="_Toc166356109"/>
      <w:r w:rsidRPr="00045DEC">
        <w:lastRenderedPageBreak/>
        <w:t>Economic forecasting performance</w:t>
      </w:r>
      <w:bookmarkEnd w:id="1"/>
    </w:p>
    <w:p w14:paraId="66073EE4" w14:textId="3B2F5C2C" w:rsidR="003A1BEE" w:rsidRPr="00045DEC" w:rsidRDefault="003A1BEE" w:rsidP="003A1BEE">
      <w:r w:rsidRPr="00045DEC">
        <w:t xml:space="preserve">Real GDP forecasts incorporate assumptions for exchange rates, interest rates, commodity prices and population growth. The forecasts also incorporate judgements about how domestic and international developments </w:t>
      </w:r>
      <w:r w:rsidR="008B5A2D" w:rsidRPr="00045DEC">
        <w:t>might</w:t>
      </w:r>
      <w:r w:rsidRPr="00045DEC">
        <w:t xml:space="preserve"> affect Australia</w:t>
      </w:r>
      <w:r w:rsidR="00FE07A9" w:rsidRPr="00045DEC">
        <w:t>’</w:t>
      </w:r>
      <w:r w:rsidRPr="00045DEC">
        <w:t>s economy.</w:t>
      </w:r>
    </w:p>
    <w:p w14:paraId="3F04AE42" w14:textId="0F6AE4A4" w:rsidR="003A1BEE" w:rsidRPr="00045DEC" w:rsidRDefault="003A1BEE" w:rsidP="00084096">
      <w:pPr>
        <w:rPr>
          <w:rFonts w:ascii="Times New Roman" w:eastAsiaTheme="minorHAnsi" w:hAnsi="Times New Roman"/>
          <w:sz w:val="24"/>
          <w:szCs w:val="24"/>
        </w:rPr>
      </w:pPr>
      <w:r w:rsidRPr="00045DEC">
        <w:t xml:space="preserve">Real GDP grew by </w:t>
      </w:r>
      <w:r w:rsidR="0052707F" w:rsidRPr="00045DEC">
        <w:t>3.</w:t>
      </w:r>
      <w:r w:rsidR="006A2723" w:rsidRPr="00045DEC">
        <w:t>1</w:t>
      </w:r>
      <w:r w:rsidRPr="00045DEC">
        <w:t> per cent in 202</w:t>
      </w:r>
      <w:r w:rsidR="00573FF2" w:rsidRPr="00045DEC">
        <w:t>2</w:t>
      </w:r>
      <w:r w:rsidRPr="00045DEC">
        <w:t>–2</w:t>
      </w:r>
      <w:r w:rsidR="00573FF2" w:rsidRPr="00045DEC">
        <w:t>3</w:t>
      </w:r>
      <w:r w:rsidRPr="00045DEC">
        <w:t xml:space="preserve"> rather than the </w:t>
      </w:r>
      <w:r w:rsidR="00BB20F1" w:rsidRPr="00045DEC">
        <w:t>3</w:t>
      </w:r>
      <w:r w:rsidR="00755DE6" w:rsidRPr="00045DEC">
        <w:t>½</w:t>
      </w:r>
      <w:r w:rsidRPr="00045DEC">
        <w:t xml:space="preserve"> per cent growth forecast at the </w:t>
      </w:r>
      <w:r w:rsidR="00730F02" w:rsidRPr="00045DEC">
        <w:t>March</w:t>
      </w:r>
      <w:r w:rsidR="00F83CBB" w:rsidRPr="00045DEC">
        <w:t> </w:t>
      </w:r>
      <w:r w:rsidRPr="00045DEC">
        <w:t>202</w:t>
      </w:r>
      <w:r w:rsidR="00573FF2" w:rsidRPr="00045DEC">
        <w:t>2</w:t>
      </w:r>
      <w:r w:rsidR="002A1179" w:rsidRPr="00045DEC">
        <w:t>–</w:t>
      </w:r>
      <w:r w:rsidRPr="00045DEC">
        <w:t>2</w:t>
      </w:r>
      <w:r w:rsidR="00573FF2" w:rsidRPr="00045DEC">
        <w:t>3</w:t>
      </w:r>
      <w:r w:rsidRPr="00045DEC">
        <w:t xml:space="preserve"> Budget (Chart 8.1). </w:t>
      </w:r>
      <w:r w:rsidR="00084096" w:rsidRPr="00045DEC">
        <w:t>The overestimate of real GDP growth in 2022–23 was primarily due to weaker</w:t>
      </w:r>
      <w:r w:rsidR="00084096" w:rsidRPr="00045DEC">
        <w:noBreakHyphen/>
        <w:t>than</w:t>
      </w:r>
      <w:r w:rsidR="00084096" w:rsidRPr="00045DEC">
        <w:noBreakHyphen/>
        <w:t xml:space="preserve">expected household consumption in response to </w:t>
      </w:r>
      <w:r w:rsidR="00BD6D83" w:rsidRPr="00045DEC">
        <w:t>cost-of-</w:t>
      </w:r>
      <w:r w:rsidR="0061319A" w:rsidRPr="00045DEC">
        <w:t>living pressures</w:t>
      </w:r>
      <w:r w:rsidR="00A524BA" w:rsidRPr="00045DEC">
        <w:t>.</w:t>
      </w:r>
      <w:r w:rsidR="00084096" w:rsidRPr="00045DEC">
        <w:t xml:space="preserve"> </w:t>
      </w:r>
    </w:p>
    <w:p w14:paraId="319DF65D" w14:textId="46B86A6B" w:rsidR="003A1BEE" w:rsidRPr="00045DEC" w:rsidRDefault="003A1BEE" w:rsidP="003A1BEE">
      <w:pPr>
        <w:pStyle w:val="ChartHeading"/>
      </w:pPr>
      <w:r w:rsidRPr="00045DEC">
        <w:t>Chart 8.1: Comparison of forecasts and outcomes for real GDP growth</w:t>
      </w:r>
    </w:p>
    <w:p w14:paraId="6B071A60" w14:textId="47FE6832" w:rsidR="00133B43" w:rsidRPr="00045DEC" w:rsidRDefault="00E27041" w:rsidP="007A01F7">
      <w:pPr>
        <w:pStyle w:val="ChartGraphic"/>
      </w:pPr>
      <w:bookmarkStart w:id="2" w:name="_1776777374"/>
      <w:bookmarkEnd w:id="2"/>
      <w:r>
        <w:rPr>
          <w:b/>
          <w:bCs/>
          <w:noProof/>
          <w:lang w:val="en-US"/>
        </w:rPr>
        <w:pict w14:anchorId="1D365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Budget year forecasts for real GDP growth and the latest published outcome from 2002-03 to 2022-23.This chart shows the Budget year forecasts for real GDP growth and the latest published outcome from 2002-03 to 2022-23." style="width:368.6pt;height:197.2pt">
            <v:imagedata r:id="rId22" o:title=""/>
          </v:shape>
        </w:pict>
      </w:r>
    </w:p>
    <w:p w14:paraId="0B235942" w14:textId="61462978" w:rsidR="003A1BEE" w:rsidRPr="00045DEC" w:rsidRDefault="003A1BEE" w:rsidP="00AC54E0">
      <w:pPr>
        <w:pStyle w:val="ChartandTableFootnote"/>
        <w:rPr>
          <w:color w:val="auto"/>
        </w:rPr>
      </w:pPr>
      <w:r w:rsidRPr="00045DEC">
        <w:rPr>
          <w:color w:val="auto"/>
        </w:rPr>
        <w:t xml:space="preserve">Note: </w:t>
      </w:r>
      <w:r w:rsidRPr="00045DEC">
        <w:rPr>
          <w:color w:val="auto"/>
        </w:rPr>
        <w:tab/>
        <w:t>Outcome is as published in the December quarter 202</w:t>
      </w:r>
      <w:r w:rsidR="007A01F7" w:rsidRPr="00045DEC">
        <w:rPr>
          <w:color w:val="auto"/>
        </w:rPr>
        <w:t>3</w:t>
      </w:r>
      <w:r w:rsidRPr="00045DEC">
        <w:rPr>
          <w:color w:val="auto"/>
        </w:rPr>
        <w:t xml:space="preserve"> National Accounts. </w:t>
      </w:r>
      <w:r w:rsidR="00EA7319" w:rsidRPr="00EA7319">
        <w:rPr>
          <w:color w:val="auto"/>
        </w:rPr>
        <w:t>Forecast is that published in the Budget for that year. For 2022</w:t>
      </w:r>
      <w:r w:rsidR="00F54424">
        <w:rPr>
          <w:color w:val="auto"/>
        </w:rPr>
        <w:t>–</w:t>
      </w:r>
      <w:r w:rsidR="00EA7319" w:rsidRPr="00EA7319">
        <w:rPr>
          <w:color w:val="auto"/>
        </w:rPr>
        <w:t>23, the forecast is from the March 2022–23 Budget</w:t>
      </w:r>
      <w:r w:rsidRPr="00045DEC">
        <w:rPr>
          <w:color w:val="auto"/>
        </w:rPr>
        <w:t>.</w:t>
      </w:r>
    </w:p>
    <w:p w14:paraId="6623ED93" w14:textId="7FC3FCDB" w:rsidR="003A1BEE" w:rsidRPr="00045DEC" w:rsidRDefault="003A1BEE" w:rsidP="00580185">
      <w:pPr>
        <w:pStyle w:val="ChartandTableFootnote"/>
        <w:rPr>
          <w:color w:val="auto"/>
        </w:rPr>
      </w:pPr>
      <w:r w:rsidRPr="00045DEC">
        <w:rPr>
          <w:color w:val="auto"/>
        </w:rPr>
        <w:t xml:space="preserve">Source: </w:t>
      </w:r>
      <w:r w:rsidRPr="00045DEC">
        <w:rPr>
          <w:color w:val="auto"/>
        </w:rPr>
        <w:tab/>
        <w:t xml:space="preserve">ABS Australian National Accounts: National Income, Expenditure and Product and Budget papers. </w:t>
      </w:r>
    </w:p>
    <w:p w14:paraId="0B5E0DE0" w14:textId="77777777" w:rsidR="003A1BEE" w:rsidRPr="00045DEC" w:rsidRDefault="003A1BEE" w:rsidP="00AF46DB">
      <w:pPr>
        <w:pStyle w:val="ChartLine"/>
      </w:pPr>
    </w:p>
    <w:p w14:paraId="32470C50" w14:textId="63C23FFE" w:rsidR="003A1BEE" w:rsidRPr="00045DEC" w:rsidRDefault="003A1BEE" w:rsidP="003A1BEE">
      <w:r w:rsidRPr="00045DEC">
        <w:t>Nominal GDP forecasts include a price component that adds uncertainty compared to real GDP forecasts. Price uncertainty relates to domestic prices and wages, prices of imported goods, and world prices for Australia</w:t>
      </w:r>
      <w:r w:rsidR="00FE07A9" w:rsidRPr="00045DEC">
        <w:t>’</w:t>
      </w:r>
      <w:r w:rsidRPr="00045DEC">
        <w:t xml:space="preserve">s exports including commodities. Since the early 2000s, nominal GDP forecast errors have largely reflected volatility in global commodity prices. </w:t>
      </w:r>
    </w:p>
    <w:p w14:paraId="6AB02CE8" w14:textId="557B5D34" w:rsidR="003A1BEE" w:rsidRPr="00045DEC" w:rsidRDefault="003A1BEE" w:rsidP="003A1BEE">
      <w:pPr>
        <w:spacing w:before="0" w:after="0" w:line="240" w:lineRule="auto"/>
        <w:rPr>
          <w:rFonts w:ascii="Times New Roman" w:eastAsiaTheme="minorHAnsi" w:hAnsi="Times New Roman"/>
          <w:sz w:val="24"/>
          <w:szCs w:val="24"/>
        </w:rPr>
      </w:pPr>
      <w:r w:rsidRPr="00045DEC">
        <w:t xml:space="preserve">Nominal GDP grew by </w:t>
      </w:r>
      <w:r w:rsidR="00544834" w:rsidRPr="00045DEC">
        <w:t>9.</w:t>
      </w:r>
      <w:r w:rsidR="00F300C5" w:rsidRPr="00045DEC">
        <w:t>9</w:t>
      </w:r>
      <w:r w:rsidRPr="00045DEC">
        <w:t> per cent in 202</w:t>
      </w:r>
      <w:r w:rsidR="0026051E" w:rsidRPr="00045DEC">
        <w:t>2</w:t>
      </w:r>
      <w:r w:rsidRPr="00045DEC">
        <w:t>–2</w:t>
      </w:r>
      <w:r w:rsidR="0026051E" w:rsidRPr="00045DEC">
        <w:t>3</w:t>
      </w:r>
      <w:r w:rsidRPr="00045DEC">
        <w:t xml:space="preserve"> rather than the </w:t>
      </w:r>
      <w:r w:rsidR="00D34222" w:rsidRPr="00045DEC">
        <w:t>½</w:t>
      </w:r>
      <w:r w:rsidRPr="00045DEC">
        <w:t xml:space="preserve"> per cent growth forecast at the </w:t>
      </w:r>
      <w:r w:rsidR="00EC5C56" w:rsidRPr="00045DEC">
        <w:t>March</w:t>
      </w:r>
      <w:r w:rsidR="00F83CBB" w:rsidRPr="00045DEC">
        <w:t> </w:t>
      </w:r>
      <w:r w:rsidRPr="00045DEC">
        <w:t>202</w:t>
      </w:r>
      <w:r w:rsidR="0026051E" w:rsidRPr="00045DEC">
        <w:t>2</w:t>
      </w:r>
      <w:r w:rsidRPr="00045DEC">
        <w:t>–2</w:t>
      </w:r>
      <w:r w:rsidR="0026051E" w:rsidRPr="00045DEC">
        <w:t>3</w:t>
      </w:r>
      <w:r w:rsidRPr="00045DEC">
        <w:t> Budget (Chart 8.2). The large underestimat</w:t>
      </w:r>
      <w:r w:rsidR="00B93D4C" w:rsidRPr="00045DEC">
        <w:t>ion</w:t>
      </w:r>
      <w:r w:rsidRPr="00045DEC">
        <w:t xml:space="preserve"> in nominal GDP </w:t>
      </w:r>
      <w:r w:rsidR="00F9531F" w:rsidRPr="00045DEC">
        <w:t>largely</w:t>
      </w:r>
      <w:r w:rsidRPr="00045DEC">
        <w:t xml:space="preserve"> reflected </w:t>
      </w:r>
      <w:r w:rsidR="00C750C6" w:rsidRPr="00045DEC">
        <w:t>higher</w:t>
      </w:r>
      <w:r w:rsidR="00FE07A9" w:rsidRPr="00045DEC">
        <w:noBreakHyphen/>
      </w:r>
      <w:r w:rsidR="00C750C6" w:rsidRPr="00045DEC">
        <w:t>than</w:t>
      </w:r>
      <w:r w:rsidR="00FE07A9" w:rsidRPr="00045DEC">
        <w:noBreakHyphen/>
      </w:r>
      <w:r w:rsidR="00626D23" w:rsidRPr="00045DEC">
        <w:t>expected</w:t>
      </w:r>
      <w:r w:rsidR="00DF65BA" w:rsidRPr="00045DEC">
        <w:t xml:space="preserve"> commodity prices</w:t>
      </w:r>
      <w:r w:rsidR="005E63AE" w:rsidRPr="00045DEC">
        <w:t>.</w:t>
      </w:r>
      <w:r w:rsidR="00353835" w:rsidRPr="00045DEC">
        <w:t xml:space="preserve"> </w:t>
      </w:r>
      <w:r w:rsidR="001A6EED" w:rsidRPr="00045DEC">
        <w:t>The March</w:t>
      </w:r>
      <w:r w:rsidR="00F83CBB" w:rsidRPr="00045DEC">
        <w:t> </w:t>
      </w:r>
      <w:r w:rsidR="001A6EED" w:rsidRPr="00045DEC">
        <w:t>2022–23</w:t>
      </w:r>
      <w:r w:rsidR="00B002CB" w:rsidRPr="00045DEC">
        <w:t> </w:t>
      </w:r>
      <w:r w:rsidR="001A6EED" w:rsidRPr="00045DEC">
        <w:t xml:space="preserve">Budget </w:t>
      </w:r>
      <w:r w:rsidR="00C23866" w:rsidRPr="00045DEC">
        <w:t>assumed</w:t>
      </w:r>
      <w:r w:rsidR="00964F31" w:rsidRPr="00045DEC">
        <w:t xml:space="preserve"> c</w:t>
      </w:r>
      <w:r w:rsidR="00673D69" w:rsidRPr="00045DEC">
        <w:t xml:space="preserve">ommodity </w:t>
      </w:r>
      <w:r w:rsidR="001A6EED" w:rsidRPr="00045DEC">
        <w:t>prices</w:t>
      </w:r>
      <w:r w:rsidR="00E7302A" w:rsidRPr="00045DEC">
        <w:t xml:space="preserve"> would</w:t>
      </w:r>
      <w:r w:rsidR="001A6EED" w:rsidRPr="00045DEC">
        <w:t xml:space="preserve"> </w:t>
      </w:r>
      <w:r w:rsidR="00CF5DE0" w:rsidRPr="00045DEC">
        <w:t>decrease</w:t>
      </w:r>
      <w:r w:rsidR="001A6EED" w:rsidRPr="00045DEC">
        <w:t xml:space="preserve"> to levels</w:t>
      </w:r>
      <w:r w:rsidR="003F58ED" w:rsidRPr="00045DEC">
        <w:t xml:space="preserve"> more</w:t>
      </w:r>
      <w:r w:rsidR="001A6EED" w:rsidRPr="00045DEC">
        <w:t xml:space="preserve"> consistent with long</w:t>
      </w:r>
      <w:r w:rsidR="00FE07A9" w:rsidRPr="00045DEC">
        <w:noBreakHyphen/>
      </w:r>
      <w:r w:rsidR="001A6EED" w:rsidRPr="00045DEC">
        <w:t>term fundamentals</w:t>
      </w:r>
      <w:r w:rsidR="00C23866" w:rsidRPr="00045DEC">
        <w:t>, but</w:t>
      </w:r>
      <w:r w:rsidR="007C6103" w:rsidRPr="00045DEC">
        <w:t xml:space="preserve"> </w:t>
      </w:r>
      <w:r w:rsidR="00FF380F" w:rsidRPr="00045DEC">
        <w:t xml:space="preserve">global </w:t>
      </w:r>
      <w:r w:rsidR="00AE5B96" w:rsidRPr="00045DEC">
        <w:t xml:space="preserve">energy prices and the prices </w:t>
      </w:r>
      <w:r w:rsidR="00653D68" w:rsidRPr="00045DEC">
        <w:t xml:space="preserve">of Australian </w:t>
      </w:r>
      <w:r w:rsidR="009748CF" w:rsidRPr="00045DEC">
        <w:t>c</w:t>
      </w:r>
      <w:r w:rsidR="00653D68" w:rsidRPr="00045DEC">
        <w:t>oal and LNG exports</w:t>
      </w:r>
      <w:r w:rsidR="00A724FE" w:rsidRPr="00045DEC">
        <w:t xml:space="preserve"> remained elevated</w:t>
      </w:r>
      <w:r w:rsidR="006C1349" w:rsidRPr="00045DEC">
        <w:t>,</w:t>
      </w:r>
      <w:r w:rsidR="00A724FE" w:rsidRPr="00045DEC">
        <w:t xml:space="preserve"> </w:t>
      </w:r>
      <w:r w:rsidR="00510EF8" w:rsidRPr="00045DEC">
        <w:t xml:space="preserve">partly </w:t>
      </w:r>
      <w:r w:rsidR="00A724FE" w:rsidRPr="00045DEC">
        <w:t xml:space="preserve">due to the </w:t>
      </w:r>
      <w:r w:rsidR="00D04303" w:rsidRPr="00045DEC">
        <w:t xml:space="preserve">continuation of </w:t>
      </w:r>
      <w:r w:rsidR="00A724FE" w:rsidRPr="00045DEC">
        <w:t>Russ</w:t>
      </w:r>
      <w:r w:rsidR="00261C15" w:rsidRPr="00045DEC">
        <w:t>ia</w:t>
      </w:r>
      <w:r w:rsidR="00BC22B8" w:rsidRPr="00045DEC">
        <w:t>’s</w:t>
      </w:r>
      <w:r w:rsidR="00261C15" w:rsidRPr="00045DEC">
        <w:t xml:space="preserve"> invasion</w:t>
      </w:r>
      <w:r w:rsidR="00765232" w:rsidRPr="00045DEC">
        <w:t xml:space="preserve"> of </w:t>
      </w:r>
      <w:r w:rsidR="00E27E6B" w:rsidRPr="00045DEC">
        <w:t>Ukraine</w:t>
      </w:r>
      <w:r w:rsidR="00FE07A9" w:rsidRPr="00045DEC">
        <w:t xml:space="preserve">. </w:t>
      </w:r>
      <w:r w:rsidR="009748CF" w:rsidRPr="00045DEC">
        <w:t>Cons</w:t>
      </w:r>
      <w:r w:rsidR="00127E1C" w:rsidRPr="00045DEC">
        <w:t>equen</w:t>
      </w:r>
      <w:r w:rsidR="008B4C4A" w:rsidRPr="00045DEC">
        <w:t>tly, over 2022</w:t>
      </w:r>
      <w:r w:rsidR="00872E27" w:rsidRPr="00045DEC">
        <w:t>–</w:t>
      </w:r>
      <w:r w:rsidR="008B4C4A" w:rsidRPr="00045DEC">
        <w:t xml:space="preserve">23, </w:t>
      </w:r>
      <w:r w:rsidR="00D02C2E" w:rsidRPr="00045DEC">
        <w:t>the</w:t>
      </w:r>
      <w:r w:rsidR="00DF65BA" w:rsidRPr="00045DEC">
        <w:t xml:space="preserve"> terms of trade</w:t>
      </w:r>
      <w:r w:rsidR="00D02C2E" w:rsidRPr="00045DEC">
        <w:t xml:space="preserve"> decreased </w:t>
      </w:r>
      <w:r w:rsidR="00AF6084" w:rsidRPr="00045DEC">
        <w:t xml:space="preserve">by </w:t>
      </w:r>
      <w:r w:rsidR="00D02C2E" w:rsidRPr="00045DEC">
        <w:t>0.</w:t>
      </w:r>
      <w:r w:rsidR="007F223C" w:rsidRPr="00045DEC">
        <w:t>5</w:t>
      </w:r>
      <w:r w:rsidR="002A1179" w:rsidRPr="00045DEC">
        <w:t> </w:t>
      </w:r>
      <w:r w:rsidR="00E97DA0" w:rsidRPr="00045DEC">
        <w:t>per</w:t>
      </w:r>
      <w:r w:rsidR="002A1179" w:rsidRPr="00045DEC">
        <w:t> </w:t>
      </w:r>
      <w:r w:rsidR="00E97DA0" w:rsidRPr="00045DEC">
        <w:t>cent, rather than the decline of 21</w:t>
      </w:r>
      <w:r w:rsidR="00CE7F3A" w:rsidRPr="00045DEC">
        <w:t>¼</w:t>
      </w:r>
      <w:r w:rsidR="00E35D50" w:rsidRPr="00045DEC">
        <w:t> </w:t>
      </w:r>
      <w:r w:rsidR="00CE7F3A" w:rsidRPr="00045DEC">
        <w:t>per</w:t>
      </w:r>
      <w:r w:rsidR="00E35D50" w:rsidRPr="00045DEC">
        <w:t> </w:t>
      </w:r>
      <w:r w:rsidR="00CE7F3A" w:rsidRPr="00045DEC">
        <w:t>cent expected in the March</w:t>
      </w:r>
      <w:r w:rsidR="007C6103" w:rsidRPr="00045DEC">
        <w:t> </w:t>
      </w:r>
      <w:r w:rsidR="00CE7F3A" w:rsidRPr="00045DEC">
        <w:t>2022</w:t>
      </w:r>
      <w:r w:rsidR="00872E27" w:rsidRPr="00045DEC">
        <w:t>–</w:t>
      </w:r>
      <w:r w:rsidR="00CE7F3A" w:rsidRPr="00045DEC">
        <w:t>23</w:t>
      </w:r>
      <w:r w:rsidR="007C6103" w:rsidRPr="00045DEC">
        <w:t> </w:t>
      </w:r>
      <w:r w:rsidR="00CE7F3A" w:rsidRPr="00045DEC">
        <w:t>Budget</w:t>
      </w:r>
      <w:r w:rsidR="00D16240" w:rsidRPr="00045DEC">
        <w:t>.</w:t>
      </w:r>
      <w:r w:rsidR="002A1179" w:rsidRPr="00045DEC">
        <w:t xml:space="preserve"> </w:t>
      </w:r>
    </w:p>
    <w:p w14:paraId="03B7A3F1" w14:textId="77777777" w:rsidR="003A1BEE" w:rsidRPr="00045DEC" w:rsidRDefault="003A1BEE" w:rsidP="003A1BEE">
      <w:pPr>
        <w:pStyle w:val="ChartHeading"/>
      </w:pPr>
      <w:r w:rsidRPr="00045DEC">
        <w:lastRenderedPageBreak/>
        <w:t>Chart 8.2: Comparison of forecasts and outcomes for nominal GDP growth</w:t>
      </w:r>
    </w:p>
    <w:p w14:paraId="3718F7FE" w14:textId="1B00CCB5" w:rsidR="003A1BEE" w:rsidRPr="00045DEC" w:rsidRDefault="00E27041" w:rsidP="0061693F">
      <w:pPr>
        <w:pStyle w:val="ChartGraphic"/>
      </w:pPr>
      <w:r>
        <w:rPr>
          <w:noProof/>
        </w:rPr>
        <w:pict w14:anchorId="0E98E7C9">
          <v:shape id="_x0000_i1026" type="#_x0000_t75" alt="This chart shows the Budget year forecasts for nominal GDP growth and the latest published outcome from 2002-03 to 2022-23." style="width:365.9pt;height:197.2pt">
            <v:imagedata r:id="rId23" o:title=""/>
          </v:shape>
        </w:pict>
      </w:r>
      <w:r w:rsidR="003A1BEE" w:rsidRPr="00045DEC">
        <w:t xml:space="preserve"> </w:t>
      </w:r>
    </w:p>
    <w:p w14:paraId="53EEA1E4" w14:textId="271D72A5" w:rsidR="003A1BEE" w:rsidRPr="00045DEC" w:rsidRDefault="003A1BEE" w:rsidP="003A1BEE">
      <w:pPr>
        <w:pStyle w:val="ChartandTableFootnote"/>
        <w:rPr>
          <w:color w:val="auto"/>
        </w:rPr>
      </w:pPr>
      <w:r w:rsidRPr="00045DEC">
        <w:rPr>
          <w:color w:val="auto"/>
        </w:rPr>
        <w:t xml:space="preserve">Note: </w:t>
      </w:r>
      <w:r w:rsidRPr="00045DEC">
        <w:rPr>
          <w:color w:val="auto"/>
        </w:rPr>
        <w:tab/>
        <w:t>Outcome is as published in the December quarter 202</w:t>
      </w:r>
      <w:r w:rsidR="00877F86" w:rsidRPr="00045DEC">
        <w:rPr>
          <w:color w:val="auto"/>
        </w:rPr>
        <w:t>3</w:t>
      </w:r>
      <w:r w:rsidRPr="00045DEC">
        <w:rPr>
          <w:color w:val="auto"/>
        </w:rPr>
        <w:t xml:space="preserve"> National Accounts. </w:t>
      </w:r>
      <w:r w:rsidR="00F54424" w:rsidRPr="00F54424">
        <w:rPr>
          <w:color w:val="auto"/>
        </w:rPr>
        <w:t>Forecast is that published in the Budget for that year. For 2022</w:t>
      </w:r>
      <w:r w:rsidR="00F54424">
        <w:rPr>
          <w:color w:val="auto"/>
        </w:rPr>
        <w:t>–</w:t>
      </w:r>
      <w:r w:rsidR="00F54424" w:rsidRPr="00F54424">
        <w:rPr>
          <w:color w:val="auto"/>
        </w:rPr>
        <w:t>23, the forecast is from the March 2022–23 Budget</w:t>
      </w:r>
      <w:r w:rsidRPr="00045DEC">
        <w:rPr>
          <w:color w:val="auto"/>
        </w:rPr>
        <w:t>.</w:t>
      </w:r>
    </w:p>
    <w:p w14:paraId="04C580C6" w14:textId="77777777" w:rsidR="003A1BEE" w:rsidRPr="00045DEC" w:rsidRDefault="003A1BEE" w:rsidP="003A1BEE">
      <w:pPr>
        <w:pStyle w:val="ChartandTableFootnote"/>
        <w:rPr>
          <w:color w:val="auto"/>
        </w:rPr>
      </w:pPr>
      <w:r w:rsidRPr="00045DEC">
        <w:rPr>
          <w:color w:val="auto"/>
        </w:rPr>
        <w:t xml:space="preserve">Source: </w:t>
      </w:r>
      <w:r w:rsidRPr="00045DEC">
        <w:rPr>
          <w:color w:val="auto"/>
        </w:rPr>
        <w:tab/>
        <w:t>ABS Australian National Accounts: National Income, Expenditure and Product and Budget papers.</w:t>
      </w:r>
    </w:p>
    <w:p w14:paraId="27E9D059" w14:textId="6A11D9BD" w:rsidR="003A1BEE" w:rsidRPr="00F02293" w:rsidRDefault="003A1BEE" w:rsidP="00AF46DB">
      <w:pPr>
        <w:pStyle w:val="ChartLine"/>
      </w:pPr>
    </w:p>
    <w:p w14:paraId="4FEAA472" w14:textId="6171E959" w:rsidR="003A1BEE" w:rsidRPr="00045DEC" w:rsidRDefault="003A1BEE" w:rsidP="003A1BEE">
      <w:pPr>
        <w:pStyle w:val="Heading3"/>
      </w:pPr>
      <w:bookmarkStart w:id="3" w:name="_1709800536"/>
      <w:bookmarkStart w:id="4" w:name="_Toc116037824"/>
      <w:bookmarkStart w:id="5" w:name="_Toc116037697"/>
      <w:bookmarkStart w:id="6" w:name="_Toc116040759"/>
      <w:bookmarkStart w:id="7" w:name="_Toc166356110"/>
      <w:bookmarkEnd w:id="3"/>
      <w:r w:rsidRPr="00045DEC">
        <w:t>Fiscal forecasting performance</w:t>
      </w:r>
      <w:bookmarkEnd w:id="4"/>
      <w:bookmarkEnd w:id="5"/>
      <w:bookmarkEnd w:id="6"/>
      <w:bookmarkEnd w:id="7"/>
      <w:r w:rsidRPr="00045DEC">
        <w:t xml:space="preserve"> </w:t>
      </w:r>
    </w:p>
    <w:p w14:paraId="77B39981" w14:textId="4F750872" w:rsidR="003A1BEE" w:rsidRPr="00045DEC" w:rsidRDefault="003A1BEE" w:rsidP="003A1BEE">
      <w:r w:rsidRPr="00045DEC">
        <w:t xml:space="preserve">Fiscal forecast errors are driven by economic and demographic forecast errors, along with unanticipated changes in demand for government programs. Government policies announced after the Budget can also affect fiscal forecast errors. Further information on Budget outcomes can be found in the </w:t>
      </w:r>
      <w:r w:rsidRPr="00045DEC">
        <w:rPr>
          <w:rStyle w:val="Emphasis"/>
        </w:rPr>
        <w:t>202</w:t>
      </w:r>
      <w:r w:rsidR="00727665" w:rsidRPr="00045DEC">
        <w:rPr>
          <w:rStyle w:val="Emphasis"/>
        </w:rPr>
        <w:t>2</w:t>
      </w:r>
      <w:r w:rsidRPr="00045DEC">
        <w:rPr>
          <w:rStyle w:val="Emphasis"/>
        </w:rPr>
        <w:t>–2</w:t>
      </w:r>
      <w:r w:rsidR="00727665" w:rsidRPr="00045DEC">
        <w:rPr>
          <w:rStyle w:val="Emphasis"/>
        </w:rPr>
        <w:t>3</w:t>
      </w:r>
      <w:r w:rsidRPr="00045DEC">
        <w:rPr>
          <w:rStyle w:val="Emphasis"/>
        </w:rPr>
        <w:t> Final</w:t>
      </w:r>
      <w:r w:rsidR="00B002CB" w:rsidRPr="00045DEC">
        <w:rPr>
          <w:rStyle w:val="Emphasis"/>
        </w:rPr>
        <w:t> </w:t>
      </w:r>
      <w:r w:rsidRPr="00045DEC">
        <w:rPr>
          <w:rStyle w:val="Emphasis"/>
        </w:rPr>
        <w:t>Budget</w:t>
      </w:r>
      <w:r w:rsidR="00B002CB" w:rsidRPr="00045DEC">
        <w:rPr>
          <w:rStyle w:val="Emphasis"/>
        </w:rPr>
        <w:t> </w:t>
      </w:r>
      <w:r w:rsidRPr="00045DEC">
        <w:rPr>
          <w:rStyle w:val="Emphasis"/>
        </w:rPr>
        <w:t>Outcome.</w:t>
      </w:r>
    </w:p>
    <w:p w14:paraId="4014DFE0" w14:textId="3E37101C" w:rsidR="003A1BEE" w:rsidRPr="00045DEC" w:rsidRDefault="003A1BEE" w:rsidP="003A1BEE">
      <w:pPr>
        <w:pStyle w:val="Heading4"/>
      </w:pPr>
      <w:r w:rsidRPr="00045DEC">
        <w:t>Total receipts</w:t>
      </w:r>
    </w:p>
    <w:p w14:paraId="7BDD7182" w14:textId="5112013E" w:rsidR="003A1BEE" w:rsidRPr="00045DEC" w:rsidRDefault="003A1BEE" w:rsidP="003A1BEE">
      <w:r w:rsidRPr="00045DEC">
        <w:t>Total receipts are comprised of tax and non</w:t>
      </w:r>
      <w:r w:rsidR="00FE07A9" w:rsidRPr="00045DEC">
        <w:noBreakHyphen/>
      </w:r>
      <w:r w:rsidRPr="00045DEC">
        <w:t>tax receipts (for example, dividends from investment funds). Tax receipts account for over 90</w:t>
      </w:r>
      <w:r w:rsidR="00653B1E" w:rsidRPr="00045DEC">
        <w:t>.0</w:t>
      </w:r>
      <w:r w:rsidRPr="00045DEC">
        <w:t xml:space="preserve"> per cent of total receipts and are therefore </w:t>
      </w:r>
      <w:r w:rsidRPr="00045DEC" w:rsidDel="00882DFF">
        <w:t>the</w:t>
      </w:r>
      <w:r w:rsidRPr="00045DEC">
        <w:t xml:space="preserve"> main driver of forecasting performance. </w:t>
      </w:r>
    </w:p>
    <w:p w14:paraId="79587FF5" w14:textId="40BECCB2" w:rsidR="003A1BEE" w:rsidRPr="00782394" w:rsidRDefault="003A1BEE" w:rsidP="003A1BEE">
      <w:r w:rsidRPr="00045DEC" w:rsidDel="00B30353">
        <w:t>T</w:t>
      </w:r>
      <w:r w:rsidRPr="00045DEC">
        <w:t xml:space="preserve">otal receipts grew </w:t>
      </w:r>
      <w:r w:rsidR="00366F90" w:rsidRPr="00045DEC">
        <w:t>11.1</w:t>
      </w:r>
      <w:r w:rsidRPr="00045DEC">
        <w:t> per cent in 202</w:t>
      </w:r>
      <w:r w:rsidR="00E13B3E" w:rsidRPr="00045DEC">
        <w:t>2</w:t>
      </w:r>
      <w:r w:rsidRPr="00045DEC">
        <w:t>–2</w:t>
      </w:r>
      <w:r w:rsidR="00E13B3E" w:rsidRPr="00045DEC">
        <w:t>3</w:t>
      </w:r>
      <w:r w:rsidRPr="00045DEC">
        <w:t xml:space="preserve"> rather than the</w:t>
      </w:r>
      <w:r w:rsidR="009750F9" w:rsidRPr="00045DEC">
        <w:t xml:space="preserve"> 1.6</w:t>
      </w:r>
      <w:r w:rsidRPr="00045DEC">
        <w:t> per cent</w:t>
      </w:r>
      <w:r w:rsidR="009750F9" w:rsidRPr="00045DEC">
        <w:t xml:space="preserve"> decrease</w:t>
      </w:r>
      <w:r w:rsidRPr="00045DEC">
        <w:t xml:space="preserve"> forecast at the</w:t>
      </w:r>
      <w:r w:rsidR="00B0759A" w:rsidRPr="00045DEC">
        <w:t xml:space="preserve"> </w:t>
      </w:r>
      <w:r w:rsidR="000B5836" w:rsidRPr="00045DEC">
        <w:t>March</w:t>
      </w:r>
      <w:r w:rsidR="00F83CBB" w:rsidRPr="00045DEC">
        <w:t> </w:t>
      </w:r>
      <w:r w:rsidRPr="00045DEC">
        <w:t>202</w:t>
      </w:r>
      <w:r w:rsidR="00B0759A" w:rsidRPr="00045DEC">
        <w:t>2</w:t>
      </w:r>
      <w:r w:rsidRPr="00045DEC">
        <w:t>–2</w:t>
      </w:r>
      <w:r w:rsidR="00B0759A" w:rsidRPr="00045DEC">
        <w:t>3</w:t>
      </w:r>
      <w:r w:rsidRPr="00045DEC">
        <w:t> Budget. Total receipts were $</w:t>
      </w:r>
      <w:r w:rsidR="009B5478" w:rsidRPr="00045DEC">
        <w:t>101.8</w:t>
      </w:r>
      <w:r w:rsidRPr="00045DEC">
        <w:t> billion higher than forecast.</w:t>
      </w:r>
    </w:p>
    <w:p w14:paraId="5331E465" w14:textId="101996E7" w:rsidR="003A1BEE" w:rsidRPr="00045DEC" w:rsidRDefault="003A1BEE" w:rsidP="003A1BEE">
      <w:pPr>
        <w:pStyle w:val="Heading4"/>
        <w:rPr>
          <w:sz w:val="22"/>
        </w:rPr>
      </w:pPr>
      <w:r w:rsidRPr="00045DEC">
        <w:t>Tax receipts</w:t>
      </w:r>
    </w:p>
    <w:p w14:paraId="3C13E36A" w14:textId="4011FBD9" w:rsidR="003A1BEE" w:rsidRPr="00045DEC" w:rsidRDefault="003A1BEE" w:rsidP="003A1BEE">
      <w:r w:rsidRPr="00045DEC">
        <w:t xml:space="preserve">Tax receipts grew </w:t>
      </w:r>
      <w:r w:rsidR="006471DD" w:rsidRPr="00045DEC">
        <w:t>12.1</w:t>
      </w:r>
      <w:r w:rsidRPr="00045DEC">
        <w:t> per cent in 202</w:t>
      </w:r>
      <w:r w:rsidR="004D3F1F" w:rsidRPr="00045DEC">
        <w:t>2</w:t>
      </w:r>
      <w:r w:rsidRPr="00045DEC">
        <w:t>–2</w:t>
      </w:r>
      <w:r w:rsidR="004D3F1F" w:rsidRPr="00045DEC">
        <w:t>3</w:t>
      </w:r>
      <w:r w:rsidRPr="00045DEC">
        <w:t xml:space="preserve"> rather than the </w:t>
      </w:r>
      <w:r w:rsidR="00382AC9" w:rsidRPr="00045DEC">
        <w:t>0.</w:t>
      </w:r>
      <w:r w:rsidR="0078568C" w:rsidRPr="00045DEC">
        <w:t>8</w:t>
      </w:r>
      <w:r w:rsidR="00653B1E" w:rsidRPr="00045DEC">
        <w:t> </w:t>
      </w:r>
      <w:r w:rsidRPr="00045DEC">
        <w:t xml:space="preserve">per cent </w:t>
      </w:r>
      <w:r w:rsidR="00382AC9" w:rsidRPr="00045DEC">
        <w:t>decrease</w:t>
      </w:r>
      <w:r w:rsidRPr="00045DEC">
        <w:t xml:space="preserve"> forecast at the </w:t>
      </w:r>
      <w:r w:rsidR="00DF3F12" w:rsidRPr="00045DEC">
        <w:t>March</w:t>
      </w:r>
      <w:r w:rsidR="00F83CBB" w:rsidRPr="00045DEC">
        <w:t> </w:t>
      </w:r>
      <w:r w:rsidRPr="00045DEC">
        <w:t>202</w:t>
      </w:r>
      <w:r w:rsidR="00052EDD" w:rsidRPr="00045DEC">
        <w:t>2</w:t>
      </w:r>
      <w:r w:rsidRPr="00045DEC">
        <w:t>–2</w:t>
      </w:r>
      <w:r w:rsidR="00052EDD" w:rsidRPr="00045DEC">
        <w:t>3</w:t>
      </w:r>
      <w:r w:rsidRPr="00045DEC">
        <w:t> Budget (Chart 8.3). Tax receipts were $</w:t>
      </w:r>
      <w:r w:rsidR="00561E7E" w:rsidRPr="00045DEC">
        <w:t>92.9</w:t>
      </w:r>
      <w:r w:rsidRPr="00045DEC">
        <w:t> billion higher than forecast.</w:t>
      </w:r>
      <w:r w:rsidRPr="00045DEC">
        <w:rPr>
          <w:b/>
        </w:rPr>
        <w:t xml:space="preserve"> </w:t>
      </w:r>
      <w:r w:rsidR="00200761" w:rsidRPr="00045DEC">
        <w:t>This outcome reflected</w:t>
      </w:r>
      <w:r w:rsidR="00200761" w:rsidRPr="00045DEC" w:rsidDel="0064002E">
        <w:t xml:space="preserve"> </w:t>
      </w:r>
      <w:r w:rsidR="00200761" w:rsidRPr="00045DEC">
        <w:t>higher</w:t>
      </w:r>
      <w:r w:rsidR="00200761" w:rsidRPr="00045DEC">
        <w:noBreakHyphen/>
        <w:t>than</w:t>
      </w:r>
      <w:r w:rsidR="00200761" w:rsidRPr="00045DEC">
        <w:noBreakHyphen/>
        <w:t>expected company tax receipts and stronger</w:t>
      </w:r>
      <w:r w:rsidR="004200F5" w:rsidRPr="00045DEC">
        <w:noBreakHyphen/>
      </w:r>
      <w:r w:rsidR="00200761" w:rsidRPr="00045DEC">
        <w:t>than</w:t>
      </w:r>
      <w:r w:rsidR="004200F5" w:rsidRPr="00045DEC">
        <w:noBreakHyphen/>
      </w:r>
      <w:r w:rsidR="00200761" w:rsidRPr="00045DEC">
        <w:t>expected employment and wage growth.</w:t>
      </w:r>
      <w:r w:rsidR="00FE07A9" w:rsidRPr="00045DEC">
        <w:t xml:space="preserve"> </w:t>
      </w:r>
    </w:p>
    <w:p w14:paraId="6208227C" w14:textId="77777777" w:rsidR="003A1BEE" w:rsidRPr="00045DEC" w:rsidRDefault="003A1BEE" w:rsidP="003A1BEE">
      <w:pPr>
        <w:pStyle w:val="ChartHeading"/>
      </w:pPr>
      <w:r w:rsidRPr="00045DEC">
        <w:lastRenderedPageBreak/>
        <w:t>Chart 8.3: Comparison of forecasts and outcomes for tax receipts growth</w:t>
      </w:r>
    </w:p>
    <w:p w14:paraId="6D1FEC1A" w14:textId="1066075F" w:rsidR="003A1BEE" w:rsidRPr="00045DEC" w:rsidRDefault="00E27041" w:rsidP="00DB5645">
      <w:pPr>
        <w:pStyle w:val="ChartGraphic"/>
      </w:pPr>
      <w:r>
        <w:rPr>
          <w:noProof/>
        </w:rPr>
        <w:pict w14:anchorId="04D5929B">
          <v:shape id="_x0000_i1027" type="#_x0000_t75" alt="This chart shows the Budget year forecasts for tax receipts growth and the Final Budget Outcome (FBO) from 2002-03 to 2022-23. Throughout this period forecasts have both under and overestimated actual growth in tax receipts. For 2022-23, the 2022-23 Budget forecast for tax receipts was for tax receipts to decline by 0.8 per cent. From the 2022-23 FBO, tax receipts grew by 12.1 per cent in 2022-23. The difference between these two figures represent the forecast error for 2022-23." style="width:365.35pt;height:221.35pt">
            <v:imagedata r:id="rId24" o:title=""/>
          </v:shape>
        </w:pict>
      </w:r>
    </w:p>
    <w:p w14:paraId="7CB1815A" w14:textId="77777777" w:rsidR="003A1BEE" w:rsidRPr="00045DEC" w:rsidRDefault="003A1BEE" w:rsidP="003A1BEE">
      <w:pPr>
        <w:pStyle w:val="ChartandTableFootnote"/>
        <w:rPr>
          <w:color w:val="auto"/>
        </w:rPr>
      </w:pPr>
      <w:r w:rsidRPr="00045DEC">
        <w:rPr>
          <w:color w:val="auto"/>
        </w:rPr>
        <w:t xml:space="preserve">Source: </w:t>
      </w:r>
      <w:r w:rsidRPr="00045DEC">
        <w:rPr>
          <w:color w:val="auto"/>
        </w:rPr>
        <w:tab/>
        <w:t xml:space="preserve">Budget papers and Treasury. </w:t>
      </w:r>
    </w:p>
    <w:p w14:paraId="40BC46B7" w14:textId="77777777" w:rsidR="003A1BEE" w:rsidRPr="00045DEC" w:rsidRDefault="003A1BEE" w:rsidP="00AF46DB">
      <w:pPr>
        <w:pStyle w:val="ChartLine"/>
      </w:pPr>
    </w:p>
    <w:p w14:paraId="11F1BF69" w14:textId="254D2052" w:rsidR="003A1BEE" w:rsidRPr="00045DEC" w:rsidRDefault="003A1BEE" w:rsidP="003A1BEE">
      <w:r w:rsidRPr="00045DEC">
        <w:t>On average, nominal GDP forecast errors magnif</w:t>
      </w:r>
      <w:r w:rsidR="00AD0B61" w:rsidRPr="00045DEC">
        <w:t>y</w:t>
      </w:r>
      <w:r w:rsidRPr="00045DEC">
        <w:t xml:space="preserve"> tax receipts forecast errors, owing to </w:t>
      </w:r>
      <w:r w:rsidR="008324A6" w:rsidRPr="00045DEC">
        <w:t>Australia</w:t>
      </w:r>
      <w:r w:rsidR="00FE07A9" w:rsidRPr="00045DEC">
        <w:t>’</w:t>
      </w:r>
      <w:r w:rsidR="008324A6" w:rsidRPr="00045DEC">
        <w:t xml:space="preserve">s </w:t>
      </w:r>
      <w:r w:rsidRPr="00045DEC">
        <w:t>progressive personal income tax system (Chart 8.4).</w:t>
      </w:r>
    </w:p>
    <w:p w14:paraId="0248EC53" w14:textId="220C1083" w:rsidR="003A1BEE" w:rsidRPr="00045DEC" w:rsidRDefault="003A1BEE" w:rsidP="003A1BEE">
      <w:pPr>
        <w:pStyle w:val="ChartHeading"/>
        <w:rPr>
          <w:vertAlign w:val="superscript"/>
        </w:rPr>
      </w:pPr>
      <w:r w:rsidRPr="00045DEC">
        <w:t>Chart 8.4: Forecast errors for nominal non</w:t>
      </w:r>
      <w:r w:rsidR="00FE07A9" w:rsidRPr="00045DEC">
        <w:noBreakHyphen/>
      </w:r>
      <w:r w:rsidRPr="00045DEC">
        <w:t>farm GDP and tax receipts growth</w:t>
      </w:r>
      <w:r w:rsidRPr="00045DEC">
        <w:rPr>
          <w:vertAlign w:val="superscript"/>
        </w:rPr>
        <w:t>(a)</w:t>
      </w:r>
    </w:p>
    <w:p w14:paraId="429EE313" w14:textId="0B9BA56F" w:rsidR="003A1BEE" w:rsidRPr="00045DEC" w:rsidRDefault="00E27041" w:rsidP="000800DA">
      <w:pPr>
        <w:pStyle w:val="ChartGraphic"/>
      </w:pPr>
      <w:bookmarkStart w:id="8" w:name="_1726922375"/>
      <w:bookmarkEnd w:id="8"/>
      <w:r>
        <w:rPr>
          <w:noProof/>
        </w:rPr>
        <w:pict w14:anchorId="600DC717">
          <v:shape id="_x0000_i1028" type="#_x0000_t75" alt="This chart plots the Budget forecast errors on nominal non-farm GDP growth and on tax receipts growth (excluding capital gains tax) from 2003-04 to 2022-23. There is a strong positive correlation between the two errors, indicating tax receipts forecasts are heavily dependent on economic forecasts. In 2022-23, the forecast error on tax receipts growth was around 12.8  percentage points, while the forecast error on nominal non-farm GDP growth was around 9.3 percentage points." style="width:380.4pt;height:231.6pt">
            <v:imagedata r:id="rId25" o:title=""/>
          </v:shape>
        </w:pict>
      </w:r>
    </w:p>
    <w:p w14:paraId="647A2F36" w14:textId="77777777" w:rsidR="003A1BEE" w:rsidRPr="00045DEC" w:rsidRDefault="003A1BEE" w:rsidP="00AC54E0">
      <w:pPr>
        <w:pStyle w:val="ChartandTableFootnoteAlpha"/>
        <w:rPr>
          <w:color w:val="auto"/>
        </w:rPr>
      </w:pPr>
      <w:r w:rsidRPr="00045DEC">
        <w:rPr>
          <w:color w:val="auto"/>
        </w:rPr>
        <w:t xml:space="preserve">Excludes CGT. </w:t>
      </w:r>
    </w:p>
    <w:p w14:paraId="3E721D42" w14:textId="2FC3F4A4" w:rsidR="003A1BEE" w:rsidRPr="00045DEC" w:rsidRDefault="003A1BEE" w:rsidP="00AC54E0">
      <w:pPr>
        <w:pStyle w:val="ChartandTableFootnote"/>
        <w:rPr>
          <w:color w:val="auto"/>
        </w:rPr>
      </w:pPr>
      <w:r w:rsidRPr="00045DEC">
        <w:rPr>
          <w:color w:val="auto"/>
        </w:rPr>
        <w:t xml:space="preserve">Source: </w:t>
      </w:r>
      <w:r w:rsidRPr="00045DEC">
        <w:rPr>
          <w:color w:val="auto"/>
        </w:rPr>
        <w:tab/>
        <w:t>ABS Australian National Accounts: National Income, Expenditure and Product</w:t>
      </w:r>
      <w:r w:rsidR="009625E0" w:rsidRPr="00045DEC">
        <w:rPr>
          <w:color w:val="auto"/>
        </w:rPr>
        <w:t xml:space="preserve"> and</w:t>
      </w:r>
      <w:r w:rsidRPr="00045DEC">
        <w:rPr>
          <w:color w:val="auto"/>
        </w:rPr>
        <w:t xml:space="preserve"> Treasury. </w:t>
      </w:r>
      <w:bookmarkStart w:id="9" w:name="_1709800579"/>
      <w:bookmarkStart w:id="10" w:name="_1709800642"/>
      <w:bookmarkEnd w:id="9"/>
      <w:bookmarkEnd w:id="10"/>
    </w:p>
    <w:p w14:paraId="3AD9435F" w14:textId="6F61A591" w:rsidR="003A1BEE" w:rsidRPr="00F02293" w:rsidRDefault="003A1BEE" w:rsidP="00AF46DB">
      <w:pPr>
        <w:pStyle w:val="ChartLine"/>
      </w:pPr>
    </w:p>
    <w:p w14:paraId="3BFA578C" w14:textId="79348866" w:rsidR="003A1BEE" w:rsidRPr="00045DEC" w:rsidRDefault="003A1BEE" w:rsidP="003A1BEE">
      <w:pPr>
        <w:pStyle w:val="Heading4"/>
      </w:pPr>
      <w:r w:rsidRPr="00045DEC">
        <w:lastRenderedPageBreak/>
        <w:t>Non</w:t>
      </w:r>
      <w:r w:rsidR="00FE07A9" w:rsidRPr="00045DEC">
        <w:noBreakHyphen/>
      </w:r>
      <w:r w:rsidRPr="00045DEC">
        <w:t>tax receipts</w:t>
      </w:r>
    </w:p>
    <w:p w14:paraId="0DFD6D01" w14:textId="3532341B" w:rsidR="003A1BEE" w:rsidRPr="00045DEC" w:rsidRDefault="003A1BEE" w:rsidP="003A1BEE">
      <w:r w:rsidRPr="00045DEC">
        <w:t>Forecast variances for non</w:t>
      </w:r>
      <w:r w:rsidR="00FE07A9" w:rsidRPr="00045DEC">
        <w:noBreakHyphen/>
      </w:r>
      <w:r w:rsidRPr="00045DEC">
        <w:t xml:space="preserve">tax receipts are generally driven by </w:t>
      </w:r>
      <w:r w:rsidR="00F63E8D" w:rsidRPr="00045DEC">
        <w:t>financial</w:t>
      </w:r>
      <w:r w:rsidRPr="00045DEC">
        <w:t xml:space="preserve"> market </w:t>
      </w:r>
      <w:r w:rsidR="00FA2C32" w:rsidRPr="00045DEC">
        <w:t xml:space="preserve">volatility </w:t>
      </w:r>
      <w:r w:rsidRPr="00045DEC">
        <w:t>which impact</w:t>
      </w:r>
      <w:r w:rsidR="00FA2C32" w:rsidRPr="00045DEC">
        <w:t>s</w:t>
      </w:r>
      <w:r w:rsidRPr="00045DEC">
        <w:t xml:space="preserve"> investment earnings and resource royalties.</w:t>
      </w:r>
    </w:p>
    <w:p w14:paraId="3446966E" w14:textId="18582C21" w:rsidR="00A23B2C" w:rsidRPr="00045DEC" w:rsidRDefault="003A1BEE" w:rsidP="00A23B2C">
      <w:r w:rsidRPr="00045DEC">
        <w:t>Non</w:t>
      </w:r>
      <w:r w:rsidR="00FE07A9" w:rsidRPr="00045DEC">
        <w:noBreakHyphen/>
      </w:r>
      <w:r w:rsidRPr="00045DEC">
        <w:t xml:space="preserve">tax receipts </w:t>
      </w:r>
      <w:r w:rsidR="00D9101C" w:rsidRPr="00045DEC">
        <w:t xml:space="preserve">grew </w:t>
      </w:r>
      <w:r w:rsidR="00472ADA" w:rsidRPr="00045DEC">
        <w:t>by 0.</w:t>
      </w:r>
      <w:r w:rsidR="00DE450A" w:rsidRPr="00045DEC">
        <w:t>8</w:t>
      </w:r>
      <w:r w:rsidR="009C4F2E" w:rsidRPr="00045DEC">
        <w:t> </w:t>
      </w:r>
      <w:r w:rsidRPr="00045DEC">
        <w:t>per cent in 202</w:t>
      </w:r>
      <w:r w:rsidR="00472ADA" w:rsidRPr="00045DEC">
        <w:t>2</w:t>
      </w:r>
      <w:r w:rsidR="007B34FA" w:rsidRPr="00045DEC">
        <w:t>–</w:t>
      </w:r>
      <w:r w:rsidR="00472ADA" w:rsidRPr="00045DEC">
        <w:t>23</w:t>
      </w:r>
      <w:r w:rsidRPr="00045DEC">
        <w:t xml:space="preserve"> rather than the </w:t>
      </w:r>
      <w:r w:rsidR="005F2810" w:rsidRPr="00045DEC">
        <w:t>11.1</w:t>
      </w:r>
      <w:r w:rsidR="002927E9" w:rsidRPr="00045DEC">
        <w:t> per cent</w:t>
      </w:r>
      <w:r w:rsidR="00874ED8" w:rsidRPr="00045DEC">
        <w:t xml:space="preserve"> </w:t>
      </w:r>
      <w:r w:rsidR="005F2810" w:rsidRPr="00045DEC">
        <w:t xml:space="preserve">decrease </w:t>
      </w:r>
      <w:r w:rsidRPr="00045DEC">
        <w:t xml:space="preserve">forecast at the </w:t>
      </w:r>
      <w:r w:rsidR="00252DD5" w:rsidRPr="00045DEC">
        <w:t>March</w:t>
      </w:r>
      <w:r w:rsidR="00F83CBB" w:rsidRPr="00045DEC">
        <w:t> </w:t>
      </w:r>
      <w:r w:rsidR="007A7E84" w:rsidRPr="00045DEC">
        <w:t>2022</w:t>
      </w:r>
      <w:r w:rsidR="00915D46" w:rsidRPr="00045DEC">
        <w:t>–</w:t>
      </w:r>
      <w:r w:rsidR="007A7E84" w:rsidRPr="00045DEC">
        <w:t>23</w:t>
      </w:r>
      <w:r w:rsidRPr="00045DEC">
        <w:t> Budget (Chart 8.5). Non</w:t>
      </w:r>
      <w:r w:rsidR="00FE07A9" w:rsidRPr="00045DEC">
        <w:noBreakHyphen/>
      </w:r>
      <w:r w:rsidRPr="00045DEC">
        <w:t xml:space="preserve">tax receipts were </w:t>
      </w:r>
      <w:r w:rsidR="00F33657" w:rsidRPr="00045DEC">
        <w:t>$</w:t>
      </w:r>
      <w:r w:rsidR="00AE6F4A" w:rsidRPr="00045DEC">
        <w:t>8</w:t>
      </w:r>
      <w:r w:rsidR="00CD4751" w:rsidRPr="00045DEC">
        <w:t>.</w:t>
      </w:r>
      <w:r w:rsidR="00AE6F4A" w:rsidRPr="00045DEC">
        <w:t>9</w:t>
      </w:r>
      <w:r w:rsidR="002A1179" w:rsidRPr="00045DEC">
        <w:t> </w:t>
      </w:r>
      <w:r w:rsidRPr="00045DEC">
        <w:t xml:space="preserve">billion </w:t>
      </w:r>
      <w:r w:rsidR="008E1644" w:rsidRPr="00045DEC">
        <w:t>highe</w:t>
      </w:r>
      <w:r w:rsidR="00256EDF" w:rsidRPr="00045DEC">
        <w:t>r</w:t>
      </w:r>
      <w:r w:rsidRPr="00045DEC">
        <w:t xml:space="preserve"> in </w:t>
      </w:r>
      <w:r w:rsidR="00A43D96" w:rsidRPr="00045DEC">
        <w:t>2022</w:t>
      </w:r>
      <w:r w:rsidR="007B34FA" w:rsidRPr="00045DEC">
        <w:t>–</w:t>
      </w:r>
      <w:r w:rsidR="00A43D96" w:rsidRPr="00045DEC">
        <w:t>23</w:t>
      </w:r>
      <w:r w:rsidRPr="00045DEC">
        <w:t xml:space="preserve"> than forecast in the</w:t>
      </w:r>
      <w:r w:rsidR="00A43D96" w:rsidRPr="00045DEC">
        <w:t xml:space="preserve"> </w:t>
      </w:r>
      <w:r w:rsidR="00A331C6" w:rsidRPr="00045DEC">
        <w:t>March</w:t>
      </w:r>
      <w:r w:rsidR="00F83CBB" w:rsidRPr="00045DEC">
        <w:t> </w:t>
      </w:r>
      <w:r w:rsidR="00A43D96" w:rsidRPr="00045DEC">
        <w:t>2022</w:t>
      </w:r>
      <w:r w:rsidR="007B34FA" w:rsidRPr="00045DEC">
        <w:t>–</w:t>
      </w:r>
      <w:r w:rsidR="00A43D96" w:rsidRPr="00045DEC">
        <w:t>23</w:t>
      </w:r>
      <w:r w:rsidRPr="00045DEC">
        <w:t xml:space="preserve"> Budget. </w:t>
      </w:r>
      <w:r w:rsidR="0092105C" w:rsidRPr="00045DEC">
        <w:t>This increase largely reflects significant variations in returns on investments, including higher than estimated earnings from interest on cash deposits due to the rise in short</w:t>
      </w:r>
      <w:r w:rsidR="00FE07A9" w:rsidRPr="00045DEC">
        <w:noBreakHyphen/>
      </w:r>
      <w:r w:rsidR="0092105C" w:rsidRPr="00045DEC">
        <w:t>term interest rates, and higher than estimated earnings from the Future Fund and the Australian Government Investment Funds. Additionally, increases to non</w:t>
      </w:r>
      <w:r w:rsidR="00FE07A9" w:rsidRPr="00045DEC">
        <w:noBreakHyphen/>
      </w:r>
      <w:r w:rsidR="0092105C" w:rsidRPr="00045DEC">
        <w:t>tax receipts flowed from increased passport demand following the reopening of Australia</w:t>
      </w:r>
      <w:r w:rsidR="00FE07A9" w:rsidRPr="00045DEC">
        <w:t>’</w:t>
      </w:r>
      <w:r w:rsidR="0092105C" w:rsidRPr="00045DEC">
        <w:t>s borders, and higher</w:t>
      </w:r>
      <w:r w:rsidR="00FE07A9" w:rsidRPr="00045DEC">
        <w:noBreakHyphen/>
      </w:r>
      <w:r w:rsidR="0092105C" w:rsidRPr="00045DEC">
        <w:t>than</w:t>
      </w:r>
      <w:r w:rsidR="00FE07A9" w:rsidRPr="00045DEC">
        <w:noBreakHyphen/>
      </w:r>
      <w:r w:rsidR="0092105C" w:rsidRPr="00045DEC">
        <w:t>estimated receipts under the Higher Education Loan Program due to strong labour market conditions.</w:t>
      </w:r>
    </w:p>
    <w:p w14:paraId="40EE835A" w14:textId="27363EBE" w:rsidR="003A1BEE" w:rsidRPr="00045DEC" w:rsidRDefault="003A1BEE" w:rsidP="003A1BEE">
      <w:pPr>
        <w:pStyle w:val="ChartHeading"/>
      </w:pPr>
      <w:r w:rsidRPr="00045DEC">
        <w:t>Chart 8.5: Comparison of forecasts and outcomes for non</w:t>
      </w:r>
      <w:r w:rsidR="00FE07A9" w:rsidRPr="00045DEC">
        <w:noBreakHyphen/>
      </w:r>
      <w:r w:rsidRPr="00045DEC">
        <w:t>tax receipts growth</w:t>
      </w:r>
    </w:p>
    <w:p w14:paraId="1931FACD" w14:textId="4DFCD165" w:rsidR="003A1BEE" w:rsidRPr="00045DEC" w:rsidRDefault="00E27041" w:rsidP="00522626">
      <w:pPr>
        <w:pStyle w:val="ChartGraphic"/>
      </w:pPr>
      <w:r>
        <w:pict w14:anchorId="2AB07171">
          <v:shape id="_x0000_i1029" type="#_x0000_t75" alt="This chart shows the Budget year forecasts for annual non-tax receipts growth and the published outcome (FBO) from 2002-03 to 2022-23. Over time, growth in non-tax receipts has been volatile, with growth varying between negative 14 per cent and positive 27 per cent. Forecast growth has not well approximated final outcomes. The latest Budget outcome in 2022-23 showed that non-tax receipts increased by 0.8 per cent, compared to the forecast decline of 11.1 per cent." style="width:368.6pt;height:197.2pt">
            <v:imagedata r:id="rId26" o:title=""/>
          </v:shape>
        </w:pict>
      </w:r>
    </w:p>
    <w:p w14:paraId="2D6F3B8D" w14:textId="77777777" w:rsidR="003A1BEE" w:rsidRPr="00045DEC" w:rsidRDefault="003A1BEE" w:rsidP="00AC54E0">
      <w:pPr>
        <w:pStyle w:val="ChartandTableFootnote"/>
        <w:rPr>
          <w:color w:val="auto"/>
        </w:rPr>
      </w:pPr>
      <w:r w:rsidRPr="00045DEC">
        <w:rPr>
          <w:color w:val="auto"/>
        </w:rPr>
        <w:t xml:space="preserve">Source: </w:t>
      </w:r>
      <w:r w:rsidRPr="00045DEC">
        <w:rPr>
          <w:color w:val="auto"/>
        </w:rPr>
        <w:tab/>
        <w:t xml:space="preserve">Budget papers and Treasury. </w:t>
      </w:r>
    </w:p>
    <w:p w14:paraId="1F4C6917" w14:textId="058923F1" w:rsidR="003A1BEE" w:rsidRPr="00F02293" w:rsidRDefault="003A1BEE" w:rsidP="00AF46DB">
      <w:pPr>
        <w:pStyle w:val="ChartLine"/>
      </w:pPr>
    </w:p>
    <w:p w14:paraId="51685B2A" w14:textId="1890C959" w:rsidR="003A1BEE" w:rsidRPr="00045DEC" w:rsidRDefault="003A1BEE" w:rsidP="003A1BEE">
      <w:pPr>
        <w:pStyle w:val="Heading4"/>
      </w:pPr>
      <w:r w:rsidRPr="00045DEC">
        <w:t>Payments</w:t>
      </w:r>
    </w:p>
    <w:p w14:paraId="2B7E42DC" w14:textId="2E135D80" w:rsidR="003A1BEE" w:rsidRPr="00045DEC" w:rsidRDefault="003A1BEE" w:rsidP="003A1BEE">
      <w:r w:rsidRPr="00045DEC">
        <w:t>Payments forecasting performance is affected by growth in indexation factors (for example, CPI growth) and demand for government programs. Demand</w:t>
      </w:r>
      <w:r w:rsidR="00FE07A9" w:rsidRPr="00045DEC">
        <w:noBreakHyphen/>
      </w:r>
      <w:r w:rsidRPr="00045DEC">
        <w:t xml:space="preserve">driven programs, such as payments to individuals for social welfare, form the bulk of Australian </w:t>
      </w:r>
      <w:r w:rsidR="008C7729" w:rsidRPr="00045DEC">
        <w:t>Government</w:t>
      </w:r>
      <w:r w:rsidRPr="00045DEC">
        <w:t xml:space="preserve"> expenditure and vary with economic conditions.</w:t>
      </w:r>
    </w:p>
    <w:p w14:paraId="695CB4F4" w14:textId="77777777" w:rsidR="00A65D37" w:rsidRDefault="003A1BEE" w:rsidP="003A1BEE">
      <w:r w:rsidRPr="00045DEC">
        <w:t xml:space="preserve">Payments </w:t>
      </w:r>
      <w:r w:rsidR="000E465D" w:rsidRPr="00045DEC">
        <w:t xml:space="preserve">increased by </w:t>
      </w:r>
      <w:r w:rsidR="00F1753B" w:rsidRPr="00045DEC">
        <w:t>1.</w:t>
      </w:r>
      <w:r w:rsidR="008156A9" w:rsidRPr="00045DEC">
        <w:t>8</w:t>
      </w:r>
      <w:r w:rsidRPr="00045DEC">
        <w:t> per cent in </w:t>
      </w:r>
      <w:r w:rsidR="000C2E4C" w:rsidRPr="00045DEC">
        <w:t>2022–23</w:t>
      </w:r>
      <w:r w:rsidRPr="00045DEC">
        <w:t xml:space="preserve"> rather than the </w:t>
      </w:r>
      <w:r w:rsidR="000F4547" w:rsidRPr="00045DEC">
        <w:t>1.</w:t>
      </w:r>
      <w:r w:rsidR="00DA4C43" w:rsidRPr="00045DEC">
        <w:t>7 </w:t>
      </w:r>
      <w:r w:rsidRPr="00045DEC">
        <w:t xml:space="preserve">per cent </w:t>
      </w:r>
      <w:r w:rsidR="006B48AF" w:rsidRPr="00045DEC">
        <w:t xml:space="preserve">decrease </w:t>
      </w:r>
      <w:r w:rsidRPr="00045DEC">
        <w:t xml:space="preserve">forecast at the </w:t>
      </w:r>
      <w:r w:rsidR="008308B7" w:rsidRPr="00045DEC">
        <w:t>March</w:t>
      </w:r>
      <w:r w:rsidR="00F83CBB" w:rsidRPr="00045DEC">
        <w:t> </w:t>
      </w:r>
      <w:r w:rsidR="000C2E4C" w:rsidRPr="00045DEC">
        <w:t>2022–23</w:t>
      </w:r>
      <w:r w:rsidRPr="00045DEC">
        <w:t> Budget (Chart 8.6). Payments were $</w:t>
      </w:r>
      <w:r w:rsidR="008B4DCE" w:rsidRPr="00045DEC">
        <w:t>1</w:t>
      </w:r>
      <w:r w:rsidR="00E3067C" w:rsidRPr="00045DEC">
        <w:t>.8</w:t>
      </w:r>
      <w:r w:rsidRPr="00045DEC">
        <w:t xml:space="preserve"> billion </w:t>
      </w:r>
      <w:r w:rsidR="0066574D" w:rsidRPr="00045DEC">
        <w:t>higher</w:t>
      </w:r>
      <w:r w:rsidR="00E3067C" w:rsidRPr="00045DEC">
        <w:t xml:space="preserve"> </w:t>
      </w:r>
      <w:r w:rsidRPr="00045DEC">
        <w:t>in </w:t>
      </w:r>
      <w:r w:rsidR="000C2E4C" w:rsidRPr="00045DEC">
        <w:t>2022–</w:t>
      </w:r>
      <w:r w:rsidR="00BE0920" w:rsidRPr="00045DEC">
        <w:t>23 than</w:t>
      </w:r>
      <w:r w:rsidRPr="00045DEC">
        <w:t xml:space="preserve"> forecast in the</w:t>
      </w:r>
      <w:r w:rsidR="00E251A9" w:rsidRPr="00045DEC">
        <w:t xml:space="preserve"> </w:t>
      </w:r>
      <w:r w:rsidR="008308B7" w:rsidRPr="00045DEC">
        <w:t>March</w:t>
      </w:r>
      <w:r w:rsidR="00F83CBB" w:rsidRPr="00045DEC">
        <w:t> </w:t>
      </w:r>
      <w:r w:rsidR="000C2E4C" w:rsidRPr="00045DEC">
        <w:t>2022–23</w:t>
      </w:r>
      <w:r w:rsidRPr="00045DEC">
        <w:t xml:space="preserve"> Budget. </w:t>
      </w:r>
      <w:r w:rsidR="00E40772" w:rsidRPr="00045DEC">
        <w:t xml:space="preserve">This relatively small increase reflects a large number of individual variations having offsetting impacts. </w:t>
      </w:r>
      <w:r w:rsidR="005606BC" w:rsidRPr="00045DEC">
        <w:t>These include higher</w:t>
      </w:r>
      <w:r w:rsidR="005606BC" w:rsidRPr="00045DEC">
        <w:noBreakHyphen/>
        <w:t>than</w:t>
      </w:r>
      <w:r w:rsidR="005606BC" w:rsidRPr="00045DEC">
        <w:noBreakHyphen/>
        <w:t>estimated payments across a range of welfare programs, including Jobseeker, the Disability Support Pension, and the Age Pension due to higher</w:t>
      </w:r>
      <w:r w:rsidR="004200F5" w:rsidRPr="00045DEC">
        <w:noBreakHyphen/>
      </w:r>
      <w:r w:rsidR="005606BC" w:rsidRPr="00045DEC">
        <w:t>than</w:t>
      </w:r>
      <w:r w:rsidR="004200F5" w:rsidRPr="00045DEC">
        <w:noBreakHyphen/>
      </w:r>
      <w:r w:rsidR="005606BC" w:rsidRPr="00045DEC">
        <w:t xml:space="preserve">expected indexation. </w:t>
      </w:r>
      <w:r w:rsidR="00E40772" w:rsidRPr="00045DEC">
        <w:t xml:space="preserve">Policy decisions </w:t>
      </w:r>
    </w:p>
    <w:p w14:paraId="25D7BB47" w14:textId="4F4D535A" w:rsidR="003A1BEE" w:rsidRPr="00045DEC" w:rsidRDefault="00E40772" w:rsidP="003A1BEE">
      <w:r w:rsidRPr="00045DEC">
        <w:lastRenderedPageBreak/>
        <w:t>made in the 2022</w:t>
      </w:r>
      <w:r w:rsidR="00677711" w:rsidRPr="00045DEC">
        <w:t>–</w:t>
      </w:r>
      <w:r w:rsidR="005606BC" w:rsidRPr="00045DEC">
        <w:rPr>
          <w:rFonts w:ascii="Times New Roman" w:hAnsi="Times New Roman"/>
        </w:rPr>
        <w:t>‍</w:t>
      </w:r>
      <w:r w:rsidRPr="00045DEC">
        <w:t>23</w:t>
      </w:r>
      <w:r w:rsidR="002A1179" w:rsidRPr="00045DEC">
        <w:t> </w:t>
      </w:r>
      <w:r w:rsidRPr="00045DEC">
        <w:t>October</w:t>
      </w:r>
      <w:r w:rsidR="002A1179" w:rsidRPr="00045DEC">
        <w:t> </w:t>
      </w:r>
      <w:r w:rsidRPr="00045DEC">
        <w:t xml:space="preserve">Budget to deliver cheaper </w:t>
      </w:r>
      <w:r w:rsidR="00DE584A" w:rsidRPr="00045DEC">
        <w:t>child care</w:t>
      </w:r>
      <w:r w:rsidRPr="00045DEC">
        <w:t>, ease the cost of living for families, and reduce barriers to greater workforce participation also resulted in increases to payments in 2022</w:t>
      </w:r>
      <w:r w:rsidR="00655B62" w:rsidRPr="00045DEC">
        <w:t>–</w:t>
      </w:r>
      <w:r w:rsidRPr="00045DEC">
        <w:t>23. These increases were partially offset by lower</w:t>
      </w:r>
      <w:r w:rsidR="00FE07A9" w:rsidRPr="00045DEC">
        <w:noBreakHyphen/>
      </w:r>
      <w:r w:rsidRPr="00045DEC">
        <w:t>than</w:t>
      </w:r>
      <w:r w:rsidR="00FE07A9" w:rsidRPr="00045DEC">
        <w:noBreakHyphen/>
      </w:r>
      <w:r w:rsidRPr="00045DEC">
        <w:t>expected</w:t>
      </w:r>
      <w:r w:rsidR="00291829" w:rsidRPr="00045DEC">
        <w:t xml:space="preserve"> interest</w:t>
      </w:r>
      <w:r w:rsidRPr="00045DEC">
        <w:t xml:space="preserve"> payments due to the </w:t>
      </w:r>
      <w:r w:rsidR="00AA0744" w:rsidRPr="00045DEC">
        <w:t>reduction in the level of gross debt</w:t>
      </w:r>
      <w:r w:rsidRPr="00045DEC">
        <w:t>. The stronger budget position resulted from a range of factors, including upgrades to tax revenue that were largely used to repair the budget</w:t>
      </w:r>
      <w:r w:rsidR="00CF67B6" w:rsidRPr="00045DEC">
        <w:t>,</w:t>
      </w:r>
      <w:r w:rsidRPr="00045DEC">
        <w:t xml:space="preserve"> </w:t>
      </w:r>
      <w:r w:rsidR="00CF67B6" w:rsidRPr="00045DEC">
        <w:t>and</w:t>
      </w:r>
      <w:r w:rsidR="00A664B7" w:rsidRPr="00045DEC">
        <w:t xml:space="preserve"> </w:t>
      </w:r>
      <w:r w:rsidRPr="00045DEC">
        <w:t>lower</w:t>
      </w:r>
      <w:r w:rsidR="00FE07A9" w:rsidRPr="00045DEC">
        <w:noBreakHyphen/>
      </w:r>
      <w:r w:rsidRPr="00045DEC">
        <w:t>than</w:t>
      </w:r>
      <w:r w:rsidR="00FE07A9" w:rsidRPr="00045DEC">
        <w:noBreakHyphen/>
      </w:r>
      <w:r w:rsidRPr="00045DEC">
        <w:t>estimated medical benefits payments, resulting from lower spending on COVID</w:t>
      </w:r>
      <w:r w:rsidR="004200F5" w:rsidRPr="00045DEC">
        <w:noBreakHyphen/>
      </w:r>
      <w:r w:rsidR="00047081" w:rsidRPr="00045DEC">
        <w:t>19</w:t>
      </w:r>
      <w:r w:rsidRPr="00045DEC">
        <w:t xml:space="preserve"> pathology and vaccine administration and a reduction in demand for services.</w:t>
      </w:r>
    </w:p>
    <w:p w14:paraId="603865F6" w14:textId="228A02BC" w:rsidR="003A1BEE" w:rsidRPr="00045DEC" w:rsidRDefault="003A1BEE" w:rsidP="003A1BEE">
      <w:pPr>
        <w:pStyle w:val="ChartHeading"/>
      </w:pPr>
      <w:bookmarkStart w:id="11" w:name="_Toc116037825"/>
      <w:r w:rsidRPr="00045DEC">
        <w:t>Chart 8.6: Comparison of forecasts and outcomes for payments growth</w:t>
      </w:r>
      <w:bookmarkEnd w:id="11"/>
      <w:r w:rsidRPr="00045DEC">
        <w:t xml:space="preserve"> </w:t>
      </w:r>
    </w:p>
    <w:p w14:paraId="6EAC8008" w14:textId="44B349BC" w:rsidR="003A1BEE" w:rsidRPr="00045DEC" w:rsidRDefault="00E27041" w:rsidP="0079199C">
      <w:pPr>
        <w:pStyle w:val="ChartGraphic"/>
      </w:pPr>
      <w:r>
        <w:rPr>
          <w:noProof/>
        </w:rPr>
        <w:pict w14:anchorId="00868BF1">
          <v:shape id="_x0000_i1030" type="#_x0000_t75" alt="This chart shows the Budget year forecasts for annual payments growth and the published outcome (FBO) from 2002-03 to 2022-23. Payments growth has historically been relatively stable between 5 and 7 per cent a year, except for the 2012-13 period where a 1 per cent increase in growth was seen and the 2019-2021 period where an average growth of 17 per cent was seen across the 2 years. Outside these periods, forecast growth has well approximated final outcomes. For the latest published result in 2022-23, payments growth increased by 1.8 per cent compared to the forecast decrease of 1.7 per cent." style="width:368.6pt;height:195.6pt">
            <v:imagedata r:id="rId27" o:title=""/>
          </v:shape>
        </w:pict>
      </w:r>
    </w:p>
    <w:p w14:paraId="6AB8A1CC" w14:textId="0D769076" w:rsidR="003A1BEE" w:rsidRPr="00DD10B1" w:rsidRDefault="003A1BEE" w:rsidP="003A1BEE">
      <w:pPr>
        <w:pStyle w:val="ChartandTableFootnote"/>
        <w:rPr>
          <w:color w:val="auto"/>
        </w:rPr>
      </w:pPr>
      <w:r w:rsidRPr="00045DEC">
        <w:rPr>
          <w:color w:val="auto"/>
        </w:rPr>
        <w:t xml:space="preserve">Source: </w:t>
      </w:r>
      <w:r w:rsidRPr="00045DEC">
        <w:rPr>
          <w:color w:val="auto"/>
        </w:rPr>
        <w:tab/>
        <w:t xml:space="preserve">Budget papers and Treasury. </w:t>
      </w:r>
    </w:p>
    <w:p w14:paraId="482408B8" w14:textId="77777777" w:rsidR="003A1BEE" w:rsidRPr="00DD10B1" w:rsidRDefault="003A1BEE" w:rsidP="00AF46DB">
      <w:pPr>
        <w:pStyle w:val="ChartLine"/>
      </w:pPr>
    </w:p>
    <w:p w14:paraId="296F4D1E" w14:textId="20D7AF8E" w:rsidR="003A1BEE" w:rsidRPr="00045DEC" w:rsidRDefault="003A1BEE" w:rsidP="003A1BEE">
      <w:pPr>
        <w:pStyle w:val="Heading4"/>
      </w:pPr>
      <w:r w:rsidRPr="00045DEC">
        <w:t>Underlying cash balance</w:t>
      </w:r>
    </w:p>
    <w:p w14:paraId="2DEE3C4F" w14:textId="77777777" w:rsidR="003A1BEE" w:rsidRPr="00045DEC" w:rsidRDefault="003A1BEE" w:rsidP="003A1BEE">
      <w:pPr>
        <w:rPr>
          <w:szCs w:val="19"/>
        </w:rPr>
      </w:pPr>
      <w:r w:rsidRPr="00045DEC">
        <w:rPr>
          <w:szCs w:val="19"/>
        </w:rPr>
        <w:t>Underlying cash balance forecasting performance is driven by the forecast errors of total receipts and payments.</w:t>
      </w:r>
    </w:p>
    <w:p w14:paraId="0336BBF7" w14:textId="3BBD003F" w:rsidR="009B25BB" w:rsidRPr="00045DEC" w:rsidRDefault="003A1BEE" w:rsidP="003A1BEE">
      <w:r w:rsidRPr="00045DEC">
        <w:t xml:space="preserve">The underlying cash </w:t>
      </w:r>
      <w:r w:rsidR="00F36001" w:rsidRPr="00045DEC">
        <w:t>surplus</w:t>
      </w:r>
      <w:r w:rsidRPr="00045DEC">
        <w:t xml:space="preserve"> was </w:t>
      </w:r>
      <w:r w:rsidR="006768C4" w:rsidRPr="00045DEC">
        <w:t>0.9</w:t>
      </w:r>
      <w:r w:rsidRPr="00045DEC">
        <w:t> per cent of GDP in </w:t>
      </w:r>
      <w:r w:rsidR="000C2E4C" w:rsidRPr="00045DEC">
        <w:t>2022</w:t>
      </w:r>
      <w:r w:rsidR="002A1179" w:rsidRPr="00045DEC">
        <w:t>–</w:t>
      </w:r>
      <w:r w:rsidR="000C2E4C" w:rsidRPr="00045DEC">
        <w:t>23</w:t>
      </w:r>
      <w:r w:rsidRPr="00045DEC">
        <w:t xml:space="preserve"> rather than the forecast </w:t>
      </w:r>
      <w:r w:rsidR="009560B2" w:rsidRPr="00045DEC">
        <w:t>deficit</w:t>
      </w:r>
      <w:r w:rsidRPr="00045DEC">
        <w:t xml:space="preserve"> of </w:t>
      </w:r>
      <w:r w:rsidR="003462FD" w:rsidRPr="00045DEC">
        <w:t>3.</w:t>
      </w:r>
      <w:r w:rsidR="00D664C4" w:rsidRPr="00045DEC">
        <w:t>4 </w:t>
      </w:r>
      <w:r w:rsidRPr="00045DEC">
        <w:t xml:space="preserve">per cent of GDP </w:t>
      </w:r>
      <w:r w:rsidRPr="00045DEC">
        <w:rPr>
          <w:szCs w:val="19"/>
        </w:rPr>
        <w:t>(Chart 8.7)</w:t>
      </w:r>
      <w:r w:rsidRPr="00045DEC">
        <w:t xml:space="preserve">. The underlying cash </w:t>
      </w:r>
      <w:r w:rsidR="00A8063A" w:rsidRPr="00045DEC">
        <w:t>balance</w:t>
      </w:r>
      <w:r w:rsidRPr="00045DEC">
        <w:t xml:space="preserve"> was $</w:t>
      </w:r>
      <w:r w:rsidR="00FD1FF1" w:rsidRPr="00045DEC">
        <w:t>100.0</w:t>
      </w:r>
      <w:r w:rsidRPr="00045DEC">
        <w:t xml:space="preserve"> billion </w:t>
      </w:r>
      <w:r w:rsidR="00A8063A" w:rsidRPr="00045DEC">
        <w:t xml:space="preserve">more </w:t>
      </w:r>
      <w:r w:rsidRPr="00045DEC">
        <w:t xml:space="preserve">than forecast. The </w:t>
      </w:r>
      <w:r w:rsidRPr="00045DEC">
        <w:rPr>
          <w:szCs w:val="19"/>
        </w:rPr>
        <w:t>b</w:t>
      </w:r>
      <w:r w:rsidRPr="00045DEC">
        <w:t>etter</w:t>
      </w:r>
      <w:r w:rsidR="00FE07A9" w:rsidRPr="00045DEC">
        <w:noBreakHyphen/>
      </w:r>
      <w:r w:rsidRPr="00045DEC">
        <w:t>than</w:t>
      </w:r>
      <w:r w:rsidR="00FE07A9" w:rsidRPr="00045DEC">
        <w:noBreakHyphen/>
      </w:r>
      <w:r w:rsidRPr="00045DEC">
        <w:t>expected underlying cash balance outcome in</w:t>
      </w:r>
      <w:r w:rsidR="00135E7D" w:rsidRPr="00045DEC">
        <w:t> </w:t>
      </w:r>
      <w:r w:rsidR="000C2E4C" w:rsidRPr="00045DEC">
        <w:t>2022–23</w:t>
      </w:r>
      <w:r w:rsidR="00135E7D" w:rsidRPr="00045DEC">
        <w:t xml:space="preserve"> </w:t>
      </w:r>
      <w:r w:rsidR="006601D1" w:rsidRPr="00045DEC">
        <w:t xml:space="preserve">largely </w:t>
      </w:r>
      <w:r w:rsidRPr="00045DEC">
        <w:t xml:space="preserve">reflected </w:t>
      </w:r>
      <w:r w:rsidR="00FB44D4" w:rsidRPr="00045DEC">
        <w:t>higher</w:t>
      </w:r>
      <w:r w:rsidR="00FE07A9" w:rsidRPr="00045DEC">
        <w:noBreakHyphen/>
      </w:r>
      <w:r w:rsidR="006601D1" w:rsidRPr="00045DEC">
        <w:t>than</w:t>
      </w:r>
      <w:r w:rsidR="00FE07A9" w:rsidRPr="00045DEC">
        <w:noBreakHyphen/>
      </w:r>
      <w:r w:rsidR="006601D1" w:rsidRPr="00045DEC">
        <w:t>expected</w:t>
      </w:r>
      <w:r w:rsidR="00FB44D4" w:rsidRPr="00045DEC">
        <w:t xml:space="preserve"> receipts</w:t>
      </w:r>
      <w:r w:rsidR="006458A6" w:rsidRPr="00045DEC">
        <w:t>, the majority of which were returned to the budget</w:t>
      </w:r>
      <w:r w:rsidR="004200F5" w:rsidRPr="00045DEC">
        <w:t xml:space="preserve">. </w:t>
      </w:r>
    </w:p>
    <w:p w14:paraId="52A3F68A" w14:textId="57B23DFE" w:rsidR="003A1BEE" w:rsidRPr="00045DEC" w:rsidRDefault="003A1BEE" w:rsidP="003A1BEE">
      <w:pPr>
        <w:pStyle w:val="ChartHeading"/>
      </w:pPr>
      <w:bookmarkStart w:id="12" w:name="_Toc116037826"/>
      <w:r w:rsidRPr="00045DEC">
        <w:lastRenderedPageBreak/>
        <w:t>Chart 8.7: Comparison of forecasts and outcomes for underlying cash balance</w:t>
      </w:r>
      <w:bookmarkEnd w:id="12"/>
      <w:r w:rsidRPr="00045DEC">
        <w:t xml:space="preserve"> </w:t>
      </w:r>
    </w:p>
    <w:p w14:paraId="7735E24C" w14:textId="7F48A985" w:rsidR="003A1BEE" w:rsidRPr="00045DEC" w:rsidRDefault="00E27041" w:rsidP="00010540">
      <w:pPr>
        <w:pStyle w:val="ChartGraphic"/>
      </w:pPr>
      <w:r>
        <w:rPr>
          <w:noProof/>
        </w:rPr>
        <w:pict w14:anchorId="6BAA4C94">
          <v:shape id="_x0000_i1031" type="#_x0000_t75" alt="This chart shows the Budget year forecasts for the underlying cash balance and the published outcome (FBO) from 2002-03 to 2022-23. Throughout this period forecasts have both under and overestimated the underlying cash balance. In particular, forecasts underestimated the underlying cash balance in the early 2000s and since the COVID-19 pandemic, and overestimated the underlying cash balance in the early 2010s. The underlying cash surplus was 0.9 per cent of GDP in 2022-23 rather than the forecast deficit of 3.4 per cent of GDP." style="width:364.85pt;height:190.75pt">
            <v:imagedata r:id="rId28" o:title=""/>
          </v:shape>
        </w:pict>
      </w:r>
    </w:p>
    <w:p w14:paraId="69377977" w14:textId="77777777" w:rsidR="003A1BEE" w:rsidRPr="00045DEC" w:rsidRDefault="003A1BEE" w:rsidP="003A1BEE">
      <w:pPr>
        <w:pStyle w:val="ChartandTableFootnote"/>
        <w:rPr>
          <w:color w:val="auto"/>
        </w:rPr>
      </w:pPr>
      <w:r w:rsidRPr="00045DEC">
        <w:rPr>
          <w:color w:val="auto"/>
        </w:rPr>
        <w:t xml:space="preserve">Source: </w:t>
      </w:r>
      <w:r w:rsidRPr="00045DEC">
        <w:rPr>
          <w:color w:val="auto"/>
        </w:rPr>
        <w:tab/>
        <w:t xml:space="preserve">Budget papers and Treasury. </w:t>
      </w:r>
    </w:p>
    <w:p w14:paraId="103BADD0" w14:textId="77777777" w:rsidR="003A1BEE" w:rsidRPr="00045DEC" w:rsidRDefault="003A1BEE" w:rsidP="00AF46DB">
      <w:pPr>
        <w:pStyle w:val="ChartLine"/>
      </w:pPr>
    </w:p>
    <w:p w14:paraId="5C87C766" w14:textId="06AB06A9" w:rsidR="003A1BEE" w:rsidRPr="00045DEC" w:rsidRDefault="00B50F19" w:rsidP="003A1BEE">
      <w:r w:rsidRPr="00045DEC">
        <w:t>Th</w:t>
      </w:r>
      <w:r w:rsidR="00643681" w:rsidRPr="00045DEC">
        <w:t xml:space="preserve">e </w:t>
      </w:r>
      <w:r w:rsidR="008376CE" w:rsidRPr="00045DEC">
        <w:t>underlying cash balance</w:t>
      </w:r>
      <w:r w:rsidR="003035BC" w:rsidRPr="00045DEC">
        <w:rPr>
          <w:rStyle w:val="FootnoteReference"/>
          <w:szCs w:val="19"/>
        </w:rPr>
        <w:footnoteReference w:id="2"/>
      </w:r>
      <w:r w:rsidR="008376CE" w:rsidRPr="00045DEC">
        <w:t xml:space="preserve"> forecast error</w:t>
      </w:r>
      <w:r w:rsidR="00643681" w:rsidRPr="00045DEC">
        <w:t xml:space="preserve"> for 2022–23</w:t>
      </w:r>
      <w:r w:rsidRPr="00045DEC">
        <w:t xml:space="preserve"> is consistent with the experience of </w:t>
      </w:r>
      <w:r w:rsidR="003A1BEE" w:rsidRPr="00045DEC">
        <w:t xml:space="preserve">the past </w:t>
      </w:r>
      <w:r w:rsidR="00546A6E" w:rsidRPr="00045DEC">
        <w:t>two </w:t>
      </w:r>
      <w:r w:rsidR="003A1BEE" w:rsidRPr="00045DEC">
        <w:t xml:space="preserve">decades, outside major downturns, </w:t>
      </w:r>
      <w:r w:rsidRPr="00045DEC">
        <w:t xml:space="preserve">where </w:t>
      </w:r>
      <w:r w:rsidR="003A1BEE" w:rsidRPr="00045DEC">
        <w:t>forecast errors</w:t>
      </w:r>
      <w:r w:rsidR="003A1BEE" w:rsidRPr="00045DEC">
        <w:rPr>
          <w:szCs w:val="19"/>
        </w:rPr>
        <w:t xml:space="preserve"> </w:t>
      </w:r>
      <w:r w:rsidR="003A1BEE" w:rsidRPr="00045DEC">
        <w:t xml:space="preserve">largely reflect forecast errors of total receipts (Chart 8.8). </w:t>
      </w:r>
      <w:bookmarkStart w:id="13" w:name="_Toc99026273"/>
      <w:bookmarkStart w:id="14" w:name="_Toc116037828"/>
      <w:bookmarkStart w:id="15" w:name="_Toc116037698"/>
      <w:bookmarkStart w:id="16" w:name="_Toc116040760"/>
      <w:r w:rsidR="00E76F07" w:rsidRPr="00045DEC">
        <w:t>In</w:t>
      </w:r>
      <w:r w:rsidR="003A1BEE" w:rsidRPr="00045DEC">
        <w:t xml:space="preserve"> </w:t>
      </w:r>
      <w:r w:rsidR="00E76F07" w:rsidRPr="00045DEC">
        <w:t>2022–23</w:t>
      </w:r>
      <w:r w:rsidR="000E4B81" w:rsidRPr="00045DEC">
        <w:t xml:space="preserve"> key </w:t>
      </w:r>
      <w:r w:rsidR="003A1BEE" w:rsidRPr="00045DEC">
        <w:t>contribut</w:t>
      </w:r>
      <w:r w:rsidR="00AC0F0A" w:rsidRPr="00045DEC">
        <w:t>or</w:t>
      </w:r>
      <w:r w:rsidR="00C46B18" w:rsidRPr="00045DEC">
        <w:t>s</w:t>
      </w:r>
      <w:r w:rsidR="000E4B81" w:rsidRPr="00045DEC">
        <w:t xml:space="preserve"> </w:t>
      </w:r>
      <w:r w:rsidR="00645C23" w:rsidRPr="00045DEC">
        <w:t xml:space="preserve">to the error were the impact </w:t>
      </w:r>
      <w:r w:rsidR="00AB0499" w:rsidRPr="00045DEC">
        <w:t xml:space="preserve">on tax receipts </w:t>
      </w:r>
      <w:r w:rsidR="00645C23" w:rsidRPr="00045DEC">
        <w:t>of higher</w:t>
      </w:r>
      <w:r w:rsidR="000E4B81" w:rsidRPr="00045DEC">
        <w:t xml:space="preserve"> global commodity prices and </w:t>
      </w:r>
      <w:r w:rsidR="003D0B87" w:rsidRPr="00045DEC">
        <w:t>stronger</w:t>
      </w:r>
      <w:r w:rsidR="004200F5" w:rsidRPr="00045DEC">
        <w:noBreakHyphen/>
      </w:r>
      <w:r w:rsidR="003D0B87" w:rsidRPr="00045DEC">
        <w:t>than</w:t>
      </w:r>
      <w:r w:rsidR="004200F5" w:rsidRPr="00045DEC">
        <w:noBreakHyphen/>
      </w:r>
      <w:r w:rsidR="003D0B87" w:rsidRPr="00045DEC">
        <w:t>expected employment and wage growth</w:t>
      </w:r>
      <w:r w:rsidR="004200F5" w:rsidRPr="00045DEC">
        <w:t>.</w:t>
      </w:r>
      <w:r w:rsidR="003A1BEE" w:rsidRPr="00045DEC">
        <w:t xml:space="preserve"> </w:t>
      </w:r>
    </w:p>
    <w:p w14:paraId="5FF96ECB" w14:textId="77777777" w:rsidR="003A1BEE" w:rsidRPr="00045DEC" w:rsidRDefault="003A1BEE" w:rsidP="003A1BEE">
      <w:r w:rsidRPr="00045DEC">
        <w:t xml:space="preserve">Large forecast errors for payments in 2008–09 and 2019–20 reflected unexpected Government payment assistance during the Global Financial Crisis and COVID–19. Overestimates of receipts tend to coincide with underestimates of payments during economic shocks, magnifying underlying cash balance forecast errors. </w:t>
      </w:r>
    </w:p>
    <w:p w14:paraId="7F1C3A4F" w14:textId="77777777" w:rsidR="003A1BEE" w:rsidRPr="00045DEC" w:rsidRDefault="003A1BEE" w:rsidP="003A1BEE">
      <w:pPr>
        <w:pStyle w:val="ChartHeading"/>
      </w:pPr>
      <w:bookmarkStart w:id="17" w:name="_Toc116037827"/>
      <w:r w:rsidRPr="00045DEC">
        <w:lastRenderedPageBreak/>
        <w:t>Chart 8.8: Total</w:t>
      </w:r>
      <w:r w:rsidRPr="00045DEC" w:rsidDel="00E044E3">
        <w:t xml:space="preserve"> r</w:t>
      </w:r>
      <w:r w:rsidRPr="00045DEC">
        <w:t>eceipts, payments, and underlying cash balance forecast error</w:t>
      </w:r>
      <w:bookmarkEnd w:id="17"/>
      <w:r w:rsidRPr="00045DEC">
        <w:t>s</w:t>
      </w:r>
    </w:p>
    <w:p w14:paraId="0FFC461D" w14:textId="1439EF60" w:rsidR="00B915AF" w:rsidRPr="00045DEC" w:rsidRDefault="00E27041" w:rsidP="00DF4B6F">
      <w:pPr>
        <w:pStyle w:val="ChartGraphic"/>
        <w:rPr>
          <w:noProof/>
        </w:rPr>
      </w:pPr>
      <w:bookmarkStart w:id="18" w:name="_1744535406"/>
      <w:bookmarkEnd w:id="18"/>
      <w:r>
        <w:rPr>
          <w:noProof/>
        </w:rPr>
        <w:pict w14:anchorId="2E51D3DF">
          <v:shape id="_x0000_i1032" type="#_x0000_t75" alt="This chart shows the contribution of forecast errors in total receipts and payments to the forecast errors of the underlying cash balance. Outside major downturns, forecast errors for the underlying cash balance largely reflect forecast errors in total receipts. However there are large forecast errors for payments in 2008-09 during the Global Financial Crisis and 2019-20 during the COVID-19 pandemic. Overestimates in receipts tend to coincide with underestimates in payments during these shocks, which increases underlying cash balance forecast errors." style="width:382.55pt;height:234.8pt">
            <v:imagedata r:id="rId29" o:title=""/>
          </v:shape>
        </w:pict>
      </w:r>
    </w:p>
    <w:p w14:paraId="78F5DD5C" w14:textId="5AAC58CE" w:rsidR="003A1BEE" w:rsidRPr="00F02293" w:rsidRDefault="003A1BEE" w:rsidP="00B915AF">
      <w:pPr>
        <w:pStyle w:val="ChartandTableFootnote"/>
      </w:pPr>
      <w:r w:rsidRPr="00045DEC">
        <w:rPr>
          <w:color w:val="auto"/>
        </w:rPr>
        <w:t xml:space="preserve">Source: </w:t>
      </w:r>
      <w:r w:rsidRPr="00045DEC">
        <w:rPr>
          <w:color w:val="auto"/>
        </w:rPr>
        <w:tab/>
        <w:t xml:space="preserve">Budget papers and Treasury. </w:t>
      </w:r>
    </w:p>
    <w:p w14:paraId="0B3A0B96" w14:textId="77777777" w:rsidR="003A1BEE" w:rsidRPr="00F02293" w:rsidRDefault="003A1BEE" w:rsidP="00AF46DB">
      <w:pPr>
        <w:pStyle w:val="ChartLine"/>
      </w:pPr>
    </w:p>
    <w:p w14:paraId="4CDB2207" w14:textId="77777777" w:rsidR="003A1BEE" w:rsidRPr="00F02293" w:rsidRDefault="003A1BEE" w:rsidP="003A1BEE">
      <w:pPr>
        <w:spacing w:before="0" w:after="160" w:line="259" w:lineRule="auto"/>
        <w:rPr>
          <w:rFonts w:ascii="Arial Bold" w:hAnsi="Arial Bold"/>
          <w:b/>
          <w:sz w:val="26"/>
        </w:rPr>
      </w:pPr>
      <w:r w:rsidRPr="00F02293">
        <w:br w:type="page"/>
      </w:r>
    </w:p>
    <w:p w14:paraId="0DB54AA7" w14:textId="29BD3523" w:rsidR="003A1BEE" w:rsidRPr="00045DEC" w:rsidRDefault="003A1BEE" w:rsidP="003A1BEE">
      <w:pPr>
        <w:pStyle w:val="Heading2"/>
      </w:pPr>
      <w:bookmarkStart w:id="19" w:name="_Toc166356111"/>
      <w:r w:rsidRPr="00045DEC">
        <w:lastRenderedPageBreak/>
        <w:t>Assessing forecast uncertainty – confidence interval analysis</w:t>
      </w:r>
      <w:bookmarkEnd w:id="13"/>
      <w:bookmarkEnd w:id="14"/>
      <w:bookmarkEnd w:id="15"/>
      <w:bookmarkEnd w:id="16"/>
      <w:bookmarkEnd w:id="19"/>
    </w:p>
    <w:p w14:paraId="7EFD8F8D" w14:textId="403B3DE9" w:rsidR="003A1BEE" w:rsidRPr="00045DEC" w:rsidRDefault="003A1BEE" w:rsidP="003A1BEE">
      <w:pPr>
        <w:keepNext/>
        <w:keepLines/>
      </w:pPr>
      <w:r w:rsidRPr="00045DEC">
        <w:t xml:space="preserve">Confidence intervals illustrate the uncertainty around current forecasts based on </w:t>
      </w:r>
      <w:r w:rsidR="00774838" w:rsidRPr="00045DEC">
        <w:t>the</w:t>
      </w:r>
      <w:r w:rsidRPr="00045DEC">
        <w:t xml:space="preserve"> historical </w:t>
      </w:r>
      <w:r w:rsidR="00774838" w:rsidRPr="00045DEC">
        <w:t xml:space="preserve">distribution </w:t>
      </w:r>
      <w:r w:rsidRPr="00045DEC">
        <w:t>of forecast errors. Confidence interval analysis assumes that future forecast errors are consistent with the distribution of past forecast errors</w:t>
      </w:r>
      <w:r w:rsidRPr="00045DEC">
        <w:rPr>
          <w:vertAlign w:val="superscript"/>
        </w:rPr>
        <w:footnoteReference w:id="3"/>
      </w:r>
      <w:r w:rsidRPr="00045DEC">
        <w:t xml:space="preserve"> Based on past forecasting performance, there is a 70 and 90 per cent probability that the </w:t>
      </w:r>
      <w:r w:rsidR="003935A5" w:rsidRPr="00045DEC">
        <w:t>actual outcome</w:t>
      </w:r>
      <w:r w:rsidRPr="00045DEC">
        <w:t xml:space="preserve"> will lie within the 70 and 90 per cent confidence interval bands.</w:t>
      </w:r>
    </w:p>
    <w:p w14:paraId="60791ED7" w14:textId="489C2827" w:rsidR="003A1BEE" w:rsidRPr="00782394" w:rsidRDefault="003A1BEE" w:rsidP="003A1BEE">
      <w:r w:rsidRPr="00045DEC">
        <w:t xml:space="preserve">Future forecast errors may not have the same distribution as historical forecast errors. </w:t>
      </w:r>
      <w:r w:rsidRPr="00045DEC" w:rsidDel="00F644F5">
        <w:t xml:space="preserve">The large forecast errors </w:t>
      </w:r>
      <w:r w:rsidRPr="00045DEC">
        <w:t>in </w:t>
      </w:r>
      <w:r w:rsidRPr="00045DEC" w:rsidDel="00F644F5">
        <w:t>2019</w:t>
      </w:r>
      <w:r w:rsidRPr="00045DEC">
        <w:t>–</w:t>
      </w:r>
      <w:r w:rsidRPr="00045DEC" w:rsidDel="00F644F5">
        <w:t>20</w:t>
      </w:r>
      <w:r w:rsidRPr="00045DEC">
        <w:t xml:space="preserve"> and 2020–21,</w:t>
      </w:r>
      <w:r w:rsidRPr="00045DEC" w:rsidDel="00F644F5">
        <w:t xml:space="preserve"> </w:t>
      </w:r>
      <w:r w:rsidRPr="00045DEC">
        <w:t xml:space="preserve">related </w:t>
      </w:r>
      <w:r w:rsidRPr="00045DEC" w:rsidDel="00F644F5">
        <w:t xml:space="preserve">to </w:t>
      </w:r>
      <w:r w:rsidR="0073412B" w:rsidRPr="00045DEC">
        <w:t>the</w:t>
      </w:r>
      <w:r w:rsidRPr="00045DEC" w:rsidDel="00F644F5">
        <w:t xml:space="preserve"> </w:t>
      </w:r>
      <w:r w:rsidRPr="00045DEC">
        <w:t>COVID–19</w:t>
      </w:r>
      <w:r w:rsidR="0073412B" w:rsidRPr="00045DEC">
        <w:t xml:space="preserve"> pandemic</w:t>
      </w:r>
      <w:r w:rsidRPr="00045DEC">
        <w:t>,</w:t>
      </w:r>
      <w:r w:rsidRPr="00045DEC" w:rsidDel="00F644F5">
        <w:t xml:space="preserve"> are </w:t>
      </w:r>
      <w:r w:rsidRPr="00045DEC">
        <w:t xml:space="preserve">an example of events not previously captured in the historical error sample. Large disruptive events are difficult to predict and could occur again in the future. </w:t>
      </w:r>
      <w:bookmarkStart w:id="20" w:name="_Toc99026274"/>
      <w:bookmarkStart w:id="21" w:name="_Toc116037829"/>
      <w:bookmarkStart w:id="22" w:name="_Toc116037699"/>
      <w:bookmarkStart w:id="23" w:name="_Toc116040761"/>
    </w:p>
    <w:p w14:paraId="21A0F972" w14:textId="20466BA4" w:rsidR="003A1BEE" w:rsidRPr="00045DEC" w:rsidRDefault="003A1BEE" w:rsidP="003A1BEE">
      <w:pPr>
        <w:pStyle w:val="Heading3"/>
      </w:pPr>
      <w:bookmarkStart w:id="24" w:name="_Toc166356112"/>
      <w:r w:rsidRPr="00045DEC">
        <w:t>Economic uncertainty based on historical forecast errors</w:t>
      </w:r>
      <w:bookmarkEnd w:id="20"/>
      <w:bookmarkEnd w:id="21"/>
      <w:bookmarkEnd w:id="22"/>
      <w:bookmarkEnd w:id="23"/>
      <w:bookmarkEnd w:id="24"/>
    </w:p>
    <w:p w14:paraId="378E4E00" w14:textId="318F8851" w:rsidR="003A1BEE" w:rsidRPr="00045DEC" w:rsidRDefault="003A1BEE" w:rsidP="003A1BEE">
      <w:pPr>
        <w:rPr>
          <w:b/>
        </w:rPr>
      </w:pPr>
      <w:r w:rsidRPr="00045DEC">
        <w:t xml:space="preserve">Average annualised growth in real GDP in the </w:t>
      </w:r>
      <w:r w:rsidR="0070187B" w:rsidRPr="00045DEC">
        <w:t>three</w:t>
      </w:r>
      <w:r w:rsidRPr="00045DEC">
        <w:t> years to 202</w:t>
      </w:r>
      <w:r w:rsidR="009600F9" w:rsidRPr="00045DEC">
        <w:t>5</w:t>
      </w:r>
      <w:r w:rsidRPr="00045DEC">
        <w:t>–2</w:t>
      </w:r>
      <w:r w:rsidR="009600F9" w:rsidRPr="00045DEC">
        <w:t>6</w:t>
      </w:r>
      <w:r w:rsidRPr="00045DEC">
        <w:t xml:space="preserve"> is expected to be around </w:t>
      </w:r>
      <w:r w:rsidRPr="00045DEC" w:rsidDel="00C851EA">
        <w:t>2</w:t>
      </w:r>
      <w:r w:rsidRPr="00045DEC">
        <w:t xml:space="preserve"> per cent. The 70 per cent confidence interval ranges from </w:t>
      </w:r>
      <w:r w:rsidR="000937B2" w:rsidRPr="00045DEC">
        <w:t>1¼</w:t>
      </w:r>
      <w:r w:rsidRPr="00045DEC">
        <w:t xml:space="preserve"> per cent to </w:t>
      </w:r>
      <w:r w:rsidR="000937B2" w:rsidRPr="00045DEC">
        <w:t>2¾</w:t>
      </w:r>
      <w:r w:rsidRPr="00045DEC" w:rsidDel="000937B2">
        <w:t> </w:t>
      </w:r>
      <w:r w:rsidRPr="00045DEC">
        <w:t xml:space="preserve">per cent. The 90 per cent confidence interval ranges from </w:t>
      </w:r>
      <w:r w:rsidR="000937B2" w:rsidRPr="00045DEC">
        <w:t>1</w:t>
      </w:r>
      <w:r w:rsidRPr="00045DEC">
        <w:t xml:space="preserve"> per cent to </w:t>
      </w:r>
      <w:r w:rsidR="005E1CD4" w:rsidRPr="00045DEC">
        <w:t>3</w:t>
      </w:r>
      <w:r w:rsidRPr="00045DEC" w:rsidDel="00C851EA">
        <w:t> </w:t>
      </w:r>
      <w:r w:rsidRPr="00045DEC">
        <w:t>per cent (Chart</w:t>
      </w:r>
      <w:r w:rsidR="004878E4" w:rsidRPr="00045DEC">
        <w:t> </w:t>
      </w:r>
      <w:r w:rsidRPr="00045DEC">
        <w:t>8.9).</w:t>
      </w:r>
    </w:p>
    <w:p w14:paraId="3939309A" w14:textId="77777777" w:rsidR="00E2029F" w:rsidRPr="00045DEC" w:rsidRDefault="00E2029F">
      <w:pPr>
        <w:spacing w:before="0" w:after="160" w:line="259" w:lineRule="auto"/>
        <w:rPr>
          <w:rFonts w:ascii="Arial" w:hAnsi="Arial"/>
          <w:b/>
          <w:sz w:val="20"/>
        </w:rPr>
      </w:pPr>
      <w:r w:rsidRPr="00045DEC">
        <w:br w:type="page"/>
      </w:r>
    </w:p>
    <w:p w14:paraId="695329B1" w14:textId="43B6070C" w:rsidR="003A1BEE" w:rsidRPr="00045DEC" w:rsidRDefault="003A1BEE" w:rsidP="003A1BEE">
      <w:pPr>
        <w:pStyle w:val="ChartHeading"/>
      </w:pPr>
      <w:r w:rsidRPr="00045DEC">
        <w:lastRenderedPageBreak/>
        <w:t>Chart 8.9: Confidence intervals around real GDP growth rate forecasts</w:t>
      </w:r>
    </w:p>
    <w:p w14:paraId="36736762" w14:textId="34736995" w:rsidR="003A1BEE" w:rsidRPr="00045DEC" w:rsidRDefault="00E27041" w:rsidP="003A1BEE">
      <w:pPr>
        <w:pStyle w:val="ChartGraphic"/>
      </w:pPr>
      <w:r>
        <w:pict w14:anchorId="61311EB1">
          <v:shape id="_x0000_i1033" type="#_x0000_t75" alt="This chart shows confidence intervals around the Budget forecast for average annualised real GDP growth.&#10;&#10;The Budget forecast for average annualised real GDP growth in the three years to 2025-26 is expected to be around 2 per cent, with the 70 per cent confidence interval ranging from 1 1/4 to 2 3/4 per cent, and the 90 per cent confidence interval ranging from 1 to 3 per cent." style="width:360.55pt;height:203.1pt">
            <v:imagedata r:id="rId30" o:title=""/>
          </v:shape>
        </w:pict>
      </w:r>
    </w:p>
    <w:p w14:paraId="0451ECA7" w14:textId="2FBE0601" w:rsidR="003A1BEE" w:rsidRPr="00045DEC" w:rsidRDefault="003A1BEE" w:rsidP="003A1BEE">
      <w:pPr>
        <w:pStyle w:val="ChartandTableFootnote"/>
        <w:rPr>
          <w:color w:val="auto"/>
        </w:rPr>
      </w:pPr>
      <w:r w:rsidRPr="00045DEC">
        <w:rPr>
          <w:color w:val="auto"/>
        </w:rPr>
        <w:t xml:space="preserve">Note: </w:t>
      </w:r>
      <w:r w:rsidRPr="00045DEC">
        <w:rPr>
          <w:color w:val="auto"/>
        </w:rPr>
        <w:tab/>
        <w:t>The</w:t>
      </w:r>
      <w:r w:rsidRPr="00045DEC" w:rsidDel="00DC514F">
        <w:rPr>
          <w:color w:val="auto"/>
        </w:rPr>
        <w:t xml:space="preserve"> </w:t>
      </w:r>
      <w:r w:rsidRPr="00045DEC">
        <w:rPr>
          <w:color w:val="auto"/>
        </w:rPr>
        <w:t>line shows the outcomes and the 202</w:t>
      </w:r>
      <w:r w:rsidR="005E1CD4" w:rsidRPr="00045DEC">
        <w:rPr>
          <w:color w:val="auto"/>
        </w:rPr>
        <w:t>4</w:t>
      </w:r>
      <w:r w:rsidRPr="00045DEC">
        <w:rPr>
          <w:color w:val="auto"/>
        </w:rPr>
        <w:t>–2</w:t>
      </w:r>
      <w:r w:rsidR="005E1CD4" w:rsidRPr="00045DEC">
        <w:rPr>
          <w:color w:val="auto"/>
        </w:rPr>
        <w:t>5</w:t>
      </w:r>
      <w:r w:rsidR="00DD6462" w:rsidRPr="00045DEC">
        <w:rPr>
          <w:color w:val="auto"/>
        </w:rPr>
        <w:t> </w:t>
      </w:r>
      <w:r w:rsidRPr="00045DEC">
        <w:rPr>
          <w:color w:val="auto"/>
        </w:rPr>
        <w:t>Budget forecasts. Annual growth rates are reported for the outcomes. Average annualised growth rates from 202</w:t>
      </w:r>
      <w:r w:rsidR="00D80297" w:rsidRPr="00045DEC">
        <w:rPr>
          <w:color w:val="auto"/>
        </w:rPr>
        <w:t>2</w:t>
      </w:r>
      <w:r w:rsidRPr="00045DEC">
        <w:rPr>
          <w:color w:val="auto"/>
        </w:rPr>
        <w:t>–</w:t>
      </w:r>
      <w:r w:rsidRPr="00045DEC" w:rsidDel="00D80297">
        <w:rPr>
          <w:color w:val="auto"/>
        </w:rPr>
        <w:t>2</w:t>
      </w:r>
      <w:r w:rsidR="00D80297" w:rsidRPr="00045DEC">
        <w:rPr>
          <w:color w:val="auto"/>
        </w:rPr>
        <w:t>3</w:t>
      </w:r>
      <w:r w:rsidRPr="00045DEC">
        <w:rPr>
          <w:color w:val="auto"/>
        </w:rPr>
        <w:t xml:space="preserve"> are reported for 202</w:t>
      </w:r>
      <w:r w:rsidR="009945BD" w:rsidRPr="00045DEC">
        <w:rPr>
          <w:color w:val="auto"/>
        </w:rPr>
        <w:t>3</w:t>
      </w:r>
      <w:r w:rsidRPr="00045DEC">
        <w:rPr>
          <w:color w:val="auto"/>
        </w:rPr>
        <w:t>–2</w:t>
      </w:r>
      <w:r w:rsidR="009945BD" w:rsidRPr="00045DEC">
        <w:rPr>
          <w:color w:val="auto"/>
        </w:rPr>
        <w:t>4</w:t>
      </w:r>
      <w:r w:rsidRPr="00045DEC">
        <w:rPr>
          <w:color w:val="auto"/>
        </w:rPr>
        <w:t xml:space="preserve"> onwards. Confidence intervals are based on the root mean squared errors (RMSEs) of Budget forecasts from 1998–99 onwards and are a statistical assessment that does not take account of any change in circumstance in the economic outlook. (f) are forecasts.</w:t>
      </w:r>
    </w:p>
    <w:p w14:paraId="55F0722C" w14:textId="033F5BB1" w:rsidR="003A1BEE" w:rsidRPr="00045DEC" w:rsidRDefault="003A1BEE" w:rsidP="003A1BEE">
      <w:pPr>
        <w:pStyle w:val="ChartandTableFootnote"/>
        <w:rPr>
          <w:color w:val="auto"/>
        </w:rPr>
      </w:pPr>
      <w:r w:rsidRPr="00045DEC">
        <w:rPr>
          <w:color w:val="auto"/>
        </w:rPr>
        <w:t>Source:</w:t>
      </w:r>
      <w:r w:rsidRPr="00045DEC">
        <w:rPr>
          <w:color w:val="auto"/>
        </w:rPr>
        <w:tab/>
      </w:r>
      <w:r w:rsidRPr="00A4340B">
        <w:rPr>
          <w:color w:val="auto"/>
        </w:rPr>
        <w:t>ABS Australian National Accounts: National Income, Expenditure and Product</w:t>
      </w:r>
      <w:r w:rsidR="00A4340B" w:rsidRPr="00A4340B">
        <w:rPr>
          <w:color w:val="auto"/>
        </w:rPr>
        <w:t xml:space="preserve"> and Treasury</w:t>
      </w:r>
      <w:r w:rsidRPr="00045DEC">
        <w:rPr>
          <w:color w:val="auto"/>
        </w:rPr>
        <w:t>.</w:t>
      </w:r>
    </w:p>
    <w:p w14:paraId="0458E1F9" w14:textId="77777777" w:rsidR="003A1BEE" w:rsidRPr="00045DEC" w:rsidRDefault="003A1BEE" w:rsidP="00AF46DB">
      <w:pPr>
        <w:pStyle w:val="ChartLine"/>
      </w:pPr>
    </w:p>
    <w:p w14:paraId="60E1B4B8" w14:textId="6481141A" w:rsidR="003A1BEE" w:rsidRPr="00045DEC" w:rsidRDefault="003A1BEE" w:rsidP="003A1BEE">
      <w:r w:rsidRPr="00045DEC">
        <w:t xml:space="preserve">The confidence intervals around the nominal GDP forecasts are wider than those around the real GDP forecasts, reflecting the additional uncertainty around domestic prices and commodity prices. Average annualised growth in nominal GDP in the </w:t>
      </w:r>
      <w:r w:rsidR="00DE0240" w:rsidRPr="00045DEC">
        <w:t>three</w:t>
      </w:r>
      <w:r w:rsidRPr="00045DEC">
        <w:t> years to 202</w:t>
      </w:r>
      <w:r w:rsidR="009945BD" w:rsidRPr="00045DEC">
        <w:t>5</w:t>
      </w:r>
      <w:r w:rsidRPr="00045DEC">
        <w:rPr>
          <w:rFonts w:ascii="Times New Roman" w:hAnsi="Times New Roman"/>
        </w:rPr>
        <w:t>–</w:t>
      </w:r>
      <w:r w:rsidR="009719B8" w:rsidRPr="00045DEC">
        <w:rPr>
          <w:rFonts w:ascii="Times New Roman" w:hAnsi="Times New Roman"/>
        </w:rPr>
        <w:t>‍</w:t>
      </w:r>
      <w:r w:rsidRPr="00045DEC">
        <w:t>2</w:t>
      </w:r>
      <w:r w:rsidR="009945BD" w:rsidRPr="00045DEC">
        <w:t>6</w:t>
      </w:r>
      <w:r w:rsidRPr="00045DEC">
        <w:t xml:space="preserve"> is expected to be around </w:t>
      </w:r>
      <w:r w:rsidR="00022BA6" w:rsidRPr="00045DEC">
        <w:t>3¾</w:t>
      </w:r>
      <w:r w:rsidR="00653B1E" w:rsidRPr="00045DEC">
        <w:t> </w:t>
      </w:r>
      <w:r w:rsidRPr="00045DEC">
        <w:t xml:space="preserve">per cent, with the 70 per cent confidence interval ranging from </w:t>
      </w:r>
      <w:r w:rsidR="00AB1726" w:rsidRPr="00045DEC">
        <w:t>1½</w:t>
      </w:r>
      <w:r w:rsidRPr="00045DEC">
        <w:t xml:space="preserve"> per cent to </w:t>
      </w:r>
      <w:r w:rsidR="00AB1726" w:rsidRPr="00045DEC">
        <w:t>6</w:t>
      </w:r>
      <w:r w:rsidRPr="00045DEC">
        <w:t xml:space="preserve"> per cent. The 90 per cent confidence interval ranges from </w:t>
      </w:r>
      <w:r w:rsidR="008B649E" w:rsidRPr="00045DEC">
        <w:t>¼</w:t>
      </w:r>
      <w:r w:rsidR="00653B1E" w:rsidRPr="00045DEC">
        <w:t> </w:t>
      </w:r>
      <w:r w:rsidRPr="00045DEC">
        <w:t xml:space="preserve">per cent to </w:t>
      </w:r>
      <w:r w:rsidR="00627255" w:rsidRPr="00045DEC">
        <w:t>7¼</w:t>
      </w:r>
      <w:r w:rsidRPr="00045DEC">
        <w:t> per cent (Chart 8.10).</w:t>
      </w:r>
    </w:p>
    <w:p w14:paraId="4DDED793" w14:textId="5621474F" w:rsidR="003A1BEE" w:rsidRPr="00045DEC" w:rsidRDefault="003A1BEE" w:rsidP="003A1BEE">
      <w:pPr>
        <w:pStyle w:val="ChartHeading"/>
      </w:pPr>
      <w:r w:rsidRPr="00045DEC">
        <w:lastRenderedPageBreak/>
        <w:t xml:space="preserve">Chart 8.10: Confidence intervals around nominal GDP growth rate forecasts </w:t>
      </w:r>
    </w:p>
    <w:p w14:paraId="77B6F3BD" w14:textId="5AEC28A7" w:rsidR="001E5EFE" w:rsidRPr="00045DEC" w:rsidRDefault="00E27041" w:rsidP="00A76F83">
      <w:pPr>
        <w:pStyle w:val="ChartGraphic"/>
      </w:pPr>
      <w:r>
        <w:pict w14:anchorId="44DFDB48">
          <v:shape id="_x0000_i1034" type="#_x0000_t75" alt="This chart shows the confidence intervals around the Budget forecast for average annualised nominal GDP growth. The Budget forecast for average annualised nominal GDP growth in the three years to 2025-26 is expected to be around 3 3/4 per cent, with the 70 per cent confidence interval ranging from 1 1/2 per cent  to 6 per cent, and the 90 per cent confidence interval ranging from 1/4 per cent to 7 1/4 per cent." style="width:361.05pt;height:195.05pt">
            <v:imagedata r:id="rId31" o:title=""/>
          </v:shape>
        </w:pict>
      </w:r>
    </w:p>
    <w:p w14:paraId="38B6A738" w14:textId="1C7FBD4D" w:rsidR="003A1BEE" w:rsidRPr="00954BBD" w:rsidRDefault="003A1BEE" w:rsidP="00954BBD">
      <w:pPr>
        <w:pStyle w:val="ChartandTableFootnote"/>
      </w:pPr>
      <w:r w:rsidRPr="00954BBD">
        <w:t xml:space="preserve">Note: </w:t>
      </w:r>
      <w:r w:rsidRPr="00954BBD">
        <w:tab/>
      </w:r>
      <w:r w:rsidR="00481748" w:rsidRPr="00954BBD">
        <w:t>The</w:t>
      </w:r>
      <w:r w:rsidR="00481748" w:rsidRPr="00954BBD" w:rsidDel="00DC514F">
        <w:t xml:space="preserve"> </w:t>
      </w:r>
      <w:r w:rsidR="00481748" w:rsidRPr="00954BBD">
        <w:t>line shows the outcomes and the 2024–25</w:t>
      </w:r>
      <w:r w:rsidR="00DD6462" w:rsidRPr="00954BBD">
        <w:t> </w:t>
      </w:r>
      <w:r w:rsidR="00481748" w:rsidRPr="00954BBD">
        <w:t>Budget forecasts. Annual growth rates are reported for the outcomes. Average annualised growth rates from 2022–</w:t>
      </w:r>
      <w:r w:rsidR="00481748" w:rsidRPr="00954BBD" w:rsidDel="00D80297">
        <w:t>2</w:t>
      </w:r>
      <w:r w:rsidR="00481748" w:rsidRPr="00954BBD">
        <w:t>3 are reported for 2023–24 onwards. Confidence intervals are based on the root mean squared errors (RMSEs) of Budget forecasts from 1998–99 onwards and are a statistical assessment that does not take account of any change in circumstance in the economic outlook. (f) are forecasts.</w:t>
      </w:r>
    </w:p>
    <w:p w14:paraId="5239D9BF" w14:textId="4CB39420" w:rsidR="003A1BEE" w:rsidRPr="00F02293" w:rsidRDefault="003A1BEE" w:rsidP="003A1BEE">
      <w:pPr>
        <w:pStyle w:val="ChartandTableFootnote"/>
        <w:rPr>
          <w:color w:val="auto"/>
        </w:rPr>
      </w:pPr>
      <w:r w:rsidRPr="00045DEC">
        <w:rPr>
          <w:color w:val="auto"/>
        </w:rPr>
        <w:t xml:space="preserve">Source: </w:t>
      </w:r>
      <w:r w:rsidRPr="00045DEC">
        <w:rPr>
          <w:color w:val="auto"/>
        </w:rPr>
        <w:tab/>
      </w:r>
      <w:r w:rsidRPr="00E450BF">
        <w:rPr>
          <w:color w:val="auto"/>
        </w:rPr>
        <w:t>ABS Australian National Accounts: National Income, Expenditure and Product</w:t>
      </w:r>
      <w:r w:rsidR="00E450BF" w:rsidRPr="00E450BF">
        <w:rPr>
          <w:color w:val="auto"/>
        </w:rPr>
        <w:t xml:space="preserve"> and Treasury.</w:t>
      </w:r>
      <w:r w:rsidRPr="00F02293">
        <w:rPr>
          <w:color w:val="auto"/>
        </w:rPr>
        <w:t xml:space="preserve"> </w:t>
      </w:r>
    </w:p>
    <w:p w14:paraId="10635C64" w14:textId="77777777" w:rsidR="003A1BEE" w:rsidRPr="00F02293" w:rsidRDefault="003A1BEE" w:rsidP="00AF46DB">
      <w:pPr>
        <w:pStyle w:val="ChartLine"/>
      </w:pPr>
    </w:p>
    <w:p w14:paraId="4EDC204D" w14:textId="77777777" w:rsidR="003A1BEE" w:rsidRDefault="003A1BEE" w:rsidP="003A1BEE">
      <w:pPr>
        <w:spacing w:before="0" w:after="160" w:line="259" w:lineRule="auto"/>
        <w:rPr>
          <w:rFonts w:ascii="Arial Bold" w:hAnsi="Arial Bold"/>
          <w:b/>
          <w:sz w:val="22"/>
        </w:rPr>
      </w:pPr>
      <w:bookmarkStart w:id="25" w:name="_Toc449783849"/>
      <w:bookmarkStart w:id="26" w:name="_Toc3880938"/>
      <w:bookmarkStart w:id="27" w:name="_Toc3881104"/>
      <w:bookmarkStart w:id="28" w:name="_Toc3881281"/>
      <w:bookmarkStart w:id="29" w:name="_Toc52642838"/>
      <w:bookmarkStart w:id="30" w:name="_Toc99026275"/>
      <w:bookmarkStart w:id="31" w:name="_Toc116037830"/>
      <w:bookmarkStart w:id="32" w:name="_Toc116037700"/>
      <w:bookmarkStart w:id="33" w:name="_Toc116040762"/>
      <w:r>
        <w:br w:type="page"/>
      </w:r>
    </w:p>
    <w:p w14:paraId="6DCFF7BF" w14:textId="4D262DB0" w:rsidR="003A1BEE" w:rsidRPr="00045DEC" w:rsidRDefault="003A1BEE" w:rsidP="003A1BEE">
      <w:pPr>
        <w:pStyle w:val="Heading3"/>
      </w:pPr>
      <w:bookmarkStart w:id="34" w:name="_Toc166356113"/>
      <w:r w:rsidRPr="00045DEC">
        <w:lastRenderedPageBreak/>
        <w:t xml:space="preserve">Fiscal </w:t>
      </w:r>
      <w:bookmarkEnd w:id="25"/>
      <w:bookmarkEnd w:id="26"/>
      <w:bookmarkEnd w:id="27"/>
      <w:bookmarkEnd w:id="28"/>
      <w:bookmarkEnd w:id="29"/>
      <w:r w:rsidRPr="00045DEC">
        <w:t>uncertainty based on historical forecast errors</w:t>
      </w:r>
      <w:bookmarkEnd w:id="30"/>
      <w:bookmarkEnd w:id="31"/>
      <w:bookmarkEnd w:id="32"/>
      <w:bookmarkEnd w:id="33"/>
      <w:bookmarkEnd w:id="34"/>
    </w:p>
    <w:p w14:paraId="5E60490E" w14:textId="0442980C" w:rsidR="003A1BEE" w:rsidRPr="00045DEC" w:rsidRDefault="003A1BEE" w:rsidP="003A1BEE">
      <w:r w:rsidRPr="00045DEC">
        <w:t xml:space="preserve">Fiscal estimates are based on economic and demographic forecasts as well as estimates </w:t>
      </w:r>
      <w:r w:rsidRPr="00045DEC" w:rsidDel="00102053">
        <w:t xml:space="preserve">of </w:t>
      </w:r>
      <w:r w:rsidRPr="00045DEC">
        <w:t xml:space="preserve">spending and revenue measures. </w:t>
      </w:r>
    </w:p>
    <w:p w14:paraId="2EDF82DE" w14:textId="3B181BC8" w:rsidR="003A1BEE" w:rsidRPr="00045DEC" w:rsidRDefault="003A1BEE" w:rsidP="00036D81">
      <w:pPr>
        <w:rPr>
          <w:rFonts w:eastAsiaTheme="minorHAnsi"/>
        </w:rPr>
      </w:pPr>
      <w:r w:rsidRPr="00045DEC">
        <w:t xml:space="preserve">Historical variations caused by subsequent policy decisions not known at the time of forecast are excluded because these decisions do not </w:t>
      </w:r>
      <w:r w:rsidR="00951218" w:rsidRPr="00045DEC">
        <w:t>reflect</w:t>
      </w:r>
      <w:r w:rsidRPr="00045DEC">
        <w:t xml:space="preserve"> forecasting errors </w:t>
      </w:r>
      <w:r w:rsidR="00515838" w:rsidRPr="00045DEC">
        <w:t>based on available information at the time</w:t>
      </w:r>
      <w:r w:rsidR="00C1419E" w:rsidRPr="00045DEC">
        <w:t xml:space="preserve"> of preparation</w:t>
      </w:r>
      <w:r w:rsidRPr="00045DEC">
        <w:t xml:space="preserve">. Payment estimates do not exclude the public debt interest associated with these subsequent policy decisions because this cannot be separately identified. </w:t>
      </w:r>
    </w:p>
    <w:p w14:paraId="4FAC3DE3" w14:textId="77777777" w:rsidR="003A1BEE" w:rsidRPr="00045DEC" w:rsidRDefault="003A1BEE" w:rsidP="003A1BEE">
      <w:pPr>
        <w:pStyle w:val="Heading4"/>
        <w:keepNext w:val="0"/>
      </w:pPr>
      <w:r w:rsidRPr="00045DEC">
        <w:t>Total receipts</w:t>
      </w:r>
    </w:p>
    <w:p w14:paraId="1DCF12FF" w14:textId="13D34EDD" w:rsidR="003A1BEE" w:rsidRPr="00045DEC" w:rsidRDefault="003A1BEE" w:rsidP="003A1BEE">
      <w:r w:rsidRPr="00045DEC">
        <w:t>Total receipts (including GST)</w:t>
      </w:r>
      <w:r w:rsidRPr="00045DEC">
        <w:rPr>
          <w:rStyle w:val="FootnoteReference"/>
        </w:rPr>
        <w:t xml:space="preserve"> </w:t>
      </w:r>
      <w:r w:rsidRPr="00045DEC">
        <w:t>are expected to be around</w:t>
      </w:r>
      <w:r w:rsidRPr="00045DEC" w:rsidDel="00001CB0">
        <w:t xml:space="preserve"> </w:t>
      </w:r>
      <w:r w:rsidR="001A3BF4" w:rsidRPr="00045DEC" w:rsidDel="00E93AB5">
        <w:t>25.</w:t>
      </w:r>
      <w:r w:rsidR="001F0FDB" w:rsidRPr="00045DEC">
        <w:t>3</w:t>
      </w:r>
      <w:r w:rsidR="0085361D" w:rsidRPr="00045DEC">
        <w:t> </w:t>
      </w:r>
      <w:r w:rsidRPr="00045DEC">
        <w:t>per cent of GDP in 202</w:t>
      </w:r>
      <w:r w:rsidR="00883386" w:rsidRPr="00045DEC">
        <w:t>4</w:t>
      </w:r>
      <w:r w:rsidR="00872E27" w:rsidRPr="00045DEC">
        <w:t>–</w:t>
      </w:r>
      <w:r w:rsidRPr="00045DEC">
        <w:t>2</w:t>
      </w:r>
      <w:r w:rsidR="00883386" w:rsidRPr="00045DEC">
        <w:t>5</w:t>
      </w:r>
      <w:r w:rsidRPr="00045DEC">
        <w:t xml:space="preserve">, with the 70 per cent confidence interval ranging from </w:t>
      </w:r>
      <w:r w:rsidR="00014ABE" w:rsidRPr="00045DEC">
        <w:t>23.</w:t>
      </w:r>
      <w:r w:rsidR="00D6105D" w:rsidRPr="00045DEC">
        <w:t>7</w:t>
      </w:r>
      <w:r w:rsidR="009C4F2E" w:rsidRPr="00045DEC">
        <w:t> </w:t>
      </w:r>
      <w:r w:rsidRPr="00045DEC">
        <w:t xml:space="preserve">per cent to </w:t>
      </w:r>
      <w:r w:rsidR="00845B7A" w:rsidRPr="00045DEC">
        <w:t>2</w:t>
      </w:r>
      <w:r w:rsidR="00156029" w:rsidRPr="00045DEC">
        <w:t>7.</w:t>
      </w:r>
      <w:r w:rsidR="00014ABE" w:rsidRPr="00045DEC">
        <w:t>0</w:t>
      </w:r>
      <w:r w:rsidR="0085361D" w:rsidRPr="00045DEC">
        <w:t> </w:t>
      </w:r>
      <w:r w:rsidRPr="00045DEC">
        <w:t xml:space="preserve">per cent of GDP. The 90 per cent confidence interval ranges from </w:t>
      </w:r>
      <w:r w:rsidR="00A657FC" w:rsidRPr="00045DEC">
        <w:t>22.</w:t>
      </w:r>
      <w:r w:rsidR="00E67CF9" w:rsidRPr="00045DEC">
        <w:t>7</w:t>
      </w:r>
      <w:r w:rsidR="009C4F2E" w:rsidRPr="00045DEC">
        <w:t> </w:t>
      </w:r>
      <w:r w:rsidRPr="00045DEC">
        <w:t xml:space="preserve">per cent to </w:t>
      </w:r>
      <w:r w:rsidR="00E67CF9" w:rsidRPr="00045DEC">
        <w:t>27.</w:t>
      </w:r>
      <w:r w:rsidR="00C06B79" w:rsidRPr="00045DEC">
        <w:t>9</w:t>
      </w:r>
      <w:r w:rsidR="009C4F2E" w:rsidRPr="00045DEC">
        <w:t> </w:t>
      </w:r>
      <w:r w:rsidRPr="00045DEC">
        <w:t>per cent</w:t>
      </w:r>
      <w:r w:rsidR="002939B0" w:rsidRPr="00045DEC">
        <w:t xml:space="preserve"> in 2024–25</w:t>
      </w:r>
      <w:r w:rsidRPr="00045DEC">
        <w:t>. The</w:t>
      </w:r>
      <w:r w:rsidRPr="00045DEC" w:rsidDel="00A00AE8">
        <w:t xml:space="preserve"> </w:t>
      </w:r>
      <w:r w:rsidRPr="00045DEC">
        <w:t xml:space="preserve">uncertainty around receipts forecasts increases with time (Chart 8.11). </w:t>
      </w:r>
    </w:p>
    <w:p w14:paraId="2C1878D6" w14:textId="77777777" w:rsidR="003A1BEE" w:rsidRPr="00045DEC" w:rsidRDefault="003A1BEE" w:rsidP="003A1BEE">
      <w:pPr>
        <w:pStyle w:val="ChartHeading"/>
        <w:rPr>
          <w:vertAlign w:val="superscript"/>
        </w:rPr>
      </w:pPr>
      <w:r w:rsidRPr="00045DEC">
        <w:t>Chart 8.11: Confidence intervals around total receipts forecasts</w:t>
      </w:r>
      <w:r w:rsidRPr="00045DEC">
        <w:rPr>
          <w:vertAlign w:val="superscript"/>
        </w:rPr>
        <w:t>(a)</w:t>
      </w:r>
    </w:p>
    <w:p w14:paraId="7B15BBD1" w14:textId="1BAF2145" w:rsidR="00E845A6" w:rsidRPr="00045DEC" w:rsidRDefault="00E27041" w:rsidP="0002271F">
      <w:pPr>
        <w:pStyle w:val="ChartGraphic"/>
      </w:pPr>
      <w:bookmarkStart w:id="35" w:name="_1709801136"/>
      <w:bookmarkEnd w:id="35"/>
      <w:r>
        <w:pict w14:anchorId="51AAACAC">
          <v:shape id="_x0000_i1035" type="#_x0000_t75" alt="This chart shows the confidence intervals around the Budget forecast for total receipts as a percentage of GDP. Total receipts (including GST) are expected to be around 25.8 per cent of GDP in 2023–24, falling to 25.1 per cent in 2025–26. The width of 70 per cent confidence interval grows from 0.8 percentage points in 2023–24 to 4.8 percentage points in 2025–26. The width of the 90 per cent confidence interval grows from 1.2 percentage points in 2023–24 to 7.7 percentage points in 2025–26." style="width:367pt;height:235.35pt">
            <v:imagedata r:id="rId32" o:title=""/>
          </v:shape>
        </w:pict>
      </w:r>
    </w:p>
    <w:p w14:paraId="58B82FC1" w14:textId="2E2BA386" w:rsidR="003A1BEE" w:rsidRPr="00045DEC" w:rsidRDefault="003A1BEE" w:rsidP="003A1BEE">
      <w:pPr>
        <w:pStyle w:val="ChartandTableFootnoteAlpha"/>
        <w:numPr>
          <w:ilvl w:val="0"/>
          <w:numId w:val="19"/>
        </w:numPr>
        <w:rPr>
          <w:color w:val="auto"/>
        </w:rPr>
      </w:pPr>
      <w:r w:rsidRPr="00045DEC">
        <w:rPr>
          <w:color w:val="auto"/>
        </w:rPr>
        <w:t>Includes Future Fund earnings from 20</w:t>
      </w:r>
      <w:r w:rsidR="00E14C21" w:rsidRPr="00045DEC">
        <w:rPr>
          <w:color w:val="auto"/>
        </w:rPr>
        <w:t>2</w:t>
      </w:r>
      <w:r w:rsidRPr="00045DEC">
        <w:rPr>
          <w:color w:val="auto"/>
        </w:rPr>
        <w:t>0</w:t>
      </w:r>
      <w:r w:rsidR="00872E27" w:rsidRPr="00045DEC">
        <w:rPr>
          <w:color w:val="auto"/>
        </w:rPr>
        <w:t>–</w:t>
      </w:r>
      <w:r w:rsidRPr="00045DEC">
        <w:rPr>
          <w:color w:val="auto"/>
        </w:rPr>
        <w:t>21 onwards.</w:t>
      </w:r>
    </w:p>
    <w:p w14:paraId="2D0CE4F1" w14:textId="3946CC21" w:rsidR="003A1BEE" w:rsidRPr="00045DEC" w:rsidRDefault="003A1BEE" w:rsidP="003A1BEE">
      <w:pPr>
        <w:pStyle w:val="ChartandTableFootnote"/>
        <w:ind w:right="57"/>
        <w:rPr>
          <w:color w:val="auto"/>
        </w:rPr>
      </w:pPr>
      <w:r w:rsidRPr="00045DEC">
        <w:rPr>
          <w:color w:val="auto"/>
        </w:rPr>
        <w:t xml:space="preserve">Note: </w:t>
      </w:r>
      <w:r w:rsidRPr="00045DEC">
        <w:rPr>
          <w:color w:val="auto"/>
        </w:rPr>
        <w:tab/>
        <w:t>The central line shows outcomes and the 202</w:t>
      </w:r>
      <w:r w:rsidR="00B03F4F" w:rsidRPr="00045DEC">
        <w:rPr>
          <w:color w:val="auto"/>
        </w:rPr>
        <w:t>4</w:t>
      </w:r>
      <w:r w:rsidR="00872E27" w:rsidRPr="00045DEC">
        <w:rPr>
          <w:color w:val="auto"/>
        </w:rPr>
        <w:t>–</w:t>
      </w:r>
      <w:r w:rsidRPr="00045DEC">
        <w:rPr>
          <w:color w:val="auto"/>
        </w:rPr>
        <w:t>2</w:t>
      </w:r>
      <w:r w:rsidR="003C06DC" w:rsidRPr="00045DEC">
        <w:rPr>
          <w:color w:val="auto"/>
        </w:rPr>
        <w:t>5</w:t>
      </w:r>
      <w:r w:rsidR="00B002CB" w:rsidRPr="00045DEC">
        <w:rPr>
          <w:color w:val="auto"/>
        </w:rPr>
        <w:t> </w:t>
      </w:r>
      <w:r w:rsidRPr="00045DEC">
        <w:rPr>
          <w:color w:val="auto"/>
        </w:rPr>
        <w:t xml:space="preserve">Budget forecasts. Confidence intervals use </w:t>
      </w:r>
      <w:r w:rsidR="00E51CA5" w:rsidRPr="00045DEC">
        <w:rPr>
          <w:color w:val="auto"/>
        </w:rPr>
        <w:t>R</w:t>
      </w:r>
      <w:r w:rsidR="00A9673C" w:rsidRPr="00045DEC">
        <w:rPr>
          <w:color w:val="auto"/>
        </w:rPr>
        <w:t xml:space="preserve">oot </w:t>
      </w:r>
      <w:r w:rsidR="00E51CA5" w:rsidRPr="00045DEC">
        <w:rPr>
          <w:color w:val="auto"/>
        </w:rPr>
        <w:t>M</w:t>
      </w:r>
      <w:r w:rsidR="00A9673C" w:rsidRPr="00045DEC">
        <w:rPr>
          <w:color w:val="auto"/>
        </w:rPr>
        <w:t xml:space="preserve">ean </w:t>
      </w:r>
      <w:r w:rsidR="00E51CA5" w:rsidRPr="00045DEC">
        <w:rPr>
          <w:color w:val="auto"/>
        </w:rPr>
        <w:t>S</w:t>
      </w:r>
      <w:r w:rsidR="00A9673C" w:rsidRPr="00045DEC">
        <w:rPr>
          <w:color w:val="auto"/>
        </w:rPr>
        <w:t xml:space="preserve">quare </w:t>
      </w:r>
      <w:r w:rsidR="00E51CA5" w:rsidRPr="00045DEC">
        <w:rPr>
          <w:color w:val="auto"/>
        </w:rPr>
        <w:t>Error</w:t>
      </w:r>
      <w:r w:rsidRPr="00045DEC">
        <w:rPr>
          <w:color w:val="auto"/>
        </w:rPr>
        <w:t>s</w:t>
      </w:r>
      <w:r w:rsidR="00E51CA5" w:rsidRPr="00045DEC">
        <w:rPr>
          <w:color w:val="auto"/>
        </w:rPr>
        <w:t xml:space="preserve"> (RMSE)</w:t>
      </w:r>
      <w:r w:rsidRPr="00045DEC">
        <w:rPr>
          <w:color w:val="auto"/>
        </w:rPr>
        <w:t xml:space="preserve"> for Budget forecasts from the 1999</w:t>
      </w:r>
      <w:r w:rsidR="00872E27" w:rsidRPr="00045DEC">
        <w:rPr>
          <w:color w:val="auto"/>
        </w:rPr>
        <w:t>–</w:t>
      </w:r>
      <w:r w:rsidRPr="00045DEC">
        <w:rPr>
          <w:color w:val="auto"/>
        </w:rPr>
        <w:t>2000</w:t>
      </w:r>
      <w:r w:rsidR="00B002CB" w:rsidRPr="00045DEC">
        <w:rPr>
          <w:color w:val="auto"/>
        </w:rPr>
        <w:t> </w:t>
      </w:r>
      <w:r w:rsidRPr="00045DEC">
        <w:rPr>
          <w:color w:val="auto"/>
        </w:rPr>
        <w:t xml:space="preserve">Budget onwards. </w:t>
      </w:r>
      <w:r w:rsidR="0070102A" w:rsidRPr="00045DEC">
        <w:rPr>
          <w:color w:val="auto"/>
        </w:rPr>
        <w:br/>
      </w:r>
      <w:r w:rsidRPr="00045DEC">
        <w:rPr>
          <w:color w:val="auto"/>
        </w:rPr>
        <w:t xml:space="preserve">(f) are forecasts. </w:t>
      </w:r>
    </w:p>
    <w:p w14:paraId="62B7C59E" w14:textId="40207829" w:rsidR="003A1BEE" w:rsidRPr="00045DEC" w:rsidRDefault="003A1BEE" w:rsidP="003A1BEE">
      <w:pPr>
        <w:pStyle w:val="ChartandTableFootnote"/>
        <w:rPr>
          <w:color w:val="auto"/>
        </w:rPr>
      </w:pPr>
      <w:r w:rsidRPr="00045DEC">
        <w:rPr>
          <w:color w:val="auto"/>
        </w:rPr>
        <w:t xml:space="preserve">Source: </w:t>
      </w:r>
      <w:r w:rsidRPr="00045DEC">
        <w:rPr>
          <w:color w:val="auto"/>
        </w:rPr>
        <w:tab/>
        <w:t xml:space="preserve">Budget papers and Treasury. </w:t>
      </w:r>
    </w:p>
    <w:p w14:paraId="3F2536F5" w14:textId="77777777" w:rsidR="003A1BEE" w:rsidRPr="00045DEC" w:rsidRDefault="003A1BEE" w:rsidP="00AF46DB">
      <w:pPr>
        <w:pStyle w:val="ChartLine"/>
      </w:pPr>
    </w:p>
    <w:p w14:paraId="11BA38D0" w14:textId="77777777" w:rsidR="003A1BEE" w:rsidRPr="00045DEC" w:rsidRDefault="003A1BEE" w:rsidP="00CD6D57">
      <w:bookmarkStart w:id="36" w:name="_Toc448910754"/>
      <w:bookmarkStart w:id="37" w:name="_Toc52369754"/>
      <w:r w:rsidRPr="00045DEC">
        <w:br w:type="page"/>
      </w:r>
    </w:p>
    <w:p w14:paraId="302234F1" w14:textId="77777777" w:rsidR="003A1BEE" w:rsidRPr="00045DEC" w:rsidRDefault="003A1BEE" w:rsidP="003A1BEE">
      <w:pPr>
        <w:pStyle w:val="Heading4"/>
      </w:pPr>
      <w:r w:rsidRPr="00045DEC">
        <w:lastRenderedPageBreak/>
        <w:t>Payments</w:t>
      </w:r>
      <w:bookmarkEnd w:id="36"/>
      <w:bookmarkEnd w:id="37"/>
    </w:p>
    <w:p w14:paraId="05C7AB96" w14:textId="0B02A020" w:rsidR="007804DD" w:rsidRPr="00045DEC" w:rsidRDefault="003A1BEE" w:rsidP="00A851BF">
      <w:pPr>
        <w:widowControl w:val="0"/>
      </w:pPr>
      <w:r w:rsidRPr="00045DEC">
        <w:t xml:space="preserve">The confidence interval for payments is narrower than receipts because there is greater certainty around payments forecasts. Payments (including GST) are expected to be around </w:t>
      </w:r>
      <w:r w:rsidR="00CA2FDF" w:rsidRPr="00045DEC">
        <w:t>26.</w:t>
      </w:r>
      <w:r w:rsidR="00330694" w:rsidRPr="00045DEC">
        <w:t>4</w:t>
      </w:r>
      <w:r w:rsidRPr="00045DEC">
        <w:t> per cent of GDP in 202</w:t>
      </w:r>
      <w:r w:rsidR="00872A0D" w:rsidRPr="00045DEC">
        <w:t>4</w:t>
      </w:r>
      <w:r w:rsidR="00872E27" w:rsidRPr="00045DEC">
        <w:t>–</w:t>
      </w:r>
      <w:r w:rsidRPr="00045DEC">
        <w:t>2</w:t>
      </w:r>
      <w:r w:rsidR="00872A0D" w:rsidRPr="00045DEC">
        <w:t>5</w:t>
      </w:r>
      <w:r w:rsidRPr="00045DEC">
        <w:t xml:space="preserve">, with the 70 per cent confidence interval ranging from </w:t>
      </w:r>
      <w:r w:rsidR="000914DF" w:rsidRPr="00045DEC">
        <w:t>25.</w:t>
      </w:r>
      <w:r w:rsidR="008777AE" w:rsidRPr="00045DEC">
        <w:t>8</w:t>
      </w:r>
      <w:r w:rsidRPr="00045DEC">
        <w:t> per cent to </w:t>
      </w:r>
      <w:r w:rsidR="00297E31" w:rsidRPr="00045DEC">
        <w:t>26.</w:t>
      </w:r>
      <w:r w:rsidR="008777AE" w:rsidRPr="00045DEC">
        <w:t>9</w:t>
      </w:r>
      <w:r w:rsidR="00653B1E" w:rsidRPr="00045DEC">
        <w:t> </w:t>
      </w:r>
      <w:r w:rsidRPr="00045DEC">
        <w:t>per cent of GDP. The 90 per cent confidence interval ranges</w:t>
      </w:r>
      <w:r w:rsidR="007C4678" w:rsidRPr="00045DEC">
        <w:t xml:space="preserve"> </w:t>
      </w:r>
      <w:r w:rsidRPr="00045DEC">
        <w:t>from</w:t>
      </w:r>
      <w:r w:rsidR="00653B1E" w:rsidRPr="00045DEC">
        <w:t xml:space="preserve"> </w:t>
      </w:r>
      <w:r w:rsidR="00EF693A" w:rsidRPr="00045DEC">
        <w:t>2</w:t>
      </w:r>
      <w:r w:rsidR="00130476" w:rsidRPr="00045DEC">
        <w:t>5</w:t>
      </w:r>
      <w:r w:rsidR="00EF693A" w:rsidRPr="00045DEC">
        <w:t>.</w:t>
      </w:r>
      <w:r w:rsidR="008930E2" w:rsidRPr="00045DEC">
        <w:t>5</w:t>
      </w:r>
      <w:r w:rsidR="007C4678" w:rsidRPr="00045DEC">
        <w:t> </w:t>
      </w:r>
      <w:r w:rsidRPr="00045DEC">
        <w:t>per cent to</w:t>
      </w:r>
      <w:r w:rsidR="005A0742" w:rsidRPr="00045DEC">
        <w:t xml:space="preserve"> </w:t>
      </w:r>
      <w:r w:rsidR="006618E4" w:rsidRPr="00045DEC">
        <w:t>2</w:t>
      </w:r>
      <w:r w:rsidR="008930E2" w:rsidRPr="00045DEC">
        <w:t>7.2</w:t>
      </w:r>
      <w:r w:rsidR="009C4F2E" w:rsidRPr="00045DEC">
        <w:t> </w:t>
      </w:r>
      <w:r w:rsidRPr="00045DEC">
        <w:t xml:space="preserve">per cent </w:t>
      </w:r>
      <w:r w:rsidR="008930E2" w:rsidRPr="00045DEC">
        <w:t>in 2024</w:t>
      </w:r>
      <w:r w:rsidR="00894FF0" w:rsidRPr="00045DEC">
        <w:t>–</w:t>
      </w:r>
      <w:r w:rsidR="008930E2" w:rsidRPr="00045DEC">
        <w:t>25</w:t>
      </w:r>
      <w:r w:rsidRPr="00045DEC">
        <w:t xml:space="preserve"> (Chart 8.12).</w:t>
      </w:r>
    </w:p>
    <w:p w14:paraId="161690CA" w14:textId="77777777" w:rsidR="003A1BEE" w:rsidRPr="00045DEC" w:rsidRDefault="003A1BEE" w:rsidP="003A1BEE">
      <w:pPr>
        <w:pStyle w:val="ChartHeading"/>
        <w:rPr>
          <w:vertAlign w:val="superscript"/>
        </w:rPr>
      </w:pPr>
      <w:r w:rsidRPr="00045DEC">
        <w:t>Chart 8.12: Confidence intervals around payments forecasts</w:t>
      </w:r>
      <w:r w:rsidRPr="00045DEC">
        <w:rPr>
          <w:vertAlign w:val="superscript"/>
        </w:rPr>
        <w:t>(a)</w:t>
      </w:r>
    </w:p>
    <w:p w14:paraId="7398717E" w14:textId="1C155242" w:rsidR="003D6A91" w:rsidRPr="00045DEC" w:rsidRDefault="00E27041" w:rsidP="00412DC9">
      <w:pPr>
        <w:pStyle w:val="ChartGraphic"/>
      </w:pPr>
      <w:r>
        <w:pict w14:anchorId="51C20A63">
          <v:shape id="_x0000_i1036" type="#_x0000_t75" alt="This chart shows confidence intervals around the Budget forecast for payments as a percentage of GDP. Payments (including GST) are expected to be around 25.4 per cent of GDP in 2023–24 increasing to 26.6 per cent in 2025–26. The 70 per cent confidence interval grows in width from 0.6 percentage points in 2023–24 to 1.1 percentage points in 2025–26. The 90 per cent confidence interval grows in width from 1.0 percentage points in 2023–24 to 1.9 percentage points in 2025–26." style="width:365.9pt;height:235.35pt">
            <v:imagedata r:id="rId33" o:title=""/>
          </v:shape>
        </w:pict>
      </w:r>
    </w:p>
    <w:p w14:paraId="4D10B588" w14:textId="77777777" w:rsidR="003A1BEE" w:rsidRPr="00045DEC" w:rsidRDefault="003A1BEE" w:rsidP="003A1BEE">
      <w:pPr>
        <w:pStyle w:val="ChartandTableFootnoteAlpha"/>
        <w:numPr>
          <w:ilvl w:val="0"/>
          <w:numId w:val="35"/>
        </w:numPr>
        <w:rPr>
          <w:color w:val="auto"/>
        </w:rPr>
      </w:pPr>
      <w:r w:rsidRPr="00045DEC">
        <w:rPr>
          <w:color w:val="auto"/>
        </w:rPr>
        <w:t>Includes GST payments.</w:t>
      </w:r>
    </w:p>
    <w:p w14:paraId="232558B3" w14:textId="015FF3FF" w:rsidR="000312EE" w:rsidRPr="00045DEC" w:rsidRDefault="003A1BEE" w:rsidP="000312EE">
      <w:pPr>
        <w:pStyle w:val="ChartandTableFootnote"/>
        <w:ind w:right="57"/>
        <w:rPr>
          <w:color w:val="auto"/>
        </w:rPr>
      </w:pPr>
      <w:r w:rsidRPr="00045DEC">
        <w:rPr>
          <w:color w:val="auto"/>
        </w:rPr>
        <w:t xml:space="preserve">Note: </w:t>
      </w:r>
      <w:r w:rsidRPr="00045DEC">
        <w:rPr>
          <w:color w:val="auto"/>
        </w:rPr>
        <w:tab/>
      </w:r>
      <w:r w:rsidR="001729A6" w:rsidRPr="00045DEC">
        <w:rPr>
          <w:color w:val="auto"/>
        </w:rPr>
        <w:t xml:space="preserve">The central line shows </w:t>
      </w:r>
      <w:r w:rsidR="000312EE" w:rsidRPr="00045DEC">
        <w:rPr>
          <w:color w:val="auto"/>
        </w:rPr>
        <w:t>outcomes and the 2024–25</w:t>
      </w:r>
      <w:r w:rsidR="00B002CB" w:rsidRPr="00045DEC">
        <w:rPr>
          <w:color w:val="auto"/>
        </w:rPr>
        <w:t> </w:t>
      </w:r>
      <w:r w:rsidR="000312EE" w:rsidRPr="00045DEC">
        <w:rPr>
          <w:color w:val="auto"/>
        </w:rPr>
        <w:t>Budget forecasts. Confidence intervals use Root Mean Square Errors (RMSE) for Budget forecasts from the 1999–2000</w:t>
      </w:r>
      <w:r w:rsidR="00B002CB" w:rsidRPr="00045DEC">
        <w:rPr>
          <w:color w:val="auto"/>
        </w:rPr>
        <w:t> </w:t>
      </w:r>
      <w:r w:rsidR="000312EE" w:rsidRPr="00045DEC">
        <w:rPr>
          <w:color w:val="auto"/>
        </w:rPr>
        <w:t xml:space="preserve">Budget onwards. </w:t>
      </w:r>
      <w:r w:rsidR="000312EE" w:rsidRPr="00045DEC">
        <w:rPr>
          <w:color w:val="auto"/>
        </w:rPr>
        <w:br/>
        <w:t xml:space="preserve">(f) are forecasts. </w:t>
      </w:r>
    </w:p>
    <w:p w14:paraId="684DD66D" w14:textId="38AE820E" w:rsidR="000312EE" w:rsidRPr="00045DEC" w:rsidRDefault="000312EE" w:rsidP="000312EE">
      <w:pPr>
        <w:pStyle w:val="ChartandTableFootnote"/>
        <w:rPr>
          <w:color w:val="auto"/>
        </w:rPr>
      </w:pPr>
      <w:r w:rsidRPr="00045DEC">
        <w:rPr>
          <w:color w:val="auto"/>
        </w:rPr>
        <w:t xml:space="preserve">Source: </w:t>
      </w:r>
      <w:r w:rsidRPr="00045DEC">
        <w:rPr>
          <w:color w:val="auto"/>
        </w:rPr>
        <w:tab/>
        <w:t xml:space="preserve">Budget papers and Treasury. </w:t>
      </w:r>
    </w:p>
    <w:p w14:paraId="334A4745" w14:textId="77777777" w:rsidR="003A1BEE" w:rsidRPr="00045DEC" w:rsidRDefault="003A1BEE" w:rsidP="00AF46DB">
      <w:pPr>
        <w:pStyle w:val="ChartLine"/>
      </w:pPr>
    </w:p>
    <w:p w14:paraId="439CFF94" w14:textId="77777777" w:rsidR="003A1BEE" w:rsidRPr="00045DEC" w:rsidRDefault="003A1BEE" w:rsidP="003A1BEE">
      <w:pPr>
        <w:spacing w:before="0" w:after="160" w:line="259" w:lineRule="auto"/>
        <w:rPr>
          <w:rFonts w:ascii="Arial Bold" w:hAnsi="Arial Bold"/>
          <w:b/>
          <w:sz w:val="20"/>
        </w:rPr>
      </w:pPr>
      <w:bookmarkStart w:id="38" w:name="_Toc52369755"/>
      <w:r w:rsidRPr="00045DEC">
        <w:br w:type="page"/>
      </w:r>
    </w:p>
    <w:p w14:paraId="79059E9D" w14:textId="77777777" w:rsidR="003A1BEE" w:rsidRPr="00045DEC" w:rsidRDefault="003A1BEE" w:rsidP="003A1BEE">
      <w:pPr>
        <w:pStyle w:val="Heading4"/>
      </w:pPr>
      <w:r w:rsidRPr="00045DEC">
        <w:lastRenderedPageBreak/>
        <w:t>Underlying cash balance</w:t>
      </w:r>
      <w:bookmarkEnd w:id="38"/>
    </w:p>
    <w:p w14:paraId="67A2E2AC" w14:textId="01AB9522" w:rsidR="003A1BEE" w:rsidRPr="00045DEC" w:rsidRDefault="003A1BEE" w:rsidP="003A1BEE">
      <w:pPr>
        <w:ind w:right="113"/>
      </w:pPr>
      <w:r w:rsidRPr="00045DEC">
        <w:t xml:space="preserve">The underlying cash </w:t>
      </w:r>
      <w:r w:rsidR="0039672A" w:rsidRPr="00045DEC">
        <w:t xml:space="preserve">deficit </w:t>
      </w:r>
      <w:r w:rsidRPr="00045DEC">
        <w:t>in 202</w:t>
      </w:r>
      <w:r w:rsidR="00083CA5" w:rsidRPr="00045DEC">
        <w:t>4</w:t>
      </w:r>
      <w:r w:rsidR="00872E27" w:rsidRPr="00045DEC">
        <w:t>–</w:t>
      </w:r>
      <w:r w:rsidRPr="00045DEC">
        <w:t>2</w:t>
      </w:r>
      <w:r w:rsidR="00083CA5" w:rsidRPr="00045DEC">
        <w:t>5</w:t>
      </w:r>
      <w:r w:rsidRPr="00045DEC">
        <w:t xml:space="preserve"> is expected to be</w:t>
      </w:r>
      <w:r w:rsidRPr="00045DEC" w:rsidDel="00160B1E">
        <w:t xml:space="preserve"> </w:t>
      </w:r>
      <w:r w:rsidR="009D4EDB" w:rsidRPr="00045DEC">
        <w:t>1</w:t>
      </w:r>
      <w:r w:rsidR="00DB2382" w:rsidRPr="00045DEC">
        <w:t>.0</w:t>
      </w:r>
      <w:r w:rsidRPr="00045DEC">
        <w:t> per cent of GDP, with the 70 per cent confidence interval ranging from a deficit of</w:t>
      </w:r>
      <w:r w:rsidRPr="00045DEC" w:rsidDel="00993F62">
        <w:t xml:space="preserve"> </w:t>
      </w:r>
      <w:r w:rsidR="0091010C" w:rsidRPr="00045DEC">
        <w:t>2.9</w:t>
      </w:r>
      <w:r w:rsidRPr="00045DEC">
        <w:t xml:space="preserve"> per cent to a surplus of </w:t>
      </w:r>
      <w:r w:rsidR="004172DC" w:rsidRPr="00045DEC">
        <w:t>0.9</w:t>
      </w:r>
      <w:r w:rsidRPr="00045DEC">
        <w:t xml:space="preserve"> per cent of GDP. The 90 per cent confidence interval ranges from a deficit of </w:t>
      </w:r>
      <w:r w:rsidR="00B37C87" w:rsidRPr="00045DEC">
        <w:t>4.0</w:t>
      </w:r>
      <w:r w:rsidRPr="00045DEC">
        <w:t> per cent to a surplus of</w:t>
      </w:r>
      <w:r w:rsidRPr="00045DEC" w:rsidDel="00C21438">
        <w:t xml:space="preserve"> </w:t>
      </w:r>
      <w:r w:rsidR="00FC58D2" w:rsidRPr="00045DEC">
        <w:t>2.0</w:t>
      </w:r>
      <w:r w:rsidRPr="00045DEC">
        <w:t> per cent</w:t>
      </w:r>
      <w:r w:rsidR="00E5520A" w:rsidRPr="00045DEC">
        <w:t xml:space="preserve"> in 2024–25</w:t>
      </w:r>
      <w:r w:rsidRPr="00045DEC">
        <w:t xml:space="preserve">. </w:t>
      </w:r>
    </w:p>
    <w:p w14:paraId="6EDEC137" w14:textId="19C01FAA" w:rsidR="003A1BEE" w:rsidRPr="00045DEC" w:rsidRDefault="003A1BEE" w:rsidP="003A1BEE">
      <w:pPr>
        <w:ind w:right="113"/>
      </w:pPr>
      <w:r w:rsidRPr="00045DEC">
        <w:t>The uncertainty around underlying cash balance forecasts reflects forecast errors in receipts and payments which increase with time (Chart 8.</w:t>
      </w:r>
      <w:r w:rsidRPr="00045DEC" w:rsidDel="00B448DB">
        <w:t>1</w:t>
      </w:r>
      <w:r w:rsidRPr="00045DEC">
        <w:t xml:space="preserve">3). </w:t>
      </w:r>
    </w:p>
    <w:p w14:paraId="72A747EC" w14:textId="77777777" w:rsidR="003A1BEE" w:rsidRPr="00045DEC" w:rsidRDefault="003A1BEE" w:rsidP="003A1BEE">
      <w:pPr>
        <w:pStyle w:val="ChartHeading"/>
      </w:pPr>
      <w:r w:rsidRPr="00045DEC">
        <w:t>Chart 8.</w:t>
      </w:r>
      <w:r w:rsidRPr="00045DEC" w:rsidDel="00B448DB">
        <w:t>1</w:t>
      </w:r>
      <w:r w:rsidRPr="00045DEC">
        <w:t>3: Confidence intervals around the underlying cash balance forecasts</w:t>
      </w:r>
    </w:p>
    <w:p w14:paraId="167F2D23" w14:textId="18F1AC33" w:rsidR="003A1BEE" w:rsidRPr="00045DEC" w:rsidRDefault="00E27041" w:rsidP="00412DC9">
      <w:pPr>
        <w:pStyle w:val="ChartGraphic"/>
      </w:pPr>
      <w:bookmarkStart w:id="39" w:name="_1776759155"/>
      <w:bookmarkEnd w:id="39"/>
      <w:r>
        <w:pict w14:anchorId="7636373A">
          <v:shape id="_x0000_i1037" type="#_x0000_t75" alt="This chart shows confidence intervals around the Budget forecast for the underlying cash balance as a percentage of GDP. The underlying cash deficit in expected to be in a surplus 0.3 per cent of GDP in 2023–24, falling to a deficit of 1.5 per cent of GDP in 2025–26. The width of 70 per cent confidence interval grows from 1.3 percentage points in 2023–24 to 5.0 percentage points in 2025–26. The width of the 90 per cent confidence interval grows from 1.9 percentage points in 2023–24 to 8.0 percentage points in 2025–26." style="width:365.35pt;height:230.5pt">
            <v:imagedata r:id="rId34" o:title=""/>
          </v:shape>
        </w:pict>
      </w:r>
    </w:p>
    <w:p w14:paraId="29D500A7" w14:textId="3E591A1F" w:rsidR="00E5520A" w:rsidRPr="00045DEC" w:rsidRDefault="00E5520A" w:rsidP="00E5520A">
      <w:pPr>
        <w:pStyle w:val="ChartandTableFootnote"/>
        <w:ind w:right="57"/>
        <w:rPr>
          <w:color w:val="auto"/>
        </w:rPr>
      </w:pPr>
      <w:r w:rsidRPr="00045DEC">
        <w:rPr>
          <w:color w:val="auto"/>
        </w:rPr>
        <w:t xml:space="preserve">Note: </w:t>
      </w:r>
      <w:r w:rsidRPr="00045DEC">
        <w:rPr>
          <w:color w:val="auto"/>
        </w:rPr>
        <w:tab/>
        <w:t>The central line shows outcomes and the 2024–25</w:t>
      </w:r>
      <w:r w:rsidR="00DD6462" w:rsidRPr="00045DEC">
        <w:rPr>
          <w:color w:val="auto"/>
        </w:rPr>
        <w:t> </w:t>
      </w:r>
      <w:r w:rsidRPr="00045DEC">
        <w:rPr>
          <w:color w:val="auto"/>
        </w:rPr>
        <w:t>Budget forecasts. Confidence intervals use Root Mean Square Errors (RMSE) for Budget forecasts from the 1999–2000</w:t>
      </w:r>
      <w:r w:rsidR="00DD6462" w:rsidRPr="00045DEC">
        <w:rPr>
          <w:color w:val="auto"/>
        </w:rPr>
        <w:t> </w:t>
      </w:r>
      <w:r w:rsidRPr="00045DEC">
        <w:rPr>
          <w:color w:val="auto"/>
        </w:rPr>
        <w:t xml:space="preserve">Budget onwards. </w:t>
      </w:r>
      <w:r w:rsidRPr="00045DEC">
        <w:rPr>
          <w:color w:val="auto"/>
        </w:rPr>
        <w:br/>
        <w:t xml:space="preserve">(f) are forecasts. </w:t>
      </w:r>
    </w:p>
    <w:p w14:paraId="3B5EEB0F" w14:textId="13D23EB2" w:rsidR="003A1BEE" w:rsidRPr="00045DEC" w:rsidRDefault="003A1BEE" w:rsidP="00766BD4">
      <w:pPr>
        <w:pStyle w:val="ChartandTableFootnote"/>
        <w:ind w:left="0" w:firstLine="0"/>
        <w:rPr>
          <w:color w:val="auto"/>
        </w:rPr>
      </w:pPr>
      <w:r w:rsidRPr="00045DEC">
        <w:rPr>
          <w:color w:val="auto"/>
        </w:rPr>
        <w:t xml:space="preserve">Source: </w:t>
      </w:r>
      <w:r w:rsidRPr="00045DEC">
        <w:rPr>
          <w:color w:val="auto"/>
        </w:rPr>
        <w:tab/>
        <w:t xml:space="preserve">Budget papers and Treasury. </w:t>
      </w:r>
      <w:bookmarkStart w:id="40" w:name="_Toc449783850"/>
      <w:bookmarkStart w:id="41" w:name="_Toc3880939"/>
      <w:bookmarkStart w:id="42" w:name="_Toc3881105"/>
      <w:bookmarkStart w:id="43" w:name="_Toc3881282"/>
      <w:bookmarkStart w:id="44" w:name="_Toc52642839"/>
      <w:bookmarkStart w:id="45" w:name="_Toc99026276"/>
      <w:bookmarkStart w:id="46" w:name="_Toc116037831"/>
      <w:bookmarkStart w:id="47" w:name="_Toc116037701"/>
      <w:bookmarkStart w:id="48" w:name="_Toc116040763"/>
    </w:p>
    <w:p w14:paraId="436C7D89" w14:textId="4E271A3B" w:rsidR="003A1BEE" w:rsidRPr="00F02293" w:rsidRDefault="003A1BEE" w:rsidP="00AF46DB">
      <w:pPr>
        <w:pStyle w:val="ChartLine"/>
      </w:pPr>
    </w:p>
    <w:p w14:paraId="34ABF65E" w14:textId="77777777" w:rsidR="000E7E2E" w:rsidRDefault="000E7E2E">
      <w:pPr>
        <w:spacing w:before="0" w:after="160" w:line="259" w:lineRule="auto"/>
        <w:rPr>
          <w:rFonts w:ascii="Arial Bold" w:hAnsi="Arial Bold"/>
          <w:b/>
          <w:sz w:val="26"/>
        </w:rPr>
      </w:pPr>
      <w:r>
        <w:br w:type="page"/>
      </w:r>
    </w:p>
    <w:p w14:paraId="3418B781" w14:textId="263B5B37" w:rsidR="003A1BEE" w:rsidRPr="00045DEC" w:rsidRDefault="003A1BEE" w:rsidP="003A1BEE">
      <w:pPr>
        <w:pStyle w:val="Heading2"/>
        <w:spacing w:before="480"/>
      </w:pPr>
      <w:bookmarkStart w:id="49" w:name="_Toc166356114"/>
      <w:r w:rsidRPr="00045DEC">
        <w:lastRenderedPageBreak/>
        <w:t>Assessing current forecasts through sensitivity analysis</w:t>
      </w:r>
      <w:bookmarkEnd w:id="40"/>
      <w:bookmarkEnd w:id="41"/>
      <w:bookmarkEnd w:id="42"/>
      <w:bookmarkEnd w:id="43"/>
      <w:bookmarkEnd w:id="44"/>
      <w:bookmarkEnd w:id="45"/>
      <w:bookmarkEnd w:id="46"/>
      <w:bookmarkEnd w:id="47"/>
      <w:bookmarkEnd w:id="48"/>
      <w:bookmarkEnd w:id="49"/>
    </w:p>
    <w:p w14:paraId="33449553" w14:textId="20C0164F" w:rsidR="003A1BEE" w:rsidRPr="00045DEC" w:rsidRDefault="008D2D6C" w:rsidP="003A1BEE">
      <w:r w:rsidRPr="00045DEC">
        <w:t>S</w:t>
      </w:r>
      <w:r w:rsidR="003A1BEE" w:rsidRPr="00045DEC">
        <w:t xml:space="preserve">ensitivity analysis allows for an assessment of the </w:t>
      </w:r>
      <w:r w:rsidR="00286ED5" w:rsidRPr="00045DEC">
        <w:t>impact</w:t>
      </w:r>
      <w:r w:rsidR="003A1BEE" w:rsidRPr="00045DEC">
        <w:t xml:space="preserve"> of key assumptions. The following sensitivity analyses are considered due to their variability and importance for the Budget:</w:t>
      </w:r>
      <w:r w:rsidR="00DB2E05" w:rsidRPr="00045DEC">
        <w:t xml:space="preserve"> </w:t>
      </w:r>
    </w:p>
    <w:p w14:paraId="6921533D" w14:textId="7D86DBB1" w:rsidR="003A1BEE" w:rsidRPr="00045DEC" w:rsidRDefault="003A1BEE" w:rsidP="003A1BEE">
      <w:pPr>
        <w:pStyle w:val="Bullet"/>
        <w:tabs>
          <w:tab w:val="clear" w:pos="283"/>
          <w:tab w:val="num" w:pos="850"/>
        </w:tabs>
      </w:pPr>
      <w:r w:rsidRPr="00045DEC">
        <w:t>Higher and lower iron ore prices.</w:t>
      </w:r>
    </w:p>
    <w:p w14:paraId="3E832CF1" w14:textId="77777777" w:rsidR="003A1BEE" w:rsidRPr="00045DEC" w:rsidRDefault="003A1BEE" w:rsidP="003A1BEE">
      <w:pPr>
        <w:pStyle w:val="Bullet"/>
        <w:tabs>
          <w:tab w:val="clear" w:pos="283"/>
          <w:tab w:val="num" w:pos="850"/>
        </w:tabs>
      </w:pPr>
      <w:r w:rsidRPr="00045DEC">
        <w:t>Higher and lower yields over the medium term.</w:t>
      </w:r>
    </w:p>
    <w:p w14:paraId="495FF4F7" w14:textId="70BD38DD" w:rsidR="003A1BEE" w:rsidRPr="00782394" w:rsidRDefault="003A1BEE" w:rsidP="003A1BEE">
      <w:r w:rsidRPr="00045DEC">
        <w:t>For illustrative purposes, the upper and lower sensitivities are broadly symmetric, even where not equally probable.</w:t>
      </w:r>
      <w:r w:rsidRPr="00782394">
        <w:t xml:space="preserve"> </w:t>
      </w:r>
    </w:p>
    <w:p w14:paraId="0145724A" w14:textId="0733FEA8" w:rsidR="003A1BEE" w:rsidRPr="00045DEC" w:rsidRDefault="003A1BEE" w:rsidP="003A1BEE">
      <w:pPr>
        <w:pStyle w:val="Heading3"/>
        <w:keepLines/>
      </w:pPr>
      <w:bookmarkStart w:id="50" w:name="_Toc99026277"/>
      <w:bookmarkStart w:id="51" w:name="_Toc116037832"/>
      <w:bookmarkStart w:id="52" w:name="_Toc116037702"/>
      <w:bookmarkStart w:id="53" w:name="_Toc116040764"/>
      <w:bookmarkStart w:id="54" w:name="_Toc166356115"/>
      <w:r w:rsidRPr="00045DEC">
        <w:t>Movements in iron ore price</w:t>
      </w:r>
      <w:bookmarkEnd w:id="50"/>
      <w:bookmarkEnd w:id="51"/>
      <w:bookmarkEnd w:id="52"/>
      <w:bookmarkEnd w:id="53"/>
      <w:r w:rsidRPr="00045DEC">
        <w:t>s</w:t>
      </w:r>
      <w:bookmarkEnd w:id="54"/>
    </w:p>
    <w:p w14:paraId="603E2A17" w14:textId="63387F58" w:rsidR="003A1BEE" w:rsidRPr="00045DEC" w:rsidRDefault="003A1BEE" w:rsidP="003A1BEE">
      <w:bookmarkStart w:id="55" w:name="_Toc116037833"/>
      <w:bookmarkStart w:id="56" w:name="_Toc99026278"/>
      <w:r w:rsidRPr="00045DEC">
        <w:t>The forecasts for nominal GDP and tax receipts are sensitive to commodity price assumptions, particularly iron ore prices. Iron ore is Australia</w:t>
      </w:r>
      <w:r w:rsidR="00FE07A9" w:rsidRPr="00045DEC">
        <w:t>’</w:t>
      </w:r>
      <w:r w:rsidRPr="00045DEC">
        <w:t xml:space="preserve">s largest export by value, representing around </w:t>
      </w:r>
      <w:r w:rsidR="003B2F5E" w:rsidRPr="00045DEC">
        <w:t>18</w:t>
      </w:r>
      <w:r w:rsidR="00653B1E" w:rsidRPr="00045DEC">
        <w:t>.0</w:t>
      </w:r>
      <w:r w:rsidR="009C4F2E" w:rsidRPr="00045DEC">
        <w:t> </w:t>
      </w:r>
      <w:r w:rsidRPr="00045DEC">
        <w:t>per cent of the total value of goods and services</w:t>
      </w:r>
      <w:r w:rsidRPr="00045DEC" w:rsidDel="00F53F7C">
        <w:t xml:space="preserve"> </w:t>
      </w:r>
      <w:r w:rsidRPr="00045DEC">
        <w:t>exports in </w:t>
      </w:r>
      <w:r w:rsidR="00172290" w:rsidRPr="00045DEC">
        <w:t>2022</w:t>
      </w:r>
      <w:r w:rsidR="00294586" w:rsidRPr="00045DEC">
        <w:t>–</w:t>
      </w:r>
      <w:r w:rsidRPr="00045DEC">
        <w:t>2</w:t>
      </w:r>
      <w:r w:rsidR="00172290" w:rsidRPr="00045DEC">
        <w:t>3</w:t>
      </w:r>
      <w:r w:rsidRPr="00045DEC">
        <w:t xml:space="preserve">. See </w:t>
      </w:r>
      <w:r w:rsidRPr="00045DEC">
        <w:rPr>
          <w:rStyle w:val="Emphasis"/>
        </w:rPr>
        <w:t>Budget</w:t>
      </w:r>
      <w:r w:rsidR="00DD6462" w:rsidRPr="00045DEC">
        <w:rPr>
          <w:rStyle w:val="Emphasis"/>
        </w:rPr>
        <w:t> </w:t>
      </w:r>
      <w:r w:rsidRPr="00045DEC">
        <w:rPr>
          <w:rStyle w:val="Emphasis"/>
        </w:rPr>
        <w:t>Statement 2: Economic</w:t>
      </w:r>
      <w:r w:rsidR="00DD6462" w:rsidRPr="00045DEC">
        <w:rPr>
          <w:rStyle w:val="Emphasis"/>
        </w:rPr>
        <w:t> </w:t>
      </w:r>
      <w:r w:rsidRPr="00045DEC">
        <w:rPr>
          <w:rStyle w:val="Emphasis"/>
        </w:rPr>
        <w:t>Outlook</w:t>
      </w:r>
      <w:r w:rsidRPr="00045DEC">
        <w:rPr>
          <w:i/>
        </w:rPr>
        <w:t xml:space="preserve"> </w:t>
      </w:r>
      <w:r w:rsidRPr="00045DEC">
        <w:t xml:space="preserve">for more information on developments in commodity prices. </w:t>
      </w:r>
    </w:p>
    <w:p w14:paraId="26B2CBF9" w14:textId="77777777" w:rsidR="00BC36E1" w:rsidRPr="00045DEC" w:rsidRDefault="003A1BEE" w:rsidP="00BA7734">
      <w:r w:rsidRPr="00045DEC">
        <w:t xml:space="preserve">Iron ore prices are volatile and sensitive to </w:t>
      </w:r>
      <w:r w:rsidRPr="00045DEC" w:rsidDel="00EE6EBE">
        <w:t xml:space="preserve">global </w:t>
      </w:r>
      <w:r w:rsidRPr="00045DEC">
        <w:t xml:space="preserve">market developments. Table 8.1 considers the impact of a permanent US$10 per tonne increase and decrease in the iron ore price on nominal GDP and tax receipts relative to the </w:t>
      </w:r>
      <w:r w:rsidR="000051A8" w:rsidRPr="00045DEC">
        <w:t xml:space="preserve">Budget </w:t>
      </w:r>
      <w:r w:rsidRPr="00045DEC">
        <w:t>baseline</w:t>
      </w:r>
      <w:r w:rsidR="00960487" w:rsidRPr="00045DEC">
        <w:t xml:space="preserve"> </w:t>
      </w:r>
      <w:r w:rsidRPr="00045DEC">
        <w:t>forecast</w:t>
      </w:r>
      <w:r w:rsidR="006F7A56" w:rsidRPr="00045DEC">
        <w:t>.</w:t>
      </w:r>
      <w:r w:rsidR="001B5C95" w:rsidRPr="00045DEC">
        <w:t xml:space="preserve"> </w:t>
      </w:r>
    </w:p>
    <w:p w14:paraId="53C5F75D" w14:textId="3B556A69" w:rsidR="00BB56A3" w:rsidRPr="00045DEC" w:rsidRDefault="00BB56A3" w:rsidP="00BB56A3">
      <w:pPr>
        <w:pStyle w:val="TableHeading"/>
        <w:rPr>
          <w:rFonts w:asciiTheme="minorHAnsi" w:eastAsiaTheme="minorHAnsi" w:hAnsiTheme="minorHAnsi" w:cstheme="minorBidi"/>
          <w:sz w:val="22"/>
          <w:szCs w:val="22"/>
          <w:lang w:eastAsia="en-US"/>
        </w:rPr>
      </w:pPr>
      <w:r w:rsidRPr="00045DEC">
        <w:t>Table 8.1: Scenario analysis of a US$10 per tonne movement in iron ore price</w:t>
      </w:r>
      <w:r w:rsidR="00E450BF" w:rsidRPr="00045DEC">
        <w:t>s</w:t>
      </w:r>
    </w:p>
    <w:tbl>
      <w:tblPr>
        <w:tblW w:w="5000" w:type="pct"/>
        <w:tblCellMar>
          <w:left w:w="0" w:type="dxa"/>
          <w:right w:w="28" w:type="dxa"/>
        </w:tblCellMar>
        <w:tblLook w:val="04A0" w:firstRow="1" w:lastRow="0" w:firstColumn="1" w:lastColumn="0" w:noHBand="0" w:noVBand="1"/>
      </w:tblPr>
      <w:tblGrid>
        <w:gridCol w:w="1726"/>
        <w:gridCol w:w="715"/>
        <w:gridCol w:w="714"/>
        <w:gridCol w:w="714"/>
        <w:gridCol w:w="715"/>
        <w:gridCol w:w="270"/>
        <w:gridCol w:w="714"/>
        <w:gridCol w:w="714"/>
        <w:gridCol w:w="714"/>
        <w:gridCol w:w="714"/>
      </w:tblGrid>
      <w:tr w:rsidR="00A3322A" w:rsidRPr="00045DEC" w14:paraId="3F0E68DE" w14:textId="77777777">
        <w:trPr>
          <w:trHeight w:hRule="exact" w:val="258"/>
        </w:trPr>
        <w:tc>
          <w:tcPr>
            <w:tcW w:w="1119" w:type="pct"/>
            <w:tcBorders>
              <w:top w:val="single" w:sz="4" w:space="0" w:color="293F5B"/>
              <w:left w:val="nil"/>
              <w:bottom w:val="nil"/>
              <w:right w:val="nil"/>
            </w:tcBorders>
            <w:shd w:val="clear" w:color="auto" w:fill="auto"/>
            <w:noWrap/>
            <w:vAlign w:val="bottom"/>
            <w:hideMark/>
          </w:tcPr>
          <w:p w14:paraId="6CAF88BF" w14:textId="77777777" w:rsidR="00BB56A3" w:rsidRPr="00045DEC" w:rsidRDefault="00BB56A3">
            <w:pPr>
              <w:spacing w:before="0" w:after="0" w:line="240" w:lineRule="auto"/>
              <w:rPr>
                <w:rFonts w:ascii="Arial" w:hAnsi="Arial" w:cs="Arial"/>
                <w:sz w:val="16"/>
                <w:szCs w:val="16"/>
              </w:rPr>
            </w:pPr>
            <w:r w:rsidRPr="00045DEC">
              <w:rPr>
                <w:rFonts w:ascii="Arial" w:hAnsi="Arial" w:cs="Arial"/>
                <w:sz w:val="16"/>
                <w:szCs w:val="16"/>
              </w:rPr>
              <w:t> </w:t>
            </w:r>
          </w:p>
        </w:tc>
        <w:tc>
          <w:tcPr>
            <w:tcW w:w="1853" w:type="pct"/>
            <w:gridSpan w:val="4"/>
            <w:tcBorders>
              <w:top w:val="single" w:sz="4" w:space="0" w:color="293F5B"/>
              <w:left w:val="nil"/>
              <w:bottom w:val="single" w:sz="4" w:space="0" w:color="293F5B"/>
              <w:right w:val="nil"/>
            </w:tcBorders>
            <w:shd w:val="clear" w:color="auto" w:fill="auto"/>
            <w:noWrap/>
            <w:vAlign w:val="bottom"/>
            <w:hideMark/>
          </w:tcPr>
          <w:p w14:paraId="251DEFB0" w14:textId="77777777" w:rsidR="00BB56A3" w:rsidRPr="00045DEC" w:rsidRDefault="00BB56A3">
            <w:pPr>
              <w:spacing w:before="0" w:after="0" w:line="240" w:lineRule="auto"/>
              <w:jc w:val="center"/>
              <w:rPr>
                <w:rFonts w:ascii="Arial" w:hAnsi="Arial" w:cs="Arial"/>
                <w:sz w:val="16"/>
                <w:szCs w:val="16"/>
              </w:rPr>
            </w:pPr>
            <w:r w:rsidRPr="00045DEC">
              <w:rPr>
                <w:rFonts w:ascii="Arial" w:hAnsi="Arial" w:cs="Arial"/>
                <w:sz w:val="16"/>
                <w:szCs w:val="16"/>
              </w:rPr>
              <w:t>US$10/tonne FOB</w:t>
            </w:r>
            <w:r w:rsidRPr="00045DEC">
              <w:rPr>
                <w:rFonts w:ascii="Arial" w:hAnsi="Arial" w:cs="Arial"/>
                <w:sz w:val="16"/>
                <w:szCs w:val="16"/>
                <w:vertAlign w:val="superscript"/>
              </w:rPr>
              <w:t>(a)</w:t>
            </w:r>
            <w:r w:rsidRPr="00045DEC">
              <w:rPr>
                <w:rFonts w:ascii="Arial" w:hAnsi="Arial" w:cs="Arial"/>
                <w:sz w:val="16"/>
                <w:szCs w:val="16"/>
              </w:rPr>
              <w:t xml:space="preserve"> increase</w:t>
            </w:r>
          </w:p>
        </w:tc>
        <w:tc>
          <w:tcPr>
            <w:tcW w:w="175" w:type="pct"/>
            <w:tcBorders>
              <w:top w:val="single" w:sz="4" w:space="0" w:color="293F5B"/>
              <w:left w:val="nil"/>
              <w:bottom w:val="nil"/>
              <w:right w:val="nil"/>
            </w:tcBorders>
            <w:shd w:val="clear" w:color="auto" w:fill="auto"/>
            <w:noWrap/>
            <w:vAlign w:val="bottom"/>
            <w:hideMark/>
          </w:tcPr>
          <w:p w14:paraId="088106C9" w14:textId="77777777" w:rsidR="00BB56A3" w:rsidRPr="00045DEC" w:rsidRDefault="00BB56A3">
            <w:pPr>
              <w:spacing w:before="0" w:after="0" w:line="240" w:lineRule="auto"/>
              <w:jc w:val="center"/>
              <w:rPr>
                <w:rFonts w:ascii="Arial" w:hAnsi="Arial" w:cs="Arial"/>
                <w:sz w:val="16"/>
                <w:szCs w:val="16"/>
              </w:rPr>
            </w:pPr>
            <w:r w:rsidRPr="00045DEC">
              <w:rPr>
                <w:rFonts w:ascii="Arial" w:hAnsi="Arial" w:cs="Arial"/>
                <w:sz w:val="16"/>
                <w:szCs w:val="16"/>
              </w:rPr>
              <w:t> </w:t>
            </w:r>
          </w:p>
        </w:tc>
        <w:tc>
          <w:tcPr>
            <w:tcW w:w="1853" w:type="pct"/>
            <w:gridSpan w:val="4"/>
            <w:tcBorders>
              <w:top w:val="single" w:sz="4" w:space="0" w:color="293F5B"/>
              <w:left w:val="nil"/>
              <w:bottom w:val="single" w:sz="4" w:space="0" w:color="293F5B"/>
              <w:right w:val="nil"/>
            </w:tcBorders>
            <w:shd w:val="clear" w:color="auto" w:fill="auto"/>
            <w:noWrap/>
            <w:vAlign w:val="bottom"/>
            <w:hideMark/>
          </w:tcPr>
          <w:p w14:paraId="58EE0A4F" w14:textId="77777777" w:rsidR="00BB56A3" w:rsidRPr="00045DEC" w:rsidRDefault="00BB56A3">
            <w:pPr>
              <w:spacing w:before="0" w:after="0" w:line="240" w:lineRule="auto"/>
              <w:jc w:val="center"/>
              <w:rPr>
                <w:rFonts w:ascii="Arial" w:hAnsi="Arial" w:cs="Arial"/>
                <w:sz w:val="16"/>
                <w:szCs w:val="16"/>
              </w:rPr>
            </w:pPr>
            <w:r w:rsidRPr="00045DEC">
              <w:rPr>
                <w:rFonts w:ascii="Arial" w:hAnsi="Arial" w:cs="Arial"/>
                <w:sz w:val="16"/>
                <w:szCs w:val="16"/>
              </w:rPr>
              <w:t>US$10/tonne FOB decrease</w:t>
            </w:r>
          </w:p>
        </w:tc>
      </w:tr>
      <w:tr w:rsidR="00A3322A" w:rsidRPr="00045DEC" w14:paraId="416387D8" w14:textId="77777777">
        <w:trPr>
          <w:trHeight w:hRule="exact" w:val="204"/>
        </w:trPr>
        <w:tc>
          <w:tcPr>
            <w:tcW w:w="1119" w:type="pct"/>
            <w:tcBorders>
              <w:top w:val="nil"/>
              <w:left w:val="nil"/>
              <w:bottom w:val="nil"/>
              <w:right w:val="nil"/>
            </w:tcBorders>
            <w:shd w:val="clear" w:color="auto" w:fill="auto"/>
            <w:noWrap/>
            <w:vAlign w:val="bottom"/>
            <w:hideMark/>
          </w:tcPr>
          <w:p w14:paraId="26D9E344" w14:textId="77777777" w:rsidR="00BB56A3" w:rsidRPr="00045DEC" w:rsidRDefault="00BB56A3">
            <w:pPr>
              <w:spacing w:before="0" w:after="0" w:line="240" w:lineRule="auto"/>
              <w:jc w:val="center"/>
              <w:rPr>
                <w:rFonts w:ascii="Arial" w:hAnsi="Arial" w:cs="Arial"/>
                <w:sz w:val="16"/>
                <w:szCs w:val="16"/>
              </w:rPr>
            </w:pPr>
          </w:p>
        </w:tc>
        <w:tc>
          <w:tcPr>
            <w:tcW w:w="464" w:type="pct"/>
            <w:tcBorders>
              <w:top w:val="nil"/>
              <w:left w:val="nil"/>
              <w:bottom w:val="single" w:sz="4" w:space="0" w:color="293F5B"/>
              <w:right w:val="nil"/>
            </w:tcBorders>
            <w:shd w:val="clear" w:color="auto" w:fill="auto"/>
            <w:noWrap/>
            <w:vAlign w:val="bottom"/>
            <w:hideMark/>
          </w:tcPr>
          <w:p w14:paraId="0FF080A5" w14:textId="38A02363"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2024</w:t>
            </w:r>
            <w:r w:rsidR="004200F5" w:rsidRPr="00045DEC">
              <w:rPr>
                <w:rFonts w:ascii="Arial" w:hAnsi="Arial" w:cs="Arial"/>
                <w:sz w:val="16"/>
                <w:szCs w:val="16"/>
              </w:rPr>
              <w:noBreakHyphen/>
            </w:r>
            <w:r w:rsidRPr="00045DEC">
              <w:rPr>
                <w:rFonts w:ascii="Arial" w:hAnsi="Arial" w:cs="Arial"/>
                <w:sz w:val="16"/>
                <w:szCs w:val="16"/>
              </w:rPr>
              <w:t>25</w:t>
            </w:r>
          </w:p>
        </w:tc>
        <w:tc>
          <w:tcPr>
            <w:tcW w:w="463" w:type="pct"/>
            <w:tcBorders>
              <w:top w:val="nil"/>
              <w:left w:val="nil"/>
              <w:bottom w:val="single" w:sz="4" w:space="0" w:color="293F5B"/>
              <w:right w:val="nil"/>
            </w:tcBorders>
            <w:shd w:val="clear" w:color="auto" w:fill="auto"/>
            <w:noWrap/>
            <w:vAlign w:val="bottom"/>
            <w:hideMark/>
          </w:tcPr>
          <w:p w14:paraId="188404B9" w14:textId="5D1FDA7F"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2025</w:t>
            </w:r>
            <w:r w:rsidR="004200F5" w:rsidRPr="00045DEC">
              <w:rPr>
                <w:rFonts w:ascii="Arial" w:hAnsi="Arial" w:cs="Arial"/>
                <w:sz w:val="16"/>
                <w:szCs w:val="16"/>
              </w:rPr>
              <w:noBreakHyphen/>
            </w:r>
            <w:r w:rsidRPr="00045DEC">
              <w:rPr>
                <w:rFonts w:ascii="Arial" w:hAnsi="Arial" w:cs="Arial"/>
                <w:sz w:val="16"/>
                <w:szCs w:val="16"/>
              </w:rPr>
              <w:t>26</w:t>
            </w:r>
          </w:p>
        </w:tc>
        <w:tc>
          <w:tcPr>
            <w:tcW w:w="463" w:type="pct"/>
            <w:tcBorders>
              <w:top w:val="nil"/>
              <w:left w:val="nil"/>
              <w:bottom w:val="single" w:sz="4" w:space="0" w:color="293F5B"/>
              <w:right w:val="nil"/>
            </w:tcBorders>
            <w:shd w:val="clear" w:color="auto" w:fill="auto"/>
            <w:noWrap/>
            <w:vAlign w:val="bottom"/>
            <w:hideMark/>
          </w:tcPr>
          <w:p w14:paraId="1BB5EB53" w14:textId="7CECC3C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2026</w:t>
            </w:r>
            <w:r w:rsidR="004200F5" w:rsidRPr="00045DEC">
              <w:rPr>
                <w:rFonts w:ascii="Arial" w:hAnsi="Arial" w:cs="Arial"/>
                <w:sz w:val="16"/>
                <w:szCs w:val="16"/>
              </w:rPr>
              <w:noBreakHyphen/>
            </w:r>
            <w:r w:rsidRPr="00045DEC">
              <w:rPr>
                <w:rFonts w:ascii="Arial" w:hAnsi="Arial" w:cs="Arial"/>
                <w:sz w:val="16"/>
                <w:szCs w:val="16"/>
              </w:rPr>
              <w:t>27</w:t>
            </w:r>
          </w:p>
        </w:tc>
        <w:tc>
          <w:tcPr>
            <w:tcW w:w="464" w:type="pct"/>
            <w:tcBorders>
              <w:top w:val="nil"/>
              <w:left w:val="nil"/>
              <w:bottom w:val="single" w:sz="4" w:space="0" w:color="293F5B"/>
              <w:right w:val="nil"/>
            </w:tcBorders>
            <w:shd w:val="clear" w:color="auto" w:fill="auto"/>
            <w:noWrap/>
            <w:vAlign w:val="bottom"/>
            <w:hideMark/>
          </w:tcPr>
          <w:p w14:paraId="2D1198E2" w14:textId="31DED418"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2027</w:t>
            </w:r>
            <w:r w:rsidR="004200F5" w:rsidRPr="00045DEC">
              <w:rPr>
                <w:rFonts w:ascii="Arial" w:hAnsi="Arial" w:cs="Arial"/>
                <w:sz w:val="16"/>
                <w:szCs w:val="16"/>
              </w:rPr>
              <w:noBreakHyphen/>
            </w:r>
            <w:r w:rsidRPr="00045DEC">
              <w:rPr>
                <w:rFonts w:ascii="Arial" w:hAnsi="Arial" w:cs="Arial"/>
                <w:sz w:val="16"/>
                <w:szCs w:val="16"/>
              </w:rPr>
              <w:t>28</w:t>
            </w:r>
          </w:p>
        </w:tc>
        <w:tc>
          <w:tcPr>
            <w:tcW w:w="175" w:type="pct"/>
            <w:tcBorders>
              <w:top w:val="nil"/>
              <w:left w:val="nil"/>
              <w:bottom w:val="nil"/>
              <w:right w:val="nil"/>
            </w:tcBorders>
            <w:shd w:val="clear" w:color="auto" w:fill="auto"/>
            <w:noWrap/>
            <w:vAlign w:val="bottom"/>
            <w:hideMark/>
          </w:tcPr>
          <w:p w14:paraId="1722E5C1" w14:textId="77777777" w:rsidR="00BB56A3" w:rsidRPr="00045DEC" w:rsidRDefault="00BB56A3">
            <w:pPr>
              <w:spacing w:before="0" w:after="0" w:line="240" w:lineRule="auto"/>
              <w:jc w:val="right"/>
              <w:rPr>
                <w:rFonts w:ascii="Arial" w:hAnsi="Arial" w:cs="Arial"/>
                <w:sz w:val="16"/>
                <w:szCs w:val="16"/>
              </w:rPr>
            </w:pPr>
          </w:p>
        </w:tc>
        <w:tc>
          <w:tcPr>
            <w:tcW w:w="463" w:type="pct"/>
            <w:tcBorders>
              <w:top w:val="nil"/>
              <w:left w:val="nil"/>
              <w:bottom w:val="single" w:sz="4" w:space="0" w:color="293F5B"/>
              <w:right w:val="nil"/>
            </w:tcBorders>
            <w:shd w:val="clear" w:color="auto" w:fill="auto"/>
            <w:noWrap/>
            <w:vAlign w:val="bottom"/>
            <w:hideMark/>
          </w:tcPr>
          <w:p w14:paraId="30D4D3D0" w14:textId="3646CBB8"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2024</w:t>
            </w:r>
            <w:r w:rsidR="004200F5" w:rsidRPr="00045DEC">
              <w:rPr>
                <w:rFonts w:ascii="Arial" w:hAnsi="Arial" w:cs="Arial"/>
                <w:sz w:val="16"/>
                <w:szCs w:val="16"/>
              </w:rPr>
              <w:noBreakHyphen/>
            </w:r>
            <w:r w:rsidRPr="00045DEC">
              <w:rPr>
                <w:rFonts w:ascii="Arial" w:hAnsi="Arial" w:cs="Arial"/>
                <w:sz w:val="16"/>
                <w:szCs w:val="16"/>
              </w:rPr>
              <w:t>25</w:t>
            </w:r>
          </w:p>
        </w:tc>
        <w:tc>
          <w:tcPr>
            <w:tcW w:w="463" w:type="pct"/>
            <w:tcBorders>
              <w:top w:val="nil"/>
              <w:left w:val="nil"/>
              <w:bottom w:val="single" w:sz="4" w:space="0" w:color="293F5B"/>
              <w:right w:val="nil"/>
            </w:tcBorders>
            <w:shd w:val="clear" w:color="auto" w:fill="auto"/>
            <w:noWrap/>
            <w:vAlign w:val="bottom"/>
            <w:hideMark/>
          </w:tcPr>
          <w:p w14:paraId="6FCE9CF7" w14:textId="4D951E4B"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2025</w:t>
            </w:r>
            <w:r w:rsidR="004200F5" w:rsidRPr="00045DEC">
              <w:rPr>
                <w:rFonts w:ascii="Arial" w:hAnsi="Arial" w:cs="Arial"/>
                <w:sz w:val="16"/>
                <w:szCs w:val="16"/>
              </w:rPr>
              <w:noBreakHyphen/>
            </w:r>
            <w:r w:rsidRPr="00045DEC">
              <w:rPr>
                <w:rFonts w:ascii="Arial" w:hAnsi="Arial" w:cs="Arial"/>
                <w:sz w:val="16"/>
                <w:szCs w:val="16"/>
              </w:rPr>
              <w:t>26</w:t>
            </w:r>
          </w:p>
        </w:tc>
        <w:tc>
          <w:tcPr>
            <w:tcW w:w="463" w:type="pct"/>
            <w:tcBorders>
              <w:top w:val="nil"/>
              <w:left w:val="nil"/>
              <w:bottom w:val="single" w:sz="4" w:space="0" w:color="293F5B"/>
              <w:right w:val="nil"/>
            </w:tcBorders>
            <w:shd w:val="clear" w:color="auto" w:fill="auto"/>
            <w:noWrap/>
            <w:vAlign w:val="bottom"/>
            <w:hideMark/>
          </w:tcPr>
          <w:p w14:paraId="646897BB" w14:textId="67613E96"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2026</w:t>
            </w:r>
            <w:r w:rsidR="004200F5" w:rsidRPr="00045DEC">
              <w:rPr>
                <w:rFonts w:ascii="Arial" w:hAnsi="Arial" w:cs="Arial"/>
                <w:sz w:val="16"/>
                <w:szCs w:val="16"/>
              </w:rPr>
              <w:noBreakHyphen/>
            </w:r>
            <w:r w:rsidRPr="00045DEC">
              <w:rPr>
                <w:rFonts w:ascii="Arial" w:hAnsi="Arial" w:cs="Arial"/>
                <w:sz w:val="16"/>
                <w:szCs w:val="16"/>
              </w:rPr>
              <w:t>27</w:t>
            </w:r>
          </w:p>
        </w:tc>
        <w:tc>
          <w:tcPr>
            <w:tcW w:w="464" w:type="pct"/>
            <w:tcBorders>
              <w:top w:val="nil"/>
              <w:left w:val="nil"/>
              <w:bottom w:val="single" w:sz="4" w:space="0" w:color="293F5B"/>
              <w:right w:val="nil"/>
            </w:tcBorders>
            <w:shd w:val="clear" w:color="auto" w:fill="auto"/>
            <w:noWrap/>
            <w:vAlign w:val="bottom"/>
            <w:hideMark/>
          </w:tcPr>
          <w:p w14:paraId="1B91BF45" w14:textId="727D4763"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2027</w:t>
            </w:r>
            <w:r w:rsidR="004200F5" w:rsidRPr="00045DEC">
              <w:rPr>
                <w:rFonts w:ascii="Arial" w:hAnsi="Arial" w:cs="Arial"/>
                <w:sz w:val="16"/>
                <w:szCs w:val="16"/>
              </w:rPr>
              <w:noBreakHyphen/>
            </w:r>
            <w:r w:rsidRPr="00045DEC">
              <w:rPr>
                <w:rFonts w:ascii="Arial" w:hAnsi="Arial" w:cs="Arial"/>
                <w:sz w:val="16"/>
                <w:szCs w:val="16"/>
              </w:rPr>
              <w:t>28</w:t>
            </w:r>
          </w:p>
        </w:tc>
      </w:tr>
      <w:tr w:rsidR="00A3322A" w:rsidRPr="00045DEC" w14:paraId="7D9287CC" w14:textId="77777777">
        <w:trPr>
          <w:trHeight w:hRule="exact" w:val="204"/>
        </w:trPr>
        <w:tc>
          <w:tcPr>
            <w:tcW w:w="1119" w:type="pct"/>
            <w:tcBorders>
              <w:top w:val="nil"/>
              <w:left w:val="nil"/>
              <w:bottom w:val="nil"/>
              <w:right w:val="nil"/>
            </w:tcBorders>
            <w:shd w:val="clear" w:color="auto" w:fill="auto"/>
            <w:noWrap/>
            <w:vAlign w:val="bottom"/>
            <w:hideMark/>
          </w:tcPr>
          <w:p w14:paraId="225F31C7" w14:textId="77777777" w:rsidR="00BB56A3" w:rsidRPr="00045DEC" w:rsidRDefault="00BB56A3">
            <w:pPr>
              <w:spacing w:before="0" w:after="0" w:line="240" w:lineRule="auto"/>
              <w:rPr>
                <w:rFonts w:ascii="Arial" w:hAnsi="Arial" w:cs="Arial"/>
                <w:sz w:val="16"/>
                <w:szCs w:val="16"/>
              </w:rPr>
            </w:pPr>
            <w:r w:rsidRPr="00045DEC">
              <w:rPr>
                <w:rFonts w:ascii="Arial" w:hAnsi="Arial" w:cs="Arial"/>
                <w:sz w:val="16"/>
                <w:szCs w:val="16"/>
              </w:rPr>
              <w:t>Nominal GDP ($billion)</w:t>
            </w:r>
          </w:p>
        </w:tc>
        <w:tc>
          <w:tcPr>
            <w:tcW w:w="464" w:type="pct"/>
            <w:tcBorders>
              <w:top w:val="nil"/>
              <w:left w:val="nil"/>
              <w:bottom w:val="nil"/>
              <w:right w:val="nil"/>
            </w:tcBorders>
            <w:shd w:val="clear" w:color="auto" w:fill="auto"/>
            <w:noWrap/>
            <w:vAlign w:val="bottom"/>
            <w:hideMark/>
          </w:tcPr>
          <w:p w14:paraId="39055DA2"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5.3</w:t>
            </w:r>
          </w:p>
        </w:tc>
        <w:tc>
          <w:tcPr>
            <w:tcW w:w="463" w:type="pct"/>
            <w:tcBorders>
              <w:top w:val="nil"/>
              <w:left w:val="nil"/>
              <w:bottom w:val="nil"/>
              <w:right w:val="nil"/>
            </w:tcBorders>
            <w:shd w:val="clear" w:color="auto" w:fill="auto"/>
            <w:noWrap/>
            <w:vAlign w:val="bottom"/>
            <w:hideMark/>
          </w:tcPr>
          <w:p w14:paraId="1DE5EE7D"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2.7</w:t>
            </w:r>
          </w:p>
        </w:tc>
        <w:tc>
          <w:tcPr>
            <w:tcW w:w="463" w:type="pct"/>
            <w:tcBorders>
              <w:top w:val="nil"/>
              <w:left w:val="nil"/>
              <w:bottom w:val="nil"/>
              <w:right w:val="nil"/>
            </w:tcBorders>
            <w:shd w:val="clear" w:color="auto" w:fill="auto"/>
            <w:noWrap/>
            <w:vAlign w:val="bottom"/>
            <w:hideMark/>
          </w:tcPr>
          <w:p w14:paraId="18FAF4B3"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5.9</w:t>
            </w:r>
          </w:p>
        </w:tc>
        <w:tc>
          <w:tcPr>
            <w:tcW w:w="464" w:type="pct"/>
            <w:tcBorders>
              <w:top w:val="nil"/>
              <w:left w:val="nil"/>
              <w:bottom w:val="nil"/>
              <w:right w:val="nil"/>
            </w:tcBorders>
            <w:shd w:val="clear" w:color="auto" w:fill="auto"/>
            <w:noWrap/>
            <w:vAlign w:val="bottom"/>
            <w:hideMark/>
          </w:tcPr>
          <w:p w14:paraId="6E8A2ED9"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11.0</w:t>
            </w:r>
          </w:p>
        </w:tc>
        <w:tc>
          <w:tcPr>
            <w:tcW w:w="175" w:type="pct"/>
            <w:tcBorders>
              <w:top w:val="nil"/>
              <w:left w:val="nil"/>
              <w:bottom w:val="nil"/>
              <w:right w:val="nil"/>
            </w:tcBorders>
            <w:shd w:val="clear" w:color="auto" w:fill="auto"/>
            <w:noWrap/>
            <w:vAlign w:val="bottom"/>
            <w:hideMark/>
          </w:tcPr>
          <w:p w14:paraId="46342109" w14:textId="77777777" w:rsidR="00BB56A3" w:rsidRPr="00045DEC" w:rsidRDefault="00BB56A3">
            <w:pPr>
              <w:spacing w:before="0" w:after="0" w:line="240" w:lineRule="auto"/>
              <w:jc w:val="right"/>
              <w:rPr>
                <w:rFonts w:ascii="Arial" w:hAnsi="Arial" w:cs="Arial"/>
                <w:sz w:val="16"/>
                <w:szCs w:val="16"/>
              </w:rPr>
            </w:pPr>
          </w:p>
        </w:tc>
        <w:tc>
          <w:tcPr>
            <w:tcW w:w="463" w:type="pct"/>
            <w:tcBorders>
              <w:top w:val="nil"/>
              <w:left w:val="nil"/>
              <w:bottom w:val="nil"/>
              <w:right w:val="nil"/>
            </w:tcBorders>
            <w:shd w:val="clear" w:color="auto" w:fill="auto"/>
            <w:noWrap/>
            <w:vAlign w:val="bottom"/>
            <w:hideMark/>
          </w:tcPr>
          <w:p w14:paraId="58E426D1" w14:textId="6DE760F5"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5.3</w:t>
            </w:r>
          </w:p>
        </w:tc>
        <w:tc>
          <w:tcPr>
            <w:tcW w:w="463" w:type="pct"/>
            <w:tcBorders>
              <w:top w:val="nil"/>
              <w:left w:val="nil"/>
              <w:bottom w:val="nil"/>
              <w:right w:val="nil"/>
            </w:tcBorders>
            <w:shd w:val="clear" w:color="auto" w:fill="auto"/>
            <w:noWrap/>
            <w:vAlign w:val="bottom"/>
            <w:hideMark/>
          </w:tcPr>
          <w:p w14:paraId="43B203E1" w14:textId="157A7063"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2.7</w:t>
            </w:r>
          </w:p>
        </w:tc>
        <w:tc>
          <w:tcPr>
            <w:tcW w:w="463" w:type="pct"/>
            <w:tcBorders>
              <w:top w:val="nil"/>
              <w:left w:val="nil"/>
              <w:bottom w:val="nil"/>
              <w:right w:val="nil"/>
            </w:tcBorders>
            <w:shd w:val="clear" w:color="auto" w:fill="auto"/>
            <w:noWrap/>
            <w:vAlign w:val="bottom"/>
            <w:hideMark/>
          </w:tcPr>
          <w:p w14:paraId="1F4BB46B" w14:textId="5D128C8A"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5.9</w:t>
            </w:r>
          </w:p>
        </w:tc>
        <w:tc>
          <w:tcPr>
            <w:tcW w:w="464" w:type="pct"/>
            <w:tcBorders>
              <w:top w:val="nil"/>
              <w:left w:val="nil"/>
              <w:bottom w:val="nil"/>
              <w:right w:val="nil"/>
            </w:tcBorders>
            <w:shd w:val="clear" w:color="auto" w:fill="auto"/>
            <w:noWrap/>
            <w:vAlign w:val="bottom"/>
            <w:hideMark/>
          </w:tcPr>
          <w:p w14:paraId="36553301" w14:textId="2B69E135"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11.0</w:t>
            </w:r>
          </w:p>
        </w:tc>
      </w:tr>
      <w:tr w:rsidR="00A3322A" w:rsidRPr="00045DEC" w14:paraId="67E7AC82" w14:textId="77777777">
        <w:trPr>
          <w:trHeight w:hRule="exact" w:val="204"/>
        </w:trPr>
        <w:tc>
          <w:tcPr>
            <w:tcW w:w="1119" w:type="pct"/>
            <w:tcBorders>
              <w:top w:val="nil"/>
              <w:left w:val="nil"/>
              <w:bottom w:val="single" w:sz="4" w:space="0" w:color="293F5B"/>
              <w:right w:val="nil"/>
            </w:tcBorders>
            <w:shd w:val="clear" w:color="auto" w:fill="auto"/>
            <w:noWrap/>
            <w:vAlign w:val="bottom"/>
            <w:hideMark/>
          </w:tcPr>
          <w:p w14:paraId="7970A686" w14:textId="77777777" w:rsidR="00BB56A3" w:rsidRPr="00045DEC" w:rsidRDefault="00BB56A3">
            <w:pPr>
              <w:spacing w:before="0" w:after="0" w:line="240" w:lineRule="auto"/>
              <w:rPr>
                <w:rFonts w:ascii="Arial" w:hAnsi="Arial" w:cs="Arial"/>
                <w:sz w:val="16"/>
                <w:szCs w:val="16"/>
              </w:rPr>
            </w:pPr>
            <w:r w:rsidRPr="00045DEC">
              <w:rPr>
                <w:rFonts w:ascii="Arial" w:hAnsi="Arial" w:cs="Arial"/>
                <w:sz w:val="16"/>
                <w:szCs w:val="16"/>
              </w:rPr>
              <w:t>Tax receipts ($billion)</w:t>
            </w:r>
          </w:p>
        </w:tc>
        <w:tc>
          <w:tcPr>
            <w:tcW w:w="464" w:type="pct"/>
            <w:tcBorders>
              <w:top w:val="nil"/>
              <w:left w:val="nil"/>
              <w:bottom w:val="single" w:sz="4" w:space="0" w:color="293F5B"/>
              <w:right w:val="nil"/>
            </w:tcBorders>
            <w:shd w:val="clear" w:color="auto" w:fill="auto"/>
            <w:noWrap/>
            <w:vAlign w:val="bottom"/>
            <w:hideMark/>
          </w:tcPr>
          <w:p w14:paraId="71B167F9"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0.5</w:t>
            </w:r>
          </w:p>
        </w:tc>
        <w:tc>
          <w:tcPr>
            <w:tcW w:w="463" w:type="pct"/>
            <w:tcBorders>
              <w:top w:val="nil"/>
              <w:left w:val="nil"/>
              <w:bottom w:val="single" w:sz="4" w:space="0" w:color="293F5B"/>
              <w:right w:val="nil"/>
            </w:tcBorders>
            <w:shd w:val="clear" w:color="auto" w:fill="auto"/>
            <w:noWrap/>
            <w:vAlign w:val="bottom"/>
            <w:hideMark/>
          </w:tcPr>
          <w:p w14:paraId="3DEEC10E"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0.5</w:t>
            </w:r>
          </w:p>
        </w:tc>
        <w:tc>
          <w:tcPr>
            <w:tcW w:w="463" w:type="pct"/>
            <w:tcBorders>
              <w:top w:val="nil"/>
              <w:left w:val="nil"/>
              <w:bottom w:val="single" w:sz="4" w:space="0" w:color="293F5B"/>
              <w:right w:val="nil"/>
            </w:tcBorders>
            <w:shd w:val="clear" w:color="auto" w:fill="auto"/>
            <w:noWrap/>
            <w:vAlign w:val="bottom"/>
            <w:hideMark/>
          </w:tcPr>
          <w:p w14:paraId="0B710AD5"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0.5</w:t>
            </w:r>
          </w:p>
        </w:tc>
        <w:tc>
          <w:tcPr>
            <w:tcW w:w="464" w:type="pct"/>
            <w:tcBorders>
              <w:top w:val="nil"/>
              <w:left w:val="nil"/>
              <w:bottom w:val="single" w:sz="4" w:space="0" w:color="293F5B"/>
              <w:right w:val="nil"/>
            </w:tcBorders>
            <w:shd w:val="clear" w:color="auto" w:fill="auto"/>
            <w:noWrap/>
            <w:vAlign w:val="bottom"/>
            <w:hideMark/>
          </w:tcPr>
          <w:p w14:paraId="0AB95191"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1.9</w:t>
            </w:r>
          </w:p>
        </w:tc>
        <w:tc>
          <w:tcPr>
            <w:tcW w:w="175" w:type="pct"/>
            <w:tcBorders>
              <w:top w:val="nil"/>
              <w:left w:val="nil"/>
              <w:bottom w:val="single" w:sz="4" w:space="0" w:color="293F5B"/>
              <w:right w:val="nil"/>
            </w:tcBorders>
            <w:shd w:val="clear" w:color="auto" w:fill="auto"/>
            <w:noWrap/>
            <w:vAlign w:val="bottom"/>
            <w:hideMark/>
          </w:tcPr>
          <w:p w14:paraId="027AE665" w14:textId="77777777" w:rsidR="00BB56A3" w:rsidRPr="00045DEC" w:rsidRDefault="00BB56A3">
            <w:pPr>
              <w:spacing w:before="0" w:after="0" w:line="240" w:lineRule="auto"/>
              <w:jc w:val="right"/>
              <w:rPr>
                <w:rFonts w:ascii="Arial" w:hAnsi="Arial" w:cs="Arial"/>
                <w:sz w:val="16"/>
                <w:szCs w:val="16"/>
              </w:rPr>
            </w:pPr>
            <w:r w:rsidRPr="00045DEC">
              <w:rPr>
                <w:rFonts w:ascii="Arial" w:hAnsi="Arial" w:cs="Arial"/>
                <w:sz w:val="16"/>
                <w:szCs w:val="16"/>
              </w:rPr>
              <w:t> </w:t>
            </w:r>
          </w:p>
        </w:tc>
        <w:tc>
          <w:tcPr>
            <w:tcW w:w="463" w:type="pct"/>
            <w:tcBorders>
              <w:top w:val="nil"/>
              <w:left w:val="nil"/>
              <w:bottom w:val="single" w:sz="4" w:space="0" w:color="293F5B"/>
              <w:right w:val="nil"/>
            </w:tcBorders>
            <w:shd w:val="clear" w:color="auto" w:fill="auto"/>
            <w:noWrap/>
            <w:vAlign w:val="bottom"/>
            <w:hideMark/>
          </w:tcPr>
          <w:p w14:paraId="3FE56571" w14:textId="22E8ACFA"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0.5</w:t>
            </w:r>
          </w:p>
        </w:tc>
        <w:tc>
          <w:tcPr>
            <w:tcW w:w="463" w:type="pct"/>
            <w:tcBorders>
              <w:top w:val="nil"/>
              <w:left w:val="nil"/>
              <w:bottom w:val="single" w:sz="4" w:space="0" w:color="293F5B"/>
              <w:right w:val="nil"/>
            </w:tcBorders>
            <w:shd w:val="clear" w:color="auto" w:fill="auto"/>
            <w:noWrap/>
            <w:vAlign w:val="bottom"/>
            <w:hideMark/>
          </w:tcPr>
          <w:p w14:paraId="5E717518" w14:textId="75F5B836"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0.5</w:t>
            </w:r>
          </w:p>
        </w:tc>
        <w:tc>
          <w:tcPr>
            <w:tcW w:w="463" w:type="pct"/>
            <w:tcBorders>
              <w:top w:val="nil"/>
              <w:left w:val="nil"/>
              <w:bottom w:val="single" w:sz="4" w:space="0" w:color="293F5B"/>
              <w:right w:val="nil"/>
            </w:tcBorders>
            <w:shd w:val="clear" w:color="auto" w:fill="auto"/>
            <w:noWrap/>
            <w:vAlign w:val="bottom"/>
            <w:hideMark/>
          </w:tcPr>
          <w:p w14:paraId="41A610C8" w14:textId="63442EC1"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0.5</w:t>
            </w:r>
          </w:p>
        </w:tc>
        <w:tc>
          <w:tcPr>
            <w:tcW w:w="464" w:type="pct"/>
            <w:tcBorders>
              <w:top w:val="nil"/>
              <w:left w:val="nil"/>
              <w:bottom w:val="single" w:sz="4" w:space="0" w:color="293F5B"/>
              <w:right w:val="nil"/>
            </w:tcBorders>
            <w:shd w:val="clear" w:color="auto" w:fill="auto"/>
            <w:noWrap/>
            <w:vAlign w:val="bottom"/>
            <w:hideMark/>
          </w:tcPr>
          <w:p w14:paraId="1ADE9430" w14:textId="479274DC" w:rsidR="00BB56A3" w:rsidRPr="00045DEC" w:rsidRDefault="004200F5">
            <w:pPr>
              <w:spacing w:before="0" w:after="0" w:line="240" w:lineRule="auto"/>
              <w:jc w:val="right"/>
              <w:rPr>
                <w:rFonts w:ascii="Arial" w:hAnsi="Arial" w:cs="Arial"/>
                <w:sz w:val="16"/>
                <w:szCs w:val="16"/>
              </w:rPr>
            </w:pPr>
            <w:r w:rsidRPr="00045DEC">
              <w:rPr>
                <w:rFonts w:ascii="Arial" w:hAnsi="Arial" w:cs="Arial"/>
                <w:sz w:val="16"/>
                <w:szCs w:val="16"/>
              </w:rPr>
              <w:noBreakHyphen/>
            </w:r>
            <w:r w:rsidR="00BB56A3" w:rsidRPr="00045DEC">
              <w:rPr>
                <w:rFonts w:ascii="Arial" w:hAnsi="Arial" w:cs="Arial"/>
                <w:sz w:val="16"/>
                <w:szCs w:val="16"/>
              </w:rPr>
              <w:t>1.9</w:t>
            </w:r>
          </w:p>
        </w:tc>
      </w:tr>
    </w:tbl>
    <w:p w14:paraId="1BD07B1C" w14:textId="47B66535" w:rsidR="00BB56A3" w:rsidRPr="00045DEC" w:rsidRDefault="00BB56A3" w:rsidP="00BB56A3">
      <w:pPr>
        <w:pStyle w:val="ChartandTableFootnoteAlpha"/>
        <w:numPr>
          <w:ilvl w:val="0"/>
          <w:numId w:val="36"/>
        </w:numPr>
        <w:spacing w:before="0"/>
        <w:rPr>
          <w:color w:val="auto"/>
        </w:rPr>
      </w:pPr>
      <w:r w:rsidRPr="00045DEC">
        <w:rPr>
          <w:color w:val="auto"/>
        </w:rPr>
        <w:t xml:space="preserve"> Prices are presented in free</w:t>
      </w:r>
      <w:r w:rsidRPr="00045DEC">
        <w:rPr>
          <w:color w:val="auto"/>
        </w:rPr>
        <w:noBreakHyphen/>
        <w:t>on</w:t>
      </w:r>
      <w:r w:rsidRPr="00045DEC">
        <w:rPr>
          <w:color w:val="auto"/>
        </w:rPr>
        <w:noBreakHyphen/>
        <w:t>board (FOB) terms which exclude the cost of freight.</w:t>
      </w:r>
    </w:p>
    <w:p w14:paraId="280FB219" w14:textId="042490CC" w:rsidR="00BB56A3" w:rsidRPr="00045DEC" w:rsidRDefault="00BB56A3" w:rsidP="00BB56A3">
      <w:pPr>
        <w:pStyle w:val="ChartandTableFootnote"/>
        <w:rPr>
          <w:color w:val="auto"/>
        </w:rPr>
      </w:pPr>
      <w:r w:rsidRPr="00045DEC">
        <w:rPr>
          <w:color w:val="auto"/>
        </w:rPr>
        <w:t>Source:</w:t>
      </w:r>
      <w:r w:rsidR="00DB2E05" w:rsidRPr="00045DEC">
        <w:rPr>
          <w:color w:val="auto"/>
        </w:rPr>
        <w:t xml:space="preserve"> </w:t>
      </w:r>
      <w:r w:rsidRPr="00045DEC">
        <w:rPr>
          <w:color w:val="auto"/>
        </w:rPr>
        <w:tab/>
        <w:t>Treasury.</w:t>
      </w:r>
    </w:p>
    <w:p w14:paraId="6EF2B2FF" w14:textId="77777777" w:rsidR="00AA094A" w:rsidRPr="00045DEC" w:rsidRDefault="00AA094A" w:rsidP="00AA094A">
      <w:pPr>
        <w:pStyle w:val="ChartLine"/>
      </w:pPr>
    </w:p>
    <w:p w14:paraId="59BF71A0" w14:textId="42B6AA23" w:rsidR="003C3EB6" w:rsidRPr="00045DEC" w:rsidRDefault="001C74B2" w:rsidP="003C3EB6">
      <w:r w:rsidRPr="00045DEC">
        <w:t>The effects of a US$10 per tonne increase and decrease in the iron ore price are broadly symmetric.</w:t>
      </w:r>
      <w:r w:rsidR="00BE2B39" w:rsidRPr="00045DEC">
        <w:t xml:space="preserve"> The following discussion focuses mainly on an increase for illustrative purposes. </w:t>
      </w:r>
      <w:r w:rsidR="003C3EB6" w:rsidRPr="00045DEC">
        <w:t>The US$10 per tonne increase in the assumed price for iron ore exports is expected to result in an increase in nominal GDP of around $</w:t>
      </w:r>
      <w:r w:rsidR="003C3EB6" w:rsidRPr="00045DEC" w:rsidDel="002B4882">
        <w:t>5.</w:t>
      </w:r>
      <w:r w:rsidR="003C3EB6" w:rsidRPr="00045DEC">
        <w:t>3 billion in 2024–25, rising to around $11.0 billion in 2027–28.</w:t>
      </w:r>
    </w:p>
    <w:p w14:paraId="7D468180" w14:textId="25AF03DC" w:rsidR="00A44F01" w:rsidRPr="00045DEC" w:rsidRDefault="00A014C4" w:rsidP="00BA7734">
      <w:r w:rsidRPr="00045DEC">
        <w:t>The economic response to a permanent change in the price of iron ore is derived from a commodity price shock in Treasury’s Macroeconometric Model of Australia.</w:t>
      </w:r>
      <w:r w:rsidRPr="00045DEC">
        <w:rPr>
          <w:rStyle w:val="FootnoteReference"/>
        </w:rPr>
        <w:footnoteReference w:id="4"/>
      </w:r>
      <w:r w:rsidRPr="00045DEC">
        <w:t xml:space="preserve"> The model incorporates forward</w:t>
      </w:r>
      <w:r w:rsidRPr="00045DEC">
        <w:noBreakHyphen/>
        <w:t xml:space="preserve">looking financial markets, which anticipate the permanent increase (or decrease) in commodity prices. </w:t>
      </w:r>
      <w:r w:rsidR="00A44F01" w:rsidRPr="00045DEC">
        <w:t>An increase in</w:t>
      </w:r>
      <w:r w:rsidR="00D902EB" w:rsidRPr="00045DEC">
        <w:t xml:space="preserve"> iron ore export prices leads </w:t>
      </w:r>
      <w:r w:rsidR="00E450BF" w:rsidRPr="00045DEC">
        <w:t>to</w:t>
      </w:r>
      <w:r w:rsidR="00D902EB" w:rsidRPr="00045DEC">
        <w:t xml:space="preserve"> a higher terms of trade, which leads directly to higher out</w:t>
      </w:r>
      <w:r w:rsidR="00E07A04" w:rsidRPr="00045DEC">
        <w:t>put</w:t>
      </w:r>
      <w:r w:rsidR="00D902EB" w:rsidRPr="00045DEC">
        <w:t xml:space="preserve"> prices </w:t>
      </w:r>
      <w:r w:rsidR="00E07A04" w:rsidRPr="00045DEC">
        <w:t xml:space="preserve">and nominal GDP. However, the appreciation in the exchange rate partially offsets the increase in exports prices and acts </w:t>
      </w:r>
      <w:r w:rsidR="00E07A04" w:rsidRPr="00045DEC">
        <w:lastRenderedPageBreak/>
        <w:t>to reduce domestic inflation through lower import prices.</w:t>
      </w:r>
      <w:r w:rsidR="00BA584B" w:rsidRPr="00045DEC">
        <w:t xml:space="preserve"> In comparison</w:t>
      </w:r>
      <w:r w:rsidR="00BA584B" w:rsidRPr="00045DEC">
        <w:rPr>
          <w:i/>
        </w:rPr>
        <w:t xml:space="preserve">, </w:t>
      </w:r>
      <w:r w:rsidR="00BA584B" w:rsidRPr="00045DEC">
        <w:rPr>
          <w:rStyle w:val="Emphasis"/>
        </w:rPr>
        <w:t xml:space="preserve">Box 2.4: Commodity prices </w:t>
      </w:r>
      <w:r w:rsidR="00BA584B" w:rsidRPr="00045DEC">
        <w:t>illustrates the effect of changing the short</w:t>
      </w:r>
      <w:r w:rsidR="00BA584B" w:rsidRPr="00045DEC">
        <w:noBreakHyphen/>
        <w:t xml:space="preserve">term commodity price assumptions on the forecasts </w:t>
      </w:r>
      <w:r w:rsidR="00010857" w:rsidRPr="00045DEC">
        <w:t xml:space="preserve">for nominal GDP and tax receipts </w:t>
      </w:r>
      <w:r w:rsidR="00BA584B" w:rsidRPr="00045DEC">
        <w:t xml:space="preserve">while </w:t>
      </w:r>
      <w:r w:rsidR="00E250C0" w:rsidRPr="00045DEC">
        <w:t>maintain</w:t>
      </w:r>
      <w:r w:rsidR="007F7544" w:rsidRPr="00045DEC">
        <w:t>in</w:t>
      </w:r>
      <w:r w:rsidR="00E250C0" w:rsidRPr="00045DEC">
        <w:t>g</w:t>
      </w:r>
      <w:r w:rsidR="007F7544" w:rsidRPr="00045DEC">
        <w:t xml:space="preserve"> the Budget forecasts for</w:t>
      </w:r>
      <w:r w:rsidR="00BA584B" w:rsidRPr="00045DEC">
        <w:t xml:space="preserve"> economic activity</w:t>
      </w:r>
      <w:r w:rsidR="005823B5" w:rsidRPr="00045DEC">
        <w:t>, the exchange rate</w:t>
      </w:r>
      <w:r w:rsidR="00BA584B" w:rsidRPr="00045DEC">
        <w:t xml:space="preserve"> and other prices. </w:t>
      </w:r>
      <w:r w:rsidR="00423751" w:rsidRPr="00045DEC">
        <w:t>This methodology is more consistent with how short</w:t>
      </w:r>
      <w:r w:rsidR="004200F5" w:rsidRPr="00045DEC">
        <w:noBreakHyphen/>
      </w:r>
      <w:r w:rsidR="00423751" w:rsidRPr="00045DEC">
        <w:t>run movements</w:t>
      </w:r>
      <w:r w:rsidR="00D633AB" w:rsidRPr="00045DEC">
        <w:t xml:space="preserve"> in </w:t>
      </w:r>
      <w:r w:rsidR="00423751" w:rsidRPr="00045DEC">
        <w:t xml:space="preserve">commodity prices would impact </w:t>
      </w:r>
      <w:r w:rsidR="00D633AB" w:rsidRPr="00045DEC">
        <w:t>the forecasts</w:t>
      </w:r>
      <w:r w:rsidR="00423751" w:rsidRPr="00045DEC">
        <w:t xml:space="preserve"> for nominal GDP and tax receipts in the budget.</w:t>
      </w:r>
      <w:r w:rsidR="00BA584B" w:rsidRPr="00045DEC">
        <w:t xml:space="preserve"> </w:t>
      </w:r>
    </w:p>
    <w:p w14:paraId="6D71987B" w14:textId="370CF587" w:rsidR="006B74F2" w:rsidRPr="00DD10B1" w:rsidRDefault="003E4C1A" w:rsidP="00262F65">
      <w:pPr>
        <w:rPr>
          <w:rFonts w:eastAsiaTheme="minorHAnsi"/>
        </w:rPr>
      </w:pPr>
      <w:r w:rsidRPr="00045DEC">
        <w:t xml:space="preserve">The volume of output and exports </w:t>
      </w:r>
      <w:r w:rsidR="00071D74" w:rsidRPr="00045DEC">
        <w:t>of the mining sector increase in response to higher iron ore prices. The higher exchange rate leads to a substitution towards imports, which partially offsets the increase in exports and GDP.</w:t>
      </w:r>
      <w:r w:rsidR="00B20336" w:rsidRPr="00045DEC">
        <w:t xml:space="preserve"> </w:t>
      </w:r>
    </w:p>
    <w:p w14:paraId="1D664BA2" w14:textId="2DC343CE" w:rsidR="003A1BEE" w:rsidRPr="00045DEC" w:rsidRDefault="003A1BEE" w:rsidP="003A1BEE">
      <w:pPr>
        <w:ind w:right="170"/>
      </w:pPr>
      <w:bookmarkStart w:id="57" w:name="_Toc116037837"/>
      <w:bookmarkEnd w:id="55"/>
      <w:r w:rsidRPr="00045DEC">
        <w:t>A US$10 per tonne increase in the assumed price for iron ore exports is expected to result in an increase in tax receipts of around $</w:t>
      </w:r>
      <w:r w:rsidRPr="00045DEC" w:rsidDel="00357EF5">
        <w:t>0.5</w:t>
      </w:r>
      <w:r w:rsidRPr="00045DEC">
        <w:t> billion in 2024</w:t>
      </w:r>
      <w:r w:rsidR="00F6116C" w:rsidRPr="00045DEC">
        <w:t>–</w:t>
      </w:r>
      <w:r w:rsidRPr="00045DEC">
        <w:t>25</w:t>
      </w:r>
      <w:r w:rsidR="00B038D5" w:rsidRPr="00045DEC">
        <w:t>, 2025</w:t>
      </w:r>
      <w:r w:rsidR="00F6116C" w:rsidRPr="00045DEC">
        <w:t>–</w:t>
      </w:r>
      <w:r w:rsidR="00B038D5" w:rsidRPr="00045DEC">
        <w:t>26</w:t>
      </w:r>
      <w:r w:rsidRPr="00045DEC">
        <w:t xml:space="preserve"> and</w:t>
      </w:r>
      <w:r w:rsidR="00B038D5" w:rsidRPr="00045DEC">
        <w:t xml:space="preserve"> 2026</w:t>
      </w:r>
      <w:r w:rsidR="00F6116C" w:rsidRPr="00045DEC">
        <w:t>–</w:t>
      </w:r>
      <w:r w:rsidR="00B038D5" w:rsidRPr="00045DEC">
        <w:t>27, before increasing to $</w:t>
      </w:r>
      <w:r w:rsidR="006B7FF6" w:rsidRPr="00045DEC">
        <w:t>1.9</w:t>
      </w:r>
      <w:r w:rsidR="00E61EE9" w:rsidRPr="00045DEC">
        <w:t> </w:t>
      </w:r>
      <w:r w:rsidR="00B038D5" w:rsidRPr="00045DEC">
        <w:t>billion in 2027</w:t>
      </w:r>
      <w:r w:rsidR="00621EBB" w:rsidRPr="00045DEC">
        <w:t>–</w:t>
      </w:r>
      <w:r w:rsidR="00B038D5" w:rsidRPr="00045DEC">
        <w:t>28</w:t>
      </w:r>
      <w:r w:rsidRPr="00045DEC">
        <w:t xml:space="preserve">. An increase in iron ore prices increases mining company profits and therefore company tax receipts. </w:t>
      </w:r>
      <w:r w:rsidR="0090378F" w:rsidRPr="00045DEC">
        <w:t xml:space="preserve">This builds over time as </w:t>
      </w:r>
      <w:r w:rsidR="00CB40D9" w:rsidRPr="00045DEC">
        <w:t xml:space="preserve">receipts fully incorporate the </w:t>
      </w:r>
      <w:r w:rsidR="0090378F" w:rsidRPr="00045DEC">
        <w:t>lag between when profits are realised and tax is paid by companies</w:t>
      </w:r>
      <w:r w:rsidR="00FB6F5B" w:rsidRPr="00045DEC">
        <w:t xml:space="preserve">, </w:t>
      </w:r>
      <w:r w:rsidR="00B038D5" w:rsidRPr="00045DEC">
        <w:t xml:space="preserve">with the </w:t>
      </w:r>
      <w:r w:rsidR="00AF16C6" w:rsidRPr="00045DEC">
        <w:t>largest</w:t>
      </w:r>
      <w:r w:rsidR="00B038D5" w:rsidRPr="00045DEC">
        <w:t xml:space="preserve"> increase occurring in 2027</w:t>
      </w:r>
      <w:r w:rsidR="00621EBB" w:rsidRPr="00045DEC">
        <w:t>–</w:t>
      </w:r>
      <w:r w:rsidR="00B038D5" w:rsidRPr="00045DEC">
        <w:t>28</w:t>
      </w:r>
      <w:r w:rsidRPr="00045DEC">
        <w:t>. Lower domestic prices result in lower individuals and other withholding taxes and indirect tax receipts, partially offsetting the increase in company tax.</w:t>
      </w:r>
      <w:r w:rsidRPr="00045DEC" w:rsidDel="00003D7C">
        <w:t xml:space="preserve"> </w:t>
      </w:r>
      <w:bookmarkStart w:id="58" w:name="_Toc133235096"/>
      <w:bookmarkEnd w:id="56"/>
      <w:bookmarkEnd w:id="57"/>
    </w:p>
    <w:p w14:paraId="0657DE7C" w14:textId="7A8B88A8" w:rsidR="000E7E2E" w:rsidRPr="00045DEC" w:rsidRDefault="000E7E2E">
      <w:pPr>
        <w:spacing w:before="0" w:after="160" w:line="259" w:lineRule="auto"/>
        <w:rPr>
          <w:rFonts w:ascii="Arial Bold" w:hAnsi="Arial Bold"/>
          <w:b/>
          <w:sz w:val="22"/>
        </w:rPr>
      </w:pPr>
      <w:r w:rsidRPr="00045DEC">
        <w:br w:type="page"/>
      </w:r>
    </w:p>
    <w:p w14:paraId="7870477C" w14:textId="21D2C459" w:rsidR="003A1BEE" w:rsidRPr="00045DEC" w:rsidRDefault="003A1BEE" w:rsidP="003A1BEE">
      <w:pPr>
        <w:pStyle w:val="Heading3"/>
      </w:pPr>
      <w:bookmarkStart w:id="59" w:name="_Toc166356116"/>
      <w:r w:rsidRPr="00045DEC">
        <w:lastRenderedPageBreak/>
        <w:t xml:space="preserve">Movements in </w:t>
      </w:r>
      <w:bookmarkEnd w:id="58"/>
      <w:r w:rsidRPr="00045DEC">
        <w:t>yields</w:t>
      </w:r>
      <w:bookmarkEnd w:id="59"/>
    </w:p>
    <w:p w14:paraId="067364C0" w14:textId="2FD57649" w:rsidR="003A1BEE" w:rsidRPr="00045DEC" w:rsidRDefault="003A1BEE" w:rsidP="003A1BEE">
      <w:r w:rsidRPr="00045DEC">
        <w:t xml:space="preserve">Government borrowing costs are sensitive to yields on Australian Government Securities and the level of debt. See </w:t>
      </w:r>
      <w:r w:rsidRPr="00045DEC">
        <w:rPr>
          <w:rStyle w:val="Emphasis"/>
        </w:rPr>
        <w:t>Budget</w:t>
      </w:r>
      <w:r w:rsidR="00DD6462" w:rsidRPr="00045DEC">
        <w:rPr>
          <w:rStyle w:val="Emphasis"/>
        </w:rPr>
        <w:t> </w:t>
      </w:r>
      <w:r w:rsidRPr="00045DEC">
        <w:rPr>
          <w:rStyle w:val="Emphasis"/>
        </w:rPr>
        <w:t>Statement </w:t>
      </w:r>
      <w:r w:rsidR="009A6024" w:rsidRPr="00045DEC">
        <w:rPr>
          <w:rStyle w:val="Emphasis"/>
        </w:rPr>
        <w:t>7</w:t>
      </w:r>
      <w:r w:rsidRPr="00045DEC">
        <w:rPr>
          <w:rStyle w:val="Emphasis"/>
        </w:rPr>
        <w:t xml:space="preserve">: </w:t>
      </w:r>
      <w:r w:rsidR="009A6024" w:rsidRPr="00045DEC">
        <w:rPr>
          <w:rStyle w:val="Emphasis"/>
        </w:rPr>
        <w:t>Debt Statement</w:t>
      </w:r>
      <w:r w:rsidRPr="00045DEC">
        <w:rPr>
          <w:i/>
        </w:rPr>
        <w:t xml:space="preserve"> </w:t>
      </w:r>
      <w:r w:rsidRPr="00045DEC">
        <w:t xml:space="preserve">for further information on yields. Given the uncertainty surrounding the global and domestic outlook and the impact on yields, Treasury makes the following technical assumptions: </w:t>
      </w:r>
    </w:p>
    <w:p w14:paraId="13ECC13D" w14:textId="69F460C8" w:rsidR="003A1BEE" w:rsidRPr="00045DEC" w:rsidRDefault="003A1BEE" w:rsidP="003A1BEE">
      <w:pPr>
        <w:pStyle w:val="Bullet"/>
        <w:tabs>
          <w:tab w:val="clear" w:pos="283"/>
          <w:tab w:val="num" w:pos="850"/>
        </w:tabs>
      </w:pPr>
      <w:r w:rsidRPr="00045DEC">
        <w:t xml:space="preserve">Over the forward estimates, government bond yields are fixed at rates observed immediately prior to the Budget update. </w:t>
      </w:r>
      <w:r w:rsidR="001803D1" w:rsidRPr="00045DEC">
        <w:t>In the 2024</w:t>
      </w:r>
      <w:r w:rsidR="007C6103" w:rsidRPr="00045DEC">
        <w:t>–</w:t>
      </w:r>
      <w:r w:rsidR="001803D1" w:rsidRPr="00045DEC">
        <w:t>25</w:t>
      </w:r>
      <w:r w:rsidR="00DD6462" w:rsidRPr="00045DEC">
        <w:t> </w:t>
      </w:r>
      <w:r w:rsidR="001803D1" w:rsidRPr="00045DEC">
        <w:t xml:space="preserve">Budget, the </w:t>
      </w:r>
      <w:r w:rsidR="00755AEE" w:rsidRPr="00045DEC">
        <w:t>10</w:t>
      </w:r>
      <w:r w:rsidR="00FE07A9" w:rsidRPr="00045DEC">
        <w:noBreakHyphen/>
      </w:r>
      <w:r w:rsidR="001803D1" w:rsidRPr="00045DEC">
        <w:t xml:space="preserve">year yield, which approximates the average yield on new issuance, is assumed to be </w:t>
      </w:r>
      <w:r w:rsidR="00B27A27" w:rsidRPr="00045DEC">
        <w:t>4.2</w:t>
      </w:r>
      <w:r w:rsidR="006C13AF" w:rsidRPr="00045DEC">
        <w:t> </w:t>
      </w:r>
      <w:r w:rsidR="001803D1" w:rsidRPr="00045DEC">
        <w:t>per</w:t>
      </w:r>
      <w:r w:rsidR="006C13AF" w:rsidRPr="00045DEC">
        <w:t> </w:t>
      </w:r>
      <w:r w:rsidR="001803D1" w:rsidRPr="00045DEC">
        <w:t xml:space="preserve">cent over the forward estimates. </w:t>
      </w:r>
    </w:p>
    <w:p w14:paraId="7CBE106E" w14:textId="7D5D46C2" w:rsidR="003A1BEE" w:rsidRPr="00045DEC" w:rsidRDefault="00854887" w:rsidP="003A1BEE">
      <w:pPr>
        <w:pStyle w:val="Bullet"/>
        <w:tabs>
          <w:tab w:val="clear" w:pos="283"/>
          <w:tab w:val="num" w:pos="850"/>
        </w:tabs>
      </w:pPr>
      <w:r w:rsidRPr="00045DEC">
        <w:t xml:space="preserve">After the forward estimates, the </w:t>
      </w:r>
      <w:r w:rsidR="00755AEE" w:rsidRPr="00045DEC">
        <w:t>10</w:t>
      </w:r>
      <w:r w:rsidR="00FE07A9" w:rsidRPr="00045DEC">
        <w:noBreakHyphen/>
      </w:r>
      <w:r w:rsidRPr="00045DEC">
        <w:t>year bond yield converges linearly towards the long</w:t>
      </w:r>
      <w:r w:rsidR="00FE07A9" w:rsidRPr="00045DEC">
        <w:noBreakHyphen/>
      </w:r>
      <w:r w:rsidRPr="00045DEC">
        <w:t>run nominal GDP growth rate over 15</w:t>
      </w:r>
      <w:r w:rsidR="002A1179" w:rsidRPr="00045DEC">
        <w:t> </w:t>
      </w:r>
      <w:r w:rsidRPr="00045DEC">
        <w:t>years. This is broadly consistent with the long</w:t>
      </w:r>
      <w:r w:rsidR="00FE07A9" w:rsidRPr="00045DEC">
        <w:noBreakHyphen/>
      </w:r>
      <w:r w:rsidRPr="00045DEC">
        <w:t xml:space="preserve">run approaches of comparable advanced economies. </w:t>
      </w:r>
      <w:r w:rsidR="00785D45" w:rsidRPr="00045DEC">
        <w:t>The yield</w:t>
      </w:r>
      <w:r w:rsidR="001D3F0B" w:rsidRPr="00045DEC">
        <w:t>s</w:t>
      </w:r>
      <w:r w:rsidR="00785D45" w:rsidRPr="00045DEC">
        <w:t xml:space="preserve"> on other bond tenors</w:t>
      </w:r>
      <w:r w:rsidRPr="00045DEC">
        <w:t xml:space="preserve"> </w:t>
      </w:r>
      <w:r w:rsidR="001D3F0B" w:rsidRPr="00045DEC">
        <w:t>are</w:t>
      </w:r>
      <w:r w:rsidRPr="00045DEC">
        <w:t xml:space="preserve"> assumed to maintain their historical relativity to the </w:t>
      </w:r>
      <w:r w:rsidR="00755AEE" w:rsidRPr="00045DEC">
        <w:t>10</w:t>
      </w:r>
      <w:r w:rsidR="00FE07A9" w:rsidRPr="00045DEC">
        <w:noBreakHyphen/>
      </w:r>
      <w:r w:rsidRPr="00045DEC">
        <w:t xml:space="preserve">year bond yield. </w:t>
      </w:r>
    </w:p>
    <w:p w14:paraId="228952E9" w14:textId="521B4A94" w:rsidR="003A1BEE" w:rsidRPr="00045DEC" w:rsidRDefault="003A1BEE" w:rsidP="003A1BEE">
      <w:r w:rsidRPr="00045DEC">
        <w:t>The higher yield assumption has bond yields increasing by 1</w:t>
      </w:r>
      <w:r w:rsidR="00A17F33" w:rsidRPr="00045DEC">
        <w:t>0</w:t>
      </w:r>
      <w:r w:rsidRPr="00045DEC">
        <w:t xml:space="preserve">0 basis points by </w:t>
      </w:r>
      <w:r w:rsidR="00377243" w:rsidRPr="00045DEC">
        <w:t>30</w:t>
      </w:r>
      <w:r w:rsidR="002A1179" w:rsidRPr="00045DEC">
        <w:t> </w:t>
      </w:r>
      <w:r w:rsidR="00377243" w:rsidRPr="00045DEC">
        <w:t>June</w:t>
      </w:r>
      <w:r w:rsidR="002A1179" w:rsidRPr="00045DEC">
        <w:t> </w:t>
      </w:r>
      <w:r w:rsidR="00FF49EB" w:rsidRPr="00045DEC">
        <w:t>2025</w:t>
      </w:r>
      <w:r w:rsidRPr="00045DEC">
        <w:t>.</w:t>
      </w:r>
      <w:r w:rsidR="003059AE" w:rsidRPr="00045DEC">
        <w:t xml:space="preserve"> Yields are then held constant over the remainder of the forward estimates to 2027</w:t>
      </w:r>
      <w:r w:rsidR="002A1179" w:rsidRPr="00045DEC">
        <w:t>–</w:t>
      </w:r>
      <w:r w:rsidR="003059AE" w:rsidRPr="00045DEC">
        <w:t>28</w:t>
      </w:r>
      <w:r w:rsidR="00C61411" w:rsidRPr="00045DEC">
        <w:t>, before linearly converging to the long</w:t>
      </w:r>
      <w:r w:rsidR="00FE07A9" w:rsidRPr="00045DEC">
        <w:noBreakHyphen/>
      </w:r>
      <w:r w:rsidR="00C61411" w:rsidRPr="00045DEC">
        <w:t>run yield assumption of nominal GDP growth over 15</w:t>
      </w:r>
      <w:r w:rsidR="002A1179" w:rsidRPr="00045DEC">
        <w:t> </w:t>
      </w:r>
      <w:r w:rsidR="00C61411" w:rsidRPr="00045DEC">
        <w:t>years</w:t>
      </w:r>
      <w:r w:rsidR="00DE0412" w:rsidRPr="00045DEC">
        <w:t>.</w:t>
      </w:r>
      <w:r w:rsidRPr="00045DEC">
        <w:t xml:space="preserve"> The lower yield </w:t>
      </w:r>
      <w:r w:rsidR="00564795" w:rsidRPr="00045DEC">
        <w:t>sensitivity is symmetric</w:t>
      </w:r>
      <w:r w:rsidRPr="00045DEC">
        <w:t xml:space="preserve"> (Chart 8.14). Other economic parameters are assumed to remain unchanged from baseline forecasts to isolate the direct impact on fiscal aggregates.</w:t>
      </w:r>
    </w:p>
    <w:p w14:paraId="093E6D5E" w14:textId="7D1EEF2B" w:rsidR="003A1BEE" w:rsidRPr="00045DEC" w:rsidRDefault="003A1BEE" w:rsidP="003A1BEE">
      <w:pPr>
        <w:pStyle w:val="ChartHeading"/>
      </w:pPr>
      <w:r w:rsidRPr="00045DEC">
        <w:t>Chart 8.14: Baseline and alternative movements in the 10</w:t>
      </w:r>
      <w:r w:rsidR="00872E27" w:rsidRPr="00045DEC">
        <w:noBreakHyphen/>
      </w:r>
      <w:r w:rsidRPr="00045DEC">
        <w:t xml:space="preserve">year bond yield </w:t>
      </w:r>
    </w:p>
    <w:p w14:paraId="3AF675E2" w14:textId="21620068" w:rsidR="003A1BEE" w:rsidRPr="00045DEC" w:rsidRDefault="00E27041" w:rsidP="00A17F33">
      <w:pPr>
        <w:pStyle w:val="ChartGraphic"/>
      </w:pPr>
      <w:r>
        <w:pict w14:anchorId="5B4FD9C3">
          <v:shape id="_x0000_i1038" type="#_x0000_t75" alt="The baseline yield assumption is that the 10-year yield remains at around 4.2% over the period to 2027-28. The higher yield assumption has the 10-year bond yield rising to 5.2% by 30 June 2025. The lower yield assumption falling to 3.2% by 30 June 2025. In all scenarios, the 10-year yield is held constant over the period to 2027–28, before linearly converging towards the long run yield assumption of nominal GDP growth over 15 years." style="width:372.35pt;height:225.65pt">
            <v:imagedata r:id="rId35" o:title=""/>
          </v:shape>
        </w:pict>
      </w:r>
    </w:p>
    <w:p w14:paraId="1C152490" w14:textId="337EF47E" w:rsidR="003A1BEE" w:rsidRPr="00045DEC" w:rsidRDefault="003A1BEE" w:rsidP="003A1BEE">
      <w:pPr>
        <w:pStyle w:val="ChartandTableFootnote"/>
        <w:rPr>
          <w:color w:val="auto"/>
        </w:rPr>
      </w:pPr>
      <w:bookmarkStart w:id="60" w:name="_1727880749"/>
      <w:bookmarkStart w:id="61" w:name="_1727940191"/>
      <w:bookmarkStart w:id="62" w:name="_1727950797"/>
      <w:bookmarkEnd w:id="60"/>
      <w:bookmarkEnd w:id="61"/>
      <w:bookmarkEnd w:id="62"/>
      <w:r w:rsidRPr="00045DEC">
        <w:rPr>
          <w:color w:val="auto"/>
        </w:rPr>
        <w:t xml:space="preserve">Source: </w:t>
      </w:r>
      <w:r w:rsidRPr="00045DEC">
        <w:rPr>
          <w:color w:val="auto"/>
        </w:rPr>
        <w:tab/>
        <w:t>Treasury.</w:t>
      </w:r>
    </w:p>
    <w:p w14:paraId="72286A66" w14:textId="77777777" w:rsidR="003A1BEE" w:rsidRPr="00045DEC" w:rsidRDefault="003A1BEE" w:rsidP="003A1BEE">
      <w:pPr>
        <w:pStyle w:val="TableLine"/>
      </w:pPr>
    </w:p>
    <w:p w14:paraId="30A1693B" w14:textId="0C64B02D" w:rsidR="003A1BEE" w:rsidRPr="00045DEC" w:rsidRDefault="003A1BEE" w:rsidP="00CF5F43">
      <w:pPr>
        <w:spacing w:before="0" w:after="160" w:line="259" w:lineRule="auto"/>
      </w:pPr>
      <w:bookmarkStart w:id="63" w:name="_1700568839"/>
      <w:bookmarkStart w:id="64" w:name="_1700573370"/>
      <w:bookmarkStart w:id="65" w:name="_1700647015"/>
      <w:bookmarkStart w:id="66" w:name="_1700646965"/>
      <w:bookmarkStart w:id="67" w:name="_1707640144"/>
      <w:bookmarkStart w:id="68" w:name="_1707746801"/>
      <w:bookmarkStart w:id="69" w:name="_1707825457"/>
      <w:bookmarkStart w:id="70" w:name="_1709480198"/>
      <w:bookmarkEnd w:id="63"/>
      <w:bookmarkEnd w:id="64"/>
      <w:bookmarkEnd w:id="65"/>
      <w:bookmarkEnd w:id="66"/>
      <w:bookmarkEnd w:id="67"/>
      <w:bookmarkEnd w:id="68"/>
      <w:bookmarkEnd w:id="69"/>
      <w:bookmarkEnd w:id="70"/>
      <w:r w:rsidRPr="00045DEC">
        <w:lastRenderedPageBreak/>
        <w:t xml:space="preserve">Higher yields increase public debt interest </w:t>
      </w:r>
      <w:r w:rsidR="006B31D0" w:rsidRPr="00045DEC">
        <w:t>payments</w:t>
      </w:r>
      <w:r w:rsidRPr="00045DEC">
        <w:t xml:space="preserve"> and receipts earned on investments. As government interest bearing liabilities usually exceed interest bearing assets, higher yields lead to a deterioration in the underlying cash balance. Lower yields have the reverse effect, improving the underlying cash balance.</w:t>
      </w:r>
    </w:p>
    <w:p w14:paraId="3B4ECDF5" w14:textId="48732204" w:rsidR="003A1BEE" w:rsidRPr="00045DEC" w:rsidRDefault="003A1BEE" w:rsidP="00405FFC">
      <w:r w:rsidRPr="00045DEC">
        <w:t xml:space="preserve">The higher yield assumption results in a deterioration to the underlying cash balance of </w:t>
      </w:r>
      <w:r w:rsidR="00591C09" w:rsidRPr="00045DEC">
        <w:t>0.</w:t>
      </w:r>
      <w:r w:rsidR="00504E9D" w:rsidRPr="00045DEC">
        <w:t>3</w:t>
      </w:r>
      <w:r w:rsidR="00376DDB" w:rsidRPr="00045DEC">
        <w:t> </w:t>
      </w:r>
      <w:r w:rsidRPr="00045DEC">
        <w:t>percentage points of GDP by 203</w:t>
      </w:r>
      <w:r w:rsidR="00627BE0" w:rsidRPr="00045DEC">
        <w:t>4</w:t>
      </w:r>
      <w:r w:rsidRPr="00045DEC">
        <w:t>–3</w:t>
      </w:r>
      <w:r w:rsidR="00627BE0" w:rsidRPr="00045DEC">
        <w:t>5</w:t>
      </w:r>
      <w:r w:rsidRPr="00045DEC">
        <w:t xml:space="preserve"> and increases gross debt by </w:t>
      </w:r>
      <w:r w:rsidR="00232C06" w:rsidRPr="00045DEC">
        <w:t>1.9</w:t>
      </w:r>
      <w:r w:rsidR="0079426D" w:rsidRPr="00045DEC">
        <w:t> </w:t>
      </w:r>
      <w:r w:rsidRPr="00045DEC">
        <w:t>percentage points of GDP at 30 June 203</w:t>
      </w:r>
      <w:r w:rsidR="00627BE0" w:rsidRPr="00045DEC">
        <w:t>5</w:t>
      </w:r>
      <w:r w:rsidRPr="00045DEC">
        <w:t xml:space="preserve"> (Chart 8.15).</w:t>
      </w:r>
    </w:p>
    <w:p w14:paraId="593FFB75" w14:textId="7CBD9FBF" w:rsidR="003A1BEE" w:rsidRPr="00045DEC" w:rsidRDefault="003A1BEE" w:rsidP="00405FFC">
      <w:r w:rsidRPr="00045DEC">
        <w:t xml:space="preserve">The lower yield assumption results in an improvement to the underlying cash balance of </w:t>
      </w:r>
      <w:r w:rsidR="006D4B3A" w:rsidRPr="00045DEC">
        <w:t>0.2</w:t>
      </w:r>
      <w:r w:rsidR="0027561F" w:rsidRPr="00045DEC">
        <w:t> </w:t>
      </w:r>
      <w:r w:rsidRPr="00045DEC">
        <w:t>percentage points of GDP by 203</w:t>
      </w:r>
      <w:r w:rsidR="00C41540" w:rsidRPr="00045DEC">
        <w:t>4</w:t>
      </w:r>
      <w:r w:rsidRPr="00045DEC">
        <w:t>–3</w:t>
      </w:r>
      <w:r w:rsidR="00C41540" w:rsidRPr="00045DEC">
        <w:t>5</w:t>
      </w:r>
      <w:r w:rsidRPr="00045DEC">
        <w:t xml:space="preserve">. Under the lower yield assumption, cumulative improvements to the underlying cash balance reduce gross debt by </w:t>
      </w:r>
      <w:r w:rsidR="002E5494" w:rsidRPr="00045DEC">
        <w:t>1.</w:t>
      </w:r>
      <w:r w:rsidR="00C8222A" w:rsidRPr="00045DEC">
        <w:t>7</w:t>
      </w:r>
      <w:r w:rsidR="005F0982" w:rsidRPr="00045DEC">
        <w:t> </w:t>
      </w:r>
      <w:r w:rsidRPr="00045DEC">
        <w:t>percentage points of GDP at 30 June 203</w:t>
      </w:r>
      <w:r w:rsidR="00C41540" w:rsidRPr="00045DEC">
        <w:t>5</w:t>
      </w:r>
      <w:r w:rsidRPr="00045DEC">
        <w:t>.</w:t>
      </w:r>
    </w:p>
    <w:p w14:paraId="069E8DFA" w14:textId="5BC5CC6A" w:rsidR="003A1BEE" w:rsidRPr="00045DEC" w:rsidRDefault="003A1BEE" w:rsidP="003A1BEE">
      <w:pPr>
        <w:pStyle w:val="ChartHeading"/>
        <w:rPr>
          <w:rFonts w:eastAsiaTheme="minorHAnsi"/>
        </w:rPr>
      </w:pPr>
      <w:r w:rsidRPr="00045DEC">
        <w:t>Chart 8.15: Gross debt</w:t>
      </w:r>
    </w:p>
    <w:p w14:paraId="0BB95477" w14:textId="0176919D" w:rsidR="003A1BEE" w:rsidRPr="00045DEC" w:rsidRDefault="00E27041" w:rsidP="002F0643">
      <w:pPr>
        <w:pStyle w:val="ChartGraphic"/>
        <w:rPr>
          <w:rFonts w:eastAsiaTheme="minorHAnsi"/>
        </w:rPr>
      </w:pPr>
      <w:r>
        <w:rPr>
          <w:rFonts w:eastAsiaTheme="minorHAnsi"/>
        </w:rPr>
        <w:pict w14:anchorId="6A6A0CB6">
          <v:shape id="_x0000_i1039" type="#_x0000_t75" alt="The chart compares gross debt as a share of GDP from 2024-25 to 2034-35 under the baseline, higher yield and lower yield assumptions. Under the baseline, gross debt-to-GDP peaks at 35.2 per cent in 2026-27, and falls to 30.2 per cent in 2034-35. Under the lower yield assumption it peaks at 34.9 in 2025-26 and falls to 28.5 per cent in 2034-35. Under the higher yield assumption it peaks at 35.9 in 2029-30 and falls to 32.1 per cent in 2034-35." style="width:368.05pt;height:227.8pt">
            <v:imagedata r:id="rId36" o:title=""/>
          </v:shape>
        </w:pict>
      </w:r>
    </w:p>
    <w:p w14:paraId="5FEA05E3" w14:textId="287667B5" w:rsidR="003A1BEE" w:rsidRPr="00045DEC" w:rsidRDefault="003A1BEE" w:rsidP="003A1BEE">
      <w:pPr>
        <w:pStyle w:val="ChartandTableFootnote"/>
        <w:ind w:left="0" w:firstLine="0"/>
        <w:rPr>
          <w:color w:val="auto"/>
        </w:rPr>
      </w:pPr>
      <w:r w:rsidRPr="00045DEC">
        <w:rPr>
          <w:color w:val="auto"/>
        </w:rPr>
        <w:t xml:space="preserve">Source: </w:t>
      </w:r>
      <w:r w:rsidRPr="00045DEC">
        <w:rPr>
          <w:color w:val="auto"/>
        </w:rPr>
        <w:tab/>
        <w:t>Australian Office of Financial Management and Treasury.</w:t>
      </w:r>
    </w:p>
    <w:p w14:paraId="2FF0B932" w14:textId="77777777" w:rsidR="003A1BEE" w:rsidRPr="00045DEC" w:rsidRDefault="003A1BEE" w:rsidP="00AF46DB">
      <w:pPr>
        <w:pStyle w:val="ChartLine"/>
      </w:pPr>
    </w:p>
    <w:p w14:paraId="40FD83F0" w14:textId="13DDB342" w:rsidR="003A1BEE" w:rsidRPr="00782394" w:rsidRDefault="003A1BEE" w:rsidP="00405FFC">
      <w:r w:rsidRPr="00045DEC">
        <w:t>Even under the higher yield assumption, projected Commonwealth gross debt as a share of GDP is</w:t>
      </w:r>
      <w:r w:rsidRPr="00045DEC" w:rsidDel="001271B7">
        <w:t xml:space="preserve"> </w:t>
      </w:r>
      <w:r w:rsidRPr="00045DEC">
        <w:t>less than 30 per cent of the average general government gross debt</w:t>
      </w:r>
      <w:r w:rsidRPr="00045DEC" w:rsidDel="00DC0DFA">
        <w:t xml:space="preserve"> </w:t>
      </w:r>
      <w:r w:rsidRPr="00045DEC">
        <w:t>in the G7 countries today</w:t>
      </w:r>
      <w:bookmarkStart w:id="71" w:name="_1700568840"/>
      <w:bookmarkStart w:id="72" w:name="_1700573371"/>
      <w:bookmarkStart w:id="73" w:name="_1700647016"/>
      <w:bookmarkStart w:id="74" w:name="_1700646967"/>
      <w:bookmarkStart w:id="75" w:name="_1707640147"/>
      <w:bookmarkStart w:id="76" w:name="_1707746803"/>
      <w:bookmarkStart w:id="77" w:name="_1707825459"/>
      <w:bookmarkEnd w:id="71"/>
      <w:bookmarkEnd w:id="72"/>
      <w:bookmarkEnd w:id="73"/>
      <w:bookmarkEnd w:id="74"/>
      <w:bookmarkEnd w:id="75"/>
      <w:bookmarkEnd w:id="76"/>
      <w:bookmarkEnd w:id="77"/>
      <w:r w:rsidRPr="00045DEC">
        <w:t>.</w:t>
      </w:r>
    </w:p>
    <w:sectPr w:rsidR="003A1BEE" w:rsidRPr="00782394" w:rsidSect="005356DA">
      <w:headerReference w:type="even" r:id="rId37"/>
      <w:headerReference w:type="default" r:id="rId38"/>
      <w:footnotePr>
        <w:numStart w:val="38"/>
      </w:footnotePr>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E4BD" w14:textId="77777777" w:rsidR="004469E1" w:rsidRDefault="004469E1" w:rsidP="00E40261">
      <w:pPr>
        <w:spacing w:after="0" w:line="240" w:lineRule="auto"/>
      </w:pPr>
      <w:r>
        <w:separator/>
      </w:r>
    </w:p>
  </w:endnote>
  <w:endnote w:type="continuationSeparator" w:id="0">
    <w:p w14:paraId="7CCBA4D7" w14:textId="77777777" w:rsidR="004469E1" w:rsidRDefault="004469E1" w:rsidP="00E40261">
      <w:pPr>
        <w:spacing w:after="0" w:line="240" w:lineRule="auto"/>
      </w:pPr>
      <w:r>
        <w:continuationSeparator/>
      </w:r>
    </w:p>
  </w:endnote>
  <w:endnote w:type="continuationNotice" w:id="1">
    <w:p w14:paraId="60F8E294" w14:textId="77777777" w:rsidR="004469E1" w:rsidRDefault="004469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CD43" w14:textId="56C2BAE7" w:rsidR="003A1BEE" w:rsidRDefault="00E27041" w:rsidP="002A6A16">
    <w:pPr>
      <w:pStyle w:val="FooterOdd"/>
    </w:pPr>
    <w:r>
      <w:fldChar w:fldCharType="begin"/>
    </w:r>
    <w:r>
      <w:instrText>SUBJECT   \* MERGEFORMAT</w:instrText>
    </w:r>
    <w:r>
      <w:fldChar w:fldCharType="separate"/>
    </w:r>
    <w:r w:rsidR="005C6A82">
      <w:t>Statement 8: Forecasting Performance and Sensitivity Analysis</w:t>
    </w:r>
    <w:r>
      <w:fldChar w:fldCharType="end"/>
    </w:r>
    <w:r w:rsidR="003A1BEE" w:rsidRPr="00B3705D">
      <w:t xml:space="preserve">  |  </w:t>
    </w:r>
    <w:r w:rsidR="003A1BEE" w:rsidRPr="00B3705D">
      <w:rPr>
        <w:b/>
        <w:bCs/>
      </w:rPr>
      <w:t xml:space="preserve">Page </w:t>
    </w:r>
    <w:r w:rsidR="003A1BEE" w:rsidRPr="00B3705D">
      <w:rPr>
        <w:b/>
        <w:bCs/>
      </w:rPr>
      <w:fldChar w:fldCharType="begin"/>
    </w:r>
    <w:r w:rsidR="003A1BEE" w:rsidRPr="00B3705D">
      <w:rPr>
        <w:b/>
        <w:bCs/>
      </w:rPr>
      <w:instrText xml:space="preserve"> PAGE  \* Arabic  \* MERGEFORMAT </w:instrText>
    </w:r>
    <w:r w:rsidR="003A1BEE" w:rsidRPr="00B3705D">
      <w:rPr>
        <w:b/>
        <w:bCs/>
      </w:rPr>
      <w:fldChar w:fldCharType="separate"/>
    </w:r>
    <w:r w:rsidR="003A1BEE">
      <w:rPr>
        <w:b/>
        <w:bCs/>
      </w:rPr>
      <w:t>1</w:t>
    </w:r>
    <w:r w:rsidR="003A1BEE"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F6D8" w14:textId="3036BE6A" w:rsidR="003A1BEE" w:rsidRDefault="00E27041" w:rsidP="00360947">
    <w:pPr>
      <w:pStyle w:val="FooterOdd"/>
    </w:pPr>
    <w:r>
      <w:fldChar w:fldCharType="begin"/>
    </w:r>
    <w:r>
      <w:instrText>SUBJECT   \* MERGEFORMAT</w:instrText>
    </w:r>
    <w:r>
      <w:fldChar w:fldCharType="separate"/>
    </w:r>
    <w:r w:rsidR="005C6A82">
      <w:t>Statement 8: Forecasting Performance and Sensitivity Analysis</w:t>
    </w:r>
    <w:r>
      <w:fldChar w:fldCharType="end"/>
    </w:r>
    <w:r w:rsidR="003A1BEE" w:rsidRPr="00B3705D">
      <w:t xml:space="preserve">  |  </w:t>
    </w:r>
    <w:r w:rsidR="003A1BEE" w:rsidRPr="00B3705D">
      <w:rPr>
        <w:b/>
        <w:bCs/>
      </w:rPr>
      <w:t xml:space="preserve">Page </w:t>
    </w:r>
    <w:r w:rsidR="003A1BEE" w:rsidRPr="00B3705D">
      <w:rPr>
        <w:b/>
        <w:bCs/>
      </w:rPr>
      <w:fldChar w:fldCharType="begin"/>
    </w:r>
    <w:r w:rsidR="003A1BEE" w:rsidRPr="00B3705D">
      <w:rPr>
        <w:b/>
        <w:bCs/>
      </w:rPr>
      <w:instrText xml:space="preserve"> PAGE  \* Arabic  \* MERGEFORMAT </w:instrText>
    </w:r>
    <w:r w:rsidR="003A1BEE" w:rsidRPr="00B3705D">
      <w:rPr>
        <w:b/>
        <w:bCs/>
      </w:rPr>
      <w:fldChar w:fldCharType="separate"/>
    </w:r>
    <w:r w:rsidR="003A1BEE">
      <w:rPr>
        <w:b/>
        <w:bCs/>
      </w:rPr>
      <w:t>1</w:t>
    </w:r>
    <w:r w:rsidR="003A1BEE"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C8A0" w14:textId="0B45E8F1"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27041">
      <w:fldChar w:fldCharType="begin"/>
    </w:r>
    <w:r w:rsidR="00E27041">
      <w:instrText xml:space="preserve"> SUBJECT   \* MERGEFORMAT </w:instrText>
    </w:r>
    <w:r w:rsidR="00E27041">
      <w:fldChar w:fldCharType="separate"/>
    </w:r>
    <w:r w:rsidR="005C6A82">
      <w:t>Statement 8: Forecasting Performance and Sensitivity Analysis</w:t>
    </w:r>
    <w:r w:rsidR="00E2704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2D45" w14:textId="48EC93DC" w:rsidR="00FB5DDD" w:rsidRDefault="00E27041" w:rsidP="002A6A16">
    <w:pPr>
      <w:pStyle w:val="FooterOdd"/>
    </w:pPr>
    <w:r>
      <w:fldChar w:fldCharType="begin"/>
    </w:r>
    <w:r>
      <w:instrText xml:space="preserve"> SUBJECT   \* MERGEFORMAT </w:instrText>
    </w:r>
    <w:r>
      <w:fldChar w:fldCharType="separate"/>
    </w:r>
    <w:r w:rsidR="005C6A82">
      <w:t>Statement 8: Forecasting Performance and Sensitivity Analysis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C30C" w14:textId="62209FB9" w:rsidR="00FB5DDD" w:rsidRDefault="00E27041" w:rsidP="00360947">
    <w:pPr>
      <w:pStyle w:val="FooterOdd"/>
    </w:pPr>
    <w:r>
      <w:fldChar w:fldCharType="begin"/>
    </w:r>
    <w:r>
      <w:instrText xml:space="preserve"> SUBJECT   \* MERGEFORMAT </w:instrText>
    </w:r>
    <w:r>
      <w:fldChar w:fldCharType="separate"/>
    </w:r>
    <w:r w:rsidR="005C6A82">
      <w:t>Statement 8: Forecasting Performance and Sensitivity Analysis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E241" w14:textId="77777777" w:rsidR="004469E1" w:rsidRPr="003C1CA4" w:rsidRDefault="004469E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6BEA40B" w14:textId="77777777" w:rsidR="004469E1" w:rsidRDefault="004469E1" w:rsidP="00E40261">
      <w:pPr>
        <w:spacing w:after="0" w:line="240" w:lineRule="auto"/>
      </w:pPr>
      <w:r>
        <w:continuationSeparator/>
      </w:r>
    </w:p>
  </w:footnote>
  <w:footnote w:type="continuationNotice" w:id="1">
    <w:p w14:paraId="60ED7DCB" w14:textId="77777777" w:rsidR="004469E1" w:rsidRDefault="004469E1">
      <w:pPr>
        <w:spacing w:before="0" w:after="0" w:line="240" w:lineRule="auto"/>
      </w:pPr>
    </w:p>
  </w:footnote>
  <w:footnote w:id="2">
    <w:p w14:paraId="51D9606B" w14:textId="6ADD03A2" w:rsidR="003035BC" w:rsidRPr="005D7F0D" w:rsidRDefault="00FF4D97" w:rsidP="003035BC">
      <w:pPr>
        <w:pStyle w:val="FootnoteText"/>
      </w:pPr>
      <w:r w:rsidRPr="00FF4D97">
        <w:rPr>
          <w:rStyle w:val="FootnoteReference"/>
          <w:vertAlign w:val="baseline"/>
        </w:rPr>
        <w:footnoteRef/>
      </w:r>
      <w:r w:rsidR="003035BC" w:rsidRPr="005D7F0D">
        <w:t xml:space="preserve"> </w:t>
      </w:r>
      <w:r w:rsidR="003035BC" w:rsidRPr="00045DEC">
        <w:tab/>
        <w:t>Between 2005–06 and 2019–20, the underlying cash balance was equal to receipts less payments, less net Future Fund earnings. In all other years, the underlying cash balance is equal to receipts less payments.</w:t>
      </w:r>
    </w:p>
  </w:footnote>
  <w:footnote w:id="3">
    <w:p w14:paraId="5FF8326B" w14:textId="21D9639E" w:rsidR="003A1BEE" w:rsidRDefault="009A52FA" w:rsidP="003A1BEE">
      <w:pPr>
        <w:pStyle w:val="FootnoteText"/>
      </w:pPr>
      <w:r w:rsidRPr="009A52FA">
        <w:footnoteRef/>
      </w:r>
      <w:r w:rsidR="003A1BEE" w:rsidRPr="005D7F0D">
        <w:t xml:space="preserve"> </w:t>
      </w:r>
      <w:r w:rsidR="003A1BEE" w:rsidRPr="00045DEC">
        <w:tab/>
        <w:t xml:space="preserve">See Treasury Working Paper: </w:t>
      </w:r>
      <w:r w:rsidR="003A1BEE" w:rsidRPr="00045DEC">
        <w:rPr>
          <w:i/>
        </w:rPr>
        <w:t>Estimates of Uncertainty around Budget Forecasts (2013)</w:t>
      </w:r>
      <w:r w:rsidR="003A1BEE" w:rsidRPr="00045DEC">
        <w:t>.</w:t>
      </w:r>
      <w:r w:rsidR="003A1BEE" w:rsidRPr="00045DEC">
        <w:rPr>
          <w:i/>
        </w:rPr>
        <w:t xml:space="preserve"> </w:t>
      </w:r>
    </w:p>
  </w:footnote>
  <w:footnote w:id="4">
    <w:p w14:paraId="1874201D" w14:textId="016837F0" w:rsidR="00A014C4" w:rsidRDefault="00A014C4" w:rsidP="00A014C4">
      <w:pPr>
        <w:pStyle w:val="FootnoteText"/>
      </w:pPr>
      <w:r w:rsidRPr="009A52FA">
        <w:rPr>
          <w:rStyle w:val="FootnoteReference"/>
          <w:vertAlign w:val="baseline"/>
        </w:rPr>
        <w:footnoteRef/>
      </w:r>
      <w:r>
        <w:t xml:space="preserve"> </w:t>
      </w:r>
      <w:r w:rsidRPr="00045DEC">
        <w:tab/>
        <w:t xml:space="preserve">See Treasury Paper: </w:t>
      </w:r>
      <w:r w:rsidRPr="00045DEC">
        <w:rPr>
          <w:rStyle w:val="Emphasis"/>
        </w:rPr>
        <w:t>The Macroeconometric Model of Australia: Modelling Approach (2021).</w:t>
      </w:r>
      <w:r w:rsidRPr="00045D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E4CD" w14:textId="77777777" w:rsidR="003A1BEE" w:rsidRPr="00AA5439" w:rsidRDefault="003A1BEE" w:rsidP="00AA5439">
    <w:pPr>
      <w:pStyle w:val="HeaderEven"/>
      <w:rPr>
        <w:sz w:val="2"/>
        <w:szCs w:val="2"/>
      </w:rPr>
    </w:pPr>
    <w:r>
      <w:rPr>
        <w:noProof/>
      </w:rPr>
      <w:drawing>
        <wp:anchor distT="0" distB="0" distL="114300" distR="114300" simplePos="0" relativeHeight="251658246" behindDoc="1" locked="0" layoutInCell="1" allowOverlap="1" wp14:anchorId="1CA3E293" wp14:editId="5637E4FD">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CE746D7" w14:textId="77777777" w:rsidR="003A1BEE" w:rsidRPr="00AA5439" w:rsidRDefault="003A1BEE" w:rsidP="00AA5439">
    <w:pPr>
      <w:pStyle w:val="HeaderEven"/>
      <w:rPr>
        <w:sz w:val="2"/>
        <w:szCs w:val="4"/>
      </w:rPr>
    </w:pPr>
  </w:p>
  <w:p w14:paraId="4F95930E" w14:textId="77777777" w:rsidR="003A1BEE" w:rsidRPr="007703C7" w:rsidRDefault="003A1BEE"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A1BEE" w14:paraId="723F155B" w14:textId="77777777" w:rsidTr="002A6A16">
      <w:trPr>
        <w:trHeight w:hRule="exact" w:val="340"/>
      </w:trPr>
      <w:tc>
        <w:tcPr>
          <w:tcW w:w="7797" w:type="dxa"/>
        </w:tcPr>
        <w:p w14:paraId="3CD27E2B" w14:textId="4D45B93B" w:rsidR="003A1BEE" w:rsidRDefault="00E27041" w:rsidP="000635BE">
          <w:pPr>
            <w:pStyle w:val="HeaderOdd"/>
          </w:pPr>
          <w:r>
            <w:fldChar w:fldCharType="begin"/>
          </w:r>
          <w:r>
            <w:instrText>TITLE   \* MERGEFORMAT</w:instrText>
          </w:r>
          <w:r>
            <w:fldChar w:fldCharType="separate"/>
          </w:r>
          <w:r w:rsidR="005C6A82">
            <w:t>Budget Paper No. 1</w:t>
          </w:r>
          <w:r>
            <w:fldChar w:fldCharType="end"/>
          </w:r>
          <w:r w:rsidR="003A1BEE">
            <w:t xml:space="preserve">  |  </w:t>
          </w:r>
          <w:r w:rsidR="003A1BEE" w:rsidRPr="00D47C6E">
            <w:rPr>
              <w:noProof/>
              <w:position w:val="-6"/>
            </w:rPr>
            <w:drawing>
              <wp:inline distT="0" distB="0" distL="0" distR="0" wp14:anchorId="3958919B" wp14:editId="15D6BD08">
                <wp:extent cx="860400" cy="144000"/>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792326D0" w14:textId="77777777" w:rsidR="003A1BEE" w:rsidRPr="00AA5439" w:rsidRDefault="003A1BEE" w:rsidP="00AA5439">
    <w:pPr>
      <w:pStyle w:val="Header"/>
      <w:rPr>
        <w:sz w:val="2"/>
        <w:szCs w:val="2"/>
      </w:rPr>
    </w:pPr>
    <w:r>
      <w:rPr>
        <w:noProof/>
      </w:rPr>
      <w:drawing>
        <wp:anchor distT="0" distB="0" distL="114300" distR="114300" simplePos="0" relativeHeight="251658244" behindDoc="1" locked="1" layoutInCell="1" allowOverlap="1" wp14:anchorId="6A1E8796" wp14:editId="304481B9">
          <wp:simplePos x="0" y="0"/>
          <wp:positionH relativeFrom="page">
            <wp:posOffset>0</wp:posOffset>
          </wp:positionH>
          <wp:positionV relativeFrom="page">
            <wp:posOffset>0</wp:posOffset>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68D3" w14:textId="77777777" w:rsidR="003A1BEE" w:rsidRDefault="003A1BEE">
    <w:pPr>
      <w:pStyle w:val="Header"/>
      <w:rPr>
        <w:sz w:val="2"/>
        <w:szCs w:val="2"/>
      </w:rPr>
    </w:pPr>
    <w:r>
      <w:rPr>
        <w:noProof/>
        <w:sz w:val="32"/>
        <w:szCs w:val="32"/>
      </w:rPr>
      <w:drawing>
        <wp:anchor distT="0" distB="0" distL="114300" distR="114300" simplePos="0" relativeHeight="251658245" behindDoc="1" locked="0" layoutInCell="1" allowOverlap="1" wp14:anchorId="4F317631" wp14:editId="3790036D">
          <wp:simplePos x="0" y="0"/>
          <wp:positionH relativeFrom="page">
            <wp:align>center</wp:align>
          </wp:positionH>
          <wp:positionV relativeFrom="page">
            <wp:align>center</wp:align>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3D44638F" w14:textId="77777777" w:rsidR="003A1BEE" w:rsidRDefault="003A1BEE">
    <w:pPr>
      <w:pStyle w:val="Header"/>
      <w:rPr>
        <w:sz w:val="2"/>
        <w:szCs w:val="2"/>
      </w:rPr>
    </w:pPr>
  </w:p>
  <w:p w14:paraId="03AC3700" w14:textId="77777777" w:rsidR="003A1BEE" w:rsidRPr="005B2F30" w:rsidRDefault="003A1BEE">
    <w:pPr>
      <w:pStyle w:val="Header"/>
      <w:rPr>
        <w:sz w:val="2"/>
        <w:szCs w:val="2"/>
      </w:rPr>
    </w:pPr>
    <w:r w:rsidRPr="00692105">
      <w:rPr>
        <w:noProof/>
        <w:sz w:val="32"/>
        <w:szCs w:val="32"/>
      </w:rPr>
      <mc:AlternateContent>
        <mc:Choice Requires="wps">
          <w:drawing>
            <wp:anchor distT="0" distB="0" distL="114300" distR="114300" simplePos="0" relativeHeight="251658243" behindDoc="0" locked="0" layoutInCell="1" allowOverlap="1" wp14:anchorId="2AE04D55" wp14:editId="7A037C75">
              <wp:simplePos x="0" y="0"/>
              <wp:positionH relativeFrom="column">
                <wp:posOffset>7560945</wp:posOffset>
              </wp:positionH>
              <wp:positionV relativeFrom="margin">
                <wp:align>bottom</wp:align>
              </wp:positionV>
              <wp:extent cx="399600" cy="4896000"/>
              <wp:effectExtent l="0" t="0" r="635" b="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F134" w14:textId="4836B6B7" w:rsidR="003A1BEE" w:rsidRPr="00137C7E" w:rsidRDefault="00E27041" w:rsidP="001D33D6">
                          <w:pPr>
                            <w:pStyle w:val="HeaderOdd"/>
                          </w:pPr>
                          <w:r>
                            <w:fldChar w:fldCharType="begin"/>
                          </w:r>
                          <w:r>
                            <w:instrText>TITLE   \* MERGEFORMAT</w:instrText>
                          </w:r>
                          <w:r>
                            <w:fldChar w:fldCharType="separate"/>
                          </w:r>
                          <w:r w:rsidR="005C6A82">
                            <w:t>Budget Paper No. 1</w:t>
                          </w:r>
                          <w:r>
                            <w:fldChar w:fldCharType="end"/>
                          </w:r>
                          <w:r w:rsidR="003A1BEE">
                            <w:t xml:space="preserve">  |  </w:t>
                          </w:r>
                          <w:r w:rsidR="003A1BEE" w:rsidRPr="000635BE">
                            <w:rPr>
                              <w:rFonts w:ascii="Arial Bold" w:hAnsi="Arial Bold"/>
                              <w:b/>
                              <w:bCs/>
                              <w:noProof/>
                              <w:position w:val="-10"/>
                            </w:rPr>
                            <w:drawing>
                              <wp:inline distT="0" distB="0" distL="0" distR="0" wp14:anchorId="41162B96" wp14:editId="0A92EF37">
                                <wp:extent cx="1000760" cy="228609"/>
                                <wp:effectExtent l="508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E04D55" id="_x0000_t202" coordsize="21600,21600" o:spt="202" path="m,l,21600r21600,l21600,xe">
              <v:stroke joinstyle="miter"/>
              <v:path gradientshapeok="t" o:connecttype="rect"/>
            </v:shapetype>
            <v:shape id="Text Box 28" o:spid="_x0000_s1026" type="#_x0000_t202" alt="&quot;&quot;" style="position:absolute;margin-left:595.35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334F134" w14:textId="4836B6B7" w:rsidR="003A1BEE" w:rsidRPr="00137C7E" w:rsidRDefault="00000000" w:rsidP="001D33D6">
                    <w:pPr>
                      <w:pStyle w:val="HeaderOdd"/>
                    </w:pPr>
                    <w:fldSimple w:instr="TITLE   \* MERGEFORMAT">
                      <w:r w:rsidR="005C6A82">
                        <w:t>Budget Paper No. 1</w:t>
                      </w:r>
                    </w:fldSimple>
                    <w:r w:rsidR="003A1BEE">
                      <w:t xml:space="preserve">  |  </w:t>
                    </w:r>
                    <w:r w:rsidR="003A1BEE" w:rsidRPr="000635BE">
                      <w:rPr>
                        <w:rFonts w:ascii="Arial Bold" w:hAnsi="Arial Bold"/>
                        <w:b/>
                        <w:bCs/>
                        <w:noProof/>
                        <w:position w:val="-10"/>
                      </w:rPr>
                      <w:drawing>
                        <wp:inline distT="0" distB="0" distL="0" distR="0" wp14:anchorId="41162B96" wp14:editId="0A92EF37">
                          <wp:extent cx="1000760" cy="228609"/>
                          <wp:effectExtent l="508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BCD0" w14:textId="77777777" w:rsidR="00FB5DDD" w:rsidRPr="00AA5439" w:rsidRDefault="00FB5DDD" w:rsidP="00AA5439">
    <w:pPr>
      <w:pStyle w:val="HeaderEven"/>
      <w:rPr>
        <w:sz w:val="2"/>
        <w:szCs w:val="2"/>
      </w:rPr>
    </w:pPr>
    <w:r w:rsidRPr="0098629D">
      <w:rPr>
        <w:noProof/>
        <w:sz w:val="2"/>
        <w:szCs w:val="2"/>
      </w:rPr>
      <mc:AlternateContent>
        <mc:Choice Requires="wps">
          <w:drawing>
            <wp:anchor distT="0" distB="0" distL="0" distR="0" simplePos="0" relativeHeight="251658242" behindDoc="0" locked="1" layoutInCell="0" allowOverlap="1" wp14:anchorId="4A17739D" wp14:editId="380E2723">
              <wp:simplePos x="0" y="0"/>
              <wp:positionH relativeFrom="page">
                <wp:posOffset>1321435</wp:posOffset>
              </wp:positionH>
              <wp:positionV relativeFrom="page">
                <wp:posOffset>360045</wp:posOffset>
              </wp:positionV>
              <wp:extent cx="4910455" cy="615315"/>
              <wp:effectExtent l="0" t="0" r="0" b="0"/>
              <wp:wrapSquare wrapText="bothSides"/>
              <wp:docPr id="74" name="Text Box 7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FCD9" w14:textId="7C76A6CF" w:rsidR="00FB5DDD" w:rsidRDefault="00FB5DDD">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A17739D" id="_x0000_t202" coordsize="21600,21600" o:spt="202" path="m,l,21600r21600,l21600,xe">
              <v:stroke joinstyle="miter"/>
              <v:path gradientshapeok="t" o:connecttype="rect"/>
            </v:shapetype>
            <v:shape id="Text Box 74" o:spid="_x0000_s1027" type="#_x0000_t202" alt="Portrait Classification Header" style="position:absolute;margin-left:104.05pt;margin-top:28.35pt;width:386.65pt;height:48.4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" o:allowincell="f" filled="f" stroked="f">
              <v:textbox inset="0,0,0,0">
                <w:txbxContent>
                  <w:p w14:paraId="12F7FCD9" w14:textId="7C76A6CF" w:rsidR="00FB5DDD" w:rsidRDefault="00FB5DDD">
                    <w:pPr>
                      <w:pStyle w:val="Classification"/>
                    </w:pPr>
                    <w:r>
                      <w:t xml:space="preserve">: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590FA4D5" w14:textId="77777777" w:rsidTr="00157687">
      <w:trPr>
        <w:trHeight w:hRule="exact" w:val="340"/>
      </w:trPr>
      <w:tc>
        <w:tcPr>
          <w:tcW w:w="7797" w:type="dxa"/>
        </w:tcPr>
        <w:p w14:paraId="2D77694E" w14:textId="401DFD38" w:rsidR="00FB5DDD" w:rsidRPr="008C56E1" w:rsidRDefault="00FB5DDD" w:rsidP="00F60EA1">
          <w:pPr>
            <w:pStyle w:val="HeaderEven"/>
          </w:pPr>
          <w:r w:rsidRPr="008C56E1">
            <w:rPr>
              <w:noProof/>
              <w:position w:val="-8"/>
            </w:rPr>
            <w:drawing>
              <wp:inline distT="0" distB="0" distL="0" distR="0" wp14:anchorId="28CCF8D7" wp14:editId="0AB2E728">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27041">
            <w:fldChar w:fldCharType="begin"/>
          </w:r>
          <w:r w:rsidR="00E27041">
            <w:instrText xml:space="preserve"> TITLE</w:instrText>
          </w:r>
          <w:r w:rsidR="00E27041">
            <w:instrText xml:space="preserve">   \* MERGEFORMAT </w:instrText>
          </w:r>
          <w:r w:rsidR="00E27041">
            <w:fldChar w:fldCharType="separate"/>
          </w:r>
          <w:r w:rsidR="005C6A82">
            <w:t>Budget Paper No. 1</w:t>
          </w:r>
          <w:r w:rsidR="00E27041">
            <w:fldChar w:fldCharType="end"/>
          </w:r>
        </w:p>
      </w:tc>
    </w:tr>
  </w:tbl>
  <w:p w14:paraId="483374DE" w14:textId="77777777" w:rsidR="00FB5DDD" w:rsidRPr="00AA5439" w:rsidRDefault="00FB5DDD" w:rsidP="00AA5439">
    <w:pPr>
      <w:pStyle w:val="HeaderEven"/>
      <w:rPr>
        <w:sz w:val="2"/>
        <w:szCs w:val="4"/>
      </w:rPr>
    </w:pPr>
  </w:p>
  <w:p w14:paraId="540C5B0E" w14:textId="77777777" w:rsidR="00FB5DDD" w:rsidRDefault="00FB5DDD" w:rsidP="007703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9380" w14:textId="77777777" w:rsidR="00FB5DDD" w:rsidRPr="000635BE" w:rsidRDefault="00FB5DDD" w:rsidP="000635BE">
    <w:pPr>
      <w:pStyle w:val="HeaderOdd"/>
      <w:rPr>
        <w:sz w:val="2"/>
        <w:szCs w:val="4"/>
      </w:rPr>
    </w:pPr>
    <w:r w:rsidRPr="0098629D">
      <w:rPr>
        <w:noProof/>
        <w:sz w:val="2"/>
        <w:szCs w:val="4"/>
      </w:rPr>
      <mc:AlternateContent>
        <mc:Choice Requires="wps">
          <w:drawing>
            <wp:anchor distT="0" distB="0" distL="0" distR="0" simplePos="0" relativeHeight="251658240" behindDoc="0" locked="1" layoutInCell="0" allowOverlap="1" wp14:anchorId="0B7F6FBC" wp14:editId="2D6EE44E">
              <wp:simplePos x="0" y="0"/>
              <wp:positionH relativeFrom="page">
                <wp:posOffset>1321435</wp:posOffset>
              </wp:positionH>
              <wp:positionV relativeFrom="page">
                <wp:posOffset>360045</wp:posOffset>
              </wp:positionV>
              <wp:extent cx="4910455" cy="615315"/>
              <wp:effectExtent l="0" t="0" r="0" b="0"/>
              <wp:wrapSquare wrapText="bothSides"/>
              <wp:docPr id="66" name="Text Box 6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3B4B" w14:textId="10A539D2" w:rsidR="00FB5DDD" w:rsidRDefault="00FB5DDD">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7F6FBC" id="_x0000_t202" coordsize="21600,21600" o:spt="202" path="m,l,21600r21600,l21600,xe">
              <v:stroke joinstyle="miter"/>
              <v:path gradientshapeok="t" o:connecttype="rect"/>
            </v:shapetype>
            <v:shape id="Text Box 66" o:spid="_x0000_s1028" type="#_x0000_t202" alt="Portrait Classification Header" style="position:absolute;left:0;text-align:left;margin-left:104.05pt;margin-top:28.35pt;width:386.65pt;height:48.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Ux2wEAAJgDAAAOAAAAZHJzL2Uyb0RvYy54bWysU8Fu1DAQvSPxD5bvbJKlW0G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" o:allowincell="f" filled="f" stroked="f">
              <v:textbox inset="0,0,0,0">
                <w:txbxContent>
                  <w:p w14:paraId="79173B4B" w14:textId="10A539D2" w:rsidR="00FB5DDD" w:rsidRDefault="00FB5DDD">
                    <w:pPr>
                      <w:pStyle w:val="Classification"/>
                    </w:pPr>
                    <w:r>
                      <w:t xml:space="preserve">: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53903" w14:paraId="4C01DC51" w14:textId="77777777" w:rsidTr="00157687">
      <w:trPr>
        <w:trHeight w:hRule="exact" w:val="340"/>
      </w:trPr>
      <w:tc>
        <w:tcPr>
          <w:tcW w:w="7797" w:type="dxa"/>
          <w:tcMar>
            <w:left w:w="108" w:type="dxa"/>
            <w:right w:w="108" w:type="dxa"/>
          </w:tcMar>
        </w:tcPr>
        <w:p w14:paraId="470954AA" w14:textId="576826D7" w:rsidR="00C53903" w:rsidRPr="00D13BF9" w:rsidRDefault="00E27041" w:rsidP="00D13BF9">
          <w:pPr>
            <w:pStyle w:val="HeaderOdd"/>
          </w:pPr>
          <w:r>
            <w:fldChar w:fldCharType="begin"/>
          </w:r>
          <w:r>
            <w:instrText xml:space="preserve"> TITLE   \* MERGEFORMAT </w:instrText>
          </w:r>
          <w:r>
            <w:fldChar w:fldCharType="separate"/>
          </w:r>
          <w:r w:rsidR="005C6A82">
            <w:t>Budget Paper No. 1</w:t>
          </w:r>
          <w:r>
            <w:fldChar w:fldCharType="end"/>
          </w:r>
          <w:r w:rsidR="00C53903" w:rsidRPr="00D13BF9">
            <w:t xml:space="preserve">  |  </w:t>
          </w:r>
          <w:r w:rsidR="00C53903" w:rsidRPr="00C9389A">
            <w:rPr>
              <w:noProof/>
              <w:position w:val="-8"/>
            </w:rPr>
            <w:drawing>
              <wp:inline distT="0" distB="0" distL="0" distR="0" wp14:anchorId="46CC7890" wp14:editId="59513E52">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BA0196C" w14:textId="77777777" w:rsidR="00FB5DDD" w:rsidRDefault="00FB5DDD" w:rsidP="00AA5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0133" w14:textId="78323BCE" w:rsidR="00FB5DDD" w:rsidRDefault="00CB2B28">
    <w:pPr>
      <w:pStyle w:val="Header"/>
      <w:rPr>
        <w:sz w:val="2"/>
        <w:szCs w:val="2"/>
      </w:rPr>
    </w:pPr>
    <w:r>
      <w:rPr>
        <w:noProof/>
        <w:sz w:val="2"/>
        <w:szCs w:val="2"/>
      </w:rPr>
      <w:drawing>
        <wp:anchor distT="0" distB="0" distL="114300" distR="114300" simplePos="0" relativeHeight="251658247" behindDoc="1" locked="0" layoutInCell="1" allowOverlap="1" wp14:anchorId="3A2D523C" wp14:editId="4349099D">
          <wp:simplePos x="0" y="0"/>
          <wp:positionH relativeFrom="page">
            <wp:align>center</wp:align>
          </wp:positionH>
          <wp:positionV relativeFrom="page">
            <wp:align>center</wp:align>
          </wp:positionV>
          <wp:extent cx="7549200" cy="10677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p w14:paraId="23D1B1B5" w14:textId="77777777" w:rsidR="00FB5DDD" w:rsidRDefault="00FB5DDD">
    <w:pPr>
      <w:pStyle w:val="Header"/>
      <w:rPr>
        <w:sz w:val="2"/>
        <w:szCs w:val="2"/>
      </w:rPr>
    </w:pPr>
  </w:p>
  <w:p w14:paraId="0963C3B4" w14:textId="6E1F9F59"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1" behindDoc="0" locked="0" layoutInCell="1" allowOverlap="1" wp14:anchorId="168C6417" wp14:editId="22E87FE7">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A6DF2" w14:textId="5731AFC6" w:rsidR="00FB5DDD" w:rsidRPr="00137C7E" w:rsidRDefault="00E27041" w:rsidP="001D33D6">
                          <w:pPr>
                            <w:pStyle w:val="HeaderOdd"/>
                          </w:pPr>
                          <w:r>
                            <w:fldChar w:fldCharType="begin"/>
                          </w:r>
                          <w:r>
                            <w:instrText xml:space="preserve"> TITLE   \* MERGEFORMAT </w:instrText>
                          </w:r>
                          <w:r>
                            <w:fldChar w:fldCharType="separate"/>
                          </w:r>
                          <w:r w:rsidR="005C6A82">
                            <w:t>Budget Paper No. 1</w:t>
                          </w:r>
                          <w:r>
                            <w:fldChar w:fldCharType="end"/>
                          </w:r>
                          <w:r w:rsidR="00FB5DDD">
                            <w:t xml:space="preserve">  |  </w:t>
                          </w:r>
                          <w:r w:rsidR="00FB5DDD" w:rsidRPr="000635BE">
                            <w:rPr>
                              <w:rFonts w:ascii="Arial Bold" w:hAnsi="Arial Bold"/>
                              <w:b/>
                              <w:bCs/>
                              <w:noProof/>
                              <w:position w:val="-10"/>
                            </w:rPr>
                            <w:drawing>
                              <wp:inline distT="0" distB="0" distL="0" distR="0" wp14:anchorId="25D85CDC" wp14:editId="0676DA5D">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68C6417" id="_x0000_t202" coordsize="21600,21600" o:spt="202" path="m,l,21600r21600,l21600,xe">
              <v:stroke joinstyle="miter"/>
              <v:path gradientshapeok="t" o:connecttype="rect"/>
            </v:shapetype>
            <v:shape id="Text Box 70" o:spid="_x0000_s1029"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Z7Q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" stroked="f">
              <v:textbox style="layout-flow:vertical" inset="0,0,0,.2mm">
                <w:txbxContent>
                  <w:p w14:paraId="6FDA6DF2" w14:textId="5731AFC6" w:rsidR="00FB5DDD" w:rsidRPr="00137C7E" w:rsidRDefault="00000000" w:rsidP="001D33D6">
                    <w:pPr>
                      <w:pStyle w:val="HeaderOdd"/>
                    </w:pPr>
                    <w:fldSimple w:instr=" TITLE   \* MERGEFORMAT ">
                      <w:r w:rsidR="005C6A82">
                        <w:t>Budget Paper No. 1</w:t>
                      </w:r>
                    </w:fldSimple>
                    <w:r w:rsidR="00FB5DDD">
                      <w:t xml:space="preserve">  |  </w:t>
                    </w:r>
                    <w:r w:rsidR="00FB5DDD" w:rsidRPr="000635BE">
                      <w:rPr>
                        <w:rFonts w:ascii="Arial Bold" w:hAnsi="Arial Bold"/>
                        <w:b/>
                        <w:bCs/>
                        <w:noProof/>
                        <w:position w:val="-10"/>
                      </w:rPr>
                      <w:drawing>
                        <wp:inline distT="0" distB="0" distL="0" distR="0" wp14:anchorId="25D85CDC" wp14:editId="0676DA5D">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C67" w14:textId="136F6F2C" w:rsidR="00FB5DDD" w:rsidRPr="00AA5439" w:rsidRDefault="00CB2B28" w:rsidP="00AA5439">
    <w:pPr>
      <w:pStyle w:val="HeaderEven"/>
      <w:rPr>
        <w:sz w:val="2"/>
        <w:szCs w:val="2"/>
      </w:rPr>
    </w:pPr>
    <w:r>
      <w:rPr>
        <w:noProof/>
        <w:sz w:val="2"/>
        <w:szCs w:val="2"/>
      </w:rPr>
      <w:drawing>
        <wp:anchor distT="0" distB="0" distL="114300" distR="114300" simplePos="0" relativeHeight="251656190" behindDoc="1" locked="0" layoutInCell="1" allowOverlap="1" wp14:anchorId="6D03BB41" wp14:editId="22B66986">
          <wp:simplePos x="0" y="0"/>
          <wp:positionH relativeFrom="page">
            <wp:align>center</wp:align>
          </wp:positionH>
          <wp:positionV relativeFrom="page">
            <wp:align>center</wp:align>
          </wp:positionV>
          <wp:extent cx="7549200" cy="10677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52421DB0" w14:textId="77777777" w:rsidTr="00157687">
      <w:trPr>
        <w:trHeight w:hRule="exact" w:val="340"/>
      </w:trPr>
      <w:tc>
        <w:tcPr>
          <w:tcW w:w="7797" w:type="dxa"/>
        </w:tcPr>
        <w:p w14:paraId="459723B8" w14:textId="4124F5F4" w:rsidR="00FB5DDD" w:rsidRPr="008C56E1" w:rsidRDefault="00FB5DDD" w:rsidP="00F60EA1">
          <w:pPr>
            <w:pStyle w:val="HeaderEven"/>
          </w:pPr>
          <w:r w:rsidRPr="008C56E1">
            <w:rPr>
              <w:noProof/>
              <w:position w:val="-8"/>
            </w:rPr>
            <w:drawing>
              <wp:inline distT="0" distB="0" distL="0" distR="0" wp14:anchorId="28CCF8D7" wp14:editId="64C4A563">
                <wp:extent cx="874979" cy="198000"/>
                <wp:effectExtent l="0" t="0" r="1905"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27041">
            <w:fldChar w:fldCharType="begin"/>
          </w:r>
          <w:r w:rsidR="00E27041">
            <w:instrText xml:space="preserve"> TITLE   \* MERGEFORMAT </w:instrText>
          </w:r>
          <w:r w:rsidR="00E27041">
            <w:fldChar w:fldCharType="separate"/>
          </w:r>
          <w:r w:rsidR="005C6A82">
            <w:t>Budget Paper No. 1</w:t>
          </w:r>
          <w:r w:rsidR="00E27041">
            <w:fldChar w:fldCharType="end"/>
          </w:r>
        </w:p>
      </w:tc>
    </w:tr>
  </w:tbl>
  <w:p w14:paraId="4D79CC97" w14:textId="77777777" w:rsidR="00FB5DDD" w:rsidRPr="00AA5439" w:rsidRDefault="00FB5DDD" w:rsidP="00AA5439">
    <w:pPr>
      <w:pStyle w:val="HeaderEven"/>
      <w:rPr>
        <w:sz w:val="2"/>
        <w:szCs w:val="4"/>
      </w:rPr>
    </w:pPr>
  </w:p>
  <w:p w14:paraId="0EFB6397" w14:textId="77777777" w:rsidR="00BA3A07" w:rsidRDefault="00BA3A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8C0E" w14:textId="252C6C93" w:rsidR="00FB5DDD" w:rsidRPr="000635BE" w:rsidRDefault="00CB2B28" w:rsidP="000635BE">
    <w:pPr>
      <w:pStyle w:val="HeaderOdd"/>
      <w:rPr>
        <w:sz w:val="2"/>
        <w:szCs w:val="4"/>
      </w:rPr>
    </w:pPr>
    <w:r>
      <w:rPr>
        <w:noProof/>
        <w:sz w:val="2"/>
        <w:szCs w:val="2"/>
      </w:rPr>
      <w:drawing>
        <wp:anchor distT="0" distB="0" distL="114300" distR="114300" simplePos="0" relativeHeight="251657215" behindDoc="1" locked="0" layoutInCell="1" allowOverlap="1" wp14:anchorId="531326F1" wp14:editId="71281D5B">
          <wp:simplePos x="0" y="0"/>
          <wp:positionH relativeFrom="page">
            <wp:align>center</wp:align>
          </wp:positionH>
          <wp:positionV relativeFrom="page">
            <wp:align>center</wp:align>
          </wp:positionV>
          <wp:extent cx="7549200" cy="106776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53903" w14:paraId="3BE1216F" w14:textId="77777777" w:rsidTr="00157687">
      <w:trPr>
        <w:trHeight w:hRule="exact" w:val="340"/>
      </w:trPr>
      <w:tc>
        <w:tcPr>
          <w:tcW w:w="7797" w:type="dxa"/>
          <w:tcMar>
            <w:left w:w="108" w:type="dxa"/>
            <w:right w:w="108" w:type="dxa"/>
          </w:tcMar>
        </w:tcPr>
        <w:p w14:paraId="411ACAC1" w14:textId="0B5B035E" w:rsidR="00C53903" w:rsidRPr="00D13BF9" w:rsidRDefault="00E27041" w:rsidP="00D13BF9">
          <w:pPr>
            <w:pStyle w:val="HeaderOdd"/>
          </w:pPr>
          <w:r>
            <w:fldChar w:fldCharType="begin"/>
          </w:r>
          <w:r>
            <w:instrText xml:space="preserve"> TITLE   \* MERGEFORMAT </w:instrText>
          </w:r>
          <w:r>
            <w:fldChar w:fldCharType="separate"/>
          </w:r>
          <w:r w:rsidR="005C6A82">
            <w:t>Budget Paper No. 1</w:t>
          </w:r>
          <w:r>
            <w:fldChar w:fldCharType="end"/>
          </w:r>
          <w:r w:rsidR="00C53903" w:rsidRPr="00D13BF9">
            <w:t xml:space="preserve">  |  </w:t>
          </w:r>
          <w:r w:rsidR="00C53903" w:rsidRPr="00C9389A">
            <w:rPr>
              <w:noProof/>
              <w:position w:val="-8"/>
            </w:rPr>
            <w:drawing>
              <wp:inline distT="0" distB="0" distL="0" distR="0" wp14:anchorId="46CC7890" wp14:editId="6709C465">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170E46C" w14:textId="77777777" w:rsidR="00BA3A07" w:rsidRDefault="00BA3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D5820"/>
    <w:multiLevelType w:val="hybridMultilevel"/>
    <w:tmpl w:val="1FB85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0EDA672C"/>
    <w:multiLevelType w:val="hybridMultilevel"/>
    <w:tmpl w:val="7666B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A061A85"/>
    <w:multiLevelType w:val="hybridMultilevel"/>
    <w:tmpl w:val="93EE751E"/>
    <w:lvl w:ilvl="0" w:tplc="118217FC">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CB7D82"/>
    <w:multiLevelType w:val="multilevel"/>
    <w:tmpl w:val="C4C0A45E"/>
    <w:name w:val="StandardNumberedList"/>
    <w:lvl w:ilvl="0">
      <w:start w:val="1"/>
      <w:numFmt w:val="decimal"/>
      <w:pStyle w:val="OutlineNumbered1"/>
      <w:lvlText w:val="%1."/>
      <w:lvlJc w:val="left"/>
      <w:pPr>
        <w:tabs>
          <w:tab w:val="num" w:pos="733"/>
        </w:tabs>
        <w:ind w:left="733" w:hanging="449"/>
      </w:pPr>
    </w:lvl>
    <w:lvl w:ilvl="1">
      <w:start w:val="1"/>
      <w:numFmt w:val="decimal"/>
      <w:pStyle w:val="OutlineNumbered2"/>
      <w:lvlText w:val="%1.%2."/>
      <w:lvlJc w:val="left"/>
      <w:pPr>
        <w:tabs>
          <w:tab w:val="num" w:pos="1182"/>
        </w:tabs>
        <w:ind w:left="1182" w:hanging="449"/>
      </w:pPr>
    </w:lvl>
    <w:lvl w:ilvl="2">
      <w:start w:val="1"/>
      <w:numFmt w:val="decimal"/>
      <w:pStyle w:val="OutlineNumbered3"/>
      <w:lvlText w:val="%1.%2.%3."/>
      <w:lvlJc w:val="left"/>
      <w:pPr>
        <w:tabs>
          <w:tab w:val="num" w:pos="1631"/>
        </w:tabs>
        <w:ind w:left="1631" w:hanging="449"/>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7" w15:restartNumberingAfterBreak="0">
    <w:nsid w:val="1FCA3E65"/>
    <w:multiLevelType w:val="multilevel"/>
    <w:tmpl w:val="4F363DBC"/>
    <w:lvl w:ilvl="0">
      <w:start w:val="1"/>
      <w:numFmt w:val="lowerLetter"/>
      <w:lvlText w:val="%1)"/>
      <w:lvlJc w:val="left"/>
      <w:pPr>
        <w:tabs>
          <w:tab w:val="num" w:pos="567"/>
        </w:tabs>
        <w:ind w:left="567" w:hanging="283"/>
      </w:pPr>
      <w:rPr>
        <w:b w:val="0"/>
        <w:i w:val="0"/>
      </w:rPr>
    </w:lvl>
    <w:lvl w:ilvl="1">
      <w:start w:val="1"/>
      <w:numFmt w:val="bullet"/>
      <w:lvlText w:val="–"/>
      <w:lvlJc w:val="left"/>
      <w:pPr>
        <w:tabs>
          <w:tab w:val="num" w:pos="851"/>
        </w:tabs>
        <w:ind w:left="851" w:hanging="284"/>
      </w:pPr>
      <w:rPr>
        <w:rFonts w:ascii="Times New Roman" w:hAnsi="Times New Roman" w:cs="Times New Roman"/>
        <w:b w:val="0"/>
        <w:i w:val="0"/>
      </w:rPr>
    </w:lvl>
    <w:lvl w:ilvl="2">
      <w:start w:val="1"/>
      <w:numFmt w:val="bullet"/>
      <w:lvlText w:val=":"/>
      <w:lvlJc w:val="left"/>
      <w:pPr>
        <w:tabs>
          <w:tab w:val="num" w:pos="1134"/>
        </w:tabs>
        <w:ind w:left="1134" w:hanging="283"/>
      </w:pPr>
      <w:rPr>
        <w:rFonts w:ascii="Times New Roman" w:hAnsi="Times New Roman" w:cs="Times New Roman"/>
        <w:b w:val="0"/>
        <w:i w:val="0"/>
      </w:rPr>
    </w:lvl>
    <w:lvl w:ilvl="3">
      <w:start w:val="1"/>
      <w:numFmt w:val="decimal"/>
      <w:lvlText w:val="(%4)"/>
      <w:lvlJc w:val="left"/>
      <w:pPr>
        <w:tabs>
          <w:tab w:val="num" w:pos="1724"/>
        </w:tabs>
        <w:ind w:left="1724" w:hanging="360"/>
      </w:pPr>
      <w:rPr>
        <w:b w:val="0"/>
        <w:i w:val="0"/>
      </w:rPr>
    </w:lvl>
    <w:lvl w:ilvl="4">
      <w:start w:val="1"/>
      <w:numFmt w:val="lowerLetter"/>
      <w:lvlText w:val="(%5)"/>
      <w:lvlJc w:val="left"/>
      <w:pPr>
        <w:tabs>
          <w:tab w:val="num" w:pos="2084"/>
        </w:tabs>
        <w:ind w:left="2084" w:hanging="360"/>
      </w:pPr>
      <w:rPr>
        <w:b w:val="0"/>
        <w:i w:val="0"/>
      </w:rPr>
    </w:lvl>
    <w:lvl w:ilvl="5">
      <w:start w:val="1"/>
      <w:numFmt w:val="lowerRoman"/>
      <w:lvlText w:val="(%6)"/>
      <w:lvlJc w:val="left"/>
      <w:pPr>
        <w:tabs>
          <w:tab w:val="num" w:pos="2444"/>
        </w:tabs>
        <w:ind w:left="2444" w:hanging="360"/>
      </w:pPr>
      <w:rPr>
        <w:b w:val="0"/>
        <w:i w:val="0"/>
      </w:rPr>
    </w:lvl>
    <w:lvl w:ilvl="6">
      <w:start w:val="1"/>
      <w:numFmt w:val="decimal"/>
      <w:lvlText w:val="%7."/>
      <w:lvlJc w:val="left"/>
      <w:pPr>
        <w:tabs>
          <w:tab w:val="num" w:pos="2804"/>
        </w:tabs>
        <w:ind w:left="2804" w:hanging="360"/>
      </w:pPr>
      <w:rPr>
        <w:b w:val="0"/>
        <w:i w:val="0"/>
      </w:rPr>
    </w:lvl>
    <w:lvl w:ilvl="7">
      <w:start w:val="1"/>
      <w:numFmt w:val="lowerLetter"/>
      <w:lvlText w:val="%8."/>
      <w:lvlJc w:val="left"/>
      <w:pPr>
        <w:tabs>
          <w:tab w:val="num" w:pos="3164"/>
        </w:tabs>
        <w:ind w:left="3164" w:hanging="360"/>
      </w:pPr>
      <w:rPr>
        <w:b w:val="0"/>
        <w:i w:val="0"/>
      </w:rPr>
    </w:lvl>
    <w:lvl w:ilvl="8">
      <w:start w:val="1"/>
      <w:numFmt w:val="lowerRoman"/>
      <w:lvlText w:val="%9."/>
      <w:lvlJc w:val="left"/>
      <w:pPr>
        <w:tabs>
          <w:tab w:val="num" w:pos="3524"/>
        </w:tabs>
        <w:ind w:left="3524" w:hanging="360"/>
      </w:pPr>
      <w:rPr>
        <w:b w:val="0"/>
        <w:i w:val="0"/>
      </w:rPr>
    </w:lvl>
  </w:abstractNum>
  <w:abstractNum w:abstractNumId="18" w15:restartNumberingAfterBreak="0">
    <w:nsid w:val="3B2E19AC"/>
    <w:multiLevelType w:val="singleLevel"/>
    <w:tmpl w:val="A4CE0080"/>
    <w:lvl w:ilvl="0">
      <w:start w:val="1"/>
      <w:numFmt w:val="lowerLetter"/>
      <w:lvlText w:val="(%1)"/>
      <w:lvlJc w:val="left"/>
      <w:pPr>
        <w:ind w:left="360" w:hanging="360"/>
      </w:pPr>
      <w:rPr>
        <w:rFonts w:hint="default"/>
        <w:b w:val="0"/>
        <w:i w:val="0"/>
        <w:color w:val="000000"/>
        <w:sz w:val="16"/>
      </w:rPr>
    </w:lvl>
  </w:abstractNum>
  <w:abstractNum w:abstractNumId="19" w15:restartNumberingAfterBreak="0">
    <w:nsid w:val="3FBD7996"/>
    <w:multiLevelType w:val="multilevel"/>
    <w:tmpl w:val="4F1EBB74"/>
    <w:name w:val="StandardBulletedList"/>
    <w:lvl w:ilvl="0">
      <w:start w:val="1"/>
      <w:numFmt w:val="bullet"/>
      <w:lvlText w:val="•"/>
      <w:lvlJc w:val="left"/>
      <w:pPr>
        <w:tabs>
          <w:tab w:val="num" w:pos="1134"/>
        </w:tabs>
        <w:ind w:left="1134" w:hanging="567"/>
      </w:pPr>
      <w:rPr>
        <w:rFonts w:ascii="Times New Roman" w:hAnsi="Times New Roman" w:cs="Times New Roman" w:hint="default"/>
        <w:b w:val="0"/>
        <w:bCs w:val="0"/>
      </w:rPr>
    </w:lvl>
    <w:lvl w:ilvl="1">
      <w:start w:val="1"/>
      <w:numFmt w:val="bullet"/>
      <w:lvlText w:val="–"/>
      <w:lvlJc w:val="left"/>
      <w:pPr>
        <w:tabs>
          <w:tab w:val="num" w:pos="1701"/>
        </w:tabs>
        <w:ind w:left="1701" w:hanging="567"/>
      </w:pPr>
      <w:rPr>
        <w:rFonts w:ascii="Times New Roman" w:hAnsi="Times New Roman" w:cs="Times New Roman" w:hint="default"/>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15:restartNumberingAfterBreak="0">
    <w:nsid w:val="4514458C"/>
    <w:multiLevelType w:val="multilevel"/>
    <w:tmpl w:val="F77E4924"/>
    <w:lvl w:ilvl="0">
      <w:start w:val="1"/>
      <w:numFmt w:val="lowerLetter"/>
      <w:lvlText w:val="%1)"/>
      <w:lvlJc w:val="left"/>
      <w:pPr>
        <w:tabs>
          <w:tab w:val="num" w:pos="733"/>
        </w:tabs>
        <w:ind w:left="733" w:hanging="449"/>
      </w:pPr>
    </w:lvl>
    <w:lvl w:ilvl="1">
      <w:start w:val="1"/>
      <w:numFmt w:val="decimal"/>
      <w:lvlText w:val="%1.%2."/>
      <w:lvlJc w:val="left"/>
      <w:pPr>
        <w:tabs>
          <w:tab w:val="num" w:pos="1182"/>
        </w:tabs>
        <w:ind w:left="1182" w:hanging="449"/>
      </w:pPr>
    </w:lvl>
    <w:lvl w:ilvl="2">
      <w:start w:val="1"/>
      <w:numFmt w:val="decimal"/>
      <w:lvlText w:val="%1.%2.%3."/>
      <w:lvlJc w:val="left"/>
      <w:pPr>
        <w:tabs>
          <w:tab w:val="num" w:pos="1631"/>
        </w:tabs>
        <w:ind w:left="1631" w:hanging="449"/>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2" w15:restartNumberingAfterBreak="0">
    <w:nsid w:val="49A91B02"/>
    <w:multiLevelType w:val="hybridMultilevel"/>
    <w:tmpl w:val="BCFCB748"/>
    <w:lvl w:ilvl="0" w:tplc="4C443D04">
      <w:numFmt w:val="bullet"/>
      <w:lvlText w:val=""/>
      <w:lvlJc w:val="left"/>
      <w:pPr>
        <w:ind w:left="720" w:hanging="360"/>
      </w:pPr>
      <w:rPr>
        <w:rFonts w:ascii="Symbol" w:eastAsiaTheme="minorHAnsi" w:hAnsi="Symbol" w:cstheme="minorBidi" w:hint="default"/>
      </w:rPr>
    </w:lvl>
    <w:lvl w:ilvl="1" w:tplc="A140A01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14CDB"/>
    <w:multiLevelType w:val="hybridMultilevel"/>
    <w:tmpl w:val="4F4A2B2A"/>
    <w:lvl w:ilvl="0" w:tplc="95B6E22A">
      <w:start w:val="1"/>
      <w:numFmt w:val="decimal"/>
      <w:pStyle w:val="Bulle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6B711D92"/>
    <w:multiLevelType w:val="hybridMultilevel"/>
    <w:tmpl w:val="657A850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6598C"/>
    <w:multiLevelType w:val="hybridMultilevel"/>
    <w:tmpl w:val="2928350A"/>
    <w:lvl w:ilvl="0" w:tplc="B734C55E">
      <w:start w:val="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1"/>
  </w:num>
  <w:num w:numId="4">
    <w:abstractNumId w:val="14"/>
  </w:num>
  <w:num w:numId="5">
    <w:abstractNumId w:val="24"/>
  </w:num>
  <w:num w:numId="6">
    <w:abstractNumId w:val="11"/>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8"/>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2"/>
  </w:num>
  <w:num w:numId="27">
    <w:abstractNumId w:val="10"/>
  </w:num>
  <w:num w:numId="28">
    <w:abstractNumId w:val="25"/>
  </w:num>
  <w:num w:numId="29">
    <w:abstractNumId w:val="16"/>
  </w:num>
  <w:num w:numId="30">
    <w:abstractNumId w:val="21"/>
  </w:num>
  <w:num w:numId="31">
    <w:abstractNumId w:val="15"/>
  </w:num>
  <w:num w:numId="32">
    <w:abstractNumId w:val="17"/>
  </w:num>
  <w:num w:numId="33">
    <w:abstractNumId w:val="22"/>
  </w:num>
  <w:num w:numId="34">
    <w:abstractNumId w:val="2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65"/>
  </w:hdrShapeDefaults>
  <w:footnotePr>
    <w:numStart w:val="38"/>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71B54"/>
    <w:rsid w:val="000004EA"/>
    <w:rsid w:val="00000ADC"/>
    <w:rsid w:val="00000DCC"/>
    <w:rsid w:val="00000E68"/>
    <w:rsid w:val="0000174D"/>
    <w:rsid w:val="0000251A"/>
    <w:rsid w:val="00002C2D"/>
    <w:rsid w:val="00002CB0"/>
    <w:rsid w:val="00002EAB"/>
    <w:rsid w:val="00003C94"/>
    <w:rsid w:val="00003FF8"/>
    <w:rsid w:val="00004313"/>
    <w:rsid w:val="00004409"/>
    <w:rsid w:val="000051A8"/>
    <w:rsid w:val="00005667"/>
    <w:rsid w:val="0000577F"/>
    <w:rsid w:val="000073BC"/>
    <w:rsid w:val="00007CD4"/>
    <w:rsid w:val="00010540"/>
    <w:rsid w:val="00010551"/>
    <w:rsid w:val="00010857"/>
    <w:rsid w:val="000118E4"/>
    <w:rsid w:val="000119CF"/>
    <w:rsid w:val="00011B31"/>
    <w:rsid w:val="00011DBB"/>
    <w:rsid w:val="00011F83"/>
    <w:rsid w:val="000134C8"/>
    <w:rsid w:val="00013D1E"/>
    <w:rsid w:val="00013EA8"/>
    <w:rsid w:val="00014ABE"/>
    <w:rsid w:val="000153FD"/>
    <w:rsid w:val="00015CCC"/>
    <w:rsid w:val="0002056B"/>
    <w:rsid w:val="0002271F"/>
    <w:rsid w:val="00022BA6"/>
    <w:rsid w:val="00022CA0"/>
    <w:rsid w:val="000236A4"/>
    <w:rsid w:val="000244DA"/>
    <w:rsid w:val="00024BA4"/>
    <w:rsid w:val="0002518D"/>
    <w:rsid w:val="00026DBD"/>
    <w:rsid w:val="00027B51"/>
    <w:rsid w:val="00030239"/>
    <w:rsid w:val="0003124A"/>
    <w:rsid w:val="000312EE"/>
    <w:rsid w:val="00031914"/>
    <w:rsid w:val="0003219D"/>
    <w:rsid w:val="000324D5"/>
    <w:rsid w:val="00032BF1"/>
    <w:rsid w:val="000336E3"/>
    <w:rsid w:val="00033BAF"/>
    <w:rsid w:val="00033FBA"/>
    <w:rsid w:val="0003407F"/>
    <w:rsid w:val="0003439C"/>
    <w:rsid w:val="00034A44"/>
    <w:rsid w:val="00035089"/>
    <w:rsid w:val="00035D8D"/>
    <w:rsid w:val="0003658A"/>
    <w:rsid w:val="00036D81"/>
    <w:rsid w:val="0003765F"/>
    <w:rsid w:val="00037F0A"/>
    <w:rsid w:val="00040AC3"/>
    <w:rsid w:val="00044569"/>
    <w:rsid w:val="0004483B"/>
    <w:rsid w:val="00045345"/>
    <w:rsid w:val="00045DEC"/>
    <w:rsid w:val="00047042"/>
    <w:rsid w:val="00047081"/>
    <w:rsid w:val="00047E1B"/>
    <w:rsid w:val="00047EF2"/>
    <w:rsid w:val="00050D61"/>
    <w:rsid w:val="00051665"/>
    <w:rsid w:val="00051AB4"/>
    <w:rsid w:val="00052CFF"/>
    <w:rsid w:val="00052EDD"/>
    <w:rsid w:val="0005315A"/>
    <w:rsid w:val="0005315C"/>
    <w:rsid w:val="0005401F"/>
    <w:rsid w:val="00054400"/>
    <w:rsid w:val="000546EB"/>
    <w:rsid w:val="00054AE8"/>
    <w:rsid w:val="00054EBC"/>
    <w:rsid w:val="0005597A"/>
    <w:rsid w:val="000563E2"/>
    <w:rsid w:val="000571C9"/>
    <w:rsid w:val="00060175"/>
    <w:rsid w:val="0006034E"/>
    <w:rsid w:val="00060B9E"/>
    <w:rsid w:val="00061420"/>
    <w:rsid w:val="00061722"/>
    <w:rsid w:val="00061A12"/>
    <w:rsid w:val="000622DA"/>
    <w:rsid w:val="000631E1"/>
    <w:rsid w:val="000635BE"/>
    <w:rsid w:val="00063C41"/>
    <w:rsid w:val="00066F12"/>
    <w:rsid w:val="0007031A"/>
    <w:rsid w:val="00071D74"/>
    <w:rsid w:val="000731B5"/>
    <w:rsid w:val="000731E5"/>
    <w:rsid w:val="00074FAB"/>
    <w:rsid w:val="000756FC"/>
    <w:rsid w:val="00076AA4"/>
    <w:rsid w:val="00077256"/>
    <w:rsid w:val="000800DA"/>
    <w:rsid w:val="00081744"/>
    <w:rsid w:val="00081A42"/>
    <w:rsid w:val="000820F2"/>
    <w:rsid w:val="00082692"/>
    <w:rsid w:val="00082801"/>
    <w:rsid w:val="00082DDE"/>
    <w:rsid w:val="00082F22"/>
    <w:rsid w:val="000835BC"/>
    <w:rsid w:val="0008399A"/>
    <w:rsid w:val="00083C7C"/>
    <w:rsid w:val="00083CA5"/>
    <w:rsid w:val="00084096"/>
    <w:rsid w:val="000854DF"/>
    <w:rsid w:val="0008597F"/>
    <w:rsid w:val="0008604C"/>
    <w:rsid w:val="0009039B"/>
    <w:rsid w:val="000914DF"/>
    <w:rsid w:val="000915E7"/>
    <w:rsid w:val="00092A38"/>
    <w:rsid w:val="000937B2"/>
    <w:rsid w:val="00094042"/>
    <w:rsid w:val="0009425C"/>
    <w:rsid w:val="00094A18"/>
    <w:rsid w:val="00095288"/>
    <w:rsid w:val="0009530A"/>
    <w:rsid w:val="000958C3"/>
    <w:rsid w:val="000969DD"/>
    <w:rsid w:val="00097F54"/>
    <w:rsid w:val="000A0E20"/>
    <w:rsid w:val="000A1472"/>
    <w:rsid w:val="000A1974"/>
    <w:rsid w:val="000A1D4E"/>
    <w:rsid w:val="000A35EF"/>
    <w:rsid w:val="000A4E03"/>
    <w:rsid w:val="000A55F5"/>
    <w:rsid w:val="000B02C1"/>
    <w:rsid w:val="000B1519"/>
    <w:rsid w:val="000B1A6A"/>
    <w:rsid w:val="000B3184"/>
    <w:rsid w:val="000B38A8"/>
    <w:rsid w:val="000B4AFC"/>
    <w:rsid w:val="000B52B3"/>
    <w:rsid w:val="000B5836"/>
    <w:rsid w:val="000B5EFD"/>
    <w:rsid w:val="000B6E10"/>
    <w:rsid w:val="000B6E8C"/>
    <w:rsid w:val="000B7ACC"/>
    <w:rsid w:val="000B7DF3"/>
    <w:rsid w:val="000B7F42"/>
    <w:rsid w:val="000C20BA"/>
    <w:rsid w:val="000C2E4C"/>
    <w:rsid w:val="000C36F7"/>
    <w:rsid w:val="000C3B75"/>
    <w:rsid w:val="000C423E"/>
    <w:rsid w:val="000C452E"/>
    <w:rsid w:val="000C4C45"/>
    <w:rsid w:val="000C7077"/>
    <w:rsid w:val="000D1817"/>
    <w:rsid w:val="000D317D"/>
    <w:rsid w:val="000D56D4"/>
    <w:rsid w:val="000D5D31"/>
    <w:rsid w:val="000D6564"/>
    <w:rsid w:val="000D6A37"/>
    <w:rsid w:val="000D6A8C"/>
    <w:rsid w:val="000D78F4"/>
    <w:rsid w:val="000E105B"/>
    <w:rsid w:val="000E149B"/>
    <w:rsid w:val="000E1BA0"/>
    <w:rsid w:val="000E233C"/>
    <w:rsid w:val="000E2CF5"/>
    <w:rsid w:val="000E3537"/>
    <w:rsid w:val="000E407F"/>
    <w:rsid w:val="000E465D"/>
    <w:rsid w:val="000E4B81"/>
    <w:rsid w:val="000E572A"/>
    <w:rsid w:val="000E574A"/>
    <w:rsid w:val="000E61F6"/>
    <w:rsid w:val="000E6435"/>
    <w:rsid w:val="000E6F54"/>
    <w:rsid w:val="000E7E2E"/>
    <w:rsid w:val="000F0049"/>
    <w:rsid w:val="000F095E"/>
    <w:rsid w:val="000F1E79"/>
    <w:rsid w:val="000F3591"/>
    <w:rsid w:val="000F3BE8"/>
    <w:rsid w:val="000F4547"/>
    <w:rsid w:val="000F48CB"/>
    <w:rsid w:val="000F56D5"/>
    <w:rsid w:val="000F625F"/>
    <w:rsid w:val="000F6912"/>
    <w:rsid w:val="000F6D53"/>
    <w:rsid w:val="000F6E31"/>
    <w:rsid w:val="000F727B"/>
    <w:rsid w:val="00101760"/>
    <w:rsid w:val="00101B72"/>
    <w:rsid w:val="00102053"/>
    <w:rsid w:val="0010214B"/>
    <w:rsid w:val="00102542"/>
    <w:rsid w:val="0010361C"/>
    <w:rsid w:val="00103F65"/>
    <w:rsid w:val="001049F1"/>
    <w:rsid w:val="0010586F"/>
    <w:rsid w:val="00106D87"/>
    <w:rsid w:val="0011175D"/>
    <w:rsid w:val="0011251E"/>
    <w:rsid w:val="001132DA"/>
    <w:rsid w:val="00113AFB"/>
    <w:rsid w:val="001147FA"/>
    <w:rsid w:val="00114CAC"/>
    <w:rsid w:val="00117387"/>
    <w:rsid w:val="001216C9"/>
    <w:rsid w:val="00123145"/>
    <w:rsid w:val="00123CF6"/>
    <w:rsid w:val="00123DFD"/>
    <w:rsid w:val="00124F44"/>
    <w:rsid w:val="0012689E"/>
    <w:rsid w:val="00126B52"/>
    <w:rsid w:val="00127493"/>
    <w:rsid w:val="00127CF7"/>
    <w:rsid w:val="00127E1C"/>
    <w:rsid w:val="00130476"/>
    <w:rsid w:val="00130EF6"/>
    <w:rsid w:val="001318EA"/>
    <w:rsid w:val="00131FFF"/>
    <w:rsid w:val="00133982"/>
    <w:rsid w:val="00133B43"/>
    <w:rsid w:val="0013433D"/>
    <w:rsid w:val="00134719"/>
    <w:rsid w:val="00135E7D"/>
    <w:rsid w:val="0013630E"/>
    <w:rsid w:val="001372E0"/>
    <w:rsid w:val="001375EB"/>
    <w:rsid w:val="00137FA1"/>
    <w:rsid w:val="0014035D"/>
    <w:rsid w:val="00140379"/>
    <w:rsid w:val="0014085C"/>
    <w:rsid w:val="001408EF"/>
    <w:rsid w:val="00141C06"/>
    <w:rsid w:val="00141D2E"/>
    <w:rsid w:val="00143EDC"/>
    <w:rsid w:val="00143F6B"/>
    <w:rsid w:val="00143F9E"/>
    <w:rsid w:val="001444BE"/>
    <w:rsid w:val="001445E1"/>
    <w:rsid w:val="00144A76"/>
    <w:rsid w:val="001458F2"/>
    <w:rsid w:val="00145D1B"/>
    <w:rsid w:val="001472CA"/>
    <w:rsid w:val="00147B69"/>
    <w:rsid w:val="00147F1F"/>
    <w:rsid w:val="0015292F"/>
    <w:rsid w:val="0015425A"/>
    <w:rsid w:val="00155292"/>
    <w:rsid w:val="00155C65"/>
    <w:rsid w:val="00156029"/>
    <w:rsid w:val="00156AA7"/>
    <w:rsid w:val="00157687"/>
    <w:rsid w:val="00157AC0"/>
    <w:rsid w:val="00160928"/>
    <w:rsid w:val="00160B1E"/>
    <w:rsid w:val="001610AF"/>
    <w:rsid w:val="0016603B"/>
    <w:rsid w:val="00166A85"/>
    <w:rsid w:val="00166CDA"/>
    <w:rsid w:val="00167468"/>
    <w:rsid w:val="00167666"/>
    <w:rsid w:val="001676B4"/>
    <w:rsid w:val="00167C9D"/>
    <w:rsid w:val="00170BC2"/>
    <w:rsid w:val="00170F30"/>
    <w:rsid w:val="00171C23"/>
    <w:rsid w:val="0017220C"/>
    <w:rsid w:val="00172290"/>
    <w:rsid w:val="00172731"/>
    <w:rsid w:val="001729A6"/>
    <w:rsid w:val="00172CFE"/>
    <w:rsid w:val="001736D6"/>
    <w:rsid w:val="00174FC5"/>
    <w:rsid w:val="00175738"/>
    <w:rsid w:val="0017637C"/>
    <w:rsid w:val="00177F04"/>
    <w:rsid w:val="00177FB3"/>
    <w:rsid w:val="001803D1"/>
    <w:rsid w:val="00180502"/>
    <w:rsid w:val="00181949"/>
    <w:rsid w:val="001844D6"/>
    <w:rsid w:val="001850F8"/>
    <w:rsid w:val="00186FB0"/>
    <w:rsid w:val="001874C6"/>
    <w:rsid w:val="0018762A"/>
    <w:rsid w:val="0019115B"/>
    <w:rsid w:val="001915FC"/>
    <w:rsid w:val="00192254"/>
    <w:rsid w:val="00193ECE"/>
    <w:rsid w:val="00193FCF"/>
    <w:rsid w:val="0019521F"/>
    <w:rsid w:val="001952E5"/>
    <w:rsid w:val="0019600F"/>
    <w:rsid w:val="001970E6"/>
    <w:rsid w:val="0019783C"/>
    <w:rsid w:val="00197D6A"/>
    <w:rsid w:val="001A03CC"/>
    <w:rsid w:val="001A3BF4"/>
    <w:rsid w:val="001A433F"/>
    <w:rsid w:val="001A5054"/>
    <w:rsid w:val="001A5A92"/>
    <w:rsid w:val="001A667A"/>
    <w:rsid w:val="001A695E"/>
    <w:rsid w:val="001A6C90"/>
    <w:rsid w:val="001A6EED"/>
    <w:rsid w:val="001A7712"/>
    <w:rsid w:val="001A7E17"/>
    <w:rsid w:val="001B0655"/>
    <w:rsid w:val="001B1A52"/>
    <w:rsid w:val="001B3D7D"/>
    <w:rsid w:val="001B3EB2"/>
    <w:rsid w:val="001B3ED7"/>
    <w:rsid w:val="001B5C95"/>
    <w:rsid w:val="001B6336"/>
    <w:rsid w:val="001B686C"/>
    <w:rsid w:val="001C0C01"/>
    <w:rsid w:val="001C1BC6"/>
    <w:rsid w:val="001C27BF"/>
    <w:rsid w:val="001C29BA"/>
    <w:rsid w:val="001C2C38"/>
    <w:rsid w:val="001C4143"/>
    <w:rsid w:val="001C586F"/>
    <w:rsid w:val="001C5BE2"/>
    <w:rsid w:val="001C5E21"/>
    <w:rsid w:val="001C60DC"/>
    <w:rsid w:val="001C7039"/>
    <w:rsid w:val="001C74B2"/>
    <w:rsid w:val="001D1430"/>
    <w:rsid w:val="001D1CEC"/>
    <w:rsid w:val="001D23F2"/>
    <w:rsid w:val="001D3057"/>
    <w:rsid w:val="001D33D6"/>
    <w:rsid w:val="001D3817"/>
    <w:rsid w:val="001D3C80"/>
    <w:rsid w:val="001D3F0B"/>
    <w:rsid w:val="001D4270"/>
    <w:rsid w:val="001D5AD5"/>
    <w:rsid w:val="001D5CC3"/>
    <w:rsid w:val="001D6335"/>
    <w:rsid w:val="001D6C36"/>
    <w:rsid w:val="001D6F6B"/>
    <w:rsid w:val="001E07EA"/>
    <w:rsid w:val="001E0ED9"/>
    <w:rsid w:val="001E101D"/>
    <w:rsid w:val="001E119F"/>
    <w:rsid w:val="001E39C2"/>
    <w:rsid w:val="001E3F73"/>
    <w:rsid w:val="001E4730"/>
    <w:rsid w:val="001E4EF3"/>
    <w:rsid w:val="001E5EFE"/>
    <w:rsid w:val="001E639F"/>
    <w:rsid w:val="001E651E"/>
    <w:rsid w:val="001E6FD3"/>
    <w:rsid w:val="001E7FD0"/>
    <w:rsid w:val="001F01AB"/>
    <w:rsid w:val="001F0802"/>
    <w:rsid w:val="001F08E1"/>
    <w:rsid w:val="001F0FDB"/>
    <w:rsid w:val="001F1679"/>
    <w:rsid w:val="001F2870"/>
    <w:rsid w:val="001F4D92"/>
    <w:rsid w:val="001F4E52"/>
    <w:rsid w:val="001F5BDF"/>
    <w:rsid w:val="001F5CE4"/>
    <w:rsid w:val="001F66AF"/>
    <w:rsid w:val="001F6A87"/>
    <w:rsid w:val="001F77F2"/>
    <w:rsid w:val="001F7B6D"/>
    <w:rsid w:val="0020002B"/>
    <w:rsid w:val="002003E0"/>
    <w:rsid w:val="002004E8"/>
    <w:rsid w:val="00200761"/>
    <w:rsid w:val="00200B1D"/>
    <w:rsid w:val="00201176"/>
    <w:rsid w:val="00203668"/>
    <w:rsid w:val="0020382D"/>
    <w:rsid w:val="00205476"/>
    <w:rsid w:val="0020558E"/>
    <w:rsid w:val="002055D6"/>
    <w:rsid w:val="00205ABF"/>
    <w:rsid w:val="00206A05"/>
    <w:rsid w:val="002079AE"/>
    <w:rsid w:val="00207BD7"/>
    <w:rsid w:val="00210EB8"/>
    <w:rsid w:val="00211486"/>
    <w:rsid w:val="00211750"/>
    <w:rsid w:val="00212229"/>
    <w:rsid w:val="002126F4"/>
    <w:rsid w:val="0021293B"/>
    <w:rsid w:val="00212D3E"/>
    <w:rsid w:val="00216A78"/>
    <w:rsid w:val="00216DF2"/>
    <w:rsid w:val="002176DD"/>
    <w:rsid w:val="0022091D"/>
    <w:rsid w:val="00220EF3"/>
    <w:rsid w:val="00220F11"/>
    <w:rsid w:val="0022124D"/>
    <w:rsid w:val="002213FF"/>
    <w:rsid w:val="00222628"/>
    <w:rsid w:val="00224195"/>
    <w:rsid w:val="002267A6"/>
    <w:rsid w:val="002268C4"/>
    <w:rsid w:val="00226B0E"/>
    <w:rsid w:val="00230776"/>
    <w:rsid w:val="002317B6"/>
    <w:rsid w:val="00231884"/>
    <w:rsid w:val="00231D38"/>
    <w:rsid w:val="002322AC"/>
    <w:rsid w:val="00232C06"/>
    <w:rsid w:val="00232C38"/>
    <w:rsid w:val="00233F16"/>
    <w:rsid w:val="00236C98"/>
    <w:rsid w:val="00236F95"/>
    <w:rsid w:val="002374B6"/>
    <w:rsid w:val="00237A11"/>
    <w:rsid w:val="00237F04"/>
    <w:rsid w:val="00241156"/>
    <w:rsid w:val="00242462"/>
    <w:rsid w:val="00242479"/>
    <w:rsid w:val="00242822"/>
    <w:rsid w:val="002438B4"/>
    <w:rsid w:val="002443A3"/>
    <w:rsid w:val="0024521A"/>
    <w:rsid w:val="00245F1F"/>
    <w:rsid w:val="00246590"/>
    <w:rsid w:val="00246D3A"/>
    <w:rsid w:val="00247863"/>
    <w:rsid w:val="00250208"/>
    <w:rsid w:val="00250490"/>
    <w:rsid w:val="00250D3C"/>
    <w:rsid w:val="0025164C"/>
    <w:rsid w:val="00252DD5"/>
    <w:rsid w:val="0025361E"/>
    <w:rsid w:val="0025402E"/>
    <w:rsid w:val="002545ED"/>
    <w:rsid w:val="00256722"/>
    <w:rsid w:val="00256E27"/>
    <w:rsid w:val="00256EDF"/>
    <w:rsid w:val="00256F0A"/>
    <w:rsid w:val="002576D0"/>
    <w:rsid w:val="002579EB"/>
    <w:rsid w:val="00260309"/>
    <w:rsid w:val="0026051E"/>
    <w:rsid w:val="002615DB"/>
    <w:rsid w:val="00261C15"/>
    <w:rsid w:val="00262409"/>
    <w:rsid w:val="00262F65"/>
    <w:rsid w:val="002639DD"/>
    <w:rsid w:val="00263B4F"/>
    <w:rsid w:val="00263DD4"/>
    <w:rsid w:val="002644A6"/>
    <w:rsid w:val="00265C8B"/>
    <w:rsid w:val="00267200"/>
    <w:rsid w:val="002678EB"/>
    <w:rsid w:val="002708B4"/>
    <w:rsid w:val="002709AB"/>
    <w:rsid w:val="002710C8"/>
    <w:rsid w:val="002712E0"/>
    <w:rsid w:val="002713F0"/>
    <w:rsid w:val="0027561F"/>
    <w:rsid w:val="00275ED2"/>
    <w:rsid w:val="00276512"/>
    <w:rsid w:val="00277133"/>
    <w:rsid w:val="00281716"/>
    <w:rsid w:val="00281E02"/>
    <w:rsid w:val="00282FBB"/>
    <w:rsid w:val="00283858"/>
    <w:rsid w:val="002858BF"/>
    <w:rsid w:val="00286C37"/>
    <w:rsid w:val="00286ED5"/>
    <w:rsid w:val="002872A9"/>
    <w:rsid w:val="0029041B"/>
    <w:rsid w:val="002908A4"/>
    <w:rsid w:val="00290D95"/>
    <w:rsid w:val="00291829"/>
    <w:rsid w:val="00292417"/>
    <w:rsid w:val="002927E5"/>
    <w:rsid w:val="002927E9"/>
    <w:rsid w:val="002939B0"/>
    <w:rsid w:val="00293AAB"/>
    <w:rsid w:val="0029420F"/>
    <w:rsid w:val="00294586"/>
    <w:rsid w:val="00295B1C"/>
    <w:rsid w:val="002964C8"/>
    <w:rsid w:val="002966FA"/>
    <w:rsid w:val="00297E31"/>
    <w:rsid w:val="002A06EE"/>
    <w:rsid w:val="002A0C2E"/>
    <w:rsid w:val="002A1179"/>
    <w:rsid w:val="002A3096"/>
    <w:rsid w:val="002A381B"/>
    <w:rsid w:val="002A397F"/>
    <w:rsid w:val="002A3E38"/>
    <w:rsid w:val="002A4B2D"/>
    <w:rsid w:val="002A51A8"/>
    <w:rsid w:val="002A520A"/>
    <w:rsid w:val="002A6A16"/>
    <w:rsid w:val="002A6AA2"/>
    <w:rsid w:val="002A7AC5"/>
    <w:rsid w:val="002A7BC2"/>
    <w:rsid w:val="002B0E0B"/>
    <w:rsid w:val="002B2A3E"/>
    <w:rsid w:val="002B2CED"/>
    <w:rsid w:val="002B3AD7"/>
    <w:rsid w:val="002B4399"/>
    <w:rsid w:val="002B4882"/>
    <w:rsid w:val="002B5485"/>
    <w:rsid w:val="002B54D7"/>
    <w:rsid w:val="002B6106"/>
    <w:rsid w:val="002B7F29"/>
    <w:rsid w:val="002C0098"/>
    <w:rsid w:val="002C0D31"/>
    <w:rsid w:val="002C11A9"/>
    <w:rsid w:val="002C2097"/>
    <w:rsid w:val="002C2AFF"/>
    <w:rsid w:val="002C38EA"/>
    <w:rsid w:val="002C3DEB"/>
    <w:rsid w:val="002C3FFA"/>
    <w:rsid w:val="002C596C"/>
    <w:rsid w:val="002D11FF"/>
    <w:rsid w:val="002D2C6A"/>
    <w:rsid w:val="002D4E39"/>
    <w:rsid w:val="002D651F"/>
    <w:rsid w:val="002D65FA"/>
    <w:rsid w:val="002D6F73"/>
    <w:rsid w:val="002D72EE"/>
    <w:rsid w:val="002D789E"/>
    <w:rsid w:val="002D7A39"/>
    <w:rsid w:val="002D7A86"/>
    <w:rsid w:val="002E029E"/>
    <w:rsid w:val="002E0FE3"/>
    <w:rsid w:val="002E1405"/>
    <w:rsid w:val="002E1A03"/>
    <w:rsid w:val="002E1C55"/>
    <w:rsid w:val="002E2148"/>
    <w:rsid w:val="002E2704"/>
    <w:rsid w:val="002E2A2D"/>
    <w:rsid w:val="002E2F74"/>
    <w:rsid w:val="002E305E"/>
    <w:rsid w:val="002E40FF"/>
    <w:rsid w:val="002E4327"/>
    <w:rsid w:val="002E44B8"/>
    <w:rsid w:val="002E5494"/>
    <w:rsid w:val="002E638A"/>
    <w:rsid w:val="002E6827"/>
    <w:rsid w:val="002E7B71"/>
    <w:rsid w:val="002E7FB4"/>
    <w:rsid w:val="002F0643"/>
    <w:rsid w:val="002F0925"/>
    <w:rsid w:val="002F2427"/>
    <w:rsid w:val="002F2884"/>
    <w:rsid w:val="002F372E"/>
    <w:rsid w:val="002F38DA"/>
    <w:rsid w:val="002F40F3"/>
    <w:rsid w:val="002F6933"/>
    <w:rsid w:val="002F7CE2"/>
    <w:rsid w:val="00300B79"/>
    <w:rsid w:val="003027BE"/>
    <w:rsid w:val="00302DE2"/>
    <w:rsid w:val="003030BA"/>
    <w:rsid w:val="003035BC"/>
    <w:rsid w:val="0030364B"/>
    <w:rsid w:val="00303DA1"/>
    <w:rsid w:val="003041BF"/>
    <w:rsid w:val="003045C0"/>
    <w:rsid w:val="00305105"/>
    <w:rsid w:val="003059AE"/>
    <w:rsid w:val="0030615B"/>
    <w:rsid w:val="0030784F"/>
    <w:rsid w:val="00310CA2"/>
    <w:rsid w:val="00310D5F"/>
    <w:rsid w:val="0031165C"/>
    <w:rsid w:val="00311E0A"/>
    <w:rsid w:val="00312AB6"/>
    <w:rsid w:val="0031342B"/>
    <w:rsid w:val="00313959"/>
    <w:rsid w:val="00315EDB"/>
    <w:rsid w:val="00316A68"/>
    <w:rsid w:val="003204C4"/>
    <w:rsid w:val="00322825"/>
    <w:rsid w:val="00322E4A"/>
    <w:rsid w:val="003246F5"/>
    <w:rsid w:val="003303B0"/>
    <w:rsid w:val="0033067E"/>
    <w:rsid w:val="00330694"/>
    <w:rsid w:val="0033078F"/>
    <w:rsid w:val="00331642"/>
    <w:rsid w:val="003317B5"/>
    <w:rsid w:val="00333FBD"/>
    <w:rsid w:val="00333FC3"/>
    <w:rsid w:val="00334B9F"/>
    <w:rsid w:val="003352E4"/>
    <w:rsid w:val="003359CD"/>
    <w:rsid w:val="003370B5"/>
    <w:rsid w:val="003375FE"/>
    <w:rsid w:val="00337F13"/>
    <w:rsid w:val="00341C67"/>
    <w:rsid w:val="00341E5B"/>
    <w:rsid w:val="003421CD"/>
    <w:rsid w:val="00342CB6"/>
    <w:rsid w:val="00342FE6"/>
    <w:rsid w:val="003438F7"/>
    <w:rsid w:val="00344670"/>
    <w:rsid w:val="003451F5"/>
    <w:rsid w:val="00345289"/>
    <w:rsid w:val="003462FD"/>
    <w:rsid w:val="00346791"/>
    <w:rsid w:val="00346E06"/>
    <w:rsid w:val="0034767E"/>
    <w:rsid w:val="003478ED"/>
    <w:rsid w:val="00347BFA"/>
    <w:rsid w:val="00347C95"/>
    <w:rsid w:val="003506C0"/>
    <w:rsid w:val="00350CAC"/>
    <w:rsid w:val="003511EC"/>
    <w:rsid w:val="00353835"/>
    <w:rsid w:val="00354CE3"/>
    <w:rsid w:val="003565FF"/>
    <w:rsid w:val="00356E23"/>
    <w:rsid w:val="00357D12"/>
    <w:rsid w:val="00357D59"/>
    <w:rsid w:val="00357EF5"/>
    <w:rsid w:val="00360048"/>
    <w:rsid w:val="00360900"/>
    <w:rsid w:val="00360947"/>
    <w:rsid w:val="00360DB0"/>
    <w:rsid w:val="00362AE2"/>
    <w:rsid w:val="00363495"/>
    <w:rsid w:val="003637D2"/>
    <w:rsid w:val="00365162"/>
    <w:rsid w:val="00366F90"/>
    <w:rsid w:val="003675B6"/>
    <w:rsid w:val="00367D97"/>
    <w:rsid w:val="003705C8"/>
    <w:rsid w:val="0037104D"/>
    <w:rsid w:val="00371FE9"/>
    <w:rsid w:val="00374478"/>
    <w:rsid w:val="00374B2A"/>
    <w:rsid w:val="00374DCC"/>
    <w:rsid w:val="00376330"/>
    <w:rsid w:val="00376A71"/>
    <w:rsid w:val="00376DDB"/>
    <w:rsid w:val="00377243"/>
    <w:rsid w:val="003778D7"/>
    <w:rsid w:val="00377927"/>
    <w:rsid w:val="003800C4"/>
    <w:rsid w:val="00380BBC"/>
    <w:rsid w:val="00381D29"/>
    <w:rsid w:val="0038268B"/>
    <w:rsid w:val="003829BF"/>
    <w:rsid w:val="00382AC9"/>
    <w:rsid w:val="00382E3D"/>
    <w:rsid w:val="00387838"/>
    <w:rsid w:val="00390DF2"/>
    <w:rsid w:val="003913B1"/>
    <w:rsid w:val="00392E3D"/>
    <w:rsid w:val="0039304C"/>
    <w:rsid w:val="003934E5"/>
    <w:rsid w:val="003935A5"/>
    <w:rsid w:val="00394306"/>
    <w:rsid w:val="0039436B"/>
    <w:rsid w:val="00394CC6"/>
    <w:rsid w:val="00395618"/>
    <w:rsid w:val="0039672A"/>
    <w:rsid w:val="00396CB9"/>
    <w:rsid w:val="003977CB"/>
    <w:rsid w:val="003A0FEF"/>
    <w:rsid w:val="003A1BEE"/>
    <w:rsid w:val="003A3AC2"/>
    <w:rsid w:val="003A4BA0"/>
    <w:rsid w:val="003A5168"/>
    <w:rsid w:val="003A58EA"/>
    <w:rsid w:val="003A6176"/>
    <w:rsid w:val="003A646B"/>
    <w:rsid w:val="003A6D4B"/>
    <w:rsid w:val="003A6D73"/>
    <w:rsid w:val="003A79A8"/>
    <w:rsid w:val="003A79C7"/>
    <w:rsid w:val="003B0DD6"/>
    <w:rsid w:val="003B13E2"/>
    <w:rsid w:val="003B171F"/>
    <w:rsid w:val="003B220C"/>
    <w:rsid w:val="003B228C"/>
    <w:rsid w:val="003B2983"/>
    <w:rsid w:val="003B2EFD"/>
    <w:rsid w:val="003B2F5E"/>
    <w:rsid w:val="003B3670"/>
    <w:rsid w:val="003B4948"/>
    <w:rsid w:val="003B5A37"/>
    <w:rsid w:val="003B6260"/>
    <w:rsid w:val="003B6470"/>
    <w:rsid w:val="003B67DC"/>
    <w:rsid w:val="003B69B5"/>
    <w:rsid w:val="003B73BC"/>
    <w:rsid w:val="003B7992"/>
    <w:rsid w:val="003C06DC"/>
    <w:rsid w:val="003C0DD2"/>
    <w:rsid w:val="003C1580"/>
    <w:rsid w:val="003C1CA4"/>
    <w:rsid w:val="003C2912"/>
    <w:rsid w:val="003C2A53"/>
    <w:rsid w:val="003C2A76"/>
    <w:rsid w:val="003C3177"/>
    <w:rsid w:val="003C3C3E"/>
    <w:rsid w:val="003C3EB6"/>
    <w:rsid w:val="003C4F8C"/>
    <w:rsid w:val="003C628F"/>
    <w:rsid w:val="003D0311"/>
    <w:rsid w:val="003D05EB"/>
    <w:rsid w:val="003D0B87"/>
    <w:rsid w:val="003D0FC3"/>
    <w:rsid w:val="003D14BE"/>
    <w:rsid w:val="003D200A"/>
    <w:rsid w:val="003D2410"/>
    <w:rsid w:val="003D2D9C"/>
    <w:rsid w:val="003D6410"/>
    <w:rsid w:val="003D6A91"/>
    <w:rsid w:val="003D6F79"/>
    <w:rsid w:val="003D7081"/>
    <w:rsid w:val="003D72E6"/>
    <w:rsid w:val="003D78E6"/>
    <w:rsid w:val="003E0CE0"/>
    <w:rsid w:val="003E14FB"/>
    <w:rsid w:val="003E19FB"/>
    <w:rsid w:val="003E2398"/>
    <w:rsid w:val="003E2427"/>
    <w:rsid w:val="003E2DC0"/>
    <w:rsid w:val="003E3396"/>
    <w:rsid w:val="003E352A"/>
    <w:rsid w:val="003E4BCD"/>
    <w:rsid w:val="003E4C1A"/>
    <w:rsid w:val="003E590C"/>
    <w:rsid w:val="003E651E"/>
    <w:rsid w:val="003E6644"/>
    <w:rsid w:val="003E6D9D"/>
    <w:rsid w:val="003F0263"/>
    <w:rsid w:val="003F080F"/>
    <w:rsid w:val="003F1379"/>
    <w:rsid w:val="003F158E"/>
    <w:rsid w:val="003F1AB6"/>
    <w:rsid w:val="003F26A9"/>
    <w:rsid w:val="003F2782"/>
    <w:rsid w:val="003F37E5"/>
    <w:rsid w:val="003F3D5F"/>
    <w:rsid w:val="003F42F4"/>
    <w:rsid w:val="003F4B19"/>
    <w:rsid w:val="003F52F1"/>
    <w:rsid w:val="003F58ED"/>
    <w:rsid w:val="00400091"/>
    <w:rsid w:val="004005E5"/>
    <w:rsid w:val="00400BDA"/>
    <w:rsid w:val="00401463"/>
    <w:rsid w:val="00401AED"/>
    <w:rsid w:val="00404963"/>
    <w:rsid w:val="00405FFC"/>
    <w:rsid w:val="004063EA"/>
    <w:rsid w:val="00406CF5"/>
    <w:rsid w:val="004076B9"/>
    <w:rsid w:val="0041043A"/>
    <w:rsid w:val="00410AC2"/>
    <w:rsid w:val="0041179F"/>
    <w:rsid w:val="00412DC9"/>
    <w:rsid w:val="00414488"/>
    <w:rsid w:val="00414D61"/>
    <w:rsid w:val="004153E0"/>
    <w:rsid w:val="00416E4E"/>
    <w:rsid w:val="00417072"/>
    <w:rsid w:val="004172DC"/>
    <w:rsid w:val="004174F9"/>
    <w:rsid w:val="004200F5"/>
    <w:rsid w:val="00422D48"/>
    <w:rsid w:val="004233DE"/>
    <w:rsid w:val="00423751"/>
    <w:rsid w:val="00423DB2"/>
    <w:rsid w:val="00426246"/>
    <w:rsid w:val="0042650E"/>
    <w:rsid w:val="00427F9C"/>
    <w:rsid w:val="004321D4"/>
    <w:rsid w:val="00434745"/>
    <w:rsid w:val="004360C9"/>
    <w:rsid w:val="00436D94"/>
    <w:rsid w:val="0043735E"/>
    <w:rsid w:val="00437B3C"/>
    <w:rsid w:val="00437BB9"/>
    <w:rsid w:val="00437DD5"/>
    <w:rsid w:val="00437EFC"/>
    <w:rsid w:val="004405E6"/>
    <w:rsid w:val="0044090B"/>
    <w:rsid w:val="00442369"/>
    <w:rsid w:val="00442661"/>
    <w:rsid w:val="00443904"/>
    <w:rsid w:val="004461A3"/>
    <w:rsid w:val="004469E1"/>
    <w:rsid w:val="00446B3C"/>
    <w:rsid w:val="00447E2C"/>
    <w:rsid w:val="004501FF"/>
    <w:rsid w:val="00452149"/>
    <w:rsid w:val="0045249A"/>
    <w:rsid w:val="00452F33"/>
    <w:rsid w:val="004551BB"/>
    <w:rsid w:val="004552FE"/>
    <w:rsid w:val="00457834"/>
    <w:rsid w:val="00457A22"/>
    <w:rsid w:val="00460752"/>
    <w:rsid w:val="00460B2F"/>
    <w:rsid w:val="00460F47"/>
    <w:rsid w:val="00461C41"/>
    <w:rsid w:val="00461D1C"/>
    <w:rsid w:val="0046391C"/>
    <w:rsid w:val="004650FF"/>
    <w:rsid w:val="00466F44"/>
    <w:rsid w:val="00467198"/>
    <w:rsid w:val="00470FFD"/>
    <w:rsid w:val="004716E7"/>
    <w:rsid w:val="004718E4"/>
    <w:rsid w:val="0047191A"/>
    <w:rsid w:val="0047219A"/>
    <w:rsid w:val="00472ADA"/>
    <w:rsid w:val="00472B93"/>
    <w:rsid w:val="00473A64"/>
    <w:rsid w:val="00473F3B"/>
    <w:rsid w:val="004750B9"/>
    <w:rsid w:val="004751DC"/>
    <w:rsid w:val="00475950"/>
    <w:rsid w:val="0047601F"/>
    <w:rsid w:val="00476674"/>
    <w:rsid w:val="00476D2A"/>
    <w:rsid w:val="00477488"/>
    <w:rsid w:val="0048041A"/>
    <w:rsid w:val="00480A4E"/>
    <w:rsid w:val="0048107D"/>
    <w:rsid w:val="00481748"/>
    <w:rsid w:val="004838DA"/>
    <w:rsid w:val="00483FB4"/>
    <w:rsid w:val="0048563A"/>
    <w:rsid w:val="0048569A"/>
    <w:rsid w:val="004866EB"/>
    <w:rsid w:val="004874B3"/>
    <w:rsid w:val="004878E4"/>
    <w:rsid w:val="00487AF0"/>
    <w:rsid w:val="00490321"/>
    <w:rsid w:val="00491168"/>
    <w:rsid w:val="00491515"/>
    <w:rsid w:val="00491791"/>
    <w:rsid w:val="004917B8"/>
    <w:rsid w:val="00491878"/>
    <w:rsid w:val="00492405"/>
    <w:rsid w:val="004924DA"/>
    <w:rsid w:val="004931DA"/>
    <w:rsid w:val="00493878"/>
    <w:rsid w:val="00494487"/>
    <w:rsid w:val="00494F12"/>
    <w:rsid w:val="0049569C"/>
    <w:rsid w:val="00496437"/>
    <w:rsid w:val="0049721A"/>
    <w:rsid w:val="00497304"/>
    <w:rsid w:val="004A0A9B"/>
    <w:rsid w:val="004A14AC"/>
    <w:rsid w:val="004A16C0"/>
    <w:rsid w:val="004A2A15"/>
    <w:rsid w:val="004A2D94"/>
    <w:rsid w:val="004A3337"/>
    <w:rsid w:val="004A40C4"/>
    <w:rsid w:val="004A41F4"/>
    <w:rsid w:val="004A4725"/>
    <w:rsid w:val="004A58EF"/>
    <w:rsid w:val="004A607E"/>
    <w:rsid w:val="004B0E0C"/>
    <w:rsid w:val="004B22CD"/>
    <w:rsid w:val="004B293A"/>
    <w:rsid w:val="004B35D7"/>
    <w:rsid w:val="004B3C5F"/>
    <w:rsid w:val="004B419F"/>
    <w:rsid w:val="004B4224"/>
    <w:rsid w:val="004B4650"/>
    <w:rsid w:val="004B558A"/>
    <w:rsid w:val="004B558C"/>
    <w:rsid w:val="004B55A1"/>
    <w:rsid w:val="004B6B36"/>
    <w:rsid w:val="004B6F1E"/>
    <w:rsid w:val="004C0D69"/>
    <w:rsid w:val="004C15FD"/>
    <w:rsid w:val="004C1ECC"/>
    <w:rsid w:val="004C2D7B"/>
    <w:rsid w:val="004C3F27"/>
    <w:rsid w:val="004C611F"/>
    <w:rsid w:val="004C6941"/>
    <w:rsid w:val="004C6C9C"/>
    <w:rsid w:val="004C6DC0"/>
    <w:rsid w:val="004C781D"/>
    <w:rsid w:val="004D07EE"/>
    <w:rsid w:val="004D0995"/>
    <w:rsid w:val="004D2269"/>
    <w:rsid w:val="004D255C"/>
    <w:rsid w:val="004D2CB7"/>
    <w:rsid w:val="004D3F1F"/>
    <w:rsid w:val="004D4CF1"/>
    <w:rsid w:val="004D6581"/>
    <w:rsid w:val="004D736E"/>
    <w:rsid w:val="004D7842"/>
    <w:rsid w:val="004D7CC8"/>
    <w:rsid w:val="004E014D"/>
    <w:rsid w:val="004E168B"/>
    <w:rsid w:val="004E3C9A"/>
    <w:rsid w:val="004E462B"/>
    <w:rsid w:val="004E6055"/>
    <w:rsid w:val="004E6B77"/>
    <w:rsid w:val="004E71FD"/>
    <w:rsid w:val="004E72BE"/>
    <w:rsid w:val="004E7646"/>
    <w:rsid w:val="004F035C"/>
    <w:rsid w:val="004F0E4E"/>
    <w:rsid w:val="004F1D81"/>
    <w:rsid w:val="004F2027"/>
    <w:rsid w:val="004F32E9"/>
    <w:rsid w:val="004F3FD9"/>
    <w:rsid w:val="004F41D8"/>
    <w:rsid w:val="004F4D3A"/>
    <w:rsid w:val="004F60DD"/>
    <w:rsid w:val="004F755C"/>
    <w:rsid w:val="00501259"/>
    <w:rsid w:val="005015A9"/>
    <w:rsid w:val="005017F2"/>
    <w:rsid w:val="00501C65"/>
    <w:rsid w:val="0050402D"/>
    <w:rsid w:val="0050498B"/>
    <w:rsid w:val="00504E9D"/>
    <w:rsid w:val="005069D8"/>
    <w:rsid w:val="00507FE4"/>
    <w:rsid w:val="00510EF8"/>
    <w:rsid w:val="00512871"/>
    <w:rsid w:val="00512946"/>
    <w:rsid w:val="0051336C"/>
    <w:rsid w:val="00513FCE"/>
    <w:rsid w:val="00514843"/>
    <w:rsid w:val="005151D9"/>
    <w:rsid w:val="00515838"/>
    <w:rsid w:val="00515EE8"/>
    <w:rsid w:val="005160EE"/>
    <w:rsid w:val="005178A9"/>
    <w:rsid w:val="00522626"/>
    <w:rsid w:val="0052272D"/>
    <w:rsid w:val="005250AB"/>
    <w:rsid w:val="0052526D"/>
    <w:rsid w:val="00526028"/>
    <w:rsid w:val="00526858"/>
    <w:rsid w:val="00526A98"/>
    <w:rsid w:val="0052707F"/>
    <w:rsid w:val="00527649"/>
    <w:rsid w:val="00530A12"/>
    <w:rsid w:val="00530AE8"/>
    <w:rsid w:val="00532259"/>
    <w:rsid w:val="00532BAA"/>
    <w:rsid w:val="00533722"/>
    <w:rsid w:val="00534575"/>
    <w:rsid w:val="005349E2"/>
    <w:rsid w:val="005354C4"/>
    <w:rsid w:val="005356DA"/>
    <w:rsid w:val="0053577E"/>
    <w:rsid w:val="00536027"/>
    <w:rsid w:val="00536081"/>
    <w:rsid w:val="005379CD"/>
    <w:rsid w:val="00537C56"/>
    <w:rsid w:val="00542441"/>
    <w:rsid w:val="005425EB"/>
    <w:rsid w:val="005433DC"/>
    <w:rsid w:val="0054382C"/>
    <w:rsid w:val="00544328"/>
    <w:rsid w:val="00544834"/>
    <w:rsid w:val="00546421"/>
    <w:rsid w:val="00546A6E"/>
    <w:rsid w:val="005476BD"/>
    <w:rsid w:val="005519C4"/>
    <w:rsid w:val="00551E91"/>
    <w:rsid w:val="005523A3"/>
    <w:rsid w:val="0055282E"/>
    <w:rsid w:val="005536DB"/>
    <w:rsid w:val="00553891"/>
    <w:rsid w:val="00555919"/>
    <w:rsid w:val="00555997"/>
    <w:rsid w:val="00555DCE"/>
    <w:rsid w:val="00555F96"/>
    <w:rsid w:val="00556310"/>
    <w:rsid w:val="00556D73"/>
    <w:rsid w:val="00557617"/>
    <w:rsid w:val="005606BC"/>
    <w:rsid w:val="00560C9E"/>
    <w:rsid w:val="00561E51"/>
    <w:rsid w:val="00561E7E"/>
    <w:rsid w:val="00562362"/>
    <w:rsid w:val="00562C49"/>
    <w:rsid w:val="005642C7"/>
    <w:rsid w:val="00564691"/>
    <w:rsid w:val="00564795"/>
    <w:rsid w:val="00564EF3"/>
    <w:rsid w:val="00565061"/>
    <w:rsid w:val="00566EB8"/>
    <w:rsid w:val="0056751C"/>
    <w:rsid w:val="0057218B"/>
    <w:rsid w:val="005735F8"/>
    <w:rsid w:val="00573CFF"/>
    <w:rsid w:val="00573FF2"/>
    <w:rsid w:val="005769F5"/>
    <w:rsid w:val="00580067"/>
    <w:rsid w:val="00580185"/>
    <w:rsid w:val="00581E53"/>
    <w:rsid w:val="00581F52"/>
    <w:rsid w:val="005823B5"/>
    <w:rsid w:val="00583185"/>
    <w:rsid w:val="0058368B"/>
    <w:rsid w:val="0058407E"/>
    <w:rsid w:val="00584DE6"/>
    <w:rsid w:val="005858DA"/>
    <w:rsid w:val="0058689A"/>
    <w:rsid w:val="005879B6"/>
    <w:rsid w:val="00590903"/>
    <w:rsid w:val="00590974"/>
    <w:rsid w:val="0059109F"/>
    <w:rsid w:val="005911E5"/>
    <w:rsid w:val="00591C09"/>
    <w:rsid w:val="00593CCC"/>
    <w:rsid w:val="005941EF"/>
    <w:rsid w:val="00594A28"/>
    <w:rsid w:val="00594EE2"/>
    <w:rsid w:val="00595229"/>
    <w:rsid w:val="0059581B"/>
    <w:rsid w:val="00595DA0"/>
    <w:rsid w:val="00596450"/>
    <w:rsid w:val="0059698B"/>
    <w:rsid w:val="00596C3E"/>
    <w:rsid w:val="005A0422"/>
    <w:rsid w:val="005A05F5"/>
    <w:rsid w:val="005A0742"/>
    <w:rsid w:val="005A0F7D"/>
    <w:rsid w:val="005A1CFA"/>
    <w:rsid w:val="005A225E"/>
    <w:rsid w:val="005A4174"/>
    <w:rsid w:val="005A43A4"/>
    <w:rsid w:val="005A4C59"/>
    <w:rsid w:val="005A52C1"/>
    <w:rsid w:val="005A5A9A"/>
    <w:rsid w:val="005A6E2A"/>
    <w:rsid w:val="005A6F5F"/>
    <w:rsid w:val="005A7A76"/>
    <w:rsid w:val="005A7E85"/>
    <w:rsid w:val="005B1374"/>
    <w:rsid w:val="005B17D3"/>
    <w:rsid w:val="005B1DA8"/>
    <w:rsid w:val="005B23B4"/>
    <w:rsid w:val="005B2F30"/>
    <w:rsid w:val="005B3010"/>
    <w:rsid w:val="005B4141"/>
    <w:rsid w:val="005B54BA"/>
    <w:rsid w:val="005B5F79"/>
    <w:rsid w:val="005B6C65"/>
    <w:rsid w:val="005B7366"/>
    <w:rsid w:val="005C039A"/>
    <w:rsid w:val="005C08C9"/>
    <w:rsid w:val="005C0A11"/>
    <w:rsid w:val="005C2B41"/>
    <w:rsid w:val="005C48DC"/>
    <w:rsid w:val="005C50F4"/>
    <w:rsid w:val="005C55DF"/>
    <w:rsid w:val="005C5625"/>
    <w:rsid w:val="005C5E6F"/>
    <w:rsid w:val="005C6929"/>
    <w:rsid w:val="005C6A82"/>
    <w:rsid w:val="005D23CB"/>
    <w:rsid w:val="005D2C9B"/>
    <w:rsid w:val="005D30BE"/>
    <w:rsid w:val="005D4F53"/>
    <w:rsid w:val="005D5A08"/>
    <w:rsid w:val="005D6ADA"/>
    <w:rsid w:val="005D73C6"/>
    <w:rsid w:val="005D75EF"/>
    <w:rsid w:val="005D7F0D"/>
    <w:rsid w:val="005D7FA0"/>
    <w:rsid w:val="005E0BDA"/>
    <w:rsid w:val="005E1CD4"/>
    <w:rsid w:val="005E254C"/>
    <w:rsid w:val="005E42B7"/>
    <w:rsid w:val="005E4E6B"/>
    <w:rsid w:val="005E4F85"/>
    <w:rsid w:val="005E5462"/>
    <w:rsid w:val="005E5A77"/>
    <w:rsid w:val="005E5C36"/>
    <w:rsid w:val="005E6034"/>
    <w:rsid w:val="005E639C"/>
    <w:rsid w:val="005E63AE"/>
    <w:rsid w:val="005E74D0"/>
    <w:rsid w:val="005E7796"/>
    <w:rsid w:val="005E792C"/>
    <w:rsid w:val="005F0006"/>
    <w:rsid w:val="005F0691"/>
    <w:rsid w:val="005F0982"/>
    <w:rsid w:val="005F26C1"/>
    <w:rsid w:val="005F279B"/>
    <w:rsid w:val="005F2810"/>
    <w:rsid w:val="005F31C7"/>
    <w:rsid w:val="005F39DD"/>
    <w:rsid w:val="005F4425"/>
    <w:rsid w:val="005F53C8"/>
    <w:rsid w:val="005F5409"/>
    <w:rsid w:val="005F5745"/>
    <w:rsid w:val="005F5BB3"/>
    <w:rsid w:val="005F6524"/>
    <w:rsid w:val="005F67F2"/>
    <w:rsid w:val="005F7420"/>
    <w:rsid w:val="005F7B27"/>
    <w:rsid w:val="00600904"/>
    <w:rsid w:val="00601815"/>
    <w:rsid w:val="00601E37"/>
    <w:rsid w:val="0060305C"/>
    <w:rsid w:val="006043E0"/>
    <w:rsid w:val="00604F6B"/>
    <w:rsid w:val="00605188"/>
    <w:rsid w:val="00606255"/>
    <w:rsid w:val="0060646E"/>
    <w:rsid w:val="0060686E"/>
    <w:rsid w:val="00606CAA"/>
    <w:rsid w:val="006101BE"/>
    <w:rsid w:val="006102C4"/>
    <w:rsid w:val="00610303"/>
    <w:rsid w:val="006109B7"/>
    <w:rsid w:val="006118A8"/>
    <w:rsid w:val="00611A62"/>
    <w:rsid w:val="00612502"/>
    <w:rsid w:val="00612F90"/>
    <w:rsid w:val="0061319A"/>
    <w:rsid w:val="00613B8E"/>
    <w:rsid w:val="00614554"/>
    <w:rsid w:val="00614DAC"/>
    <w:rsid w:val="00614FC4"/>
    <w:rsid w:val="006151F3"/>
    <w:rsid w:val="0061537F"/>
    <w:rsid w:val="00615915"/>
    <w:rsid w:val="00615A6F"/>
    <w:rsid w:val="00616151"/>
    <w:rsid w:val="006167A2"/>
    <w:rsid w:val="0061693F"/>
    <w:rsid w:val="00616B02"/>
    <w:rsid w:val="00616DBD"/>
    <w:rsid w:val="00620657"/>
    <w:rsid w:val="00621281"/>
    <w:rsid w:val="00621EBB"/>
    <w:rsid w:val="00621EDF"/>
    <w:rsid w:val="006221A5"/>
    <w:rsid w:val="006225C8"/>
    <w:rsid w:val="00622CDB"/>
    <w:rsid w:val="006235B0"/>
    <w:rsid w:val="00624EF6"/>
    <w:rsid w:val="0062533A"/>
    <w:rsid w:val="006259BB"/>
    <w:rsid w:val="0062602C"/>
    <w:rsid w:val="0062628D"/>
    <w:rsid w:val="00626BA6"/>
    <w:rsid w:val="00626D23"/>
    <w:rsid w:val="0062724F"/>
    <w:rsid w:val="00627255"/>
    <w:rsid w:val="00627BE0"/>
    <w:rsid w:val="00630C22"/>
    <w:rsid w:val="00630CE8"/>
    <w:rsid w:val="00632952"/>
    <w:rsid w:val="00633722"/>
    <w:rsid w:val="00633C35"/>
    <w:rsid w:val="006342FD"/>
    <w:rsid w:val="00635076"/>
    <w:rsid w:val="00635B72"/>
    <w:rsid w:val="006362C4"/>
    <w:rsid w:val="00636502"/>
    <w:rsid w:val="0064002E"/>
    <w:rsid w:val="00642B56"/>
    <w:rsid w:val="00642E52"/>
    <w:rsid w:val="00643681"/>
    <w:rsid w:val="00643750"/>
    <w:rsid w:val="00643D02"/>
    <w:rsid w:val="00643F38"/>
    <w:rsid w:val="00644351"/>
    <w:rsid w:val="00645566"/>
    <w:rsid w:val="006458A6"/>
    <w:rsid w:val="00645C23"/>
    <w:rsid w:val="006471DD"/>
    <w:rsid w:val="0064720F"/>
    <w:rsid w:val="00647A12"/>
    <w:rsid w:val="0065126D"/>
    <w:rsid w:val="00651DF4"/>
    <w:rsid w:val="0065214F"/>
    <w:rsid w:val="0065225E"/>
    <w:rsid w:val="00652AC0"/>
    <w:rsid w:val="00652D99"/>
    <w:rsid w:val="00653B1E"/>
    <w:rsid w:val="00653D2B"/>
    <w:rsid w:val="00653D68"/>
    <w:rsid w:val="00654370"/>
    <w:rsid w:val="00654989"/>
    <w:rsid w:val="00654E51"/>
    <w:rsid w:val="006550F4"/>
    <w:rsid w:val="00655655"/>
    <w:rsid w:val="00655B62"/>
    <w:rsid w:val="0065632B"/>
    <w:rsid w:val="006568AA"/>
    <w:rsid w:val="0065711B"/>
    <w:rsid w:val="00657464"/>
    <w:rsid w:val="00657845"/>
    <w:rsid w:val="006601D1"/>
    <w:rsid w:val="0066066F"/>
    <w:rsid w:val="006606F9"/>
    <w:rsid w:val="006618E4"/>
    <w:rsid w:val="00661A0F"/>
    <w:rsid w:val="00662D79"/>
    <w:rsid w:val="00663CA4"/>
    <w:rsid w:val="006642E1"/>
    <w:rsid w:val="00664CEE"/>
    <w:rsid w:val="00664DC2"/>
    <w:rsid w:val="00664F1B"/>
    <w:rsid w:val="0066523F"/>
    <w:rsid w:val="00665533"/>
    <w:rsid w:val="0066574D"/>
    <w:rsid w:val="00665A84"/>
    <w:rsid w:val="00665F6F"/>
    <w:rsid w:val="00666A71"/>
    <w:rsid w:val="00667B0E"/>
    <w:rsid w:val="00667CAC"/>
    <w:rsid w:val="00667F73"/>
    <w:rsid w:val="0067027C"/>
    <w:rsid w:val="0067051B"/>
    <w:rsid w:val="00671413"/>
    <w:rsid w:val="00673D69"/>
    <w:rsid w:val="006743B1"/>
    <w:rsid w:val="00674A51"/>
    <w:rsid w:val="00674BFE"/>
    <w:rsid w:val="00675A7D"/>
    <w:rsid w:val="00675DC2"/>
    <w:rsid w:val="006768C4"/>
    <w:rsid w:val="00677711"/>
    <w:rsid w:val="0067779C"/>
    <w:rsid w:val="00677EBB"/>
    <w:rsid w:val="006803D2"/>
    <w:rsid w:val="00680768"/>
    <w:rsid w:val="00680CFD"/>
    <w:rsid w:val="00682B57"/>
    <w:rsid w:val="00682D05"/>
    <w:rsid w:val="00683287"/>
    <w:rsid w:val="00683926"/>
    <w:rsid w:val="006858E6"/>
    <w:rsid w:val="00687625"/>
    <w:rsid w:val="00690ADD"/>
    <w:rsid w:val="0069190B"/>
    <w:rsid w:val="00691948"/>
    <w:rsid w:val="00691C73"/>
    <w:rsid w:val="00692105"/>
    <w:rsid w:val="00692BED"/>
    <w:rsid w:val="00693315"/>
    <w:rsid w:val="006938CD"/>
    <w:rsid w:val="00693C38"/>
    <w:rsid w:val="0069480F"/>
    <w:rsid w:val="00697639"/>
    <w:rsid w:val="00697A3E"/>
    <w:rsid w:val="006A0230"/>
    <w:rsid w:val="006A10A2"/>
    <w:rsid w:val="006A1F28"/>
    <w:rsid w:val="006A2723"/>
    <w:rsid w:val="006A2C34"/>
    <w:rsid w:val="006A3BEF"/>
    <w:rsid w:val="006A4F85"/>
    <w:rsid w:val="006A5C5C"/>
    <w:rsid w:val="006A65C5"/>
    <w:rsid w:val="006A797B"/>
    <w:rsid w:val="006A7C29"/>
    <w:rsid w:val="006A7ECA"/>
    <w:rsid w:val="006A7FBD"/>
    <w:rsid w:val="006B03CE"/>
    <w:rsid w:val="006B13E4"/>
    <w:rsid w:val="006B2C60"/>
    <w:rsid w:val="006B31D0"/>
    <w:rsid w:val="006B3F89"/>
    <w:rsid w:val="006B48AF"/>
    <w:rsid w:val="006B7404"/>
    <w:rsid w:val="006B74F2"/>
    <w:rsid w:val="006B7FF6"/>
    <w:rsid w:val="006C0ACA"/>
    <w:rsid w:val="006C0B98"/>
    <w:rsid w:val="006C0C44"/>
    <w:rsid w:val="006C0CDB"/>
    <w:rsid w:val="006C1349"/>
    <w:rsid w:val="006C13AF"/>
    <w:rsid w:val="006C1494"/>
    <w:rsid w:val="006C3E1F"/>
    <w:rsid w:val="006C4162"/>
    <w:rsid w:val="006C4809"/>
    <w:rsid w:val="006C4A4E"/>
    <w:rsid w:val="006C4A90"/>
    <w:rsid w:val="006C51D6"/>
    <w:rsid w:val="006D0907"/>
    <w:rsid w:val="006D0F7B"/>
    <w:rsid w:val="006D1323"/>
    <w:rsid w:val="006D1767"/>
    <w:rsid w:val="006D3168"/>
    <w:rsid w:val="006D32AE"/>
    <w:rsid w:val="006D40DE"/>
    <w:rsid w:val="006D4A4D"/>
    <w:rsid w:val="006D4B3A"/>
    <w:rsid w:val="006D4B55"/>
    <w:rsid w:val="006D4E06"/>
    <w:rsid w:val="006D515C"/>
    <w:rsid w:val="006D660E"/>
    <w:rsid w:val="006D6AAD"/>
    <w:rsid w:val="006D7766"/>
    <w:rsid w:val="006D7B37"/>
    <w:rsid w:val="006D7D83"/>
    <w:rsid w:val="006E0BA5"/>
    <w:rsid w:val="006E1A4E"/>
    <w:rsid w:val="006E1F76"/>
    <w:rsid w:val="006E2C1D"/>
    <w:rsid w:val="006E3A4C"/>
    <w:rsid w:val="006E3C73"/>
    <w:rsid w:val="006E4CDF"/>
    <w:rsid w:val="006E507D"/>
    <w:rsid w:val="006E523B"/>
    <w:rsid w:val="006E55BF"/>
    <w:rsid w:val="006E5831"/>
    <w:rsid w:val="006E5C32"/>
    <w:rsid w:val="006E6604"/>
    <w:rsid w:val="006E666F"/>
    <w:rsid w:val="006E6943"/>
    <w:rsid w:val="006E7298"/>
    <w:rsid w:val="006E7F46"/>
    <w:rsid w:val="006F0E85"/>
    <w:rsid w:val="006F0F7F"/>
    <w:rsid w:val="006F143A"/>
    <w:rsid w:val="006F3BD3"/>
    <w:rsid w:val="006F40B7"/>
    <w:rsid w:val="006F4187"/>
    <w:rsid w:val="006F41CC"/>
    <w:rsid w:val="006F6192"/>
    <w:rsid w:val="006F68F1"/>
    <w:rsid w:val="006F6A45"/>
    <w:rsid w:val="006F7688"/>
    <w:rsid w:val="006F7A56"/>
    <w:rsid w:val="006F7A69"/>
    <w:rsid w:val="006F7E21"/>
    <w:rsid w:val="00700C04"/>
    <w:rsid w:val="0070102A"/>
    <w:rsid w:val="0070187B"/>
    <w:rsid w:val="00702304"/>
    <w:rsid w:val="00703047"/>
    <w:rsid w:val="0070337A"/>
    <w:rsid w:val="0070558D"/>
    <w:rsid w:val="00705F4B"/>
    <w:rsid w:val="007075CC"/>
    <w:rsid w:val="007113A6"/>
    <w:rsid w:val="007116CE"/>
    <w:rsid w:val="00711990"/>
    <w:rsid w:val="007120BE"/>
    <w:rsid w:val="007128F6"/>
    <w:rsid w:val="00712C24"/>
    <w:rsid w:val="00712F65"/>
    <w:rsid w:val="00713872"/>
    <w:rsid w:val="0071451D"/>
    <w:rsid w:val="007145E8"/>
    <w:rsid w:val="00714E4B"/>
    <w:rsid w:val="0071532A"/>
    <w:rsid w:val="00715A30"/>
    <w:rsid w:val="00716846"/>
    <w:rsid w:val="007173E9"/>
    <w:rsid w:val="00717626"/>
    <w:rsid w:val="0072061D"/>
    <w:rsid w:val="00720BF8"/>
    <w:rsid w:val="00721600"/>
    <w:rsid w:val="00721B50"/>
    <w:rsid w:val="00721FF9"/>
    <w:rsid w:val="007224C9"/>
    <w:rsid w:val="00722B14"/>
    <w:rsid w:val="00723438"/>
    <w:rsid w:val="00723620"/>
    <w:rsid w:val="0072449F"/>
    <w:rsid w:val="007249C0"/>
    <w:rsid w:val="00725843"/>
    <w:rsid w:val="00726534"/>
    <w:rsid w:val="00727463"/>
    <w:rsid w:val="00727665"/>
    <w:rsid w:val="00730561"/>
    <w:rsid w:val="00730A32"/>
    <w:rsid w:val="00730C0E"/>
    <w:rsid w:val="00730F02"/>
    <w:rsid w:val="00731EA3"/>
    <w:rsid w:val="00731F11"/>
    <w:rsid w:val="00732506"/>
    <w:rsid w:val="00732C7F"/>
    <w:rsid w:val="00733F49"/>
    <w:rsid w:val="0073412B"/>
    <w:rsid w:val="007346CC"/>
    <w:rsid w:val="0073492E"/>
    <w:rsid w:val="00734E8C"/>
    <w:rsid w:val="00734F27"/>
    <w:rsid w:val="00740925"/>
    <w:rsid w:val="007410B4"/>
    <w:rsid w:val="007413F5"/>
    <w:rsid w:val="00741866"/>
    <w:rsid w:val="007424AD"/>
    <w:rsid w:val="00742977"/>
    <w:rsid w:val="007433E3"/>
    <w:rsid w:val="00743A64"/>
    <w:rsid w:val="00743DE9"/>
    <w:rsid w:val="00744A7B"/>
    <w:rsid w:val="00744BED"/>
    <w:rsid w:val="0074527D"/>
    <w:rsid w:val="00745F1F"/>
    <w:rsid w:val="00746C5B"/>
    <w:rsid w:val="00746D52"/>
    <w:rsid w:val="00747595"/>
    <w:rsid w:val="00750DBC"/>
    <w:rsid w:val="00751111"/>
    <w:rsid w:val="00751E19"/>
    <w:rsid w:val="00752E18"/>
    <w:rsid w:val="00753C67"/>
    <w:rsid w:val="00754CF2"/>
    <w:rsid w:val="00754EDC"/>
    <w:rsid w:val="0075502E"/>
    <w:rsid w:val="00755327"/>
    <w:rsid w:val="00755AEE"/>
    <w:rsid w:val="00755B60"/>
    <w:rsid w:val="00755DE6"/>
    <w:rsid w:val="00755E52"/>
    <w:rsid w:val="00755E5A"/>
    <w:rsid w:val="00755F34"/>
    <w:rsid w:val="00755FE4"/>
    <w:rsid w:val="0075704B"/>
    <w:rsid w:val="00761737"/>
    <w:rsid w:val="00762342"/>
    <w:rsid w:val="007630D6"/>
    <w:rsid w:val="00765232"/>
    <w:rsid w:val="00765E59"/>
    <w:rsid w:val="00766513"/>
    <w:rsid w:val="0076660A"/>
    <w:rsid w:val="00766BD4"/>
    <w:rsid w:val="007671B4"/>
    <w:rsid w:val="00767238"/>
    <w:rsid w:val="007703C7"/>
    <w:rsid w:val="0077075E"/>
    <w:rsid w:val="00774838"/>
    <w:rsid w:val="0077545B"/>
    <w:rsid w:val="0077791C"/>
    <w:rsid w:val="007804DD"/>
    <w:rsid w:val="007808EF"/>
    <w:rsid w:val="0078173E"/>
    <w:rsid w:val="00781AA4"/>
    <w:rsid w:val="007834A0"/>
    <w:rsid w:val="00784862"/>
    <w:rsid w:val="0078568C"/>
    <w:rsid w:val="00785D45"/>
    <w:rsid w:val="00785F6F"/>
    <w:rsid w:val="007870BA"/>
    <w:rsid w:val="00787DEE"/>
    <w:rsid w:val="00790837"/>
    <w:rsid w:val="00790B66"/>
    <w:rsid w:val="00791275"/>
    <w:rsid w:val="007913DD"/>
    <w:rsid w:val="0079199C"/>
    <w:rsid w:val="0079244E"/>
    <w:rsid w:val="0079277F"/>
    <w:rsid w:val="00792803"/>
    <w:rsid w:val="00792F0C"/>
    <w:rsid w:val="007937A4"/>
    <w:rsid w:val="0079426D"/>
    <w:rsid w:val="00794555"/>
    <w:rsid w:val="0079629E"/>
    <w:rsid w:val="007A01F7"/>
    <w:rsid w:val="007A2306"/>
    <w:rsid w:val="007A2537"/>
    <w:rsid w:val="007A294E"/>
    <w:rsid w:val="007A3316"/>
    <w:rsid w:val="007A3A51"/>
    <w:rsid w:val="007A4C61"/>
    <w:rsid w:val="007A6723"/>
    <w:rsid w:val="007A774E"/>
    <w:rsid w:val="007A7E84"/>
    <w:rsid w:val="007B2D08"/>
    <w:rsid w:val="007B33E2"/>
    <w:rsid w:val="007B34FA"/>
    <w:rsid w:val="007B4C87"/>
    <w:rsid w:val="007B5049"/>
    <w:rsid w:val="007B65DE"/>
    <w:rsid w:val="007B6689"/>
    <w:rsid w:val="007B6946"/>
    <w:rsid w:val="007B7EC4"/>
    <w:rsid w:val="007C0617"/>
    <w:rsid w:val="007C0F09"/>
    <w:rsid w:val="007C1E86"/>
    <w:rsid w:val="007C4100"/>
    <w:rsid w:val="007C4678"/>
    <w:rsid w:val="007C4DF8"/>
    <w:rsid w:val="007C6103"/>
    <w:rsid w:val="007C6224"/>
    <w:rsid w:val="007C7035"/>
    <w:rsid w:val="007C7FA8"/>
    <w:rsid w:val="007D091D"/>
    <w:rsid w:val="007D092C"/>
    <w:rsid w:val="007D10A0"/>
    <w:rsid w:val="007D2BC3"/>
    <w:rsid w:val="007D5844"/>
    <w:rsid w:val="007D5AEF"/>
    <w:rsid w:val="007D6917"/>
    <w:rsid w:val="007D6D20"/>
    <w:rsid w:val="007D7140"/>
    <w:rsid w:val="007D79E6"/>
    <w:rsid w:val="007E3F3D"/>
    <w:rsid w:val="007E4C56"/>
    <w:rsid w:val="007E4C97"/>
    <w:rsid w:val="007E4D85"/>
    <w:rsid w:val="007E4EFB"/>
    <w:rsid w:val="007E6779"/>
    <w:rsid w:val="007E6FA0"/>
    <w:rsid w:val="007E7848"/>
    <w:rsid w:val="007F1927"/>
    <w:rsid w:val="007F223C"/>
    <w:rsid w:val="007F377E"/>
    <w:rsid w:val="007F3C00"/>
    <w:rsid w:val="007F3D71"/>
    <w:rsid w:val="007F4B84"/>
    <w:rsid w:val="007F6212"/>
    <w:rsid w:val="007F664B"/>
    <w:rsid w:val="007F6A3A"/>
    <w:rsid w:val="007F6EAD"/>
    <w:rsid w:val="007F7544"/>
    <w:rsid w:val="007F77E0"/>
    <w:rsid w:val="008034DC"/>
    <w:rsid w:val="008039C7"/>
    <w:rsid w:val="00803A7E"/>
    <w:rsid w:val="008046DD"/>
    <w:rsid w:val="00807D21"/>
    <w:rsid w:val="0081046C"/>
    <w:rsid w:val="00810598"/>
    <w:rsid w:val="008132B7"/>
    <w:rsid w:val="00813D6D"/>
    <w:rsid w:val="008156A9"/>
    <w:rsid w:val="0081584B"/>
    <w:rsid w:val="008169B8"/>
    <w:rsid w:val="00817B91"/>
    <w:rsid w:val="00820947"/>
    <w:rsid w:val="008216E0"/>
    <w:rsid w:val="00822F13"/>
    <w:rsid w:val="00823854"/>
    <w:rsid w:val="0082403F"/>
    <w:rsid w:val="00824E07"/>
    <w:rsid w:val="008253FB"/>
    <w:rsid w:val="00827577"/>
    <w:rsid w:val="00830115"/>
    <w:rsid w:val="0083080F"/>
    <w:rsid w:val="008308B7"/>
    <w:rsid w:val="008311E3"/>
    <w:rsid w:val="00831B8F"/>
    <w:rsid w:val="00831ED7"/>
    <w:rsid w:val="008324A6"/>
    <w:rsid w:val="00832984"/>
    <w:rsid w:val="00832F87"/>
    <w:rsid w:val="00833982"/>
    <w:rsid w:val="00833988"/>
    <w:rsid w:val="00834845"/>
    <w:rsid w:val="0083518E"/>
    <w:rsid w:val="00835948"/>
    <w:rsid w:val="00835AA6"/>
    <w:rsid w:val="008364AE"/>
    <w:rsid w:val="008376CE"/>
    <w:rsid w:val="00840693"/>
    <w:rsid w:val="00840FDD"/>
    <w:rsid w:val="00840FFF"/>
    <w:rsid w:val="008426BC"/>
    <w:rsid w:val="008428F2"/>
    <w:rsid w:val="0084328D"/>
    <w:rsid w:val="00843AEC"/>
    <w:rsid w:val="00843BB2"/>
    <w:rsid w:val="00843EFD"/>
    <w:rsid w:val="00844FEA"/>
    <w:rsid w:val="00845B7A"/>
    <w:rsid w:val="0084701A"/>
    <w:rsid w:val="00850A61"/>
    <w:rsid w:val="008511FF"/>
    <w:rsid w:val="00851C93"/>
    <w:rsid w:val="0085361D"/>
    <w:rsid w:val="0085414D"/>
    <w:rsid w:val="0085481D"/>
    <w:rsid w:val="00854887"/>
    <w:rsid w:val="0085645C"/>
    <w:rsid w:val="00856463"/>
    <w:rsid w:val="0085693C"/>
    <w:rsid w:val="00857A4F"/>
    <w:rsid w:val="008607B1"/>
    <w:rsid w:val="00860B31"/>
    <w:rsid w:val="00860D9D"/>
    <w:rsid w:val="008618DB"/>
    <w:rsid w:val="00863562"/>
    <w:rsid w:val="00864742"/>
    <w:rsid w:val="008649B3"/>
    <w:rsid w:val="00864BD0"/>
    <w:rsid w:val="008657D5"/>
    <w:rsid w:val="00865B52"/>
    <w:rsid w:val="00866BD4"/>
    <w:rsid w:val="00866C53"/>
    <w:rsid w:val="00872098"/>
    <w:rsid w:val="00872880"/>
    <w:rsid w:val="00872A0D"/>
    <w:rsid w:val="00872E27"/>
    <w:rsid w:val="00873960"/>
    <w:rsid w:val="00873C2D"/>
    <w:rsid w:val="00874ED8"/>
    <w:rsid w:val="0087577B"/>
    <w:rsid w:val="008759F0"/>
    <w:rsid w:val="00875FFF"/>
    <w:rsid w:val="008777AE"/>
    <w:rsid w:val="00877811"/>
    <w:rsid w:val="00877E2D"/>
    <w:rsid w:val="00877F86"/>
    <w:rsid w:val="0088030B"/>
    <w:rsid w:val="008817D5"/>
    <w:rsid w:val="00881D59"/>
    <w:rsid w:val="00883386"/>
    <w:rsid w:val="008836A2"/>
    <w:rsid w:val="00883A66"/>
    <w:rsid w:val="008841F9"/>
    <w:rsid w:val="008851AA"/>
    <w:rsid w:val="00885620"/>
    <w:rsid w:val="008858B6"/>
    <w:rsid w:val="00885C1C"/>
    <w:rsid w:val="00887D58"/>
    <w:rsid w:val="008914D6"/>
    <w:rsid w:val="00891509"/>
    <w:rsid w:val="00891B53"/>
    <w:rsid w:val="00892E77"/>
    <w:rsid w:val="008930E2"/>
    <w:rsid w:val="00893C68"/>
    <w:rsid w:val="00894FF0"/>
    <w:rsid w:val="0089550F"/>
    <w:rsid w:val="00895855"/>
    <w:rsid w:val="008A0D87"/>
    <w:rsid w:val="008A1331"/>
    <w:rsid w:val="008A1665"/>
    <w:rsid w:val="008A1690"/>
    <w:rsid w:val="008A18C2"/>
    <w:rsid w:val="008A3AED"/>
    <w:rsid w:val="008A625B"/>
    <w:rsid w:val="008A6436"/>
    <w:rsid w:val="008B1399"/>
    <w:rsid w:val="008B1864"/>
    <w:rsid w:val="008B45D7"/>
    <w:rsid w:val="008B4ADE"/>
    <w:rsid w:val="008B4C22"/>
    <w:rsid w:val="008B4C4A"/>
    <w:rsid w:val="008B4DCE"/>
    <w:rsid w:val="008B502A"/>
    <w:rsid w:val="008B5034"/>
    <w:rsid w:val="008B5098"/>
    <w:rsid w:val="008B5A2D"/>
    <w:rsid w:val="008B649E"/>
    <w:rsid w:val="008B6B8B"/>
    <w:rsid w:val="008B7B5D"/>
    <w:rsid w:val="008C0645"/>
    <w:rsid w:val="008C2AAD"/>
    <w:rsid w:val="008C2C48"/>
    <w:rsid w:val="008C3408"/>
    <w:rsid w:val="008C56E1"/>
    <w:rsid w:val="008C61E7"/>
    <w:rsid w:val="008C6BA9"/>
    <w:rsid w:val="008C72E9"/>
    <w:rsid w:val="008C7729"/>
    <w:rsid w:val="008D08DE"/>
    <w:rsid w:val="008D2012"/>
    <w:rsid w:val="008D2A05"/>
    <w:rsid w:val="008D2C1A"/>
    <w:rsid w:val="008D2D6C"/>
    <w:rsid w:val="008D3723"/>
    <w:rsid w:val="008D392F"/>
    <w:rsid w:val="008D393C"/>
    <w:rsid w:val="008D3CA1"/>
    <w:rsid w:val="008D3EDB"/>
    <w:rsid w:val="008D3EF8"/>
    <w:rsid w:val="008D45DE"/>
    <w:rsid w:val="008D4ABF"/>
    <w:rsid w:val="008D5CA7"/>
    <w:rsid w:val="008D607B"/>
    <w:rsid w:val="008D6FD9"/>
    <w:rsid w:val="008D71E5"/>
    <w:rsid w:val="008D7AC8"/>
    <w:rsid w:val="008E1644"/>
    <w:rsid w:val="008E4311"/>
    <w:rsid w:val="008E5668"/>
    <w:rsid w:val="008E59CE"/>
    <w:rsid w:val="008E5FDF"/>
    <w:rsid w:val="008E6F20"/>
    <w:rsid w:val="008E7225"/>
    <w:rsid w:val="008F1F4D"/>
    <w:rsid w:val="008F3C87"/>
    <w:rsid w:val="008F45CF"/>
    <w:rsid w:val="008F4D1B"/>
    <w:rsid w:val="008F52F1"/>
    <w:rsid w:val="008F55F8"/>
    <w:rsid w:val="008F64A1"/>
    <w:rsid w:val="008F6CDA"/>
    <w:rsid w:val="008F6D8E"/>
    <w:rsid w:val="008F7B62"/>
    <w:rsid w:val="009006B4"/>
    <w:rsid w:val="00900FFE"/>
    <w:rsid w:val="009012CC"/>
    <w:rsid w:val="00901E20"/>
    <w:rsid w:val="0090232E"/>
    <w:rsid w:val="00902E0C"/>
    <w:rsid w:val="0090378F"/>
    <w:rsid w:val="0090395F"/>
    <w:rsid w:val="00904B02"/>
    <w:rsid w:val="00905695"/>
    <w:rsid w:val="009063CA"/>
    <w:rsid w:val="0090659F"/>
    <w:rsid w:val="00907092"/>
    <w:rsid w:val="00907F93"/>
    <w:rsid w:val="0091010C"/>
    <w:rsid w:val="0091069E"/>
    <w:rsid w:val="009120D6"/>
    <w:rsid w:val="009123D8"/>
    <w:rsid w:val="00913568"/>
    <w:rsid w:val="009145C5"/>
    <w:rsid w:val="009149AE"/>
    <w:rsid w:val="009155EB"/>
    <w:rsid w:val="00915D46"/>
    <w:rsid w:val="00916888"/>
    <w:rsid w:val="00920679"/>
    <w:rsid w:val="0092105C"/>
    <w:rsid w:val="009215E9"/>
    <w:rsid w:val="00923873"/>
    <w:rsid w:val="00923DB5"/>
    <w:rsid w:val="009241BD"/>
    <w:rsid w:val="009246A4"/>
    <w:rsid w:val="0092477C"/>
    <w:rsid w:val="0092481C"/>
    <w:rsid w:val="00924ED0"/>
    <w:rsid w:val="009268B2"/>
    <w:rsid w:val="00927577"/>
    <w:rsid w:val="00927BD9"/>
    <w:rsid w:val="00930319"/>
    <w:rsid w:val="009304B4"/>
    <w:rsid w:val="00930A7D"/>
    <w:rsid w:val="00931B15"/>
    <w:rsid w:val="009326A6"/>
    <w:rsid w:val="00932ACF"/>
    <w:rsid w:val="00932FD8"/>
    <w:rsid w:val="0093314F"/>
    <w:rsid w:val="00933358"/>
    <w:rsid w:val="0093363A"/>
    <w:rsid w:val="009343A6"/>
    <w:rsid w:val="009345C5"/>
    <w:rsid w:val="00935170"/>
    <w:rsid w:val="0093598C"/>
    <w:rsid w:val="00936D2A"/>
    <w:rsid w:val="00937E04"/>
    <w:rsid w:val="00937EE5"/>
    <w:rsid w:val="009417DC"/>
    <w:rsid w:val="00941EE6"/>
    <w:rsid w:val="0094210D"/>
    <w:rsid w:val="00942110"/>
    <w:rsid w:val="0094341B"/>
    <w:rsid w:val="0094345F"/>
    <w:rsid w:val="00943C8B"/>
    <w:rsid w:val="00944B86"/>
    <w:rsid w:val="00945001"/>
    <w:rsid w:val="0094557E"/>
    <w:rsid w:val="009455D1"/>
    <w:rsid w:val="0094561D"/>
    <w:rsid w:val="00945C29"/>
    <w:rsid w:val="0094631B"/>
    <w:rsid w:val="00946E31"/>
    <w:rsid w:val="00946F2E"/>
    <w:rsid w:val="0095014F"/>
    <w:rsid w:val="00950AFF"/>
    <w:rsid w:val="00950C84"/>
    <w:rsid w:val="00951218"/>
    <w:rsid w:val="009514EF"/>
    <w:rsid w:val="00951DD6"/>
    <w:rsid w:val="00951E4F"/>
    <w:rsid w:val="0095269D"/>
    <w:rsid w:val="009526DA"/>
    <w:rsid w:val="00952C3B"/>
    <w:rsid w:val="00952F76"/>
    <w:rsid w:val="00953470"/>
    <w:rsid w:val="00953557"/>
    <w:rsid w:val="00953B65"/>
    <w:rsid w:val="00953E10"/>
    <w:rsid w:val="009547B7"/>
    <w:rsid w:val="00954BBD"/>
    <w:rsid w:val="009560B2"/>
    <w:rsid w:val="00956BF2"/>
    <w:rsid w:val="00956E30"/>
    <w:rsid w:val="00957EF4"/>
    <w:rsid w:val="009600F9"/>
    <w:rsid w:val="00960463"/>
    <w:rsid w:val="00960487"/>
    <w:rsid w:val="009604B6"/>
    <w:rsid w:val="00960F26"/>
    <w:rsid w:val="00961EE8"/>
    <w:rsid w:val="009625E0"/>
    <w:rsid w:val="009625F0"/>
    <w:rsid w:val="00962ECB"/>
    <w:rsid w:val="00963400"/>
    <w:rsid w:val="00964006"/>
    <w:rsid w:val="0096403B"/>
    <w:rsid w:val="009642A1"/>
    <w:rsid w:val="00964F31"/>
    <w:rsid w:val="009673CA"/>
    <w:rsid w:val="009702A4"/>
    <w:rsid w:val="00970631"/>
    <w:rsid w:val="00970B3E"/>
    <w:rsid w:val="009719B8"/>
    <w:rsid w:val="00971B54"/>
    <w:rsid w:val="00971E0F"/>
    <w:rsid w:val="009748CF"/>
    <w:rsid w:val="00974D32"/>
    <w:rsid w:val="009750F9"/>
    <w:rsid w:val="00977956"/>
    <w:rsid w:val="00977A7F"/>
    <w:rsid w:val="00977AFC"/>
    <w:rsid w:val="00980201"/>
    <w:rsid w:val="009804F5"/>
    <w:rsid w:val="0098222E"/>
    <w:rsid w:val="00982589"/>
    <w:rsid w:val="0098437E"/>
    <w:rsid w:val="00984697"/>
    <w:rsid w:val="00984FE6"/>
    <w:rsid w:val="0098511C"/>
    <w:rsid w:val="0098513A"/>
    <w:rsid w:val="0098629D"/>
    <w:rsid w:val="00987A24"/>
    <w:rsid w:val="00987D35"/>
    <w:rsid w:val="00987F32"/>
    <w:rsid w:val="00990C37"/>
    <w:rsid w:val="009913D2"/>
    <w:rsid w:val="00991408"/>
    <w:rsid w:val="0099267D"/>
    <w:rsid w:val="009928C6"/>
    <w:rsid w:val="00992F8C"/>
    <w:rsid w:val="00993089"/>
    <w:rsid w:val="00993A95"/>
    <w:rsid w:val="00993F62"/>
    <w:rsid w:val="00994149"/>
    <w:rsid w:val="009945BD"/>
    <w:rsid w:val="00994FB8"/>
    <w:rsid w:val="0099514E"/>
    <w:rsid w:val="00996017"/>
    <w:rsid w:val="00996A4A"/>
    <w:rsid w:val="00997026"/>
    <w:rsid w:val="00997029"/>
    <w:rsid w:val="009971EC"/>
    <w:rsid w:val="009A02CB"/>
    <w:rsid w:val="009A04DD"/>
    <w:rsid w:val="009A1D92"/>
    <w:rsid w:val="009A248C"/>
    <w:rsid w:val="009A38D5"/>
    <w:rsid w:val="009A52FA"/>
    <w:rsid w:val="009A553C"/>
    <w:rsid w:val="009A6024"/>
    <w:rsid w:val="009A6517"/>
    <w:rsid w:val="009A674E"/>
    <w:rsid w:val="009A7DCC"/>
    <w:rsid w:val="009B01EE"/>
    <w:rsid w:val="009B04B4"/>
    <w:rsid w:val="009B0777"/>
    <w:rsid w:val="009B1C74"/>
    <w:rsid w:val="009B25BB"/>
    <w:rsid w:val="009B25BC"/>
    <w:rsid w:val="009B2CFA"/>
    <w:rsid w:val="009B3009"/>
    <w:rsid w:val="009B3A1A"/>
    <w:rsid w:val="009B5478"/>
    <w:rsid w:val="009B6319"/>
    <w:rsid w:val="009B7449"/>
    <w:rsid w:val="009B7D65"/>
    <w:rsid w:val="009C0CEB"/>
    <w:rsid w:val="009C1A57"/>
    <w:rsid w:val="009C2E9C"/>
    <w:rsid w:val="009C37E9"/>
    <w:rsid w:val="009C3A40"/>
    <w:rsid w:val="009C3E71"/>
    <w:rsid w:val="009C3EAE"/>
    <w:rsid w:val="009C4905"/>
    <w:rsid w:val="009C4F2E"/>
    <w:rsid w:val="009C57B9"/>
    <w:rsid w:val="009C57BE"/>
    <w:rsid w:val="009C5924"/>
    <w:rsid w:val="009C67C9"/>
    <w:rsid w:val="009C6F64"/>
    <w:rsid w:val="009C7522"/>
    <w:rsid w:val="009D0C11"/>
    <w:rsid w:val="009D17D4"/>
    <w:rsid w:val="009D1B35"/>
    <w:rsid w:val="009D1E34"/>
    <w:rsid w:val="009D2E50"/>
    <w:rsid w:val="009D44CF"/>
    <w:rsid w:val="009D4EDB"/>
    <w:rsid w:val="009D55F1"/>
    <w:rsid w:val="009D6A20"/>
    <w:rsid w:val="009D6F4E"/>
    <w:rsid w:val="009D7662"/>
    <w:rsid w:val="009E04C0"/>
    <w:rsid w:val="009E1644"/>
    <w:rsid w:val="009E17D5"/>
    <w:rsid w:val="009E4BA8"/>
    <w:rsid w:val="009E4C85"/>
    <w:rsid w:val="009E4D0B"/>
    <w:rsid w:val="009E61F6"/>
    <w:rsid w:val="009E6E81"/>
    <w:rsid w:val="009E72AE"/>
    <w:rsid w:val="009E766A"/>
    <w:rsid w:val="009F10C4"/>
    <w:rsid w:val="009F1D65"/>
    <w:rsid w:val="009F29DE"/>
    <w:rsid w:val="009F31B5"/>
    <w:rsid w:val="009F4178"/>
    <w:rsid w:val="009F4D67"/>
    <w:rsid w:val="009F51C4"/>
    <w:rsid w:val="009F51F4"/>
    <w:rsid w:val="00A00154"/>
    <w:rsid w:val="00A014C4"/>
    <w:rsid w:val="00A02723"/>
    <w:rsid w:val="00A02986"/>
    <w:rsid w:val="00A02A16"/>
    <w:rsid w:val="00A0310F"/>
    <w:rsid w:val="00A04230"/>
    <w:rsid w:val="00A043C9"/>
    <w:rsid w:val="00A04475"/>
    <w:rsid w:val="00A048B1"/>
    <w:rsid w:val="00A0552D"/>
    <w:rsid w:val="00A05788"/>
    <w:rsid w:val="00A06EE9"/>
    <w:rsid w:val="00A0751B"/>
    <w:rsid w:val="00A1035B"/>
    <w:rsid w:val="00A11F5D"/>
    <w:rsid w:val="00A12A0A"/>
    <w:rsid w:val="00A149E1"/>
    <w:rsid w:val="00A14A7C"/>
    <w:rsid w:val="00A1555A"/>
    <w:rsid w:val="00A17F24"/>
    <w:rsid w:val="00A17F33"/>
    <w:rsid w:val="00A2175F"/>
    <w:rsid w:val="00A22241"/>
    <w:rsid w:val="00A22392"/>
    <w:rsid w:val="00A22A7C"/>
    <w:rsid w:val="00A23B29"/>
    <w:rsid w:val="00A23B2C"/>
    <w:rsid w:val="00A23BC6"/>
    <w:rsid w:val="00A246C8"/>
    <w:rsid w:val="00A25ABD"/>
    <w:rsid w:val="00A26245"/>
    <w:rsid w:val="00A267BA"/>
    <w:rsid w:val="00A268AC"/>
    <w:rsid w:val="00A2743A"/>
    <w:rsid w:val="00A27919"/>
    <w:rsid w:val="00A27A02"/>
    <w:rsid w:val="00A27E32"/>
    <w:rsid w:val="00A30077"/>
    <w:rsid w:val="00A308E1"/>
    <w:rsid w:val="00A325B6"/>
    <w:rsid w:val="00A32B06"/>
    <w:rsid w:val="00A330A2"/>
    <w:rsid w:val="00A331C6"/>
    <w:rsid w:val="00A3322A"/>
    <w:rsid w:val="00A33645"/>
    <w:rsid w:val="00A33741"/>
    <w:rsid w:val="00A33AC2"/>
    <w:rsid w:val="00A33B48"/>
    <w:rsid w:val="00A3615A"/>
    <w:rsid w:val="00A36880"/>
    <w:rsid w:val="00A36BDE"/>
    <w:rsid w:val="00A405F7"/>
    <w:rsid w:val="00A41767"/>
    <w:rsid w:val="00A41BA1"/>
    <w:rsid w:val="00A42439"/>
    <w:rsid w:val="00A4340B"/>
    <w:rsid w:val="00A434B2"/>
    <w:rsid w:val="00A43D96"/>
    <w:rsid w:val="00A44BF3"/>
    <w:rsid w:val="00A44F01"/>
    <w:rsid w:val="00A45441"/>
    <w:rsid w:val="00A4561D"/>
    <w:rsid w:val="00A47220"/>
    <w:rsid w:val="00A47A3D"/>
    <w:rsid w:val="00A47F41"/>
    <w:rsid w:val="00A47FE5"/>
    <w:rsid w:val="00A5050C"/>
    <w:rsid w:val="00A52025"/>
    <w:rsid w:val="00A521B7"/>
    <w:rsid w:val="00A524BA"/>
    <w:rsid w:val="00A52AFA"/>
    <w:rsid w:val="00A53A99"/>
    <w:rsid w:val="00A5424F"/>
    <w:rsid w:val="00A55459"/>
    <w:rsid w:val="00A571C1"/>
    <w:rsid w:val="00A6094B"/>
    <w:rsid w:val="00A64C46"/>
    <w:rsid w:val="00A657A6"/>
    <w:rsid w:val="00A657FC"/>
    <w:rsid w:val="00A65D37"/>
    <w:rsid w:val="00A664B7"/>
    <w:rsid w:val="00A70B6A"/>
    <w:rsid w:val="00A70F30"/>
    <w:rsid w:val="00A724FE"/>
    <w:rsid w:val="00A729BD"/>
    <w:rsid w:val="00A7545C"/>
    <w:rsid w:val="00A76F83"/>
    <w:rsid w:val="00A8063A"/>
    <w:rsid w:val="00A8086F"/>
    <w:rsid w:val="00A80E8C"/>
    <w:rsid w:val="00A819BF"/>
    <w:rsid w:val="00A825F9"/>
    <w:rsid w:val="00A828B9"/>
    <w:rsid w:val="00A84103"/>
    <w:rsid w:val="00A84444"/>
    <w:rsid w:val="00A851BF"/>
    <w:rsid w:val="00A85845"/>
    <w:rsid w:val="00A85971"/>
    <w:rsid w:val="00A8626E"/>
    <w:rsid w:val="00A86A73"/>
    <w:rsid w:val="00A87063"/>
    <w:rsid w:val="00A87A9A"/>
    <w:rsid w:val="00A9092F"/>
    <w:rsid w:val="00A90C4C"/>
    <w:rsid w:val="00A90E19"/>
    <w:rsid w:val="00A914F5"/>
    <w:rsid w:val="00A95A55"/>
    <w:rsid w:val="00A96013"/>
    <w:rsid w:val="00A96082"/>
    <w:rsid w:val="00A9673C"/>
    <w:rsid w:val="00A971C2"/>
    <w:rsid w:val="00A9748E"/>
    <w:rsid w:val="00A97833"/>
    <w:rsid w:val="00AA0744"/>
    <w:rsid w:val="00AA094A"/>
    <w:rsid w:val="00AA2282"/>
    <w:rsid w:val="00AA2920"/>
    <w:rsid w:val="00AA3060"/>
    <w:rsid w:val="00AA5439"/>
    <w:rsid w:val="00AA677F"/>
    <w:rsid w:val="00AA714D"/>
    <w:rsid w:val="00AA71F1"/>
    <w:rsid w:val="00AA782C"/>
    <w:rsid w:val="00AA7F99"/>
    <w:rsid w:val="00AB0499"/>
    <w:rsid w:val="00AB0D2D"/>
    <w:rsid w:val="00AB1726"/>
    <w:rsid w:val="00AB1EE3"/>
    <w:rsid w:val="00AB22E4"/>
    <w:rsid w:val="00AB245D"/>
    <w:rsid w:val="00AB5E41"/>
    <w:rsid w:val="00AB5E51"/>
    <w:rsid w:val="00AB5FC2"/>
    <w:rsid w:val="00AB63A7"/>
    <w:rsid w:val="00AB63E5"/>
    <w:rsid w:val="00AB67C6"/>
    <w:rsid w:val="00AB6EBC"/>
    <w:rsid w:val="00AB7A82"/>
    <w:rsid w:val="00AB7D28"/>
    <w:rsid w:val="00AC0F0A"/>
    <w:rsid w:val="00AC0FA0"/>
    <w:rsid w:val="00AC1156"/>
    <w:rsid w:val="00AC217A"/>
    <w:rsid w:val="00AC285B"/>
    <w:rsid w:val="00AC29EC"/>
    <w:rsid w:val="00AC2FED"/>
    <w:rsid w:val="00AC3E3E"/>
    <w:rsid w:val="00AC4757"/>
    <w:rsid w:val="00AC49B0"/>
    <w:rsid w:val="00AC4DC2"/>
    <w:rsid w:val="00AC54E0"/>
    <w:rsid w:val="00AC69E3"/>
    <w:rsid w:val="00AC6DF4"/>
    <w:rsid w:val="00AC71D7"/>
    <w:rsid w:val="00AC72C7"/>
    <w:rsid w:val="00AD0B61"/>
    <w:rsid w:val="00AD10B8"/>
    <w:rsid w:val="00AD2D72"/>
    <w:rsid w:val="00AD2E9E"/>
    <w:rsid w:val="00AD30A3"/>
    <w:rsid w:val="00AD3138"/>
    <w:rsid w:val="00AD31B7"/>
    <w:rsid w:val="00AD37E1"/>
    <w:rsid w:val="00AD49F7"/>
    <w:rsid w:val="00AD4C61"/>
    <w:rsid w:val="00AD51E3"/>
    <w:rsid w:val="00AD5389"/>
    <w:rsid w:val="00AD55D3"/>
    <w:rsid w:val="00AD5629"/>
    <w:rsid w:val="00AD5CFB"/>
    <w:rsid w:val="00AD6141"/>
    <w:rsid w:val="00AD65C8"/>
    <w:rsid w:val="00AD68DA"/>
    <w:rsid w:val="00AD6FDB"/>
    <w:rsid w:val="00AD798C"/>
    <w:rsid w:val="00AE04B5"/>
    <w:rsid w:val="00AE1FE3"/>
    <w:rsid w:val="00AE2D27"/>
    <w:rsid w:val="00AE2E4B"/>
    <w:rsid w:val="00AE30C6"/>
    <w:rsid w:val="00AE30EF"/>
    <w:rsid w:val="00AE3F69"/>
    <w:rsid w:val="00AE3FB5"/>
    <w:rsid w:val="00AE4982"/>
    <w:rsid w:val="00AE5348"/>
    <w:rsid w:val="00AE5B96"/>
    <w:rsid w:val="00AE6773"/>
    <w:rsid w:val="00AE6F4A"/>
    <w:rsid w:val="00AE767C"/>
    <w:rsid w:val="00AE76CD"/>
    <w:rsid w:val="00AE78DF"/>
    <w:rsid w:val="00AF16C6"/>
    <w:rsid w:val="00AF2E59"/>
    <w:rsid w:val="00AF2EDA"/>
    <w:rsid w:val="00AF333C"/>
    <w:rsid w:val="00AF34EF"/>
    <w:rsid w:val="00AF46DB"/>
    <w:rsid w:val="00AF5728"/>
    <w:rsid w:val="00AF6084"/>
    <w:rsid w:val="00AF60D2"/>
    <w:rsid w:val="00AF6A7C"/>
    <w:rsid w:val="00AF6BB0"/>
    <w:rsid w:val="00AF6C44"/>
    <w:rsid w:val="00AF7284"/>
    <w:rsid w:val="00B002CB"/>
    <w:rsid w:val="00B00384"/>
    <w:rsid w:val="00B00FCC"/>
    <w:rsid w:val="00B038D5"/>
    <w:rsid w:val="00B03E41"/>
    <w:rsid w:val="00B03F4F"/>
    <w:rsid w:val="00B04A4D"/>
    <w:rsid w:val="00B051A6"/>
    <w:rsid w:val="00B062B9"/>
    <w:rsid w:val="00B0678C"/>
    <w:rsid w:val="00B06D90"/>
    <w:rsid w:val="00B06EE7"/>
    <w:rsid w:val="00B07103"/>
    <w:rsid w:val="00B0759A"/>
    <w:rsid w:val="00B109E2"/>
    <w:rsid w:val="00B11C30"/>
    <w:rsid w:val="00B134C8"/>
    <w:rsid w:val="00B14246"/>
    <w:rsid w:val="00B15815"/>
    <w:rsid w:val="00B15A44"/>
    <w:rsid w:val="00B168CB"/>
    <w:rsid w:val="00B1774D"/>
    <w:rsid w:val="00B17E88"/>
    <w:rsid w:val="00B2010C"/>
    <w:rsid w:val="00B20336"/>
    <w:rsid w:val="00B203F9"/>
    <w:rsid w:val="00B2473C"/>
    <w:rsid w:val="00B24C16"/>
    <w:rsid w:val="00B24ED7"/>
    <w:rsid w:val="00B25FAF"/>
    <w:rsid w:val="00B26C0C"/>
    <w:rsid w:val="00B271BB"/>
    <w:rsid w:val="00B273F8"/>
    <w:rsid w:val="00B276CD"/>
    <w:rsid w:val="00B27A27"/>
    <w:rsid w:val="00B30E41"/>
    <w:rsid w:val="00B316D3"/>
    <w:rsid w:val="00B3243C"/>
    <w:rsid w:val="00B33EAA"/>
    <w:rsid w:val="00B342B1"/>
    <w:rsid w:val="00B344E0"/>
    <w:rsid w:val="00B35573"/>
    <w:rsid w:val="00B35B80"/>
    <w:rsid w:val="00B35C30"/>
    <w:rsid w:val="00B36515"/>
    <w:rsid w:val="00B3697F"/>
    <w:rsid w:val="00B37C87"/>
    <w:rsid w:val="00B37DDA"/>
    <w:rsid w:val="00B37E15"/>
    <w:rsid w:val="00B414DF"/>
    <w:rsid w:val="00B4179E"/>
    <w:rsid w:val="00B42A61"/>
    <w:rsid w:val="00B44649"/>
    <w:rsid w:val="00B4511D"/>
    <w:rsid w:val="00B453FC"/>
    <w:rsid w:val="00B45757"/>
    <w:rsid w:val="00B45A7A"/>
    <w:rsid w:val="00B462F6"/>
    <w:rsid w:val="00B50F19"/>
    <w:rsid w:val="00B52190"/>
    <w:rsid w:val="00B52AD1"/>
    <w:rsid w:val="00B53F83"/>
    <w:rsid w:val="00B540FA"/>
    <w:rsid w:val="00B544A5"/>
    <w:rsid w:val="00B5489B"/>
    <w:rsid w:val="00B54B70"/>
    <w:rsid w:val="00B54D8E"/>
    <w:rsid w:val="00B54E4E"/>
    <w:rsid w:val="00B55217"/>
    <w:rsid w:val="00B55BEA"/>
    <w:rsid w:val="00B5741F"/>
    <w:rsid w:val="00B5760E"/>
    <w:rsid w:val="00B60A27"/>
    <w:rsid w:val="00B6164C"/>
    <w:rsid w:val="00B61C77"/>
    <w:rsid w:val="00B62ED2"/>
    <w:rsid w:val="00B63DA0"/>
    <w:rsid w:val="00B71F03"/>
    <w:rsid w:val="00B72D74"/>
    <w:rsid w:val="00B72F80"/>
    <w:rsid w:val="00B742E3"/>
    <w:rsid w:val="00B7445F"/>
    <w:rsid w:val="00B74EE6"/>
    <w:rsid w:val="00B75164"/>
    <w:rsid w:val="00B756B7"/>
    <w:rsid w:val="00B757B1"/>
    <w:rsid w:val="00B75873"/>
    <w:rsid w:val="00B7593D"/>
    <w:rsid w:val="00B75BBE"/>
    <w:rsid w:val="00B77425"/>
    <w:rsid w:val="00B77CEE"/>
    <w:rsid w:val="00B81FE0"/>
    <w:rsid w:val="00B825A8"/>
    <w:rsid w:val="00B836D4"/>
    <w:rsid w:val="00B8395D"/>
    <w:rsid w:val="00B85BCC"/>
    <w:rsid w:val="00B86336"/>
    <w:rsid w:val="00B90C9D"/>
    <w:rsid w:val="00B91240"/>
    <w:rsid w:val="00B91499"/>
    <w:rsid w:val="00B915AF"/>
    <w:rsid w:val="00B91AED"/>
    <w:rsid w:val="00B9249C"/>
    <w:rsid w:val="00B9283C"/>
    <w:rsid w:val="00B93D4C"/>
    <w:rsid w:val="00B95A3A"/>
    <w:rsid w:val="00B95DAA"/>
    <w:rsid w:val="00B96A23"/>
    <w:rsid w:val="00B9706F"/>
    <w:rsid w:val="00B970A3"/>
    <w:rsid w:val="00BA00EC"/>
    <w:rsid w:val="00BA01D0"/>
    <w:rsid w:val="00BA03C7"/>
    <w:rsid w:val="00BA151B"/>
    <w:rsid w:val="00BA2979"/>
    <w:rsid w:val="00BA3409"/>
    <w:rsid w:val="00BA3A07"/>
    <w:rsid w:val="00BA3BBD"/>
    <w:rsid w:val="00BA4DD3"/>
    <w:rsid w:val="00BA584B"/>
    <w:rsid w:val="00BA59B0"/>
    <w:rsid w:val="00BA5DE9"/>
    <w:rsid w:val="00BA5FD6"/>
    <w:rsid w:val="00BA6CE3"/>
    <w:rsid w:val="00BA7246"/>
    <w:rsid w:val="00BA7734"/>
    <w:rsid w:val="00BA7DB8"/>
    <w:rsid w:val="00BB07D7"/>
    <w:rsid w:val="00BB207D"/>
    <w:rsid w:val="00BB20F1"/>
    <w:rsid w:val="00BB275C"/>
    <w:rsid w:val="00BB2A6E"/>
    <w:rsid w:val="00BB35FA"/>
    <w:rsid w:val="00BB3A32"/>
    <w:rsid w:val="00BB424E"/>
    <w:rsid w:val="00BB514A"/>
    <w:rsid w:val="00BB52EC"/>
    <w:rsid w:val="00BB53C4"/>
    <w:rsid w:val="00BB56A3"/>
    <w:rsid w:val="00BB5E04"/>
    <w:rsid w:val="00BB5E21"/>
    <w:rsid w:val="00BB6CE0"/>
    <w:rsid w:val="00BB7624"/>
    <w:rsid w:val="00BC017E"/>
    <w:rsid w:val="00BC1F7E"/>
    <w:rsid w:val="00BC22B8"/>
    <w:rsid w:val="00BC36E1"/>
    <w:rsid w:val="00BC480C"/>
    <w:rsid w:val="00BC4895"/>
    <w:rsid w:val="00BC4E72"/>
    <w:rsid w:val="00BC5F2E"/>
    <w:rsid w:val="00BD18C0"/>
    <w:rsid w:val="00BD1C80"/>
    <w:rsid w:val="00BD2028"/>
    <w:rsid w:val="00BD3992"/>
    <w:rsid w:val="00BD44ED"/>
    <w:rsid w:val="00BD48D3"/>
    <w:rsid w:val="00BD6D83"/>
    <w:rsid w:val="00BD7A85"/>
    <w:rsid w:val="00BE0920"/>
    <w:rsid w:val="00BE0995"/>
    <w:rsid w:val="00BE0CB8"/>
    <w:rsid w:val="00BE2420"/>
    <w:rsid w:val="00BE2B39"/>
    <w:rsid w:val="00BE42CB"/>
    <w:rsid w:val="00BE528C"/>
    <w:rsid w:val="00BE6340"/>
    <w:rsid w:val="00BE712B"/>
    <w:rsid w:val="00BF041B"/>
    <w:rsid w:val="00BF12B3"/>
    <w:rsid w:val="00BF1382"/>
    <w:rsid w:val="00BF14F3"/>
    <w:rsid w:val="00BF31F5"/>
    <w:rsid w:val="00BF53A2"/>
    <w:rsid w:val="00BF5D74"/>
    <w:rsid w:val="00BF5E88"/>
    <w:rsid w:val="00BF65BA"/>
    <w:rsid w:val="00BF65BF"/>
    <w:rsid w:val="00BF6A58"/>
    <w:rsid w:val="00BF6FDC"/>
    <w:rsid w:val="00C002FA"/>
    <w:rsid w:val="00C01F0B"/>
    <w:rsid w:val="00C02BC2"/>
    <w:rsid w:val="00C035B7"/>
    <w:rsid w:val="00C060D7"/>
    <w:rsid w:val="00C06B79"/>
    <w:rsid w:val="00C07360"/>
    <w:rsid w:val="00C10E51"/>
    <w:rsid w:val="00C113CC"/>
    <w:rsid w:val="00C14096"/>
    <w:rsid w:val="00C1419E"/>
    <w:rsid w:val="00C14C10"/>
    <w:rsid w:val="00C15161"/>
    <w:rsid w:val="00C15D9A"/>
    <w:rsid w:val="00C16975"/>
    <w:rsid w:val="00C169E9"/>
    <w:rsid w:val="00C17F90"/>
    <w:rsid w:val="00C210AC"/>
    <w:rsid w:val="00C21110"/>
    <w:rsid w:val="00C21438"/>
    <w:rsid w:val="00C223F3"/>
    <w:rsid w:val="00C22B90"/>
    <w:rsid w:val="00C22C23"/>
    <w:rsid w:val="00C2308E"/>
    <w:rsid w:val="00C23866"/>
    <w:rsid w:val="00C23D0D"/>
    <w:rsid w:val="00C26BD1"/>
    <w:rsid w:val="00C2732E"/>
    <w:rsid w:val="00C30561"/>
    <w:rsid w:val="00C319B4"/>
    <w:rsid w:val="00C32133"/>
    <w:rsid w:val="00C33129"/>
    <w:rsid w:val="00C33E3F"/>
    <w:rsid w:val="00C33F45"/>
    <w:rsid w:val="00C40E6F"/>
    <w:rsid w:val="00C41525"/>
    <w:rsid w:val="00C41540"/>
    <w:rsid w:val="00C4293F"/>
    <w:rsid w:val="00C42A4C"/>
    <w:rsid w:val="00C43848"/>
    <w:rsid w:val="00C44195"/>
    <w:rsid w:val="00C442E7"/>
    <w:rsid w:val="00C44EB0"/>
    <w:rsid w:val="00C45187"/>
    <w:rsid w:val="00C45244"/>
    <w:rsid w:val="00C461BE"/>
    <w:rsid w:val="00C466F1"/>
    <w:rsid w:val="00C46B18"/>
    <w:rsid w:val="00C47256"/>
    <w:rsid w:val="00C479A2"/>
    <w:rsid w:val="00C502CC"/>
    <w:rsid w:val="00C50B51"/>
    <w:rsid w:val="00C533A7"/>
    <w:rsid w:val="00C537A5"/>
    <w:rsid w:val="00C53903"/>
    <w:rsid w:val="00C54630"/>
    <w:rsid w:val="00C547C9"/>
    <w:rsid w:val="00C55AAA"/>
    <w:rsid w:val="00C55BFE"/>
    <w:rsid w:val="00C55D63"/>
    <w:rsid w:val="00C56019"/>
    <w:rsid w:val="00C5664E"/>
    <w:rsid w:val="00C57E84"/>
    <w:rsid w:val="00C601D0"/>
    <w:rsid w:val="00C6086C"/>
    <w:rsid w:val="00C608A2"/>
    <w:rsid w:val="00C60C56"/>
    <w:rsid w:val="00C6120B"/>
    <w:rsid w:val="00C61411"/>
    <w:rsid w:val="00C61B04"/>
    <w:rsid w:val="00C6222D"/>
    <w:rsid w:val="00C6276C"/>
    <w:rsid w:val="00C64CC1"/>
    <w:rsid w:val="00C64E51"/>
    <w:rsid w:val="00C65968"/>
    <w:rsid w:val="00C66183"/>
    <w:rsid w:val="00C673BB"/>
    <w:rsid w:val="00C719C0"/>
    <w:rsid w:val="00C71C0D"/>
    <w:rsid w:val="00C72485"/>
    <w:rsid w:val="00C73CB8"/>
    <w:rsid w:val="00C750C6"/>
    <w:rsid w:val="00C75ABC"/>
    <w:rsid w:val="00C75E9B"/>
    <w:rsid w:val="00C77F55"/>
    <w:rsid w:val="00C77F71"/>
    <w:rsid w:val="00C80840"/>
    <w:rsid w:val="00C8140B"/>
    <w:rsid w:val="00C8172F"/>
    <w:rsid w:val="00C8222A"/>
    <w:rsid w:val="00C827BB"/>
    <w:rsid w:val="00C83730"/>
    <w:rsid w:val="00C84436"/>
    <w:rsid w:val="00C850A4"/>
    <w:rsid w:val="00C851EA"/>
    <w:rsid w:val="00C870E2"/>
    <w:rsid w:val="00C8769D"/>
    <w:rsid w:val="00C87882"/>
    <w:rsid w:val="00C90489"/>
    <w:rsid w:val="00C9067B"/>
    <w:rsid w:val="00C91DEA"/>
    <w:rsid w:val="00C91EBD"/>
    <w:rsid w:val="00C93398"/>
    <w:rsid w:val="00C937BB"/>
    <w:rsid w:val="00C9389A"/>
    <w:rsid w:val="00C940A5"/>
    <w:rsid w:val="00C94AB7"/>
    <w:rsid w:val="00C95015"/>
    <w:rsid w:val="00C9534E"/>
    <w:rsid w:val="00C957DA"/>
    <w:rsid w:val="00C9603A"/>
    <w:rsid w:val="00C964C6"/>
    <w:rsid w:val="00C96C33"/>
    <w:rsid w:val="00C97960"/>
    <w:rsid w:val="00CA1753"/>
    <w:rsid w:val="00CA2FDF"/>
    <w:rsid w:val="00CA352B"/>
    <w:rsid w:val="00CA42C8"/>
    <w:rsid w:val="00CA4E2D"/>
    <w:rsid w:val="00CA58B3"/>
    <w:rsid w:val="00CA617E"/>
    <w:rsid w:val="00CA649E"/>
    <w:rsid w:val="00CA6579"/>
    <w:rsid w:val="00CB01FE"/>
    <w:rsid w:val="00CB2B28"/>
    <w:rsid w:val="00CB2F32"/>
    <w:rsid w:val="00CB40D9"/>
    <w:rsid w:val="00CB40F6"/>
    <w:rsid w:val="00CB47AB"/>
    <w:rsid w:val="00CB4C3C"/>
    <w:rsid w:val="00CB51B3"/>
    <w:rsid w:val="00CB621A"/>
    <w:rsid w:val="00CB62F4"/>
    <w:rsid w:val="00CB63A6"/>
    <w:rsid w:val="00CB6822"/>
    <w:rsid w:val="00CB6D42"/>
    <w:rsid w:val="00CC0328"/>
    <w:rsid w:val="00CC1BD6"/>
    <w:rsid w:val="00CC2B4C"/>
    <w:rsid w:val="00CC4C26"/>
    <w:rsid w:val="00CC6004"/>
    <w:rsid w:val="00CD0015"/>
    <w:rsid w:val="00CD0044"/>
    <w:rsid w:val="00CD0297"/>
    <w:rsid w:val="00CD0A71"/>
    <w:rsid w:val="00CD0B9D"/>
    <w:rsid w:val="00CD29DA"/>
    <w:rsid w:val="00CD319F"/>
    <w:rsid w:val="00CD3805"/>
    <w:rsid w:val="00CD3EAD"/>
    <w:rsid w:val="00CD427F"/>
    <w:rsid w:val="00CD470A"/>
    <w:rsid w:val="00CD4751"/>
    <w:rsid w:val="00CD52CF"/>
    <w:rsid w:val="00CD6D57"/>
    <w:rsid w:val="00CD7472"/>
    <w:rsid w:val="00CD7820"/>
    <w:rsid w:val="00CD7C1A"/>
    <w:rsid w:val="00CE0046"/>
    <w:rsid w:val="00CE1C18"/>
    <w:rsid w:val="00CE2450"/>
    <w:rsid w:val="00CE297A"/>
    <w:rsid w:val="00CE3702"/>
    <w:rsid w:val="00CE489F"/>
    <w:rsid w:val="00CE4ACA"/>
    <w:rsid w:val="00CE4B25"/>
    <w:rsid w:val="00CE5359"/>
    <w:rsid w:val="00CE60BB"/>
    <w:rsid w:val="00CE61E7"/>
    <w:rsid w:val="00CE70E5"/>
    <w:rsid w:val="00CE7F3A"/>
    <w:rsid w:val="00CF1528"/>
    <w:rsid w:val="00CF2A10"/>
    <w:rsid w:val="00CF30A7"/>
    <w:rsid w:val="00CF38D5"/>
    <w:rsid w:val="00CF3A0F"/>
    <w:rsid w:val="00CF4D15"/>
    <w:rsid w:val="00CF548A"/>
    <w:rsid w:val="00CF5DE0"/>
    <w:rsid w:val="00CF5F43"/>
    <w:rsid w:val="00CF67B6"/>
    <w:rsid w:val="00CF7967"/>
    <w:rsid w:val="00CF7D0E"/>
    <w:rsid w:val="00D00F56"/>
    <w:rsid w:val="00D018F5"/>
    <w:rsid w:val="00D02C2E"/>
    <w:rsid w:val="00D04286"/>
    <w:rsid w:val="00D04303"/>
    <w:rsid w:val="00D052C6"/>
    <w:rsid w:val="00D066D6"/>
    <w:rsid w:val="00D06781"/>
    <w:rsid w:val="00D06B98"/>
    <w:rsid w:val="00D1140C"/>
    <w:rsid w:val="00D12A4F"/>
    <w:rsid w:val="00D1382D"/>
    <w:rsid w:val="00D1396D"/>
    <w:rsid w:val="00D13BF9"/>
    <w:rsid w:val="00D13CA4"/>
    <w:rsid w:val="00D142B1"/>
    <w:rsid w:val="00D15289"/>
    <w:rsid w:val="00D15315"/>
    <w:rsid w:val="00D16240"/>
    <w:rsid w:val="00D163D7"/>
    <w:rsid w:val="00D1656D"/>
    <w:rsid w:val="00D1685E"/>
    <w:rsid w:val="00D16C4B"/>
    <w:rsid w:val="00D2184D"/>
    <w:rsid w:val="00D21937"/>
    <w:rsid w:val="00D236CB"/>
    <w:rsid w:val="00D24830"/>
    <w:rsid w:val="00D24E75"/>
    <w:rsid w:val="00D26C98"/>
    <w:rsid w:val="00D26CCD"/>
    <w:rsid w:val="00D27078"/>
    <w:rsid w:val="00D270F4"/>
    <w:rsid w:val="00D2742C"/>
    <w:rsid w:val="00D2748E"/>
    <w:rsid w:val="00D31660"/>
    <w:rsid w:val="00D31AEC"/>
    <w:rsid w:val="00D328B4"/>
    <w:rsid w:val="00D34222"/>
    <w:rsid w:val="00D35063"/>
    <w:rsid w:val="00D354AA"/>
    <w:rsid w:val="00D367FD"/>
    <w:rsid w:val="00D3738B"/>
    <w:rsid w:val="00D37558"/>
    <w:rsid w:val="00D44191"/>
    <w:rsid w:val="00D45460"/>
    <w:rsid w:val="00D45489"/>
    <w:rsid w:val="00D45D3F"/>
    <w:rsid w:val="00D45E6F"/>
    <w:rsid w:val="00D46C76"/>
    <w:rsid w:val="00D46F0D"/>
    <w:rsid w:val="00D46F29"/>
    <w:rsid w:val="00D47334"/>
    <w:rsid w:val="00D476F3"/>
    <w:rsid w:val="00D47721"/>
    <w:rsid w:val="00D47C6E"/>
    <w:rsid w:val="00D50407"/>
    <w:rsid w:val="00D50976"/>
    <w:rsid w:val="00D51559"/>
    <w:rsid w:val="00D53487"/>
    <w:rsid w:val="00D540DD"/>
    <w:rsid w:val="00D5557E"/>
    <w:rsid w:val="00D5569F"/>
    <w:rsid w:val="00D561AC"/>
    <w:rsid w:val="00D57066"/>
    <w:rsid w:val="00D6028B"/>
    <w:rsid w:val="00D6060F"/>
    <w:rsid w:val="00D6105D"/>
    <w:rsid w:val="00D61069"/>
    <w:rsid w:val="00D6239E"/>
    <w:rsid w:val="00D6272B"/>
    <w:rsid w:val="00D633AB"/>
    <w:rsid w:val="00D64570"/>
    <w:rsid w:val="00D65DE7"/>
    <w:rsid w:val="00D664C4"/>
    <w:rsid w:val="00D67C8B"/>
    <w:rsid w:val="00D71C28"/>
    <w:rsid w:val="00D72741"/>
    <w:rsid w:val="00D728F7"/>
    <w:rsid w:val="00D7307F"/>
    <w:rsid w:val="00D76216"/>
    <w:rsid w:val="00D76AAA"/>
    <w:rsid w:val="00D80297"/>
    <w:rsid w:val="00D809C7"/>
    <w:rsid w:val="00D81987"/>
    <w:rsid w:val="00D81A31"/>
    <w:rsid w:val="00D81A54"/>
    <w:rsid w:val="00D82B0F"/>
    <w:rsid w:val="00D82D05"/>
    <w:rsid w:val="00D83991"/>
    <w:rsid w:val="00D84677"/>
    <w:rsid w:val="00D84EEA"/>
    <w:rsid w:val="00D85539"/>
    <w:rsid w:val="00D85740"/>
    <w:rsid w:val="00D85C11"/>
    <w:rsid w:val="00D86803"/>
    <w:rsid w:val="00D87A39"/>
    <w:rsid w:val="00D902E6"/>
    <w:rsid w:val="00D902EB"/>
    <w:rsid w:val="00D9056C"/>
    <w:rsid w:val="00D9101C"/>
    <w:rsid w:val="00D91FD8"/>
    <w:rsid w:val="00D92B47"/>
    <w:rsid w:val="00D92BC2"/>
    <w:rsid w:val="00D93796"/>
    <w:rsid w:val="00D950EA"/>
    <w:rsid w:val="00D9671F"/>
    <w:rsid w:val="00DA13FD"/>
    <w:rsid w:val="00DA1DFB"/>
    <w:rsid w:val="00DA1E49"/>
    <w:rsid w:val="00DA3331"/>
    <w:rsid w:val="00DA42A3"/>
    <w:rsid w:val="00DA4C43"/>
    <w:rsid w:val="00DA5863"/>
    <w:rsid w:val="00DA58C6"/>
    <w:rsid w:val="00DA69FD"/>
    <w:rsid w:val="00DB03D6"/>
    <w:rsid w:val="00DB0545"/>
    <w:rsid w:val="00DB0E87"/>
    <w:rsid w:val="00DB14A6"/>
    <w:rsid w:val="00DB1A4A"/>
    <w:rsid w:val="00DB2266"/>
    <w:rsid w:val="00DB2382"/>
    <w:rsid w:val="00DB2E05"/>
    <w:rsid w:val="00DB3E87"/>
    <w:rsid w:val="00DB420C"/>
    <w:rsid w:val="00DB4A5C"/>
    <w:rsid w:val="00DB4A95"/>
    <w:rsid w:val="00DB513A"/>
    <w:rsid w:val="00DB5645"/>
    <w:rsid w:val="00DB6C35"/>
    <w:rsid w:val="00DB6CA5"/>
    <w:rsid w:val="00DC122C"/>
    <w:rsid w:val="00DC1321"/>
    <w:rsid w:val="00DC1642"/>
    <w:rsid w:val="00DC26FB"/>
    <w:rsid w:val="00DC4A3F"/>
    <w:rsid w:val="00DC512E"/>
    <w:rsid w:val="00DC5649"/>
    <w:rsid w:val="00DC636C"/>
    <w:rsid w:val="00DD0121"/>
    <w:rsid w:val="00DD017A"/>
    <w:rsid w:val="00DD0CF8"/>
    <w:rsid w:val="00DD10B1"/>
    <w:rsid w:val="00DD18E3"/>
    <w:rsid w:val="00DD3393"/>
    <w:rsid w:val="00DD39F1"/>
    <w:rsid w:val="00DD3CF6"/>
    <w:rsid w:val="00DD44C4"/>
    <w:rsid w:val="00DD5A56"/>
    <w:rsid w:val="00DD5C69"/>
    <w:rsid w:val="00DD6462"/>
    <w:rsid w:val="00DD64B9"/>
    <w:rsid w:val="00DE0240"/>
    <w:rsid w:val="00DE0412"/>
    <w:rsid w:val="00DE11A8"/>
    <w:rsid w:val="00DE2C1C"/>
    <w:rsid w:val="00DE2C57"/>
    <w:rsid w:val="00DE3313"/>
    <w:rsid w:val="00DE3695"/>
    <w:rsid w:val="00DE38D7"/>
    <w:rsid w:val="00DE3A0A"/>
    <w:rsid w:val="00DE40AC"/>
    <w:rsid w:val="00DE450A"/>
    <w:rsid w:val="00DE4FDA"/>
    <w:rsid w:val="00DE504B"/>
    <w:rsid w:val="00DE584A"/>
    <w:rsid w:val="00DE71D2"/>
    <w:rsid w:val="00DE71EB"/>
    <w:rsid w:val="00DF05E4"/>
    <w:rsid w:val="00DF06D1"/>
    <w:rsid w:val="00DF1164"/>
    <w:rsid w:val="00DF145F"/>
    <w:rsid w:val="00DF2B50"/>
    <w:rsid w:val="00DF2C82"/>
    <w:rsid w:val="00DF3AC7"/>
    <w:rsid w:val="00DF3B79"/>
    <w:rsid w:val="00DF3F12"/>
    <w:rsid w:val="00DF4B6F"/>
    <w:rsid w:val="00DF52DE"/>
    <w:rsid w:val="00DF5A91"/>
    <w:rsid w:val="00DF5BC2"/>
    <w:rsid w:val="00DF611A"/>
    <w:rsid w:val="00DF632C"/>
    <w:rsid w:val="00DF6491"/>
    <w:rsid w:val="00DF65BA"/>
    <w:rsid w:val="00E030C3"/>
    <w:rsid w:val="00E055FB"/>
    <w:rsid w:val="00E05838"/>
    <w:rsid w:val="00E071F7"/>
    <w:rsid w:val="00E0727D"/>
    <w:rsid w:val="00E075C0"/>
    <w:rsid w:val="00E07A04"/>
    <w:rsid w:val="00E104AC"/>
    <w:rsid w:val="00E10963"/>
    <w:rsid w:val="00E11FAE"/>
    <w:rsid w:val="00E123F9"/>
    <w:rsid w:val="00E1319A"/>
    <w:rsid w:val="00E13B3E"/>
    <w:rsid w:val="00E13B49"/>
    <w:rsid w:val="00E14403"/>
    <w:rsid w:val="00E14C21"/>
    <w:rsid w:val="00E15CDF"/>
    <w:rsid w:val="00E1707E"/>
    <w:rsid w:val="00E2029F"/>
    <w:rsid w:val="00E20542"/>
    <w:rsid w:val="00E2265C"/>
    <w:rsid w:val="00E22CF8"/>
    <w:rsid w:val="00E242C6"/>
    <w:rsid w:val="00E24487"/>
    <w:rsid w:val="00E24853"/>
    <w:rsid w:val="00E250C0"/>
    <w:rsid w:val="00E251A9"/>
    <w:rsid w:val="00E25301"/>
    <w:rsid w:val="00E25B8C"/>
    <w:rsid w:val="00E26809"/>
    <w:rsid w:val="00E26F25"/>
    <w:rsid w:val="00E27041"/>
    <w:rsid w:val="00E27144"/>
    <w:rsid w:val="00E27BA7"/>
    <w:rsid w:val="00E27D62"/>
    <w:rsid w:val="00E27E6B"/>
    <w:rsid w:val="00E27F15"/>
    <w:rsid w:val="00E27FD0"/>
    <w:rsid w:val="00E30036"/>
    <w:rsid w:val="00E3067C"/>
    <w:rsid w:val="00E31B14"/>
    <w:rsid w:val="00E3205D"/>
    <w:rsid w:val="00E34037"/>
    <w:rsid w:val="00E34685"/>
    <w:rsid w:val="00E348D4"/>
    <w:rsid w:val="00E34CC5"/>
    <w:rsid w:val="00E35D50"/>
    <w:rsid w:val="00E37289"/>
    <w:rsid w:val="00E40261"/>
    <w:rsid w:val="00E404C5"/>
    <w:rsid w:val="00E40772"/>
    <w:rsid w:val="00E40FF3"/>
    <w:rsid w:val="00E415C9"/>
    <w:rsid w:val="00E418E4"/>
    <w:rsid w:val="00E41A36"/>
    <w:rsid w:val="00E429F4"/>
    <w:rsid w:val="00E44840"/>
    <w:rsid w:val="00E450BF"/>
    <w:rsid w:val="00E4520F"/>
    <w:rsid w:val="00E45C72"/>
    <w:rsid w:val="00E4685E"/>
    <w:rsid w:val="00E46C40"/>
    <w:rsid w:val="00E47746"/>
    <w:rsid w:val="00E47D2A"/>
    <w:rsid w:val="00E50994"/>
    <w:rsid w:val="00E51A55"/>
    <w:rsid w:val="00E51CA5"/>
    <w:rsid w:val="00E52F13"/>
    <w:rsid w:val="00E534CB"/>
    <w:rsid w:val="00E5369D"/>
    <w:rsid w:val="00E54DB7"/>
    <w:rsid w:val="00E55001"/>
    <w:rsid w:val="00E5520A"/>
    <w:rsid w:val="00E55B79"/>
    <w:rsid w:val="00E5634E"/>
    <w:rsid w:val="00E57400"/>
    <w:rsid w:val="00E5771A"/>
    <w:rsid w:val="00E579C8"/>
    <w:rsid w:val="00E602C7"/>
    <w:rsid w:val="00E6059F"/>
    <w:rsid w:val="00E6177D"/>
    <w:rsid w:val="00E61EE9"/>
    <w:rsid w:val="00E639BC"/>
    <w:rsid w:val="00E643CA"/>
    <w:rsid w:val="00E648A2"/>
    <w:rsid w:val="00E64BB4"/>
    <w:rsid w:val="00E65EE7"/>
    <w:rsid w:val="00E66821"/>
    <w:rsid w:val="00E66C27"/>
    <w:rsid w:val="00E67AF3"/>
    <w:rsid w:val="00E67CF9"/>
    <w:rsid w:val="00E70282"/>
    <w:rsid w:val="00E71045"/>
    <w:rsid w:val="00E7129B"/>
    <w:rsid w:val="00E715A6"/>
    <w:rsid w:val="00E71A1C"/>
    <w:rsid w:val="00E71F05"/>
    <w:rsid w:val="00E72329"/>
    <w:rsid w:val="00E72979"/>
    <w:rsid w:val="00E7302A"/>
    <w:rsid w:val="00E7486E"/>
    <w:rsid w:val="00E74A5D"/>
    <w:rsid w:val="00E75A11"/>
    <w:rsid w:val="00E75C67"/>
    <w:rsid w:val="00E76694"/>
    <w:rsid w:val="00E76C7E"/>
    <w:rsid w:val="00E76F07"/>
    <w:rsid w:val="00E80210"/>
    <w:rsid w:val="00E80E57"/>
    <w:rsid w:val="00E831A5"/>
    <w:rsid w:val="00E844F7"/>
    <w:rsid w:val="00E845A6"/>
    <w:rsid w:val="00E84D81"/>
    <w:rsid w:val="00E84E0A"/>
    <w:rsid w:val="00E85029"/>
    <w:rsid w:val="00E8518C"/>
    <w:rsid w:val="00E862AD"/>
    <w:rsid w:val="00E87452"/>
    <w:rsid w:val="00E876B5"/>
    <w:rsid w:val="00E9074B"/>
    <w:rsid w:val="00E90B50"/>
    <w:rsid w:val="00E91FCB"/>
    <w:rsid w:val="00E9375B"/>
    <w:rsid w:val="00E93AB5"/>
    <w:rsid w:val="00E93F56"/>
    <w:rsid w:val="00E94058"/>
    <w:rsid w:val="00E94698"/>
    <w:rsid w:val="00E950BF"/>
    <w:rsid w:val="00E95AD2"/>
    <w:rsid w:val="00E97DA0"/>
    <w:rsid w:val="00EA115F"/>
    <w:rsid w:val="00EA27CB"/>
    <w:rsid w:val="00EA3C95"/>
    <w:rsid w:val="00EA52E4"/>
    <w:rsid w:val="00EA5CA1"/>
    <w:rsid w:val="00EA5D1D"/>
    <w:rsid w:val="00EA662B"/>
    <w:rsid w:val="00EA7319"/>
    <w:rsid w:val="00EA76EE"/>
    <w:rsid w:val="00EB02BD"/>
    <w:rsid w:val="00EB2680"/>
    <w:rsid w:val="00EB45F2"/>
    <w:rsid w:val="00EB4CD6"/>
    <w:rsid w:val="00EB55D2"/>
    <w:rsid w:val="00EB5FE8"/>
    <w:rsid w:val="00EB6597"/>
    <w:rsid w:val="00EB67B3"/>
    <w:rsid w:val="00EC0B7D"/>
    <w:rsid w:val="00EC0D12"/>
    <w:rsid w:val="00EC269E"/>
    <w:rsid w:val="00EC29D9"/>
    <w:rsid w:val="00EC3D65"/>
    <w:rsid w:val="00EC424D"/>
    <w:rsid w:val="00EC5C56"/>
    <w:rsid w:val="00EC6820"/>
    <w:rsid w:val="00EC6AB9"/>
    <w:rsid w:val="00ED021E"/>
    <w:rsid w:val="00ED0D24"/>
    <w:rsid w:val="00ED204B"/>
    <w:rsid w:val="00ED4E8C"/>
    <w:rsid w:val="00ED679A"/>
    <w:rsid w:val="00EE1098"/>
    <w:rsid w:val="00EE1ABC"/>
    <w:rsid w:val="00EE2812"/>
    <w:rsid w:val="00EE2D0B"/>
    <w:rsid w:val="00EE3084"/>
    <w:rsid w:val="00EE3422"/>
    <w:rsid w:val="00EE3B0B"/>
    <w:rsid w:val="00EE4527"/>
    <w:rsid w:val="00EE49A3"/>
    <w:rsid w:val="00EE4F23"/>
    <w:rsid w:val="00EE528C"/>
    <w:rsid w:val="00EE553C"/>
    <w:rsid w:val="00EE63A5"/>
    <w:rsid w:val="00EE723E"/>
    <w:rsid w:val="00EE7FB6"/>
    <w:rsid w:val="00EF0B07"/>
    <w:rsid w:val="00EF1561"/>
    <w:rsid w:val="00EF1B7E"/>
    <w:rsid w:val="00EF2694"/>
    <w:rsid w:val="00EF338C"/>
    <w:rsid w:val="00EF36B5"/>
    <w:rsid w:val="00EF475A"/>
    <w:rsid w:val="00EF47E4"/>
    <w:rsid w:val="00EF4C8A"/>
    <w:rsid w:val="00EF4EFA"/>
    <w:rsid w:val="00EF693A"/>
    <w:rsid w:val="00EF6ACD"/>
    <w:rsid w:val="00EF6EB7"/>
    <w:rsid w:val="00EF75D2"/>
    <w:rsid w:val="00F00F40"/>
    <w:rsid w:val="00F02293"/>
    <w:rsid w:val="00F0236E"/>
    <w:rsid w:val="00F06B11"/>
    <w:rsid w:val="00F07319"/>
    <w:rsid w:val="00F07B0C"/>
    <w:rsid w:val="00F07B50"/>
    <w:rsid w:val="00F11365"/>
    <w:rsid w:val="00F11D41"/>
    <w:rsid w:val="00F11E73"/>
    <w:rsid w:val="00F140B4"/>
    <w:rsid w:val="00F158A3"/>
    <w:rsid w:val="00F15ECF"/>
    <w:rsid w:val="00F1612B"/>
    <w:rsid w:val="00F167BA"/>
    <w:rsid w:val="00F1753B"/>
    <w:rsid w:val="00F202CC"/>
    <w:rsid w:val="00F20475"/>
    <w:rsid w:val="00F204E2"/>
    <w:rsid w:val="00F219F4"/>
    <w:rsid w:val="00F21ED0"/>
    <w:rsid w:val="00F21FD2"/>
    <w:rsid w:val="00F22516"/>
    <w:rsid w:val="00F23B8E"/>
    <w:rsid w:val="00F240F4"/>
    <w:rsid w:val="00F24257"/>
    <w:rsid w:val="00F2503C"/>
    <w:rsid w:val="00F25433"/>
    <w:rsid w:val="00F27284"/>
    <w:rsid w:val="00F300C5"/>
    <w:rsid w:val="00F3073A"/>
    <w:rsid w:val="00F30A77"/>
    <w:rsid w:val="00F30CD8"/>
    <w:rsid w:val="00F30D43"/>
    <w:rsid w:val="00F30EF5"/>
    <w:rsid w:val="00F32155"/>
    <w:rsid w:val="00F3286D"/>
    <w:rsid w:val="00F33657"/>
    <w:rsid w:val="00F34DE3"/>
    <w:rsid w:val="00F352B7"/>
    <w:rsid w:val="00F353C1"/>
    <w:rsid w:val="00F36001"/>
    <w:rsid w:val="00F362DE"/>
    <w:rsid w:val="00F37ECB"/>
    <w:rsid w:val="00F37FAD"/>
    <w:rsid w:val="00F42D45"/>
    <w:rsid w:val="00F43134"/>
    <w:rsid w:val="00F4452C"/>
    <w:rsid w:val="00F46C3B"/>
    <w:rsid w:val="00F47149"/>
    <w:rsid w:val="00F47AE9"/>
    <w:rsid w:val="00F47C4F"/>
    <w:rsid w:val="00F47F8A"/>
    <w:rsid w:val="00F51DA2"/>
    <w:rsid w:val="00F5208D"/>
    <w:rsid w:val="00F52A92"/>
    <w:rsid w:val="00F53362"/>
    <w:rsid w:val="00F53372"/>
    <w:rsid w:val="00F53784"/>
    <w:rsid w:val="00F54424"/>
    <w:rsid w:val="00F55460"/>
    <w:rsid w:val="00F55537"/>
    <w:rsid w:val="00F562ED"/>
    <w:rsid w:val="00F60EA1"/>
    <w:rsid w:val="00F6116C"/>
    <w:rsid w:val="00F62777"/>
    <w:rsid w:val="00F62D74"/>
    <w:rsid w:val="00F62F97"/>
    <w:rsid w:val="00F63049"/>
    <w:rsid w:val="00F63146"/>
    <w:rsid w:val="00F638FF"/>
    <w:rsid w:val="00F63E8D"/>
    <w:rsid w:val="00F64189"/>
    <w:rsid w:val="00F64490"/>
    <w:rsid w:val="00F66A6E"/>
    <w:rsid w:val="00F700B9"/>
    <w:rsid w:val="00F706C3"/>
    <w:rsid w:val="00F720A0"/>
    <w:rsid w:val="00F72356"/>
    <w:rsid w:val="00F735AD"/>
    <w:rsid w:val="00F75EF7"/>
    <w:rsid w:val="00F76319"/>
    <w:rsid w:val="00F77892"/>
    <w:rsid w:val="00F80F46"/>
    <w:rsid w:val="00F83CBB"/>
    <w:rsid w:val="00F84147"/>
    <w:rsid w:val="00F843BD"/>
    <w:rsid w:val="00F84F40"/>
    <w:rsid w:val="00F85E50"/>
    <w:rsid w:val="00F87590"/>
    <w:rsid w:val="00F87C32"/>
    <w:rsid w:val="00F90058"/>
    <w:rsid w:val="00F9030D"/>
    <w:rsid w:val="00F90375"/>
    <w:rsid w:val="00F90528"/>
    <w:rsid w:val="00F907C0"/>
    <w:rsid w:val="00F907E6"/>
    <w:rsid w:val="00F92CAF"/>
    <w:rsid w:val="00F930C0"/>
    <w:rsid w:val="00F934D0"/>
    <w:rsid w:val="00F949FE"/>
    <w:rsid w:val="00F94AC1"/>
    <w:rsid w:val="00F9531F"/>
    <w:rsid w:val="00F9566A"/>
    <w:rsid w:val="00F959D6"/>
    <w:rsid w:val="00F96EDD"/>
    <w:rsid w:val="00F97DA2"/>
    <w:rsid w:val="00FA1B16"/>
    <w:rsid w:val="00FA2C32"/>
    <w:rsid w:val="00FA2C55"/>
    <w:rsid w:val="00FA3530"/>
    <w:rsid w:val="00FA3E5B"/>
    <w:rsid w:val="00FA4989"/>
    <w:rsid w:val="00FA4A37"/>
    <w:rsid w:val="00FA4AE6"/>
    <w:rsid w:val="00FA5162"/>
    <w:rsid w:val="00FA6977"/>
    <w:rsid w:val="00FA7074"/>
    <w:rsid w:val="00FA7246"/>
    <w:rsid w:val="00FA7D31"/>
    <w:rsid w:val="00FA7E3E"/>
    <w:rsid w:val="00FB03AE"/>
    <w:rsid w:val="00FB264F"/>
    <w:rsid w:val="00FB278F"/>
    <w:rsid w:val="00FB28F3"/>
    <w:rsid w:val="00FB2D74"/>
    <w:rsid w:val="00FB2DE5"/>
    <w:rsid w:val="00FB3067"/>
    <w:rsid w:val="00FB31BC"/>
    <w:rsid w:val="00FB44D4"/>
    <w:rsid w:val="00FB5DDD"/>
    <w:rsid w:val="00FB692A"/>
    <w:rsid w:val="00FB6CFD"/>
    <w:rsid w:val="00FB6E4E"/>
    <w:rsid w:val="00FB6F5B"/>
    <w:rsid w:val="00FB75D8"/>
    <w:rsid w:val="00FB75F0"/>
    <w:rsid w:val="00FC0CE5"/>
    <w:rsid w:val="00FC186F"/>
    <w:rsid w:val="00FC1F60"/>
    <w:rsid w:val="00FC2685"/>
    <w:rsid w:val="00FC3552"/>
    <w:rsid w:val="00FC3EE5"/>
    <w:rsid w:val="00FC4396"/>
    <w:rsid w:val="00FC4637"/>
    <w:rsid w:val="00FC58D2"/>
    <w:rsid w:val="00FC6336"/>
    <w:rsid w:val="00FC7371"/>
    <w:rsid w:val="00FD0566"/>
    <w:rsid w:val="00FD0E33"/>
    <w:rsid w:val="00FD0F3F"/>
    <w:rsid w:val="00FD1879"/>
    <w:rsid w:val="00FD1FF1"/>
    <w:rsid w:val="00FD25CF"/>
    <w:rsid w:val="00FD25FB"/>
    <w:rsid w:val="00FD2B4A"/>
    <w:rsid w:val="00FD3597"/>
    <w:rsid w:val="00FD371F"/>
    <w:rsid w:val="00FD3A04"/>
    <w:rsid w:val="00FD4362"/>
    <w:rsid w:val="00FD5DA1"/>
    <w:rsid w:val="00FD5EEA"/>
    <w:rsid w:val="00FD656E"/>
    <w:rsid w:val="00FD65A4"/>
    <w:rsid w:val="00FD7570"/>
    <w:rsid w:val="00FD7FDD"/>
    <w:rsid w:val="00FE07A9"/>
    <w:rsid w:val="00FE0BBF"/>
    <w:rsid w:val="00FE1CA4"/>
    <w:rsid w:val="00FE236C"/>
    <w:rsid w:val="00FE2373"/>
    <w:rsid w:val="00FE2BD0"/>
    <w:rsid w:val="00FE3060"/>
    <w:rsid w:val="00FE45D9"/>
    <w:rsid w:val="00FE48A3"/>
    <w:rsid w:val="00FE76BE"/>
    <w:rsid w:val="00FE7843"/>
    <w:rsid w:val="00FF1498"/>
    <w:rsid w:val="00FF16FD"/>
    <w:rsid w:val="00FF1DCB"/>
    <w:rsid w:val="00FF2840"/>
    <w:rsid w:val="00FF317F"/>
    <w:rsid w:val="00FF380F"/>
    <w:rsid w:val="00FF42A1"/>
    <w:rsid w:val="00FF49EB"/>
    <w:rsid w:val="00FF4D97"/>
    <w:rsid w:val="00FF504F"/>
    <w:rsid w:val="00FF5372"/>
    <w:rsid w:val="00FF5AF9"/>
    <w:rsid w:val="00FF6884"/>
    <w:rsid w:val="00FF6C06"/>
    <w:rsid w:val="00FF73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DE6DA71"/>
  <w15:chartTrackingRefBased/>
  <w15:docId w15:val="{B0478BBC-163E-4E53-B76A-CDC694C4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1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9671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9671F"/>
    <w:pPr>
      <w:spacing w:before="240" w:after="240"/>
      <w:outlineLvl w:val="1"/>
    </w:pPr>
    <w:rPr>
      <w:rFonts w:ascii="Arial Bold" w:hAnsi="Arial Bold"/>
      <w:b/>
      <w:sz w:val="26"/>
    </w:rPr>
  </w:style>
  <w:style w:type="paragraph" w:styleId="Heading3">
    <w:name w:val="heading 3"/>
    <w:basedOn w:val="HeadingBase"/>
    <w:next w:val="Normal"/>
    <w:link w:val="Heading3Char"/>
    <w:qFormat/>
    <w:rsid w:val="00D9671F"/>
    <w:pPr>
      <w:spacing w:before="120" w:after="120"/>
      <w:outlineLvl w:val="2"/>
    </w:pPr>
    <w:rPr>
      <w:rFonts w:ascii="Arial Bold" w:hAnsi="Arial Bold"/>
      <w:b/>
      <w:sz w:val="22"/>
    </w:rPr>
  </w:style>
  <w:style w:type="paragraph" w:styleId="Heading4">
    <w:name w:val="heading 4"/>
    <w:basedOn w:val="HeadingBase"/>
    <w:next w:val="Normal"/>
    <w:link w:val="Heading4Char"/>
    <w:qFormat/>
    <w:rsid w:val="00D9671F"/>
    <w:pPr>
      <w:spacing w:after="120"/>
      <w:outlineLvl w:val="3"/>
    </w:pPr>
    <w:rPr>
      <w:rFonts w:ascii="Arial Bold" w:hAnsi="Arial Bold"/>
      <w:b/>
      <w:sz w:val="20"/>
    </w:rPr>
  </w:style>
  <w:style w:type="paragraph" w:styleId="Heading5">
    <w:name w:val="heading 5"/>
    <w:basedOn w:val="HeadingBase"/>
    <w:next w:val="Normal"/>
    <w:link w:val="Heading5Char"/>
    <w:qFormat/>
    <w:rsid w:val="00D9671F"/>
    <w:pPr>
      <w:spacing w:after="120"/>
      <w:outlineLvl w:val="4"/>
    </w:pPr>
    <w:rPr>
      <w:bCs/>
      <w:i/>
      <w:iCs/>
      <w:sz w:val="20"/>
      <w:szCs w:val="26"/>
    </w:rPr>
  </w:style>
  <w:style w:type="paragraph" w:styleId="Heading6">
    <w:name w:val="heading 6"/>
    <w:basedOn w:val="HeadingBase"/>
    <w:next w:val="Normal"/>
    <w:link w:val="Heading6Char"/>
    <w:rsid w:val="00D9671F"/>
    <w:pPr>
      <w:spacing w:after="120"/>
      <w:outlineLvl w:val="5"/>
    </w:pPr>
    <w:rPr>
      <w:bCs/>
      <w:sz w:val="20"/>
      <w:szCs w:val="22"/>
    </w:rPr>
  </w:style>
  <w:style w:type="paragraph" w:styleId="Heading7">
    <w:name w:val="heading 7"/>
    <w:basedOn w:val="HeadingBase"/>
    <w:next w:val="Normal"/>
    <w:link w:val="Heading7Char"/>
    <w:rsid w:val="00D9671F"/>
    <w:pPr>
      <w:spacing w:before="120"/>
      <w:outlineLvl w:val="6"/>
    </w:pPr>
    <w:rPr>
      <w:sz w:val="20"/>
      <w:szCs w:val="24"/>
    </w:rPr>
  </w:style>
  <w:style w:type="paragraph" w:styleId="Heading8">
    <w:name w:val="heading 8"/>
    <w:basedOn w:val="HeadingBase"/>
    <w:next w:val="Normal"/>
    <w:link w:val="Heading8Char"/>
    <w:rsid w:val="00D9671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9671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9671F"/>
    <w:pPr>
      <w:tabs>
        <w:tab w:val="center" w:pos="4153"/>
        <w:tab w:val="right" w:pos="8306"/>
      </w:tabs>
    </w:pPr>
  </w:style>
  <w:style w:type="character" w:customStyle="1" w:styleId="HeaderChar">
    <w:name w:val="Header Char"/>
    <w:basedOn w:val="DefaultParagraphFont"/>
    <w:link w:val="Header"/>
    <w:rsid w:val="00D9671F"/>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9671F"/>
    <w:pPr>
      <w:tabs>
        <w:tab w:val="center" w:pos="4153"/>
        <w:tab w:val="right" w:pos="8306"/>
      </w:tabs>
    </w:pPr>
  </w:style>
  <w:style w:type="character" w:customStyle="1" w:styleId="FooterChar">
    <w:name w:val="Footer Char"/>
    <w:basedOn w:val="DefaultParagraphFont"/>
    <w:link w:val="Footer"/>
    <w:rsid w:val="00D9671F"/>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9671F"/>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9671F"/>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9671F"/>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9671F"/>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9671F"/>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9671F"/>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9671F"/>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9671F"/>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9671F"/>
    <w:pPr>
      <w:jc w:val="center"/>
    </w:pPr>
    <w:rPr>
      <w:rFonts w:ascii="Arial Bold" w:hAnsi="Arial Bold"/>
      <w:b/>
      <w:caps/>
      <w:sz w:val="22"/>
    </w:rPr>
  </w:style>
  <w:style w:type="paragraph" w:customStyle="1" w:styleId="FileProperties">
    <w:name w:val="File Properties"/>
    <w:basedOn w:val="Normal"/>
    <w:rsid w:val="00D9671F"/>
    <w:pPr>
      <w:spacing w:before="0"/>
    </w:pPr>
    <w:rPr>
      <w:i/>
    </w:rPr>
  </w:style>
  <w:style w:type="paragraph" w:customStyle="1" w:styleId="AlphaParagraph">
    <w:name w:val="Alpha Paragraph"/>
    <w:basedOn w:val="Normal"/>
    <w:rsid w:val="00D9671F"/>
    <w:pPr>
      <w:numPr>
        <w:numId w:val="1"/>
      </w:numPr>
      <w:tabs>
        <w:tab w:val="clear" w:pos="567"/>
        <w:tab w:val="num" w:pos="360"/>
      </w:tabs>
      <w:ind w:left="0" w:firstLine="0"/>
    </w:pPr>
  </w:style>
  <w:style w:type="paragraph" w:customStyle="1" w:styleId="HeadingBase">
    <w:name w:val="Heading Base"/>
    <w:rsid w:val="00D9671F"/>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FC4396"/>
    <w:rPr>
      <w:bCs/>
      <w:color w:val="002A54" w:themeColor="text2"/>
      <w:szCs w:val="52"/>
    </w:rPr>
  </w:style>
  <w:style w:type="paragraph" w:customStyle="1" w:styleId="BoxText">
    <w:name w:val="Box Text"/>
    <w:basedOn w:val="Normal"/>
    <w:qFormat/>
    <w:rsid w:val="00D9671F"/>
    <w:pPr>
      <w:spacing w:before="120" w:after="120" w:line="240" w:lineRule="auto"/>
    </w:pPr>
  </w:style>
  <w:style w:type="paragraph" w:customStyle="1" w:styleId="BoxBullet">
    <w:name w:val="Box Bullet"/>
    <w:basedOn w:val="BoxText"/>
    <w:rsid w:val="00D9671F"/>
    <w:pPr>
      <w:numPr>
        <w:numId w:val="2"/>
      </w:numPr>
    </w:pPr>
  </w:style>
  <w:style w:type="paragraph" w:customStyle="1" w:styleId="BoxHeading">
    <w:name w:val="Box Heading"/>
    <w:basedOn w:val="HeadingBase"/>
    <w:next w:val="BoxText"/>
    <w:rsid w:val="00D9671F"/>
    <w:pPr>
      <w:spacing w:before="120" w:after="120"/>
    </w:pPr>
    <w:rPr>
      <w:b/>
      <w:sz w:val="20"/>
    </w:rPr>
  </w:style>
  <w:style w:type="character" w:customStyle="1" w:styleId="Heading6Char">
    <w:name w:val="Heading 6 Char"/>
    <w:basedOn w:val="DefaultParagraphFont"/>
    <w:link w:val="Heading6"/>
    <w:rsid w:val="00D9671F"/>
    <w:rPr>
      <w:rFonts w:ascii="Arial" w:eastAsia="Times New Roman" w:hAnsi="Arial" w:cs="Times New Roman"/>
      <w:bCs/>
      <w:sz w:val="20"/>
      <w:lang w:eastAsia="en-AU"/>
    </w:rPr>
  </w:style>
  <w:style w:type="paragraph" w:customStyle="1" w:styleId="Bullet">
    <w:name w:val="Bullet"/>
    <w:basedOn w:val="Normal"/>
    <w:link w:val="BulletChar"/>
    <w:qFormat/>
    <w:rsid w:val="00D9671F"/>
    <w:pPr>
      <w:numPr>
        <w:numId w:val="3"/>
      </w:numPr>
      <w:spacing w:after="160"/>
      <w:ind w:left="284" w:hanging="284"/>
    </w:pPr>
  </w:style>
  <w:style w:type="paragraph" w:styleId="Caption">
    <w:name w:val="caption"/>
    <w:basedOn w:val="Normal"/>
    <w:next w:val="Normal"/>
    <w:rsid w:val="00D9671F"/>
    <w:rPr>
      <w:b/>
      <w:bCs/>
    </w:rPr>
  </w:style>
  <w:style w:type="paragraph" w:customStyle="1" w:styleId="ChartandTableFootnote">
    <w:name w:val="Chart and Table Footnote"/>
    <w:basedOn w:val="HeadingBase"/>
    <w:next w:val="Normal"/>
    <w:rsid w:val="00D9671F"/>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9671F"/>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D9671F"/>
    <w:pPr>
      <w:keepNext w:val="0"/>
      <w:tabs>
        <w:tab w:val="left" w:pos="284"/>
      </w:tabs>
      <w:jc w:val="both"/>
    </w:pPr>
    <w:rPr>
      <w:color w:val="000000"/>
      <w:sz w:val="15"/>
    </w:rPr>
  </w:style>
  <w:style w:type="paragraph" w:customStyle="1" w:styleId="ChartGraphic">
    <w:name w:val="Chart Graphic"/>
    <w:basedOn w:val="HeadingBase"/>
    <w:rsid w:val="00D9671F"/>
    <w:rPr>
      <w:sz w:val="20"/>
    </w:rPr>
  </w:style>
  <w:style w:type="paragraph" w:customStyle="1" w:styleId="TableLine">
    <w:name w:val="Table Line"/>
    <w:basedOn w:val="Normal"/>
    <w:next w:val="Normal"/>
    <w:autoRedefine/>
    <w:rsid w:val="00D9671F"/>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D9671F"/>
    <w:pPr>
      <w:spacing w:after="60"/>
    </w:pPr>
    <w:rPr>
      <w:sz w:val="19"/>
    </w:rPr>
  </w:style>
  <w:style w:type="character" w:styleId="CommentReference">
    <w:name w:val="annotation reference"/>
    <w:basedOn w:val="DefaultParagraphFont"/>
    <w:rsid w:val="00D9671F"/>
    <w:rPr>
      <w:sz w:val="16"/>
      <w:szCs w:val="16"/>
    </w:rPr>
  </w:style>
  <w:style w:type="paragraph" w:styleId="CommentText">
    <w:name w:val="annotation text"/>
    <w:basedOn w:val="Normal"/>
    <w:link w:val="CommentTextChar"/>
    <w:rsid w:val="00D9671F"/>
  </w:style>
  <w:style w:type="character" w:customStyle="1" w:styleId="CommentTextChar">
    <w:name w:val="Comment Text Char"/>
    <w:basedOn w:val="DefaultParagraphFont"/>
    <w:link w:val="CommentText"/>
    <w:rsid w:val="00D9671F"/>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9671F"/>
    <w:rPr>
      <w:b/>
      <w:bCs/>
    </w:rPr>
  </w:style>
  <w:style w:type="character" w:customStyle="1" w:styleId="CommentSubjectChar">
    <w:name w:val="Comment Subject Char"/>
    <w:basedOn w:val="CommentTextChar"/>
    <w:link w:val="CommentSubject"/>
    <w:semiHidden/>
    <w:rsid w:val="00D9671F"/>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9671F"/>
    <w:pPr>
      <w:spacing w:after="720"/>
      <w:outlineLvl w:val="9"/>
    </w:pPr>
  </w:style>
  <w:style w:type="character" w:styleId="Strong">
    <w:name w:val="Strong"/>
    <w:basedOn w:val="DefaultParagraphFont"/>
    <w:uiPriority w:val="22"/>
    <w:qFormat/>
    <w:rsid w:val="00D9671F"/>
    <w:rPr>
      <w:b/>
      <w:bCs/>
      <w:color w:val="002A54" w:themeColor="text2"/>
    </w:rPr>
  </w:style>
  <w:style w:type="paragraph" w:customStyle="1" w:styleId="Dash">
    <w:name w:val="Dash"/>
    <w:basedOn w:val="Normal"/>
    <w:qFormat/>
    <w:rsid w:val="00D9671F"/>
    <w:pPr>
      <w:numPr>
        <w:ilvl w:val="1"/>
        <w:numId w:val="3"/>
      </w:numPr>
      <w:tabs>
        <w:tab w:val="left" w:pos="567"/>
      </w:tabs>
    </w:pPr>
  </w:style>
  <w:style w:type="paragraph" w:styleId="DocumentMap">
    <w:name w:val="Document Map"/>
    <w:basedOn w:val="Normal"/>
    <w:link w:val="DocumentMapChar"/>
    <w:semiHidden/>
    <w:rsid w:val="00D967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9671F"/>
    <w:rPr>
      <w:rFonts w:ascii="Tahoma" w:eastAsia="Times New Roman" w:hAnsi="Tahoma" w:cs="Tahoma"/>
      <w:sz w:val="19"/>
      <w:szCs w:val="20"/>
      <w:shd w:val="clear" w:color="auto" w:fill="000080"/>
      <w:lang w:eastAsia="en-AU"/>
    </w:rPr>
  </w:style>
  <w:style w:type="paragraph" w:customStyle="1" w:styleId="DoubleDot">
    <w:name w:val="Double Dot"/>
    <w:basedOn w:val="Normal"/>
    <w:rsid w:val="00D9671F"/>
    <w:pPr>
      <w:numPr>
        <w:ilvl w:val="2"/>
        <w:numId w:val="3"/>
      </w:numPr>
      <w:tabs>
        <w:tab w:val="clear" w:pos="850"/>
        <w:tab w:val="num" w:pos="360"/>
        <w:tab w:val="left" w:pos="851"/>
      </w:tabs>
    </w:pPr>
  </w:style>
  <w:style w:type="paragraph" w:customStyle="1" w:styleId="FigureHeading">
    <w:name w:val="Figure Heading"/>
    <w:basedOn w:val="HeadingBase"/>
    <w:next w:val="ChartGraphic"/>
    <w:rsid w:val="00D9671F"/>
    <w:pPr>
      <w:spacing w:before="120" w:after="20"/>
    </w:pPr>
    <w:rPr>
      <w:b/>
      <w:sz w:val="20"/>
    </w:rPr>
  </w:style>
  <w:style w:type="paragraph" w:customStyle="1" w:styleId="FooterBase">
    <w:name w:val="Footer Base"/>
    <w:rsid w:val="00D9671F"/>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9671F"/>
    <w:pPr>
      <w:pBdr>
        <w:top w:val="single" w:sz="4" w:space="10" w:color="002A54" w:themeColor="text2"/>
      </w:pBdr>
      <w:jc w:val="left"/>
    </w:pPr>
    <w:rPr>
      <w:sz w:val="18"/>
    </w:rPr>
  </w:style>
  <w:style w:type="paragraph" w:customStyle="1" w:styleId="FooterOdd">
    <w:name w:val="Footer Odd"/>
    <w:basedOn w:val="Footer"/>
    <w:qFormat/>
    <w:rsid w:val="00D9671F"/>
    <w:pPr>
      <w:pBdr>
        <w:top w:val="single" w:sz="4" w:space="10" w:color="002A54" w:themeColor="text2"/>
      </w:pBdr>
      <w:jc w:val="right"/>
    </w:pPr>
    <w:rPr>
      <w:sz w:val="18"/>
    </w:rPr>
  </w:style>
  <w:style w:type="character" w:styleId="FootnoteReference">
    <w:name w:val="footnote reference"/>
    <w:basedOn w:val="DefaultParagraphFont"/>
    <w:rsid w:val="00D9671F"/>
    <w:rPr>
      <w:vertAlign w:val="superscript"/>
    </w:rPr>
  </w:style>
  <w:style w:type="paragraph" w:styleId="FootnoteText">
    <w:name w:val="footnote text"/>
    <w:basedOn w:val="Normal"/>
    <w:link w:val="FootnoteTextChar"/>
    <w:rsid w:val="00D9671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9671F"/>
    <w:rPr>
      <w:rFonts w:ascii="Book Antiqua" w:eastAsia="Times New Roman" w:hAnsi="Book Antiqua" w:cs="Times New Roman"/>
      <w:sz w:val="18"/>
      <w:szCs w:val="20"/>
      <w:lang w:eastAsia="en-AU"/>
    </w:rPr>
  </w:style>
  <w:style w:type="paragraph" w:customStyle="1" w:styleId="HeaderBase">
    <w:name w:val="Header Base"/>
    <w:rsid w:val="00D9671F"/>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D9671F"/>
  </w:style>
  <w:style w:type="paragraph" w:customStyle="1" w:styleId="HeaderOdd">
    <w:name w:val="Header Odd"/>
    <w:basedOn w:val="HeaderBase"/>
    <w:rsid w:val="00D9671F"/>
    <w:pPr>
      <w:jc w:val="right"/>
    </w:pPr>
  </w:style>
  <w:style w:type="character" w:customStyle="1" w:styleId="Heading1Char">
    <w:name w:val="Heading 1 Char"/>
    <w:basedOn w:val="DefaultParagraphFont"/>
    <w:link w:val="Heading1"/>
    <w:rsid w:val="00D9671F"/>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9671F"/>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9671F"/>
    <w:rPr>
      <w:rFonts w:ascii="Arial Bold" w:eastAsia="Times New Roman" w:hAnsi="Arial Bold" w:cs="Times New Roman"/>
      <w:b/>
      <w:szCs w:val="20"/>
      <w:lang w:eastAsia="en-AU"/>
    </w:rPr>
  </w:style>
  <w:style w:type="paragraph" w:customStyle="1" w:styleId="Heading3noTOC">
    <w:name w:val="Heading 3 no TOC"/>
    <w:basedOn w:val="Heading3"/>
    <w:rsid w:val="00D9671F"/>
    <w:pPr>
      <w:outlineLvl w:val="9"/>
    </w:pPr>
  </w:style>
  <w:style w:type="character" w:customStyle="1" w:styleId="Heading4Char">
    <w:name w:val="Heading 4 Char"/>
    <w:basedOn w:val="DefaultParagraphFont"/>
    <w:link w:val="Heading4"/>
    <w:rsid w:val="00D9671F"/>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9671F"/>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9671F"/>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9671F"/>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D9671F"/>
    <w:rPr>
      <w:color w:val="auto"/>
      <w:u w:val="single"/>
    </w:rPr>
  </w:style>
  <w:style w:type="paragraph" w:styleId="Index4">
    <w:name w:val="index 4"/>
    <w:basedOn w:val="Normal"/>
    <w:next w:val="Normal"/>
    <w:autoRedefine/>
    <w:semiHidden/>
    <w:rsid w:val="00D9671F"/>
    <w:pPr>
      <w:ind w:left="800" w:hanging="200"/>
    </w:pPr>
  </w:style>
  <w:style w:type="paragraph" w:styleId="Index5">
    <w:name w:val="index 5"/>
    <w:basedOn w:val="Normal"/>
    <w:next w:val="Normal"/>
    <w:autoRedefine/>
    <w:semiHidden/>
    <w:rsid w:val="00D9671F"/>
    <w:pPr>
      <w:ind w:left="1000" w:hanging="200"/>
    </w:pPr>
  </w:style>
  <w:style w:type="paragraph" w:styleId="Index6">
    <w:name w:val="index 6"/>
    <w:basedOn w:val="Normal"/>
    <w:next w:val="Normal"/>
    <w:autoRedefine/>
    <w:semiHidden/>
    <w:rsid w:val="00D9671F"/>
    <w:pPr>
      <w:ind w:left="1200" w:hanging="200"/>
    </w:pPr>
  </w:style>
  <w:style w:type="paragraph" w:styleId="Index7">
    <w:name w:val="index 7"/>
    <w:basedOn w:val="Normal"/>
    <w:next w:val="Normal"/>
    <w:autoRedefine/>
    <w:semiHidden/>
    <w:rsid w:val="00D9671F"/>
    <w:pPr>
      <w:ind w:left="1400" w:hanging="200"/>
    </w:pPr>
  </w:style>
  <w:style w:type="paragraph" w:styleId="Index8">
    <w:name w:val="index 8"/>
    <w:basedOn w:val="Normal"/>
    <w:next w:val="Normal"/>
    <w:autoRedefine/>
    <w:semiHidden/>
    <w:rsid w:val="00D9671F"/>
    <w:pPr>
      <w:ind w:left="1600" w:hanging="200"/>
    </w:pPr>
  </w:style>
  <w:style w:type="paragraph" w:styleId="Index9">
    <w:name w:val="index 9"/>
    <w:basedOn w:val="Normal"/>
    <w:next w:val="Normal"/>
    <w:autoRedefine/>
    <w:semiHidden/>
    <w:rsid w:val="00D9671F"/>
    <w:pPr>
      <w:ind w:left="1800" w:hanging="200"/>
    </w:pPr>
  </w:style>
  <w:style w:type="paragraph" w:styleId="MacroText">
    <w:name w:val="macro"/>
    <w:link w:val="MacroTextChar"/>
    <w:unhideWhenUsed/>
    <w:rsid w:val="00D9671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9671F"/>
    <w:rPr>
      <w:rFonts w:ascii="Courier New" w:eastAsia="Times New Roman" w:hAnsi="Courier New" w:cs="Courier New"/>
      <w:sz w:val="20"/>
      <w:szCs w:val="20"/>
      <w:lang w:eastAsia="en-AU"/>
    </w:rPr>
  </w:style>
  <w:style w:type="paragraph" w:styleId="NormalIndent">
    <w:name w:val="Normal Indent"/>
    <w:basedOn w:val="Normal"/>
    <w:rsid w:val="00D9671F"/>
    <w:pPr>
      <w:ind w:left="567"/>
    </w:pPr>
  </w:style>
  <w:style w:type="paragraph" w:customStyle="1" w:styleId="NoteTableHeading">
    <w:name w:val="Note Table Heading"/>
    <w:basedOn w:val="HeadingBase"/>
    <w:next w:val="Normal"/>
    <w:rsid w:val="00D9671F"/>
    <w:pPr>
      <w:spacing w:before="240"/>
    </w:pPr>
    <w:rPr>
      <w:b/>
      <w:sz w:val="20"/>
    </w:rPr>
  </w:style>
  <w:style w:type="paragraph" w:customStyle="1" w:styleId="OverviewParagraph">
    <w:name w:val="Overview Paragraph"/>
    <w:basedOn w:val="Normal"/>
    <w:rsid w:val="00D9671F"/>
    <w:pPr>
      <w:spacing w:before="120" w:after="120" w:line="240" w:lineRule="auto"/>
    </w:pPr>
  </w:style>
  <w:style w:type="character" w:styleId="PageNumber">
    <w:name w:val="page number"/>
    <w:basedOn w:val="DefaultParagraphFont"/>
    <w:rsid w:val="00D9671F"/>
    <w:rPr>
      <w:rFonts w:ascii="Arial" w:hAnsi="Arial" w:cs="Arial"/>
    </w:rPr>
  </w:style>
  <w:style w:type="paragraph" w:customStyle="1" w:styleId="SingleParagraph">
    <w:name w:val="Single Paragraph"/>
    <w:basedOn w:val="Normal"/>
    <w:rsid w:val="00D9671F"/>
    <w:pPr>
      <w:spacing w:before="0" w:after="0"/>
    </w:pPr>
  </w:style>
  <w:style w:type="paragraph" w:customStyle="1" w:styleId="Source">
    <w:name w:val="Source"/>
    <w:basedOn w:val="Normal"/>
    <w:rsid w:val="00D9671F"/>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D9671F"/>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9671F"/>
    <w:pPr>
      <w:jc w:val="center"/>
    </w:pPr>
  </w:style>
  <w:style w:type="paragraph" w:customStyle="1" w:styleId="TableColumnHeadingLeft">
    <w:name w:val="Table Column Heading Left"/>
    <w:basedOn w:val="TableColumnHeadingBase"/>
    <w:next w:val="Normal"/>
    <w:rsid w:val="00D9671F"/>
  </w:style>
  <w:style w:type="paragraph" w:customStyle="1" w:styleId="TableColumnHeadingRight">
    <w:name w:val="Table Column Heading Right"/>
    <w:basedOn w:val="TableColumnHeadingBase"/>
    <w:next w:val="Normal"/>
    <w:rsid w:val="00D9671F"/>
    <w:pPr>
      <w:jc w:val="right"/>
    </w:pPr>
  </w:style>
  <w:style w:type="paragraph" w:customStyle="1" w:styleId="TableGraphic">
    <w:name w:val="Table Graphic"/>
    <w:basedOn w:val="Normal"/>
    <w:next w:val="Normal"/>
    <w:rsid w:val="00D9671F"/>
    <w:pPr>
      <w:spacing w:after="0" w:line="240" w:lineRule="auto"/>
      <w:ind w:right="-113"/>
    </w:pPr>
  </w:style>
  <w:style w:type="table" w:styleId="TableGrid">
    <w:name w:val="Table Grid"/>
    <w:basedOn w:val="TableNormal"/>
    <w:rsid w:val="00D9671F"/>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9671F"/>
    <w:pPr>
      <w:spacing w:before="120" w:after="20"/>
    </w:pPr>
    <w:rPr>
      <w:b/>
      <w:sz w:val="20"/>
    </w:rPr>
  </w:style>
  <w:style w:type="paragraph" w:customStyle="1" w:styleId="TableHeadingcontinued">
    <w:name w:val="Table Heading continued"/>
    <w:basedOn w:val="HeadingBase"/>
    <w:next w:val="TableGraphic"/>
    <w:rsid w:val="00D9671F"/>
    <w:pPr>
      <w:spacing w:before="120" w:after="20"/>
    </w:pPr>
    <w:rPr>
      <w:rFonts w:ascii="Arial Bold" w:hAnsi="Arial Bold"/>
      <w:b/>
      <w:sz w:val="20"/>
    </w:rPr>
  </w:style>
  <w:style w:type="paragraph" w:styleId="TableofFigures">
    <w:name w:val="table of figures"/>
    <w:basedOn w:val="Normal"/>
    <w:next w:val="Normal"/>
    <w:rsid w:val="00D9671F"/>
  </w:style>
  <w:style w:type="paragraph" w:customStyle="1" w:styleId="TableTextBase">
    <w:name w:val="Table Text Base"/>
    <w:basedOn w:val="Normal"/>
    <w:rsid w:val="00D9671F"/>
    <w:pPr>
      <w:spacing w:before="20" w:after="20" w:line="240" w:lineRule="auto"/>
    </w:pPr>
    <w:rPr>
      <w:rFonts w:ascii="Arial" w:hAnsi="Arial"/>
      <w:sz w:val="16"/>
    </w:rPr>
  </w:style>
  <w:style w:type="paragraph" w:customStyle="1" w:styleId="TableTextCentred">
    <w:name w:val="Table Text Centred"/>
    <w:basedOn w:val="TableTextBase"/>
    <w:rsid w:val="00D9671F"/>
    <w:pPr>
      <w:jc w:val="center"/>
    </w:pPr>
  </w:style>
  <w:style w:type="paragraph" w:customStyle="1" w:styleId="TableTextIndented">
    <w:name w:val="Table Text Indented"/>
    <w:basedOn w:val="TableTextBase"/>
    <w:rsid w:val="00D9671F"/>
    <w:pPr>
      <w:ind w:left="284"/>
    </w:pPr>
  </w:style>
  <w:style w:type="paragraph" w:customStyle="1" w:styleId="TableTextLeft">
    <w:name w:val="Table Text Left"/>
    <w:basedOn w:val="TableTextBase"/>
    <w:rsid w:val="00D9671F"/>
  </w:style>
  <w:style w:type="paragraph" w:customStyle="1" w:styleId="TableTextRight">
    <w:name w:val="Table Text Right"/>
    <w:basedOn w:val="TableTextBase"/>
    <w:rsid w:val="00D9671F"/>
    <w:pPr>
      <w:jc w:val="right"/>
    </w:pPr>
  </w:style>
  <w:style w:type="paragraph" w:styleId="TOAHeading">
    <w:name w:val="toa heading"/>
    <w:basedOn w:val="Normal"/>
    <w:next w:val="Normal"/>
    <w:rsid w:val="00D9671F"/>
    <w:pPr>
      <w:spacing w:before="120"/>
    </w:pPr>
    <w:rPr>
      <w:rFonts w:ascii="Arial" w:hAnsi="Arial" w:cs="Arial"/>
      <w:b/>
      <w:bCs/>
      <w:sz w:val="24"/>
      <w:szCs w:val="24"/>
    </w:rPr>
  </w:style>
  <w:style w:type="paragraph" w:styleId="TOC1">
    <w:name w:val="toc 1"/>
    <w:basedOn w:val="HeaderBase"/>
    <w:next w:val="Normal"/>
    <w:uiPriority w:val="39"/>
    <w:rsid w:val="00D9671F"/>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D9671F"/>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9671F"/>
    <w:pPr>
      <w:tabs>
        <w:tab w:val="right" w:leader="dot" w:pos="7700"/>
      </w:tabs>
      <w:spacing w:before="40"/>
      <w:ind w:right="851"/>
    </w:pPr>
    <w:rPr>
      <w:sz w:val="20"/>
    </w:rPr>
  </w:style>
  <w:style w:type="paragraph" w:styleId="TOC4">
    <w:name w:val="toc 4"/>
    <w:basedOn w:val="HeadingBase"/>
    <w:next w:val="Normal"/>
    <w:uiPriority w:val="2"/>
    <w:unhideWhenUsed/>
    <w:rsid w:val="00D9671F"/>
    <w:pPr>
      <w:tabs>
        <w:tab w:val="right" w:leader="dot" w:pos="7700"/>
      </w:tabs>
      <w:spacing w:before="40"/>
      <w:ind w:right="851"/>
    </w:pPr>
    <w:rPr>
      <w:sz w:val="20"/>
    </w:rPr>
  </w:style>
  <w:style w:type="paragraph" w:styleId="TOC5">
    <w:name w:val="toc 5"/>
    <w:basedOn w:val="Normal"/>
    <w:next w:val="Normal"/>
    <w:autoRedefine/>
    <w:uiPriority w:val="2"/>
    <w:semiHidden/>
    <w:rsid w:val="00D9671F"/>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D9671F"/>
    <w:pPr>
      <w:tabs>
        <w:tab w:val="left" w:pos="851"/>
      </w:tabs>
      <w:ind w:left="851" w:hanging="851"/>
    </w:pPr>
    <w:rPr>
      <w:color w:val="000000"/>
    </w:rPr>
  </w:style>
  <w:style w:type="paragraph" w:styleId="TOC7">
    <w:name w:val="toc 7"/>
    <w:basedOn w:val="Normal"/>
    <w:next w:val="Normal"/>
    <w:autoRedefine/>
    <w:uiPriority w:val="2"/>
    <w:semiHidden/>
    <w:rsid w:val="00D9671F"/>
    <w:pPr>
      <w:ind w:left="1200"/>
    </w:pPr>
  </w:style>
  <w:style w:type="paragraph" w:styleId="TOC8">
    <w:name w:val="toc 8"/>
    <w:basedOn w:val="Normal"/>
    <w:next w:val="Normal"/>
    <w:autoRedefine/>
    <w:uiPriority w:val="2"/>
    <w:semiHidden/>
    <w:rsid w:val="00D9671F"/>
    <w:pPr>
      <w:ind w:left="1400"/>
    </w:pPr>
  </w:style>
  <w:style w:type="paragraph" w:styleId="TOC9">
    <w:name w:val="toc 9"/>
    <w:basedOn w:val="Normal"/>
    <w:next w:val="Normal"/>
    <w:autoRedefine/>
    <w:uiPriority w:val="2"/>
    <w:semiHidden/>
    <w:rsid w:val="00D9671F"/>
    <w:pPr>
      <w:ind w:left="1600"/>
    </w:pPr>
  </w:style>
  <w:style w:type="paragraph" w:customStyle="1" w:styleId="TPHeading1">
    <w:name w:val="TP Heading 1"/>
    <w:basedOn w:val="HeadingBase"/>
    <w:semiHidden/>
    <w:rsid w:val="00D9671F"/>
    <w:pPr>
      <w:spacing w:before="60" w:after="60"/>
      <w:ind w:left="1134"/>
    </w:pPr>
    <w:rPr>
      <w:rFonts w:ascii="Arial Bold" w:hAnsi="Arial Bold"/>
      <w:b/>
      <w:caps/>
      <w:spacing w:val="-10"/>
      <w:sz w:val="28"/>
    </w:rPr>
  </w:style>
  <w:style w:type="paragraph" w:customStyle="1" w:styleId="TPHeading2">
    <w:name w:val="TP Heading 2"/>
    <w:basedOn w:val="HeadingBase"/>
    <w:semiHidden/>
    <w:rsid w:val="00D9671F"/>
    <w:pPr>
      <w:ind w:left="1134"/>
    </w:pPr>
    <w:rPr>
      <w:caps/>
      <w:spacing w:val="-10"/>
      <w:sz w:val="28"/>
    </w:rPr>
  </w:style>
  <w:style w:type="paragraph" w:customStyle="1" w:styleId="TPHeading3">
    <w:name w:val="TP Heading 3"/>
    <w:basedOn w:val="HeadingBase"/>
    <w:semiHidden/>
    <w:rsid w:val="00D9671F"/>
    <w:pPr>
      <w:ind w:left="1134"/>
    </w:pPr>
    <w:rPr>
      <w:caps/>
      <w:spacing w:val="-10"/>
    </w:rPr>
  </w:style>
  <w:style w:type="paragraph" w:customStyle="1" w:styleId="TPHeading3bold">
    <w:name w:val="TP Heading 3 bold"/>
    <w:basedOn w:val="TPHeading3"/>
    <w:semiHidden/>
    <w:rsid w:val="00D9671F"/>
    <w:rPr>
      <w:rFonts w:cs="Arial"/>
      <w:b/>
      <w:sz w:val="22"/>
      <w:szCs w:val="22"/>
    </w:rPr>
  </w:style>
  <w:style w:type="paragraph" w:customStyle="1" w:styleId="TPHEADING3boldspace">
    <w:name w:val="TP HEADING 3 bold space"/>
    <w:basedOn w:val="TPHeading3bold"/>
    <w:semiHidden/>
    <w:rsid w:val="00D9671F"/>
    <w:pPr>
      <w:spacing w:after="120"/>
    </w:pPr>
  </w:style>
  <w:style w:type="paragraph" w:customStyle="1" w:styleId="TPHEADING3space">
    <w:name w:val="TP HEADING 3 space"/>
    <w:basedOn w:val="TPHeading3"/>
    <w:semiHidden/>
    <w:rsid w:val="00D9671F"/>
    <w:pPr>
      <w:spacing w:before="120" w:after="120"/>
    </w:pPr>
    <w:rPr>
      <w:rFonts w:cs="Arial"/>
      <w:sz w:val="22"/>
      <w:szCs w:val="22"/>
    </w:rPr>
  </w:style>
  <w:style w:type="paragraph" w:customStyle="1" w:styleId="TPHeading4">
    <w:name w:val="TP Heading 4"/>
    <w:basedOn w:val="TPHeading3"/>
    <w:semiHidden/>
    <w:rsid w:val="00D9671F"/>
    <w:rPr>
      <w:sz w:val="20"/>
    </w:rPr>
  </w:style>
  <w:style w:type="paragraph" w:customStyle="1" w:styleId="TPHEADING4space">
    <w:name w:val="TP HEADING 4 space"/>
    <w:basedOn w:val="TPHEADING3space"/>
    <w:semiHidden/>
    <w:rsid w:val="00D9671F"/>
  </w:style>
  <w:style w:type="paragraph" w:customStyle="1" w:styleId="ChartLine">
    <w:name w:val="Chart Line"/>
    <w:basedOn w:val="Normal"/>
    <w:autoRedefine/>
    <w:qFormat/>
    <w:rsid w:val="00D9671F"/>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D9671F"/>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D9671F"/>
    <w:rPr>
      <w:sz w:val="16"/>
    </w:rPr>
  </w:style>
  <w:style w:type="paragraph" w:customStyle="1" w:styleId="Box-continuedon">
    <w:name w:val="Box - continued on"/>
    <w:basedOn w:val="Normal"/>
    <w:qFormat/>
    <w:rsid w:val="00D9671F"/>
    <w:pPr>
      <w:jc w:val="right"/>
    </w:pPr>
    <w:rPr>
      <w:rFonts w:asciiTheme="majorHAnsi" w:hAnsiTheme="majorHAnsi" w:cstheme="majorHAnsi"/>
      <w:i/>
      <w:iCs/>
      <w:sz w:val="18"/>
      <w:szCs w:val="24"/>
    </w:rPr>
  </w:style>
  <w:style w:type="paragraph" w:customStyle="1" w:styleId="BoxHeading2">
    <w:name w:val="Box Heading 2"/>
    <w:basedOn w:val="BoxHeading"/>
    <w:autoRedefine/>
    <w:rsid w:val="00D9671F"/>
    <w:pPr>
      <w:spacing w:after="0"/>
    </w:pPr>
    <w:rPr>
      <w:b w:val="0"/>
      <w:bCs/>
      <w:szCs w:val="14"/>
    </w:rPr>
  </w:style>
  <w:style w:type="character" w:customStyle="1" w:styleId="Heading9Char">
    <w:name w:val="Heading 9 Char"/>
    <w:basedOn w:val="DefaultParagraphFont"/>
    <w:link w:val="Heading9"/>
    <w:uiPriority w:val="9"/>
    <w:rsid w:val="00D9671F"/>
    <w:rPr>
      <w:rFonts w:ascii="Cambria" w:eastAsia="Times New Roman" w:hAnsi="Cambria" w:cs="Times New Roman"/>
      <w:lang w:eastAsia="en-AU"/>
    </w:rPr>
  </w:style>
  <w:style w:type="paragraph" w:customStyle="1" w:styleId="GhostLine">
    <w:name w:val="Ghost Line"/>
    <w:basedOn w:val="NoSpacing"/>
    <w:qFormat/>
    <w:rsid w:val="00D9671F"/>
    <w:pPr>
      <w:jc w:val="both"/>
    </w:pPr>
    <w:rPr>
      <w:rFonts w:ascii="Book Antiqua" w:hAnsi="Book Antiqua"/>
      <w:sz w:val="2"/>
    </w:rPr>
  </w:style>
  <w:style w:type="paragraph" w:styleId="NoSpacing">
    <w:name w:val="No Spacing"/>
    <w:uiPriority w:val="1"/>
    <w:qFormat/>
    <w:rsid w:val="00D9671F"/>
    <w:pPr>
      <w:spacing w:after="0" w:line="240" w:lineRule="auto"/>
    </w:pPr>
    <w:rPr>
      <w:rFonts w:eastAsia="Times New Roman" w:cs="Times New Roman"/>
      <w:sz w:val="19"/>
      <w:szCs w:val="20"/>
      <w:lang w:eastAsia="en-AU"/>
    </w:rPr>
  </w:style>
  <w:style w:type="paragraph" w:customStyle="1" w:styleId="Bullet-numbered">
    <w:name w:val="Bullet - numbered"/>
    <w:basedOn w:val="Bullet"/>
    <w:qFormat/>
    <w:rsid w:val="003A1BEE"/>
    <w:pPr>
      <w:numPr>
        <w:numId w:val="21"/>
      </w:numPr>
      <w:ind w:left="284" w:hanging="284"/>
    </w:pPr>
  </w:style>
  <w:style w:type="paragraph" w:customStyle="1" w:styleId="ChartHeading">
    <w:name w:val="Chart Heading"/>
    <w:basedOn w:val="HeadingBase"/>
    <w:next w:val="ChartGraphic"/>
    <w:qFormat/>
    <w:rsid w:val="003A1BEE"/>
    <w:pPr>
      <w:spacing w:before="120" w:after="20"/>
    </w:pPr>
    <w:rPr>
      <w:b/>
      <w:sz w:val="20"/>
    </w:rPr>
  </w:style>
  <w:style w:type="paragraph" w:styleId="Revision">
    <w:name w:val="Revision"/>
    <w:hidden/>
    <w:uiPriority w:val="99"/>
    <w:semiHidden/>
    <w:rsid w:val="003A1BEE"/>
    <w:pPr>
      <w:spacing w:after="0" w:line="240" w:lineRule="auto"/>
    </w:pPr>
    <w:rPr>
      <w:rFonts w:ascii="Book Antiqua" w:eastAsia="Times New Roman" w:hAnsi="Book Antiqua" w:cs="Times New Roman"/>
      <w:sz w:val="19"/>
      <w:szCs w:val="20"/>
      <w:lang w:eastAsia="en-AU"/>
    </w:rPr>
  </w:style>
  <w:style w:type="character" w:styleId="FollowedHyperlink">
    <w:name w:val="FollowedHyperlink"/>
    <w:basedOn w:val="DefaultParagraphFont"/>
    <w:uiPriority w:val="99"/>
    <w:semiHidden/>
    <w:unhideWhenUsed/>
    <w:rsid w:val="003A1BEE"/>
    <w:rPr>
      <w:color w:val="E61E26" w:themeColor="followedHyperlink"/>
      <w:u w:val="single"/>
    </w:rPr>
  </w:style>
  <w:style w:type="paragraph" w:styleId="ListParagraph">
    <w:name w:val="List Paragraph"/>
    <w:basedOn w:val="Normal"/>
    <w:uiPriority w:val="34"/>
    <w:qFormat/>
    <w:rsid w:val="003A1BEE"/>
    <w:pPr>
      <w:ind w:left="720"/>
      <w:contextualSpacing/>
    </w:pPr>
  </w:style>
  <w:style w:type="paragraph" w:customStyle="1" w:styleId="OutlineNumbered1">
    <w:name w:val="Outline Numbered 1"/>
    <w:basedOn w:val="Normal"/>
    <w:link w:val="OutlineNumbered1Char"/>
    <w:rsid w:val="003A1BEE"/>
    <w:pPr>
      <w:numPr>
        <w:numId w:val="29"/>
      </w:numPr>
    </w:p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3A1BEE"/>
    <w:rPr>
      <w:rFonts w:ascii="Book Antiqua" w:eastAsia="Times New Roman" w:hAnsi="Book Antiqua" w:cs="Times New Roman"/>
      <w:sz w:val="19"/>
      <w:szCs w:val="20"/>
      <w:lang w:eastAsia="en-AU"/>
    </w:rPr>
  </w:style>
  <w:style w:type="character" w:customStyle="1" w:styleId="OutlineNumbered1Char">
    <w:name w:val="Outline Numbered 1 Char"/>
    <w:basedOn w:val="BulletChar"/>
    <w:link w:val="OutlineNumbered1"/>
    <w:rsid w:val="003A1BEE"/>
    <w:rPr>
      <w:rFonts w:ascii="Book Antiqua" w:eastAsia="Times New Roman" w:hAnsi="Book Antiqua" w:cs="Times New Roman"/>
      <w:sz w:val="19"/>
      <w:szCs w:val="20"/>
      <w:lang w:eastAsia="en-AU"/>
    </w:rPr>
  </w:style>
  <w:style w:type="paragraph" w:customStyle="1" w:styleId="OutlineNumbered2">
    <w:name w:val="Outline Numbered 2"/>
    <w:basedOn w:val="Normal"/>
    <w:link w:val="OutlineNumbered2Char"/>
    <w:rsid w:val="003A1BEE"/>
    <w:pPr>
      <w:numPr>
        <w:ilvl w:val="1"/>
        <w:numId w:val="29"/>
      </w:numPr>
    </w:pPr>
  </w:style>
  <w:style w:type="character" w:customStyle="1" w:styleId="OutlineNumbered2Char">
    <w:name w:val="Outline Numbered 2 Char"/>
    <w:basedOn w:val="BulletChar"/>
    <w:link w:val="OutlineNumbered2"/>
    <w:rsid w:val="003A1BEE"/>
    <w:rPr>
      <w:rFonts w:ascii="Book Antiqua" w:eastAsia="Times New Roman" w:hAnsi="Book Antiqua" w:cs="Times New Roman"/>
      <w:sz w:val="19"/>
      <w:szCs w:val="20"/>
      <w:lang w:eastAsia="en-AU"/>
    </w:rPr>
  </w:style>
  <w:style w:type="paragraph" w:customStyle="1" w:styleId="OutlineNumbered3">
    <w:name w:val="Outline Numbered 3"/>
    <w:basedOn w:val="Normal"/>
    <w:link w:val="OutlineNumbered3Char"/>
    <w:rsid w:val="003A1BEE"/>
    <w:pPr>
      <w:numPr>
        <w:ilvl w:val="2"/>
        <w:numId w:val="29"/>
      </w:numPr>
    </w:pPr>
  </w:style>
  <w:style w:type="character" w:customStyle="1" w:styleId="OutlineNumbered3Char">
    <w:name w:val="Outline Numbered 3 Char"/>
    <w:basedOn w:val="BulletChar"/>
    <w:link w:val="OutlineNumbered3"/>
    <w:rsid w:val="003A1BEE"/>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3A1BEE"/>
    <w:rPr>
      <w:rFonts w:ascii="Times New Roman" w:hAnsi="Times New Roman"/>
      <w:sz w:val="24"/>
      <w:szCs w:val="24"/>
    </w:rPr>
  </w:style>
  <w:style w:type="character" w:customStyle="1" w:styleId="FramedHeader">
    <w:name w:val="Framed Header"/>
    <w:basedOn w:val="DefaultParagraphFont"/>
    <w:rsid w:val="00D9671F"/>
    <w:rPr>
      <w:rFonts w:ascii="Book Antiqua" w:hAnsi="Book Antiqua"/>
      <w:i/>
      <w:dstrike w:val="0"/>
      <w:color w:val="auto"/>
      <w:sz w:val="20"/>
      <w:vertAlign w:val="baseline"/>
    </w:rPr>
  </w:style>
  <w:style w:type="character" w:customStyle="1" w:styleId="HiddenSequenceCode">
    <w:name w:val="Hidden Sequence Code"/>
    <w:basedOn w:val="DefaultParagraphFont"/>
    <w:rsid w:val="00D9671F"/>
    <w:rPr>
      <w:rFonts w:ascii="Times New Roman" w:hAnsi="Times New Roman"/>
      <w:vanish/>
      <w:sz w:val="16"/>
    </w:rPr>
  </w:style>
  <w:style w:type="character" w:styleId="Mention">
    <w:name w:val="Mention"/>
    <w:basedOn w:val="DefaultParagraphFont"/>
    <w:uiPriority w:val="99"/>
    <w:unhideWhenUsed/>
    <w:rsid w:val="000F6912"/>
    <w:rPr>
      <w:color w:val="2B579A"/>
      <w:shd w:val="clear" w:color="auto" w:fill="E1DFDD"/>
    </w:rPr>
  </w:style>
  <w:style w:type="character" w:styleId="Emphasis">
    <w:name w:val="Emphasis"/>
    <w:basedOn w:val="DefaultParagraphFont"/>
    <w:uiPriority w:val="20"/>
    <w:rsid w:val="0017637C"/>
    <w:rPr>
      <w:i/>
      <w:iCs/>
    </w:rPr>
  </w:style>
  <w:style w:type="character" w:styleId="UnresolvedMention">
    <w:name w:val="Unresolved Mention"/>
    <w:basedOn w:val="DefaultParagraphFont"/>
    <w:uiPriority w:val="99"/>
    <w:semiHidden/>
    <w:unhideWhenUsed/>
    <w:rsid w:val="00C9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211">
      <w:bodyDiv w:val="1"/>
      <w:marLeft w:val="0"/>
      <w:marRight w:val="0"/>
      <w:marTop w:val="0"/>
      <w:marBottom w:val="0"/>
      <w:divBdr>
        <w:top w:val="none" w:sz="0" w:space="0" w:color="auto"/>
        <w:left w:val="none" w:sz="0" w:space="0" w:color="auto"/>
        <w:bottom w:val="none" w:sz="0" w:space="0" w:color="auto"/>
        <w:right w:val="none" w:sz="0" w:space="0" w:color="auto"/>
      </w:divBdr>
    </w:div>
    <w:div w:id="69623377">
      <w:bodyDiv w:val="1"/>
      <w:marLeft w:val="0"/>
      <w:marRight w:val="0"/>
      <w:marTop w:val="0"/>
      <w:marBottom w:val="0"/>
      <w:divBdr>
        <w:top w:val="none" w:sz="0" w:space="0" w:color="auto"/>
        <w:left w:val="none" w:sz="0" w:space="0" w:color="auto"/>
        <w:bottom w:val="none" w:sz="0" w:space="0" w:color="auto"/>
        <w:right w:val="none" w:sz="0" w:space="0" w:color="auto"/>
      </w:divBdr>
    </w:div>
    <w:div w:id="520243898">
      <w:bodyDiv w:val="1"/>
      <w:marLeft w:val="0"/>
      <w:marRight w:val="0"/>
      <w:marTop w:val="0"/>
      <w:marBottom w:val="0"/>
      <w:divBdr>
        <w:top w:val="none" w:sz="0" w:space="0" w:color="auto"/>
        <w:left w:val="none" w:sz="0" w:space="0" w:color="auto"/>
        <w:bottom w:val="none" w:sz="0" w:space="0" w:color="auto"/>
        <w:right w:val="none" w:sz="0" w:space="0" w:color="auto"/>
      </w:divBdr>
    </w:div>
    <w:div w:id="692152271">
      <w:bodyDiv w:val="1"/>
      <w:marLeft w:val="0"/>
      <w:marRight w:val="0"/>
      <w:marTop w:val="0"/>
      <w:marBottom w:val="0"/>
      <w:divBdr>
        <w:top w:val="none" w:sz="0" w:space="0" w:color="auto"/>
        <w:left w:val="none" w:sz="0" w:space="0" w:color="auto"/>
        <w:bottom w:val="none" w:sz="0" w:space="0" w:color="auto"/>
        <w:right w:val="none" w:sz="0" w:space="0" w:color="auto"/>
      </w:divBdr>
    </w:div>
    <w:div w:id="936330974">
      <w:bodyDiv w:val="1"/>
      <w:marLeft w:val="0"/>
      <w:marRight w:val="0"/>
      <w:marTop w:val="0"/>
      <w:marBottom w:val="0"/>
      <w:divBdr>
        <w:top w:val="none" w:sz="0" w:space="0" w:color="auto"/>
        <w:left w:val="none" w:sz="0" w:space="0" w:color="auto"/>
        <w:bottom w:val="none" w:sz="0" w:space="0" w:color="auto"/>
        <w:right w:val="none" w:sz="0" w:space="0" w:color="auto"/>
      </w:divBdr>
    </w:div>
    <w:div w:id="1037240169">
      <w:bodyDiv w:val="1"/>
      <w:marLeft w:val="0"/>
      <w:marRight w:val="0"/>
      <w:marTop w:val="0"/>
      <w:marBottom w:val="0"/>
      <w:divBdr>
        <w:top w:val="none" w:sz="0" w:space="0" w:color="auto"/>
        <w:left w:val="none" w:sz="0" w:space="0" w:color="auto"/>
        <w:bottom w:val="none" w:sz="0" w:space="0" w:color="auto"/>
        <w:right w:val="none" w:sz="0" w:space="0" w:color="auto"/>
      </w:divBdr>
    </w:div>
    <w:div w:id="1504707309">
      <w:bodyDiv w:val="1"/>
      <w:marLeft w:val="0"/>
      <w:marRight w:val="0"/>
      <w:marTop w:val="0"/>
      <w:marBottom w:val="0"/>
      <w:divBdr>
        <w:top w:val="none" w:sz="0" w:space="0" w:color="auto"/>
        <w:left w:val="none" w:sz="0" w:space="0" w:color="auto"/>
        <w:bottom w:val="none" w:sz="0" w:space="0" w:color="auto"/>
        <w:right w:val="none" w:sz="0" w:space="0" w:color="auto"/>
      </w:divBdr>
    </w:div>
    <w:div w:id="1659765211">
      <w:bodyDiv w:val="1"/>
      <w:marLeft w:val="0"/>
      <w:marRight w:val="0"/>
      <w:marTop w:val="0"/>
      <w:marBottom w:val="0"/>
      <w:divBdr>
        <w:top w:val="none" w:sz="0" w:space="0" w:color="auto"/>
        <w:left w:val="none" w:sz="0" w:space="0" w:color="auto"/>
        <w:bottom w:val="none" w:sz="0" w:space="0" w:color="auto"/>
        <w:right w:val="none" w:sz="0" w:space="0" w:color="auto"/>
      </w:divBdr>
    </w:div>
    <w:div w:id="1674987964">
      <w:bodyDiv w:val="1"/>
      <w:marLeft w:val="0"/>
      <w:marRight w:val="0"/>
      <w:marTop w:val="0"/>
      <w:marBottom w:val="0"/>
      <w:divBdr>
        <w:top w:val="none" w:sz="0" w:space="0" w:color="auto"/>
        <w:left w:val="none" w:sz="0" w:space="0" w:color="auto"/>
        <w:bottom w:val="none" w:sz="0" w:space="0" w:color="auto"/>
        <w:right w:val="none" w:sz="0" w:space="0" w:color="auto"/>
      </w:divBdr>
    </w:div>
    <w:div w:id="1698197612">
      <w:bodyDiv w:val="1"/>
      <w:marLeft w:val="0"/>
      <w:marRight w:val="0"/>
      <w:marTop w:val="0"/>
      <w:marBottom w:val="0"/>
      <w:divBdr>
        <w:top w:val="none" w:sz="0" w:space="0" w:color="auto"/>
        <w:left w:val="none" w:sz="0" w:space="0" w:color="auto"/>
        <w:bottom w:val="none" w:sz="0" w:space="0" w:color="auto"/>
        <w:right w:val="none" w:sz="0" w:space="0" w:color="auto"/>
      </w:divBdr>
    </w:div>
    <w:div w:id="21457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21982A0A-0602-4F33-80A6-77FCF521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838A262E-133A-4134-8AC8-FF528C8794C6}">
  <ds:schemaRefs>
    <ds:schemaRef ds:uri="http://schemas.microsoft.com/sharepoint/v3/contenttype/forms"/>
  </ds:schemaRefs>
</ds:datastoreItem>
</file>

<file path=customXml/itemProps4.xml><?xml version="1.0" encoding="utf-8"?>
<ds:datastoreItem xmlns:ds="http://schemas.openxmlformats.org/officeDocument/2006/customXml" ds:itemID="{8C83CEE0-3901-47CD-9BF5-B28FEE571944}">
  <ds:schemaRefs>
    <ds:schemaRef ds:uri="http://purl.org/dc/dcmitype/"/>
    <ds:schemaRef ds:uri="9115ddca-c623-419f-a3c0-6a1c58c4dac8"/>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elements/1.1/"/>
    <ds:schemaRef ds:uri="http://purl.org/dc/terms/"/>
    <ds:schemaRef ds:uri="http://schemas.microsoft.com/office/infopath/2007/PartnerControls"/>
    <ds:schemaRef ds:uri="244fe85f-b655-4145-9b20-543b75dc1c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2651</TotalTime>
  <Pages>22</Pages>
  <Words>3452</Words>
  <Characters>19193</Characters>
  <Application>Microsoft Office Word</Application>
  <DocSecurity>0</DocSecurity>
  <Lines>397</Lines>
  <Paragraphs>160</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22509</CharactersWithSpaces>
  <SharedDoc>false</SharedDoc>
  <HLinks>
    <vt:vector size="72" baseType="variant">
      <vt:variant>
        <vt:i4>1441842</vt:i4>
      </vt:variant>
      <vt:variant>
        <vt:i4>84</vt:i4>
      </vt:variant>
      <vt:variant>
        <vt:i4>0</vt:i4>
      </vt:variant>
      <vt:variant>
        <vt:i4>5</vt:i4>
      </vt:variant>
      <vt:variant>
        <vt:lpwstr/>
      </vt:variant>
      <vt:variant>
        <vt:lpwstr>_Toc166243161</vt:lpwstr>
      </vt:variant>
      <vt:variant>
        <vt:i4>1441842</vt:i4>
      </vt:variant>
      <vt:variant>
        <vt:i4>78</vt:i4>
      </vt:variant>
      <vt:variant>
        <vt:i4>0</vt:i4>
      </vt:variant>
      <vt:variant>
        <vt:i4>5</vt:i4>
      </vt:variant>
      <vt:variant>
        <vt:lpwstr/>
      </vt:variant>
      <vt:variant>
        <vt:lpwstr>_Toc166243160</vt:lpwstr>
      </vt:variant>
      <vt:variant>
        <vt:i4>1376306</vt:i4>
      </vt:variant>
      <vt:variant>
        <vt:i4>72</vt:i4>
      </vt:variant>
      <vt:variant>
        <vt:i4>0</vt:i4>
      </vt:variant>
      <vt:variant>
        <vt:i4>5</vt:i4>
      </vt:variant>
      <vt:variant>
        <vt:lpwstr/>
      </vt:variant>
      <vt:variant>
        <vt:lpwstr>_Toc166243159</vt:lpwstr>
      </vt:variant>
      <vt:variant>
        <vt:i4>1376306</vt:i4>
      </vt:variant>
      <vt:variant>
        <vt:i4>66</vt:i4>
      </vt:variant>
      <vt:variant>
        <vt:i4>0</vt:i4>
      </vt:variant>
      <vt:variant>
        <vt:i4>5</vt:i4>
      </vt:variant>
      <vt:variant>
        <vt:lpwstr/>
      </vt:variant>
      <vt:variant>
        <vt:lpwstr>_Toc166243158</vt:lpwstr>
      </vt:variant>
      <vt:variant>
        <vt:i4>1376306</vt:i4>
      </vt:variant>
      <vt:variant>
        <vt:i4>60</vt:i4>
      </vt:variant>
      <vt:variant>
        <vt:i4>0</vt:i4>
      </vt:variant>
      <vt:variant>
        <vt:i4>5</vt:i4>
      </vt:variant>
      <vt:variant>
        <vt:lpwstr/>
      </vt:variant>
      <vt:variant>
        <vt:lpwstr>_Toc166243157</vt:lpwstr>
      </vt:variant>
      <vt:variant>
        <vt:i4>1376306</vt:i4>
      </vt:variant>
      <vt:variant>
        <vt:i4>54</vt:i4>
      </vt:variant>
      <vt:variant>
        <vt:i4>0</vt:i4>
      </vt:variant>
      <vt:variant>
        <vt:i4>5</vt:i4>
      </vt:variant>
      <vt:variant>
        <vt:lpwstr/>
      </vt:variant>
      <vt:variant>
        <vt:lpwstr>_Toc166243156</vt:lpwstr>
      </vt:variant>
      <vt:variant>
        <vt:i4>1376306</vt:i4>
      </vt:variant>
      <vt:variant>
        <vt:i4>48</vt:i4>
      </vt:variant>
      <vt:variant>
        <vt:i4>0</vt:i4>
      </vt:variant>
      <vt:variant>
        <vt:i4>5</vt:i4>
      </vt:variant>
      <vt:variant>
        <vt:lpwstr/>
      </vt:variant>
      <vt:variant>
        <vt:lpwstr>_Toc166243155</vt:lpwstr>
      </vt:variant>
      <vt:variant>
        <vt:i4>1376306</vt:i4>
      </vt:variant>
      <vt:variant>
        <vt:i4>42</vt:i4>
      </vt:variant>
      <vt:variant>
        <vt:i4>0</vt:i4>
      </vt:variant>
      <vt:variant>
        <vt:i4>5</vt:i4>
      </vt:variant>
      <vt:variant>
        <vt:lpwstr/>
      </vt:variant>
      <vt:variant>
        <vt:lpwstr>_Toc166243154</vt:lpwstr>
      </vt:variant>
      <vt:variant>
        <vt:i4>1376306</vt:i4>
      </vt:variant>
      <vt:variant>
        <vt:i4>36</vt:i4>
      </vt:variant>
      <vt:variant>
        <vt:i4>0</vt:i4>
      </vt:variant>
      <vt:variant>
        <vt:i4>5</vt:i4>
      </vt:variant>
      <vt:variant>
        <vt:lpwstr/>
      </vt:variant>
      <vt:variant>
        <vt:lpwstr>_Toc166243153</vt:lpwstr>
      </vt:variant>
      <vt:variant>
        <vt:i4>2752541</vt:i4>
      </vt:variant>
      <vt:variant>
        <vt:i4>6</vt:i4>
      </vt:variant>
      <vt:variant>
        <vt:i4>0</vt:i4>
      </vt:variant>
      <vt:variant>
        <vt:i4>5</vt:i4>
      </vt:variant>
      <vt:variant>
        <vt:lpwstr>mailto:Adam.Cagliarini@TREASURY.GOV.AU</vt:lpwstr>
      </vt:variant>
      <vt:variant>
        <vt:lpwstr/>
      </vt:variant>
      <vt:variant>
        <vt:i4>7995407</vt:i4>
      </vt:variant>
      <vt:variant>
        <vt:i4>3</vt:i4>
      </vt:variant>
      <vt:variant>
        <vt:i4>0</vt:i4>
      </vt:variant>
      <vt:variant>
        <vt:i4>5</vt:i4>
      </vt:variant>
      <vt:variant>
        <vt:lpwstr>https://austreasury.sharepoint.com/:w:/r/sites/Budget/Shared Documents/2024-25 Budget/0006 Finance Exchange/BP1_BS08/08_BP1_BS8 Finance.docx?d=wcfe84e5a5dd44393a8263ec3bddfa37b&amp;csf=1&amp;web=1&amp;e=SD3cFW</vt:lpwstr>
      </vt:variant>
      <vt:variant>
        <vt:lpwstr/>
      </vt:variant>
      <vt:variant>
        <vt:i4>7995407</vt:i4>
      </vt:variant>
      <vt:variant>
        <vt:i4>0</vt:i4>
      </vt:variant>
      <vt:variant>
        <vt:i4>0</vt:i4>
      </vt:variant>
      <vt:variant>
        <vt:i4>5</vt:i4>
      </vt:variant>
      <vt:variant>
        <vt:lpwstr>https://austreasury.sharepoint.com/:w:/r/sites/Budget/Shared Documents/2024-25 Budget/0006 Finance Exchange/BP1_BS08/08_BP1_BS8 Finance.docx?d=wcfe84e5a5dd44393a8263ec3bddfa37b&amp;csf=1&amp;web=1&amp;e=SD3cFW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8: Forecasting Performance and Sensitivity Analysis</dc:subject>
  <dc:creator>Australian Government</dc:creator>
  <cp:keywords/>
  <dc:description/>
  <cp:lastModifiedBy>Hill, Christine</cp:lastModifiedBy>
  <cp:revision>942</cp:revision>
  <cp:lastPrinted>2024-05-12T02:05:00Z</cp:lastPrinted>
  <dcterms:created xsi:type="dcterms:W3CDTF">2024-03-04T12:51:00Z</dcterms:created>
  <dcterms:modified xsi:type="dcterms:W3CDTF">2024-05-13T04:34:00Z</dcterms:modified>
</cp:coreProperties>
</file>