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50F26" w14:textId="77777777" w:rsidR="002131AA" w:rsidRPr="003F7F1E" w:rsidRDefault="002131AA" w:rsidP="002131AA">
      <w:pPr>
        <w:spacing w:line="240" w:lineRule="auto"/>
      </w:pPr>
      <w:r w:rsidRPr="003F7F1E">
        <w:rPr>
          <w:noProof/>
        </w:rPr>
        <w:drawing>
          <wp:inline distT="0" distB="0" distL="0" distR="0" wp14:anchorId="25EBD9F4" wp14:editId="36284315">
            <wp:extent cx="1271224" cy="1282941"/>
            <wp:effectExtent l="0" t="0" r="5715" b="0"/>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1224" cy="1282941"/>
                    </a:xfrm>
                    <a:prstGeom prst="rect">
                      <a:avLst/>
                    </a:prstGeom>
                  </pic:spPr>
                </pic:pic>
              </a:graphicData>
            </a:graphic>
          </wp:inline>
        </w:drawing>
      </w:r>
    </w:p>
    <w:p w14:paraId="6982EF0E" w14:textId="77777777" w:rsidR="002131AA" w:rsidRPr="003F7F1E" w:rsidRDefault="002131AA" w:rsidP="002131AA">
      <w:pPr>
        <w:spacing w:after="720" w:line="240" w:lineRule="auto"/>
      </w:pPr>
    </w:p>
    <w:p w14:paraId="5F19EC83" w14:textId="77777777" w:rsidR="002131AA" w:rsidRPr="003F7F1E" w:rsidRDefault="002131AA" w:rsidP="002131AA">
      <w:pPr>
        <w:keepNext/>
        <w:spacing w:before="0" w:after="0" w:line="240" w:lineRule="auto"/>
        <w:rPr>
          <w:rFonts w:asciiTheme="majorHAnsi" w:hAnsiTheme="majorHAnsi" w:cstheme="majorHAnsi"/>
          <w:b/>
          <w:bCs/>
          <w:sz w:val="28"/>
          <w:szCs w:val="28"/>
        </w:rPr>
      </w:pPr>
      <w:r w:rsidRPr="003F7F1E">
        <w:rPr>
          <w:rFonts w:asciiTheme="majorHAnsi" w:hAnsiTheme="majorHAnsi" w:cstheme="majorHAnsi"/>
          <w:b/>
          <w:bCs/>
          <w:sz w:val="28"/>
          <w:szCs w:val="28"/>
        </w:rPr>
        <w:t>BUDGET MEASURES</w:t>
      </w:r>
    </w:p>
    <w:p w14:paraId="0093442C" w14:textId="77777777" w:rsidR="002131AA" w:rsidRPr="003F7F1E" w:rsidRDefault="002131AA" w:rsidP="002131AA">
      <w:pPr>
        <w:keepNext/>
        <w:spacing w:before="0" w:after="0" w:line="240" w:lineRule="auto"/>
        <w:rPr>
          <w:rFonts w:asciiTheme="majorHAnsi" w:hAnsiTheme="majorHAnsi" w:cstheme="majorHAnsi"/>
          <w:sz w:val="28"/>
          <w:szCs w:val="28"/>
        </w:rPr>
      </w:pPr>
      <w:r w:rsidRPr="003F7F1E">
        <w:rPr>
          <w:rFonts w:asciiTheme="majorHAnsi" w:hAnsiTheme="majorHAnsi" w:cstheme="majorHAnsi"/>
          <w:sz w:val="28"/>
          <w:szCs w:val="28"/>
        </w:rPr>
        <w:t>BUDGET PAPER NO. 2</w:t>
      </w:r>
    </w:p>
    <w:p w14:paraId="2CAAF2A6" w14:textId="77777777" w:rsidR="002131AA" w:rsidRPr="003F7F1E" w:rsidRDefault="002131AA" w:rsidP="002131AA">
      <w:pPr>
        <w:spacing w:before="3000" w:after="120" w:line="240" w:lineRule="auto"/>
        <w:rPr>
          <w:rFonts w:asciiTheme="majorHAnsi" w:hAnsiTheme="majorHAnsi" w:cstheme="majorHAnsi"/>
        </w:rPr>
      </w:pPr>
    </w:p>
    <w:p w14:paraId="352B99A8" w14:textId="77777777" w:rsidR="002131AA" w:rsidRPr="003F7F1E" w:rsidRDefault="002131AA" w:rsidP="002131AA">
      <w:pPr>
        <w:keepNext/>
        <w:spacing w:before="120" w:after="120" w:line="240" w:lineRule="auto"/>
        <w:rPr>
          <w:rFonts w:asciiTheme="majorHAnsi" w:hAnsiTheme="majorHAnsi" w:cs="Arial"/>
          <w:sz w:val="20"/>
        </w:rPr>
      </w:pPr>
      <w:r w:rsidRPr="003F7F1E">
        <w:rPr>
          <w:rFonts w:asciiTheme="majorHAnsi" w:hAnsiTheme="majorHAnsi" w:cs="Arial"/>
          <w:sz w:val="20"/>
        </w:rPr>
        <w:t>Circulated by</w:t>
      </w:r>
    </w:p>
    <w:p w14:paraId="64B28EB8" w14:textId="77777777" w:rsidR="002131AA" w:rsidRPr="003F7F1E" w:rsidRDefault="002131AA" w:rsidP="002131AA">
      <w:pPr>
        <w:keepNext/>
        <w:spacing w:before="120" w:after="0" w:line="240" w:lineRule="auto"/>
        <w:rPr>
          <w:rFonts w:asciiTheme="majorHAnsi" w:hAnsiTheme="majorHAnsi" w:cs="Arial"/>
          <w:b/>
          <w:bCs/>
          <w:sz w:val="20"/>
        </w:rPr>
      </w:pPr>
      <w:r w:rsidRPr="003F7F1E">
        <w:rPr>
          <w:rFonts w:asciiTheme="majorHAnsi" w:hAnsiTheme="majorHAnsi" w:cs="Arial"/>
          <w:b/>
          <w:bCs/>
          <w:sz w:val="20"/>
        </w:rPr>
        <w:t>The Honourable Jim Chalmers</w:t>
      </w:r>
      <w:r w:rsidRPr="003F7F1E">
        <w:rPr>
          <w:rFonts w:asciiTheme="majorHAnsi" w:hAnsiTheme="majorHAnsi"/>
          <w:b/>
          <w:bCs/>
          <w:sz w:val="20"/>
        </w:rPr>
        <w:t xml:space="preserve"> </w:t>
      </w:r>
      <w:r w:rsidRPr="003F7F1E">
        <w:rPr>
          <w:rFonts w:asciiTheme="majorHAnsi" w:hAnsiTheme="majorHAnsi" w:cs="Arial"/>
          <w:b/>
          <w:bCs/>
          <w:sz w:val="20"/>
        </w:rPr>
        <w:t>MP</w:t>
      </w:r>
    </w:p>
    <w:p w14:paraId="311A1262" w14:textId="77777777" w:rsidR="002131AA" w:rsidRPr="003F7F1E" w:rsidRDefault="002131AA" w:rsidP="002131AA">
      <w:pPr>
        <w:keepNext/>
        <w:spacing w:before="0" w:after="120" w:line="240" w:lineRule="auto"/>
        <w:rPr>
          <w:rFonts w:asciiTheme="majorHAnsi" w:hAnsiTheme="majorHAnsi" w:cs="Arial"/>
          <w:sz w:val="20"/>
        </w:rPr>
      </w:pPr>
      <w:r w:rsidRPr="003F7F1E">
        <w:rPr>
          <w:rFonts w:asciiTheme="majorHAnsi" w:hAnsiTheme="majorHAnsi" w:cs="Arial"/>
          <w:sz w:val="20"/>
        </w:rPr>
        <w:t>Treasurer of the Commonwealth of Australia</w:t>
      </w:r>
    </w:p>
    <w:p w14:paraId="503FFA30" w14:textId="77777777" w:rsidR="002131AA" w:rsidRPr="003F7F1E" w:rsidRDefault="002131AA" w:rsidP="002131AA">
      <w:pPr>
        <w:keepNext/>
        <w:spacing w:before="120" w:after="120" w:line="240" w:lineRule="auto"/>
        <w:rPr>
          <w:rFonts w:asciiTheme="majorHAnsi" w:hAnsiTheme="majorHAnsi" w:cs="Arial"/>
          <w:sz w:val="20"/>
        </w:rPr>
      </w:pPr>
      <w:r w:rsidRPr="003F7F1E">
        <w:rPr>
          <w:rFonts w:asciiTheme="majorHAnsi" w:hAnsiTheme="majorHAnsi" w:cs="Arial"/>
          <w:sz w:val="20"/>
        </w:rPr>
        <w:t>and</w:t>
      </w:r>
    </w:p>
    <w:p w14:paraId="416DF34E" w14:textId="77777777" w:rsidR="002131AA" w:rsidRPr="003F7F1E" w:rsidRDefault="002131AA" w:rsidP="002131AA">
      <w:pPr>
        <w:keepNext/>
        <w:spacing w:before="120" w:after="0" w:line="240" w:lineRule="auto"/>
        <w:rPr>
          <w:rFonts w:asciiTheme="majorHAnsi" w:hAnsiTheme="majorHAnsi" w:cs="Arial"/>
          <w:b/>
          <w:bCs/>
          <w:sz w:val="20"/>
        </w:rPr>
      </w:pPr>
      <w:r w:rsidRPr="003F7F1E">
        <w:rPr>
          <w:rFonts w:asciiTheme="majorHAnsi" w:hAnsiTheme="majorHAnsi" w:cs="Arial"/>
          <w:b/>
          <w:bCs/>
          <w:sz w:val="20"/>
        </w:rPr>
        <w:t>Senator the Honourable Katy Gallagher</w:t>
      </w:r>
    </w:p>
    <w:p w14:paraId="321BD872" w14:textId="43535763" w:rsidR="002131AA" w:rsidRPr="003F7F1E" w:rsidRDefault="002131AA" w:rsidP="002131AA">
      <w:pPr>
        <w:keepNext/>
        <w:spacing w:before="0" w:after="120" w:line="240" w:lineRule="auto"/>
        <w:rPr>
          <w:rFonts w:asciiTheme="majorHAnsi" w:hAnsiTheme="majorHAnsi" w:cs="Arial"/>
          <w:sz w:val="20"/>
        </w:rPr>
      </w:pPr>
      <w:r w:rsidRPr="003F7F1E">
        <w:rPr>
          <w:rFonts w:asciiTheme="majorHAnsi" w:hAnsiTheme="majorHAnsi" w:cs="Arial"/>
          <w:sz w:val="20"/>
        </w:rPr>
        <w:t xml:space="preserve">Minister for Finance, Minister for Women, </w:t>
      </w:r>
      <w:r w:rsidR="00017CEB">
        <w:rPr>
          <w:rFonts w:asciiTheme="majorHAnsi" w:hAnsiTheme="majorHAnsi" w:cs="Arial"/>
          <w:sz w:val="20"/>
        </w:rPr>
        <w:br/>
      </w:r>
      <w:r w:rsidRPr="003F7F1E">
        <w:rPr>
          <w:rFonts w:asciiTheme="majorHAnsi" w:hAnsiTheme="majorHAnsi" w:cs="Arial"/>
          <w:sz w:val="20"/>
        </w:rPr>
        <w:t>Minister for the Public Service of the Commonwealth of Australia</w:t>
      </w:r>
    </w:p>
    <w:p w14:paraId="714B5079" w14:textId="77777777" w:rsidR="002131AA" w:rsidRPr="003F7F1E" w:rsidRDefault="002131AA" w:rsidP="002131AA">
      <w:pPr>
        <w:keepNext/>
        <w:spacing w:before="0" w:after="0" w:line="240" w:lineRule="auto"/>
        <w:rPr>
          <w:rFonts w:asciiTheme="majorHAnsi" w:hAnsiTheme="majorHAnsi" w:cs="Arial"/>
          <w:sz w:val="20"/>
        </w:rPr>
      </w:pPr>
    </w:p>
    <w:p w14:paraId="715B2199" w14:textId="3D5BFDEE" w:rsidR="002131AA" w:rsidRPr="003F7F1E" w:rsidRDefault="002131AA" w:rsidP="002131AA">
      <w:pPr>
        <w:keepNext/>
        <w:spacing w:before="0" w:after="120" w:line="240" w:lineRule="auto"/>
        <w:rPr>
          <w:rFonts w:asciiTheme="majorHAnsi" w:hAnsiTheme="majorHAnsi" w:cs="Arial"/>
          <w:sz w:val="20"/>
        </w:rPr>
      </w:pPr>
      <w:r w:rsidRPr="003F7F1E">
        <w:rPr>
          <w:rFonts w:asciiTheme="majorHAnsi" w:hAnsiTheme="majorHAnsi" w:cs="Arial"/>
          <w:sz w:val="20"/>
        </w:rPr>
        <w:t>For the information of honourable members</w:t>
      </w:r>
      <w:r w:rsidRPr="003F7F1E">
        <w:rPr>
          <w:rFonts w:asciiTheme="majorHAnsi" w:hAnsiTheme="majorHAnsi" w:cs="Arial"/>
          <w:sz w:val="20"/>
        </w:rPr>
        <w:br/>
      </w:r>
      <w:proofErr w:type="gramStart"/>
      <w:r w:rsidRPr="003F7F1E">
        <w:rPr>
          <w:rFonts w:asciiTheme="majorHAnsi" w:hAnsiTheme="majorHAnsi" w:cs="Arial"/>
          <w:sz w:val="20"/>
        </w:rPr>
        <w:t>on the occasion of</w:t>
      </w:r>
      <w:proofErr w:type="gramEnd"/>
      <w:r w:rsidRPr="003F7F1E">
        <w:rPr>
          <w:rFonts w:asciiTheme="majorHAnsi" w:hAnsiTheme="majorHAnsi" w:cs="Arial"/>
          <w:sz w:val="20"/>
        </w:rPr>
        <w:t xml:space="preserve"> the Budget 202</w:t>
      </w:r>
      <w:r>
        <w:rPr>
          <w:rFonts w:asciiTheme="majorHAnsi" w:hAnsiTheme="majorHAnsi" w:cs="Arial"/>
          <w:sz w:val="20"/>
        </w:rPr>
        <w:t>4</w:t>
      </w:r>
      <w:r w:rsidRPr="003F7F1E">
        <w:rPr>
          <w:rFonts w:asciiTheme="majorHAnsi" w:hAnsiTheme="majorHAnsi"/>
          <w:sz w:val="20"/>
        </w:rPr>
        <w:t>–</w:t>
      </w:r>
      <w:r w:rsidRPr="003F7F1E">
        <w:rPr>
          <w:rFonts w:asciiTheme="majorHAnsi" w:hAnsiTheme="majorHAnsi" w:cs="Arial"/>
          <w:sz w:val="20"/>
        </w:rPr>
        <w:t>2</w:t>
      </w:r>
      <w:r>
        <w:rPr>
          <w:rFonts w:asciiTheme="majorHAnsi" w:hAnsiTheme="majorHAnsi" w:cs="Arial"/>
          <w:sz w:val="20"/>
        </w:rPr>
        <w:t>5</w:t>
      </w:r>
    </w:p>
    <w:p w14:paraId="5024DD4C" w14:textId="7D43AF15" w:rsidR="002131AA" w:rsidRPr="003F7F1E" w:rsidRDefault="002131AA" w:rsidP="002131AA">
      <w:pPr>
        <w:autoSpaceDE w:val="0"/>
        <w:autoSpaceDN w:val="0"/>
        <w:adjustRightInd w:val="0"/>
        <w:spacing w:before="120" w:after="120" w:line="240" w:lineRule="auto"/>
        <w:rPr>
          <w:rFonts w:asciiTheme="majorHAnsi" w:hAnsiTheme="majorHAnsi"/>
          <w:b/>
          <w:bCs/>
          <w:spacing w:val="-10"/>
          <w:sz w:val="22"/>
          <w:szCs w:val="22"/>
        </w:rPr>
      </w:pPr>
      <w:r>
        <w:rPr>
          <w:rFonts w:asciiTheme="majorHAnsi" w:hAnsiTheme="majorHAnsi" w:cs="Arial"/>
          <w:b/>
          <w:bCs/>
          <w:spacing w:val="-10"/>
          <w:sz w:val="20"/>
        </w:rPr>
        <w:t>14</w:t>
      </w:r>
      <w:r w:rsidRPr="003F7F1E">
        <w:rPr>
          <w:rFonts w:asciiTheme="majorHAnsi" w:hAnsiTheme="majorHAnsi" w:cs="Arial"/>
          <w:b/>
          <w:bCs/>
          <w:spacing w:val="-10"/>
          <w:sz w:val="20"/>
        </w:rPr>
        <w:t xml:space="preserve"> May 202</w:t>
      </w:r>
      <w:r>
        <w:rPr>
          <w:rFonts w:asciiTheme="majorHAnsi" w:hAnsiTheme="majorHAnsi" w:cs="Arial"/>
          <w:b/>
          <w:bCs/>
          <w:spacing w:val="-10"/>
          <w:sz w:val="20"/>
        </w:rPr>
        <w:t>4</w:t>
      </w:r>
      <w:r w:rsidRPr="003F7F1E">
        <w:rPr>
          <w:rFonts w:asciiTheme="majorHAnsi" w:hAnsiTheme="majorHAnsi"/>
          <w:b/>
          <w:bCs/>
          <w:spacing w:val="-10"/>
          <w:sz w:val="22"/>
          <w:szCs w:val="22"/>
        </w:rPr>
        <w:br w:type="page"/>
      </w:r>
    </w:p>
    <w:p w14:paraId="314A8A0C" w14:textId="0A7F73CC" w:rsidR="002131AA" w:rsidRPr="003F7F1E" w:rsidRDefault="002131AA" w:rsidP="002131AA">
      <w:pPr>
        <w:spacing w:after="140"/>
        <w:rPr>
          <w:spacing w:val="-2"/>
        </w:rPr>
      </w:pPr>
      <w:r w:rsidRPr="003F7F1E">
        <w:lastRenderedPageBreak/>
        <w:t>© Commonwealth of Australia 202</w:t>
      </w:r>
      <w:r>
        <w:t>4</w:t>
      </w:r>
    </w:p>
    <w:p w14:paraId="139EB53F" w14:textId="77777777" w:rsidR="002131AA" w:rsidRPr="003F7F1E" w:rsidRDefault="002131AA" w:rsidP="002131AA">
      <w:pPr>
        <w:spacing w:before="0" w:after="200"/>
      </w:pPr>
      <w:r w:rsidRPr="003F7F1E">
        <w:t>ISSN 0728 7194 (print); 1326 4133 (online)</w:t>
      </w:r>
    </w:p>
    <w:p w14:paraId="4A9BDEEB" w14:textId="69C08242" w:rsidR="002131AA" w:rsidRPr="003F7F1E" w:rsidRDefault="002131AA" w:rsidP="00EF0B90">
      <w:pPr>
        <w:rPr>
          <w:rFonts w:cs="Swiss 721 BT"/>
        </w:rPr>
      </w:pPr>
      <w:r w:rsidRPr="003F7F1E">
        <w:t xml:space="preserve">This publication is available for your use under a </w:t>
      </w:r>
      <w:hyperlink r:id="rId12" w:history="1">
        <w:r w:rsidR="00886587" w:rsidRPr="00603593">
          <w:t>Creative Commons Attribution 4.0 International</w:t>
        </w:r>
      </w:hyperlink>
      <w:r w:rsidRPr="003F7F1E">
        <w:t xml:space="preserve"> licence, with the exception of the Commonwealth Coat of Arms, third</w:t>
      </w:r>
      <w:r w:rsidR="00F15EE3">
        <w:noBreakHyphen/>
      </w:r>
      <w:r w:rsidRPr="003F7F1E">
        <w:t xml:space="preserve">party content and where otherwise stated. The full licence terms are available from </w:t>
      </w:r>
      <w:hyperlink r:id="rId13" w:history="1">
        <w:r w:rsidR="005C6A4E">
          <w:rPr>
            <w:u w:val="single"/>
          </w:rPr>
          <w:t>http://creativecommons.org/licenses/by/4.0/legalcode</w:t>
        </w:r>
      </w:hyperlink>
      <w:r w:rsidRPr="003F7F1E">
        <w:t>.</w:t>
      </w:r>
    </w:p>
    <w:p w14:paraId="58C3BD94" w14:textId="77777777" w:rsidR="002131AA" w:rsidRPr="003F7F1E" w:rsidRDefault="002131AA" w:rsidP="002131AA">
      <w:pPr>
        <w:spacing w:before="120" w:after="120" w:line="240" w:lineRule="auto"/>
        <w:ind w:right="-113"/>
      </w:pPr>
      <w:r w:rsidRPr="003F7F1E">
        <w:rPr>
          <w:noProof/>
        </w:rPr>
        <w:drawing>
          <wp:inline distT="0" distB="0" distL="0" distR="0" wp14:anchorId="1BFDBCB5" wp14:editId="703D20E0">
            <wp:extent cx="887095" cy="307340"/>
            <wp:effectExtent l="0" t="0" r="8255" b="0"/>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7095" cy="307340"/>
                    </a:xfrm>
                    <a:prstGeom prst="rect">
                      <a:avLst/>
                    </a:prstGeom>
                    <a:noFill/>
                    <a:ln>
                      <a:noFill/>
                    </a:ln>
                  </pic:spPr>
                </pic:pic>
              </a:graphicData>
            </a:graphic>
          </wp:inline>
        </w:drawing>
      </w:r>
    </w:p>
    <w:p w14:paraId="684CB94B" w14:textId="32B8FD26" w:rsidR="002131AA" w:rsidRPr="003F7F1E" w:rsidRDefault="002131AA" w:rsidP="002131AA">
      <w:pPr>
        <w:tabs>
          <w:tab w:val="left" w:pos="1650"/>
        </w:tabs>
        <w:spacing w:before="120" w:after="120"/>
        <w:rPr>
          <w:rFonts w:cs="Calibri"/>
          <w:color w:val="000000"/>
          <w:spacing w:val="-2"/>
        </w:rPr>
      </w:pPr>
      <w:r w:rsidRPr="003F7F1E">
        <w:rPr>
          <w:rFonts w:cs="Calibri"/>
          <w:color w:val="000000"/>
          <w:spacing w:val="-2"/>
        </w:rPr>
        <w:t xml:space="preserve">Use of Commonwealth of Australia material </w:t>
      </w:r>
      <w:r w:rsidRPr="00702A74">
        <w:rPr>
          <w:rFonts w:cs="Calibri"/>
          <w:spacing w:val="-2"/>
        </w:rPr>
        <w:t xml:space="preserve">under </w:t>
      </w:r>
      <w:r w:rsidR="007674AD">
        <w:rPr>
          <w:rFonts w:cs="Calibri"/>
          <w:spacing w:val="-2"/>
        </w:rPr>
        <w:t xml:space="preserve">a </w:t>
      </w:r>
      <w:hyperlink r:id="rId15" w:history="1">
        <w:r w:rsidR="00886587" w:rsidRPr="00C472EA">
          <w:t>Creative Commons Attribution 4.0 International</w:t>
        </w:r>
      </w:hyperlink>
      <w:r w:rsidRPr="00C472EA">
        <w:t xml:space="preserve"> </w:t>
      </w:r>
      <w:r w:rsidRPr="003F7F1E">
        <w:rPr>
          <w:spacing w:val="-2"/>
        </w:rPr>
        <w:t xml:space="preserve">licence requires you to attribute the work </w:t>
      </w:r>
      <w:r w:rsidRPr="003F7F1E">
        <w:rPr>
          <w:rFonts w:cs="Calibri"/>
          <w:color w:val="000000"/>
          <w:spacing w:val="-2"/>
        </w:rPr>
        <w:t>(but not in any way that suggests that the Commonwealth of Australia endorses you or your use of the work).</w:t>
      </w:r>
    </w:p>
    <w:p w14:paraId="626D6CFA" w14:textId="36AE005E" w:rsidR="002131AA" w:rsidRPr="003F7F1E" w:rsidRDefault="002131AA" w:rsidP="002131AA">
      <w:pPr>
        <w:spacing w:after="0"/>
        <w:rPr>
          <w:rFonts w:cs="Calibri"/>
          <w:b/>
          <w:iCs/>
          <w:color w:val="000000"/>
          <w:spacing w:val="-2"/>
        </w:rPr>
      </w:pPr>
      <w:r w:rsidRPr="003F7F1E">
        <w:rPr>
          <w:rFonts w:cs="Calibri"/>
          <w:b/>
          <w:iCs/>
          <w:color w:val="000000"/>
          <w:spacing w:val="-2"/>
        </w:rPr>
        <w:t xml:space="preserve">Commonwealth of Australia material used </w:t>
      </w:r>
      <w:r w:rsidR="00F15EE3">
        <w:rPr>
          <w:rFonts w:cs="Calibri"/>
          <w:b/>
          <w:iCs/>
          <w:color w:val="000000"/>
          <w:spacing w:val="-2"/>
        </w:rPr>
        <w:t>‘</w:t>
      </w:r>
      <w:r w:rsidRPr="003F7F1E">
        <w:rPr>
          <w:rFonts w:cs="Calibri"/>
          <w:b/>
          <w:iCs/>
          <w:color w:val="000000"/>
          <w:spacing w:val="-2"/>
        </w:rPr>
        <w:t>as supplied</w:t>
      </w:r>
      <w:r w:rsidR="00F15EE3">
        <w:rPr>
          <w:rFonts w:cs="Calibri"/>
          <w:b/>
          <w:iCs/>
          <w:color w:val="000000"/>
          <w:spacing w:val="-2"/>
        </w:rPr>
        <w:t>’</w:t>
      </w:r>
      <w:r w:rsidRPr="003F7F1E">
        <w:rPr>
          <w:rFonts w:cs="Calibri"/>
          <w:b/>
          <w:iCs/>
          <w:color w:val="000000"/>
          <w:spacing w:val="-2"/>
        </w:rPr>
        <w:t>.</w:t>
      </w:r>
    </w:p>
    <w:p w14:paraId="1AFAA0E4" w14:textId="77777777" w:rsidR="002131AA" w:rsidRPr="003F7F1E" w:rsidRDefault="002131AA" w:rsidP="002131AA">
      <w:pPr>
        <w:spacing w:before="0" w:after="120"/>
        <w:rPr>
          <w:spacing w:val="-2"/>
        </w:rPr>
      </w:pPr>
      <w:r w:rsidRPr="003F7F1E">
        <w:rPr>
          <w:spacing w:val="-2"/>
        </w:rPr>
        <w:t>Provided you have not modified or transformed Commonwealth of Australia material in any way including, for example, by changing the Commonwealth of Australia text; calculating percentage changes; graphing or charting data; or deriving new statistics from published statistics – then the Commonwealth of Australia prefers the following attribution:</w:t>
      </w:r>
    </w:p>
    <w:p w14:paraId="1BFB1E27" w14:textId="77777777" w:rsidR="002131AA" w:rsidRPr="003F7F1E" w:rsidRDefault="002131AA" w:rsidP="002131AA">
      <w:pPr>
        <w:spacing w:before="120" w:after="140"/>
        <w:ind w:left="567"/>
        <w:rPr>
          <w:rFonts w:cs="Calibri"/>
          <w:color w:val="000000"/>
          <w:spacing w:val="-2"/>
        </w:rPr>
      </w:pPr>
      <w:r w:rsidRPr="003F7F1E">
        <w:rPr>
          <w:rFonts w:cs="Calibri"/>
          <w:color w:val="000000"/>
          <w:spacing w:val="-2"/>
        </w:rPr>
        <w:t xml:space="preserve">Source: </w:t>
      </w:r>
      <w:r w:rsidRPr="003F7F1E">
        <w:rPr>
          <w:rFonts w:cs="Calibri"/>
          <w:i/>
          <w:iCs/>
          <w:spacing w:val="-2"/>
        </w:rPr>
        <w:t xml:space="preserve">The </w:t>
      </w:r>
      <w:r w:rsidRPr="003F7F1E">
        <w:rPr>
          <w:rFonts w:cs="Calibri"/>
          <w:i/>
          <w:color w:val="000000"/>
          <w:spacing w:val="-2"/>
        </w:rPr>
        <w:t>Commonwealth of Australia</w:t>
      </w:r>
      <w:r w:rsidRPr="003F7F1E">
        <w:rPr>
          <w:rFonts w:cs="Calibri"/>
          <w:i/>
          <w:iCs/>
          <w:spacing w:val="-2"/>
        </w:rPr>
        <w:t>.</w:t>
      </w:r>
    </w:p>
    <w:p w14:paraId="0BC0710C" w14:textId="77777777" w:rsidR="002131AA" w:rsidRPr="003F7F1E" w:rsidRDefault="002131AA" w:rsidP="002131AA">
      <w:pPr>
        <w:spacing w:after="0"/>
        <w:rPr>
          <w:rFonts w:cs="Calibri"/>
          <w:b/>
          <w:iCs/>
          <w:color w:val="000000"/>
          <w:spacing w:val="-2"/>
        </w:rPr>
      </w:pPr>
      <w:r w:rsidRPr="003F7F1E">
        <w:rPr>
          <w:rFonts w:cs="Calibri"/>
          <w:b/>
          <w:iCs/>
          <w:color w:val="000000"/>
          <w:spacing w:val="-2"/>
        </w:rPr>
        <w:t>Derivative material</w:t>
      </w:r>
    </w:p>
    <w:p w14:paraId="70BD99A5" w14:textId="77777777" w:rsidR="002131AA" w:rsidRPr="003F7F1E" w:rsidRDefault="002131AA" w:rsidP="002131AA">
      <w:pPr>
        <w:spacing w:before="0" w:after="120"/>
        <w:rPr>
          <w:rFonts w:cs="Calibri"/>
          <w:color w:val="000000"/>
          <w:spacing w:val="-2"/>
        </w:rPr>
      </w:pPr>
      <w:r w:rsidRPr="003F7F1E">
        <w:rPr>
          <w:rFonts w:cs="Calibri"/>
          <w:color w:val="000000"/>
          <w:spacing w:val="-2"/>
        </w:rPr>
        <w:t>If you have modified or transformed Commonwealth of Australia material, or derived new material from those of the Commonwealth of Australia in any way, then the Commonwealth of Australia prefers the following attribution:</w:t>
      </w:r>
    </w:p>
    <w:p w14:paraId="34BC494D" w14:textId="77777777" w:rsidR="002131AA" w:rsidRPr="003F7F1E" w:rsidRDefault="002131AA" w:rsidP="002131AA">
      <w:pPr>
        <w:spacing w:before="120" w:after="140"/>
        <w:ind w:left="567"/>
        <w:rPr>
          <w:rFonts w:cs="Calibri"/>
          <w:i/>
          <w:color w:val="000000"/>
          <w:spacing w:val="-2"/>
        </w:rPr>
      </w:pPr>
      <w:r w:rsidRPr="003F7F1E">
        <w:rPr>
          <w:rFonts w:cs="Calibri"/>
          <w:i/>
          <w:color w:val="000000"/>
          <w:spacing w:val="-2"/>
        </w:rPr>
        <w:t>Based on Commonwealth of Australia data.</w:t>
      </w:r>
    </w:p>
    <w:p w14:paraId="3654DA47" w14:textId="77777777" w:rsidR="002131AA" w:rsidRPr="00EF0B90" w:rsidRDefault="002131AA" w:rsidP="002131AA">
      <w:pPr>
        <w:spacing w:after="0"/>
        <w:rPr>
          <w:spacing w:val="-2"/>
          <w:szCs w:val="19"/>
        </w:rPr>
      </w:pPr>
      <w:r w:rsidRPr="00EF0B90">
        <w:rPr>
          <w:rFonts w:cs="Calibri"/>
          <w:b/>
          <w:color w:val="000000"/>
          <w:spacing w:val="-2"/>
          <w:szCs w:val="19"/>
        </w:rPr>
        <w:t>Use of the Coat of Arms</w:t>
      </w:r>
    </w:p>
    <w:p w14:paraId="70469E52" w14:textId="5F42B89E" w:rsidR="002131AA" w:rsidRPr="003F7F1E" w:rsidRDefault="002131AA" w:rsidP="002131AA">
      <w:pPr>
        <w:spacing w:before="0" w:after="120"/>
        <w:rPr>
          <w:spacing w:val="-2"/>
        </w:rPr>
      </w:pPr>
      <w:r w:rsidRPr="003F7F1E">
        <w:rPr>
          <w:spacing w:val="-2"/>
        </w:rPr>
        <w:t xml:space="preserve">The terms under which the Coat of Arms can be used are set out on </w:t>
      </w:r>
      <w:r w:rsidRPr="003F7F1E">
        <w:rPr>
          <w:spacing w:val="-2"/>
        </w:rPr>
        <w:br/>
        <w:t xml:space="preserve">the Department of the Prime Minister and Cabinet website (see </w:t>
      </w:r>
      <w:hyperlink r:id="rId16" w:history="1">
        <w:r w:rsidRPr="00C76562">
          <w:rPr>
            <w:rStyle w:val="Hyperlink"/>
          </w:rPr>
          <w:t>www.pmc.gov.au/</w:t>
        </w:r>
        <w:r w:rsidRPr="00C76562">
          <w:rPr>
            <w:rStyle w:val="Hyperlink"/>
          </w:rPr>
          <w:br/>
          <w:t>honours</w:t>
        </w:r>
        <w:r w:rsidR="00F15EE3">
          <w:rPr>
            <w:rStyle w:val="Hyperlink"/>
          </w:rPr>
          <w:noBreakHyphen/>
        </w:r>
        <w:r w:rsidRPr="00C76562">
          <w:rPr>
            <w:rStyle w:val="Hyperlink"/>
          </w:rPr>
          <w:t>and</w:t>
        </w:r>
        <w:r w:rsidR="00F15EE3">
          <w:rPr>
            <w:rStyle w:val="Hyperlink"/>
          </w:rPr>
          <w:noBreakHyphen/>
        </w:r>
        <w:r w:rsidRPr="00C76562">
          <w:rPr>
            <w:rStyle w:val="Hyperlink"/>
          </w:rPr>
          <w:t>symbols/commonwealth</w:t>
        </w:r>
        <w:r w:rsidR="00F15EE3">
          <w:rPr>
            <w:rStyle w:val="Hyperlink"/>
          </w:rPr>
          <w:noBreakHyphen/>
        </w:r>
        <w:r w:rsidRPr="00C76562">
          <w:rPr>
            <w:rStyle w:val="Hyperlink"/>
          </w:rPr>
          <w:t>coat</w:t>
        </w:r>
        <w:r w:rsidR="00F15EE3">
          <w:rPr>
            <w:rStyle w:val="Hyperlink"/>
          </w:rPr>
          <w:noBreakHyphen/>
        </w:r>
        <w:r w:rsidRPr="00C76562">
          <w:rPr>
            <w:rStyle w:val="Hyperlink"/>
          </w:rPr>
          <w:t>arms</w:t>
        </w:r>
      </w:hyperlink>
      <w:r w:rsidRPr="003F7F1E">
        <w:rPr>
          <w:color w:val="000000" w:themeColor="text1"/>
          <w:spacing w:val="-2"/>
        </w:rPr>
        <w:t>).</w:t>
      </w:r>
    </w:p>
    <w:p w14:paraId="6034A965" w14:textId="77777777" w:rsidR="002131AA" w:rsidRPr="00EF0B90" w:rsidRDefault="002131AA" w:rsidP="002131AA">
      <w:pPr>
        <w:spacing w:after="0"/>
        <w:rPr>
          <w:rFonts w:cs="Calibri"/>
          <w:b/>
          <w:color w:val="000000"/>
          <w:spacing w:val="-2"/>
          <w:szCs w:val="19"/>
        </w:rPr>
      </w:pPr>
      <w:r w:rsidRPr="00EF0B90">
        <w:rPr>
          <w:rFonts w:cs="Calibri"/>
          <w:b/>
          <w:color w:val="000000"/>
          <w:spacing w:val="-2"/>
          <w:szCs w:val="19"/>
        </w:rPr>
        <w:t>Other uses</w:t>
      </w:r>
    </w:p>
    <w:p w14:paraId="5F538066" w14:textId="77777777" w:rsidR="002131AA" w:rsidRPr="003F7F1E" w:rsidRDefault="002131AA" w:rsidP="002131AA">
      <w:pPr>
        <w:spacing w:before="0" w:after="0"/>
        <w:rPr>
          <w:rFonts w:cs="Calibri"/>
          <w:i/>
          <w:spacing w:val="-2"/>
        </w:rPr>
      </w:pPr>
      <w:r w:rsidRPr="003F7F1E">
        <w:rPr>
          <w:rFonts w:cs="Calibri"/>
          <w:spacing w:val="-2"/>
        </w:rPr>
        <w:t>Enquiries regarding this licence and any other use of this document are welcome at:</w:t>
      </w:r>
    </w:p>
    <w:p w14:paraId="2171BACC" w14:textId="77777777" w:rsidR="002131AA" w:rsidRPr="003F7F1E" w:rsidRDefault="002131AA" w:rsidP="002131AA">
      <w:pPr>
        <w:spacing w:after="140"/>
        <w:ind w:left="567"/>
        <w:rPr>
          <w:rFonts w:cs="Calibri"/>
          <w:spacing w:val="-2"/>
        </w:rPr>
      </w:pPr>
      <w:r w:rsidRPr="003F7F1E">
        <w:rPr>
          <w:rFonts w:cs="Calibri"/>
          <w:spacing w:val="-2"/>
        </w:rPr>
        <w:t>Manager</w:t>
      </w:r>
      <w:r w:rsidRPr="003F7F1E">
        <w:rPr>
          <w:rFonts w:cs="Calibri"/>
          <w:spacing w:val="-2"/>
        </w:rPr>
        <w:br/>
        <w:t>Media Unit</w:t>
      </w:r>
      <w:r w:rsidRPr="003F7F1E">
        <w:rPr>
          <w:rFonts w:cs="Calibri"/>
          <w:spacing w:val="-2"/>
        </w:rPr>
        <w:br/>
        <w:t>The Treasury</w:t>
      </w:r>
      <w:r w:rsidRPr="003F7F1E">
        <w:rPr>
          <w:rFonts w:cs="Calibri"/>
          <w:spacing w:val="-2"/>
        </w:rPr>
        <w:br/>
        <w:t xml:space="preserve">Langton Crescent </w:t>
      </w:r>
      <w:r w:rsidRPr="003F7F1E">
        <w:rPr>
          <w:rFonts w:cs="Calibri"/>
          <w:spacing w:val="-2"/>
        </w:rPr>
        <w:br/>
      </w:r>
      <w:proofErr w:type="gramStart"/>
      <w:r w:rsidRPr="003F7F1E">
        <w:rPr>
          <w:rFonts w:cs="Calibri"/>
          <w:spacing w:val="-2"/>
        </w:rPr>
        <w:t>Parkes  ACT</w:t>
      </w:r>
      <w:proofErr w:type="gramEnd"/>
      <w:r w:rsidRPr="003F7F1E">
        <w:rPr>
          <w:rFonts w:cs="Calibri"/>
          <w:spacing w:val="-2"/>
        </w:rPr>
        <w:t>  2600</w:t>
      </w:r>
      <w:r w:rsidRPr="003F7F1E">
        <w:rPr>
          <w:rFonts w:cs="Calibri"/>
          <w:spacing w:val="-2"/>
        </w:rPr>
        <w:br/>
        <w:t xml:space="preserve">Email: </w:t>
      </w:r>
      <w:hyperlink r:id="rId17" w:history="1">
        <w:r w:rsidRPr="003F7F1E">
          <w:rPr>
            <w:rFonts w:cs="Calibri"/>
            <w:color w:val="000000" w:themeColor="text1"/>
            <w:spacing w:val="-2"/>
            <w:u w:val="single"/>
          </w:rPr>
          <w:t>media@treasury.gov.au</w:t>
        </w:r>
      </w:hyperlink>
    </w:p>
    <w:p w14:paraId="2317F39C" w14:textId="77777777" w:rsidR="002131AA" w:rsidRPr="00EF0B90" w:rsidRDefault="002131AA" w:rsidP="002131AA">
      <w:pPr>
        <w:spacing w:after="0"/>
        <w:rPr>
          <w:rFonts w:cs="Calibri"/>
          <w:b/>
          <w:color w:val="000000"/>
          <w:spacing w:val="-2"/>
          <w:szCs w:val="19"/>
        </w:rPr>
      </w:pPr>
      <w:r w:rsidRPr="00EF0B90">
        <w:rPr>
          <w:rFonts w:cs="Calibri"/>
          <w:b/>
          <w:color w:val="000000"/>
          <w:spacing w:val="-2"/>
          <w:szCs w:val="19"/>
        </w:rPr>
        <w:t>Internet</w:t>
      </w:r>
    </w:p>
    <w:p w14:paraId="68E976CB" w14:textId="77777777" w:rsidR="002131AA" w:rsidRPr="003F7F1E" w:rsidRDefault="002131AA" w:rsidP="002131AA">
      <w:pPr>
        <w:spacing w:before="0" w:after="0"/>
        <w:rPr>
          <w:spacing w:val="-2"/>
        </w:rPr>
      </w:pPr>
      <w:r w:rsidRPr="003F7F1E">
        <w:rPr>
          <w:spacing w:val="-2"/>
        </w:rPr>
        <w:t xml:space="preserve">A copy of this document is available on the central Budget website at: </w:t>
      </w:r>
      <w:hyperlink r:id="rId18" w:history="1">
        <w:r w:rsidRPr="003F7F1E">
          <w:rPr>
            <w:spacing w:val="-2"/>
          </w:rPr>
          <w:t>www.budget.gov.au</w:t>
        </w:r>
      </w:hyperlink>
      <w:r w:rsidRPr="003F7F1E">
        <w:rPr>
          <w:spacing w:val="-2"/>
        </w:rPr>
        <w:t>.</w:t>
      </w:r>
    </w:p>
    <w:p w14:paraId="5F7F42C1" w14:textId="77777777" w:rsidR="002131AA" w:rsidRPr="003F7F1E" w:rsidRDefault="002131AA" w:rsidP="002131AA">
      <w:pPr>
        <w:spacing w:before="120"/>
        <w:sectPr w:rsidR="002131AA" w:rsidRPr="003F7F1E" w:rsidSect="004242CF">
          <w:pgSz w:w="11906" w:h="16838" w:code="9"/>
          <w:pgMar w:top="2835" w:right="2098" w:bottom="2466" w:left="2098" w:header="1814" w:footer="1814" w:gutter="0"/>
          <w:pgNumType w:fmt="lowerRoman" w:start="3"/>
          <w:cols w:space="709"/>
          <w:vAlign w:val="bottom"/>
          <w:titlePg/>
        </w:sectPr>
      </w:pPr>
      <w:r w:rsidRPr="003F7F1E">
        <w:t xml:space="preserve">Printed by </w:t>
      </w:r>
      <w:proofErr w:type="spellStart"/>
      <w:r w:rsidRPr="003F7F1E">
        <w:t>CanPrint</w:t>
      </w:r>
      <w:proofErr w:type="spellEnd"/>
      <w:r w:rsidRPr="003F7F1E">
        <w:t xml:space="preserve"> Communications Pty Ltd. </w:t>
      </w:r>
    </w:p>
    <w:p w14:paraId="3030CD5E" w14:textId="77777777" w:rsidR="002131AA" w:rsidRPr="003F7F1E" w:rsidRDefault="002131AA" w:rsidP="006551AB">
      <w:pPr>
        <w:pStyle w:val="Heading1"/>
      </w:pPr>
      <w:bookmarkStart w:id="0" w:name="_Toc99123153"/>
      <w:bookmarkStart w:id="1" w:name="_Toc99123816"/>
      <w:bookmarkStart w:id="2" w:name="_Toc99144162"/>
      <w:bookmarkStart w:id="3" w:name="_Toc117274285"/>
      <w:bookmarkStart w:id="4" w:name="_Toc117275792"/>
      <w:bookmarkStart w:id="5" w:name="_Toc166146836"/>
      <w:bookmarkStart w:id="6" w:name="_Toc166161463"/>
      <w:bookmarkStart w:id="7" w:name="_Toc166161599"/>
      <w:bookmarkStart w:id="8" w:name="_Toc166162509"/>
      <w:bookmarkStart w:id="9" w:name="_Toc166162752"/>
      <w:bookmarkStart w:id="10" w:name="_Toc166162973"/>
      <w:bookmarkStart w:id="11" w:name="_Toc166164596"/>
      <w:bookmarkStart w:id="12" w:name="_Toc166180562"/>
      <w:bookmarkStart w:id="13" w:name="_Toc166181116"/>
      <w:bookmarkStart w:id="14" w:name="_Toc166181240"/>
      <w:r w:rsidRPr="003F7F1E">
        <w:lastRenderedPageBreak/>
        <w:t>Foreword</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5B434E29" w14:textId="4A68A36B" w:rsidR="002131AA" w:rsidRPr="003F7F1E" w:rsidRDefault="002131AA" w:rsidP="002131AA">
      <w:r w:rsidRPr="003F7F1E">
        <w:t xml:space="preserve">Budget Paper No. 2, </w:t>
      </w:r>
      <w:r w:rsidRPr="003F7F1E">
        <w:rPr>
          <w:i/>
        </w:rPr>
        <w:t>Budget Measures 202</w:t>
      </w:r>
      <w:r w:rsidR="001D762D">
        <w:rPr>
          <w:i/>
        </w:rPr>
        <w:t>4</w:t>
      </w:r>
      <w:r w:rsidRPr="003F7F1E">
        <w:rPr>
          <w:i/>
        </w:rPr>
        <w:t>–2</w:t>
      </w:r>
      <w:r w:rsidR="00A05F9D">
        <w:rPr>
          <w:i/>
        </w:rPr>
        <w:t>5</w:t>
      </w:r>
      <w:r w:rsidRPr="003F7F1E">
        <w:t xml:space="preserve"> ensures that the Budget Papers provide comprehensive information on all Government decisions that involve changes to its payment and receipt activities since the </w:t>
      </w:r>
      <w:r>
        <w:rPr>
          <w:i/>
          <w:iCs/>
        </w:rPr>
        <w:t>202</w:t>
      </w:r>
      <w:r w:rsidR="00A05F9D">
        <w:rPr>
          <w:i/>
          <w:iCs/>
        </w:rPr>
        <w:t>3</w:t>
      </w:r>
      <w:r w:rsidR="00F15EE3">
        <w:rPr>
          <w:i/>
          <w:iCs/>
        </w:rPr>
        <w:t>–</w:t>
      </w:r>
      <w:r>
        <w:rPr>
          <w:i/>
          <w:iCs/>
        </w:rPr>
        <w:t>2</w:t>
      </w:r>
      <w:r w:rsidR="007C1467">
        <w:rPr>
          <w:i/>
          <w:iCs/>
        </w:rPr>
        <w:t>4</w:t>
      </w:r>
      <w:r>
        <w:rPr>
          <w:i/>
          <w:iCs/>
        </w:rPr>
        <w:t xml:space="preserve"> </w:t>
      </w:r>
      <w:r w:rsidR="007674AD">
        <w:rPr>
          <w:i/>
          <w:iCs/>
        </w:rPr>
        <w:t>M</w:t>
      </w:r>
      <w:r w:rsidR="008B2E4B">
        <w:rPr>
          <w:i/>
          <w:iCs/>
        </w:rPr>
        <w:t>id-Year Economic and Fiscal Outlook</w:t>
      </w:r>
      <w:r w:rsidRPr="003F7F1E">
        <w:rPr>
          <w:i/>
        </w:rPr>
        <w:t xml:space="preserve"> </w:t>
      </w:r>
      <w:r w:rsidRPr="003F7F1E">
        <w:t xml:space="preserve">released in </w:t>
      </w:r>
      <w:r w:rsidR="00E35BBF">
        <w:t>December</w:t>
      </w:r>
      <w:r w:rsidRPr="003F7F1E">
        <w:t xml:space="preserve"> 202</w:t>
      </w:r>
      <w:r w:rsidR="007C1467">
        <w:t>3</w:t>
      </w:r>
      <w:r w:rsidRPr="003F7F1E">
        <w:rPr>
          <w:i/>
        </w:rPr>
        <w:t xml:space="preserve">. </w:t>
      </w:r>
      <w:r w:rsidRPr="003F7F1E">
        <w:t>This information is outlined in two parts:</w:t>
      </w:r>
    </w:p>
    <w:p w14:paraId="401A71E2" w14:textId="77777777" w:rsidR="002131AA" w:rsidRPr="003F7F1E" w:rsidRDefault="002131AA" w:rsidP="002131AA">
      <w:pPr>
        <w:numPr>
          <w:ilvl w:val="0"/>
          <w:numId w:val="3"/>
        </w:numPr>
        <w:spacing w:after="160"/>
        <w:ind w:left="284" w:hanging="284"/>
      </w:pPr>
      <w:r w:rsidRPr="003F7F1E">
        <w:t>Part 1:  Receipt Measures</w:t>
      </w:r>
    </w:p>
    <w:p w14:paraId="518FAFA9" w14:textId="77777777" w:rsidR="002131AA" w:rsidRPr="003F7F1E" w:rsidRDefault="002131AA" w:rsidP="002131AA">
      <w:pPr>
        <w:keepLines/>
        <w:numPr>
          <w:ilvl w:val="0"/>
          <w:numId w:val="21"/>
        </w:numPr>
        <w:spacing w:line="260" w:lineRule="exact"/>
        <w:jc w:val="both"/>
      </w:pPr>
      <w:r w:rsidRPr="003F7F1E">
        <w:t>Part 2:  Payment Measures</w:t>
      </w:r>
    </w:p>
    <w:p w14:paraId="1052C7F4" w14:textId="67B93B7B" w:rsidR="002131AA" w:rsidRPr="003F7F1E" w:rsidRDefault="002131AA" w:rsidP="002131AA">
      <w:pPr>
        <w:sectPr w:rsidR="002131AA" w:rsidRPr="003F7F1E" w:rsidSect="004242CF">
          <w:headerReference w:type="even" r:id="rId19"/>
          <w:headerReference w:type="default" r:id="rId20"/>
          <w:footerReference w:type="even" r:id="rId21"/>
          <w:footerReference w:type="default" r:id="rId22"/>
          <w:headerReference w:type="first" r:id="rId23"/>
          <w:footerReference w:type="first" r:id="rId24"/>
          <w:pgSz w:w="11906" w:h="16838" w:code="9"/>
          <w:pgMar w:top="2835" w:right="2098" w:bottom="2466" w:left="2098" w:header="1814" w:footer="1814" w:gutter="0"/>
          <w:pgNumType w:fmt="lowerRoman" w:start="3"/>
          <w:cols w:space="708"/>
          <w:titlePg/>
          <w:docGrid w:linePitch="360"/>
        </w:sectPr>
      </w:pPr>
      <w:r w:rsidRPr="003F7F1E">
        <w:t>Receipt measures are defined as those measures that affect taxation or non</w:t>
      </w:r>
      <w:r w:rsidR="00F15EE3">
        <w:noBreakHyphen/>
      </w:r>
      <w:r w:rsidRPr="003F7F1E">
        <w:t>taxation receipts. Payment measures are defined as those measures that affect operating payments and purchases of non</w:t>
      </w:r>
      <w:r w:rsidR="00F15EE3">
        <w:noBreakHyphen/>
      </w:r>
      <w:r w:rsidRPr="003F7F1E">
        <w:t xml:space="preserve">financial assets. Measures are presented on a cash basis, corresponding with references to the underlying cash balance in Budget Paper No. 1, Budget Strategy and Outlook. </w:t>
      </w:r>
    </w:p>
    <w:p w14:paraId="52CDA226" w14:textId="77777777" w:rsidR="002131AA" w:rsidRDefault="002131AA" w:rsidP="006B75BC">
      <w:pPr>
        <w:pStyle w:val="ContentsHeading"/>
      </w:pPr>
      <w:r w:rsidRPr="003F7F1E">
        <w:lastRenderedPageBreak/>
        <w:t>Contents</w:t>
      </w:r>
    </w:p>
    <w:p w14:paraId="06AA95F1" w14:textId="32B1EA7A" w:rsidR="0075066B" w:rsidRPr="00EA4C90" w:rsidRDefault="005D619F" w:rsidP="005E3FC6">
      <w:pPr>
        <w:pStyle w:val="GhostLine"/>
      </w:pPr>
      <w:r w:rsidRPr="00EA4C90">
        <w:fldChar w:fldCharType="begin"/>
      </w:r>
      <w:r w:rsidRPr="00EA4C90">
        <w:instrText xml:space="preserve"> </w:instrText>
      </w:r>
      <w:proofErr w:type="gramStart"/>
      <w:r w:rsidRPr="00EA4C90">
        <w:instrText>RD  "</w:instrText>
      </w:r>
      <w:proofErr w:type="gramEnd"/>
      <w:r w:rsidRPr="00EA4C90">
        <w:instrText xml:space="preserve">Budget Paper No 2 - MASTER.docx" \f </w:instrText>
      </w:r>
      <w:r w:rsidRPr="00EA4C90">
        <w:fldChar w:fldCharType="end"/>
      </w:r>
      <w:r w:rsidR="00B42464" w:rsidRPr="00EA4C90">
        <w:fldChar w:fldCharType="begin"/>
      </w:r>
      <w:r w:rsidR="00B42464" w:rsidRPr="00EA4C90">
        <w:instrText xml:space="preserve"> RD  "</w:instrText>
      </w:r>
      <w:r w:rsidR="00C521F1" w:rsidRPr="00C521F1">
        <w:instrText>BP2_Endnotes.docx</w:instrText>
      </w:r>
      <w:r w:rsidR="00B42464" w:rsidRPr="00EA4C90">
        <w:instrText xml:space="preserve">" \f </w:instrText>
      </w:r>
      <w:r w:rsidR="00B42464" w:rsidRPr="00EA4C90">
        <w:fldChar w:fldCharType="end"/>
      </w:r>
    </w:p>
    <w:sdt>
      <w:sdtPr>
        <w:rPr>
          <w:rFonts w:ascii="Book Antiqua" w:hAnsi="Book Antiqua"/>
          <w:b w:val="0"/>
          <w:sz w:val="19"/>
        </w:rPr>
        <w:id w:val="-179744662"/>
        <w:docPartObj>
          <w:docPartGallery w:val="Table of Contents"/>
          <w:docPartUnique/>
        </w:docPartObj>
      </w:sdtPr>
      <w:sdtEndPr>
        <w:rPr>
          <w:rFonts w:ascii="Arial" w:hAnsi="Arial"/>
          <w:b/>
          <w:sz w:val="20"/>
        </w:rPr>
      </w:sdtEndPr>
      <w:sdtContent>
        <w:p w14:paraId="3E281B8A" w14:textId="0606129A" w:rsidR="0075066B" w:rsidRDefault="00EA4C90">
          <w:pPr>
            <w:pStyle w:val="TOC1"/>
            <w:rPr>
              <w:rFonts w:asciiTheme="minorHAnsi" w:eastAsiaTheme="minorEastAsia" w:hAnsiTheme="minorHAnsi" w:cstheme="minorBidi"/>
              <w:b w:val="0"/>
              <w:noProof/>
              <w:kern w:val="2"/>
              <w:sz w:val="22"/>
              <w:szCs w:val="22"/>
              <w14:ligatures w14:val="standardContextual"/>
            </w:rPr>
          </w:pPr>
          <w:r>
            <w:fldChar w:fldCharType="begin"/>
          </w:r>
          <w:r>
            <w:instrText xml:space="preserve"> TOC \o "1-3" \h \z \u </w:instrText>
          </w:r>
          <w:r>
            <w:fldChar w:fldCharType="separate"/>
          </w:r>
          <w:r w:rsidR="0075066B" w:rsidRPr="001870F9">
            <w:rPr>
              <w:noProof/>
              <w:color w:val="000000"/>
            </w:rPr>
            <w:t>Part 1: Receipt Measures</w:t>
          </w:r>
          <w:r w:rsidR="0075066B">
            <w:rPr>
              <w:noProof/>
              <w:webHidden/>
            </w:rPr>
            <w:tab/>
            <w:t>1</w:t>
          </w:r>
        </w:p>
        <w:p w14:paraId="23B545E4"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1870F9">
            <w:rPr>
              <w:bCs/>
              <w:noProof/>
            </w:rPr>
            <w:t>Employment and Workplace Relations</w:t>
          </w:r>
          <w:r>
            <w:rPr>
              <w:noProof/>
              <w:webHidden/>
            </w:rPr>
            <w:tab/>
            <w:t>6</w:t>
          </w:r>
        </w:p>
        <w:p w14:paraId="7C46FD9D"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1870F9">
            <w:rPr>
              <w:bCs/>
              <w:noProof/>
            </w:rPr>
            <w:t>Home Affairs</w:t>
          </w:r>
          <w:r>
            <w:rPr>
              <w:noProof/>
              <w:webHidden/>
            </w:rPr>
            <w:tab/>
            <w:t>7</w:t>
          </w:r>
        </w:p>
        <w:p w14:paraId="4A7C5C4E"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1870F9">
            <w:rPr>
              <w:bCs/>
              <w:noProof/>
            </w:rPr>
            <w:t>Treasury</w:t>
          </w:r>
          <w:r>
            <w:rPr>
              <w:noProof/>
              <w:webHidden/>
            </w:rPr>
            <w:tab/>
            <w:t>10</w:t>
          </w:r>
        </w:p>
        <w:p w14:paraId="1FEE084F" w14:textId="77777777" w:rsidR="0075066B" w:rsidRDefault="0075066B">
          <w:pPr>
            <w:pStyle w:val="TOC1"/>
            <w:rPr>
              <w:rFonts w:asciiTheme="minorHAnsi" w:eastAsiaTheme="minorEastAsia" w:hAnsiTheme="minorHAnsi" w:cstheme="minorBidi"/>
              <w:b w:val="0"/>
              <w:noProof/>
              <w:kern w:val="2"/>
              <w:sz w:val="22"/>
              <w:szCs w:val="22"/>
              <w14:ligatures w14:val="standardContextual"/>
            </w:rPr>
          </w:pPr>
          <w:r w:rsidRPr="001870F9">
            <w:rPr>
              <w:noProof/>
              <w:color w:val="000000"/>
            </w:rPr>
            <w:t>Part 2: Payment Measures</w:t>
          </w:r>
          <w:r>
            <w:rPr>
              <w:noProof/>
              <w:webHidden/>
            </w:rPr>
            <w:tab/>
            <w:t>19</w:t>
          </w:r>
        </w:p>
        <w:p w14:paraId="09C18EBA"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1870F9">
            <w:rPr>
              <w:bCs/>
              <w:noProof/>
            </w:rPr>
            <w:t>Agriculture, Fisheries and Forestry</w:t>
          </w:r>
          <w:r>
            <w:rPr>
              <w:noProof/>
              <w:webHidden/>
            </w:rPr>
            <w:tab/>
            <w:t>41</w:t>
          </w:r>
        </w:p>
        <w:p w14:paraId="618D28BF"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1870F9">
            <w:rPr>
              <w:noProof/>
              <w:lang w:val="en-US"/>
            </w:rPr>
            <w:t>Attorney</w:t>
          </w:r>
          <w:r w:rsidRPr="001870F9">
            <w:rPr>
              <w:bCs/>
              <w:noProof/>
            </w:rPr>
            <w:noBreakHyphen/>
          </w:r>
          <w:r w:rsidRPr="001870F9">
            <w:rPr>
              <w:noProof/>
              <w:lang w:val="en-US"/>
            </w:rPr>
            <w:t>General's</w:t>
          </w:r>
          <w:r>
            <w:rPr>
              <w:noProof/>
              <w:webHidden/>
            </w:rPr>
            <w:tab/>
            <w:t>45</w:t>
          </w:r>
        </w:p>
        <w:p w14:paraId="7F61038C"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1870F9">
            <w:rPr>
              <w:bCs/>
              <w:noProof/>
            </w:rPr>
            <w:t>Climate Change, Energy, the Environment and Water</w:t>
          </w:r>
          <w:r>
            <w:rPr>
              <w:noProof/>
              <w:webHidden/>
            </w:rPr>
            <w:tab/>
            <w:t>52</w:t>
          </w:r>
        </w:p>
        <w:p w14:paraId="47D1FBBC" w14:textId="77777777" w:rsidR="0075066B" w:rsidRDefault="0075066B">
          <w:pPr>
            <w:pStyle w:val="TOC3"/>
            <w:rPr>
              <w:rFonts w:asciiTheme="minorHAnsi" w:eastAsiaTheme="minorEastAsia" w:hAnsiTheme="minorHAnsi" w:cstheme="minorBidi"/>
              <w:noProof/>
              <w:kern w:val="2"/>
              <w:sz w:val="22"/>
              <w:szCs w:val="22"/>
              <w14:ligatures w14:val="standardContextual"/>
            </w:rPr>
          </w:pPr>
          <w:r>
            <w:rPr>
              <w:noProof/>
            </w:rPr>
            <w:t>Cross Portfolio</w:t>
          </w:r>
          <w:r>
            <w:rPr>
              <w:noProof/>
              <w:webHidden/>
            </w:rPr>
            <w:tab/>
            <w:t>62</w:t>
          </w:r>
        </w:p>
        <w:p w14:paraId="5DB32819"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1870F9">
            <w:rPr>
              <w:noProof/>
              <w:lang w:val="en-US"/>
            </w:rPr>
            <w:t>Defence</w:t>
          </w:r>
          <w:r>
            <w:rPr>
              <w:noProof/>
              <w:webHidden/>
            </w:rPr>
            <w:tab/>
            <w:t>77</w:t>
          </w:r>
        </w:p>
        <w:p w14:paraId="3D1627E4"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1870F9">
            <w:rPr>
              <w:bCs/>
              <w:noProof/>
            </w:rPr>
            <w:t>Education</w:t>
          </w:r>
          <w:r>
            <w:rPr>
              <w:noProof/>
              <w:webHidden/>
            </w:rPr>
            <w:tab/>
            <w:t>86</w:t>
          </w:r>
        </w:p>
        <w:p w14:paraId="16052362"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1870F9">
            <w:rPr>
              <w:bCs/>
              <w:noProof/>
            </w:rPr>
            <w:t>Employment and Workplace Relations</w:t>
          </w:r>
          <w:r>
            <w:rPr>
              <w:noProof/>
              <w:webHidden/>
            </w:rPr>
            <w:tab/>
            <w:t>90</w:t>
          </w:r>
        </w:p>
        <w:p w14:paraId="5E2B1A00"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1870F9">
            <w:rPr>
              <w:bCs/>
              <w:noProof/>
            </w:rPr>
            <w:t>Finance</w:t>
          </w:r>
          <w:r>
            <w:rPr>
              <w:noProof/>
              <w:webHidden/>
            </w:rPr>
            <w:tab/>
            <w:t>97</w:t>
          </w:r>
        </w:p>
        <w:p w14:paraId="36916311"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1870F9">
            <w:rPr>
              <w:bCs/>
              <w:noProof/>
            </w:rPr>
            <w:t>Foreign Affairs and Trade</w:t>
          </w:r>
          <w:r>
            <w:rPr>
              <w:noProof/>
              <w:webHidden/>
            </w:rPr>
            <w:tab/>
            <w:t>102</w:t>
          </w:r>
        </w:p>
        <w:p w14:paraId="029260B1"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1870F9">
            <w:rPr>
              <w:bCs/>
              <w:noProof/>
            </w:rPr>
            <w:t>Health and Aged Care</w:t>
          </w:r>
          <w:r>
            <w:rPr>
              <w:noProof/>
              <w:webHidden/>
            </w:rPr>
            <w:tab/>
            <w:t>109</w:t>
          </w:r>
        </w:p>
        <w:p w14:paraId="44940DCA"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1870F9">
            <w:rPr>
              <w:bCs/>
              <w:noProof/>
            </w:rPr>
            <w:t>Home Affairs</w:t>
          </w:r>
          <w:r>
            <w:rPr>
              <w:noProof/>
              <w:webHidden/>
            </w:rPr>
            <w:tab/>
            <w:t>134</w:t>
          </w:r>
        </w:p>
        <w:p w14:paraId="7EE1CDA8"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1870F9">
            <w:rPr>
              <w:bCs/>
              <w:noProof/>
            </w:rPr>
            <w:t>Industry, Science and Resources</w:t>
          </w:r>
          <w:r>
            <w:rPr>
              <w:noProof/>
              <w:webHidden/>
            </w:rPr>
            <w:tab/>
            <w:t>140</w:t>
          </w:r>
        </w:p>
        <w:p w14:paraId="379B9D9E"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1870F9">
            <w:rPr>
              <w:noProof/>
              <w:lang w:val="en-US"/>
            </w:rPr>
            <w:t>Infrastructure, Transport, Regional Development, Communications and the Arts</w:t>
          </w:r>
          <w:r>
            <w:rPr>
              <w:noProof/>
              <w:webHidden/>
            </w:rPr>
            <w:tab/>
            <w:t>144</w:t>
          </w:r>
        </w:p>
        <w:p w14:paraId="67FA8C57"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1870F9">
            <w:rPr>
              <w:bCs/>
              <w:noProof/>
            </w:rPr>
            <w:t>Parliament</w:t>
          </w:r>
          <w:r>
            <w:rPr>
              <w:noProof/>
              <w:webHidden/>
            </w:rPr>
            <w:tab/>
            <w:t>155</w:t>
          </w:r>
        </w:p>
        <w:p w14:paraId="11E6CC8F"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1870F9">
            <w:rPr>
              <w:bCs/>
              <w:noProof/>
            </w:rPr>
            <w:t>Prime Minister and Cabinet</w:t>
          </w:r>
          <w:r>
            <w:rPr>
              <w:noProof/>
              <w:webHidden/>
            </w:rPr>
            <w:tab/>
            <w:t>156</w:t>
          </w:r>
        </w:p>
        <w:p w14:paraId="5E425374" w14:textId="77777777" w:rsidR="0075066B" w:rsidRDefault="0075066B">
          <w:pPr>
            <w:pStyle w:val="TOC3"/>
            <w:rPr>
              <w:rFonts w:asciiTheme="minorHAnsi" w:eastAsiaTheme="minorEastAsia" w:hAnsiTheme="minorHAnsi" w:cstheme="minorBidi"/>
              <w:noProof/>
              <w:kern w:val="2"/>
              <w:sz w:val="22"/>
              <w:szCs w:val="22"/>
              <w14:ligatures w14:val="standardContextual"/>
            </w:rPr>
          </w:pPr>
          <w:r>
            <w:rPr>
              <w:noProof/>
            </w:rPr>
            <w:t>Social Services</w:t>
          </w:r>
          <w:r>
            <w:rPr>
              <w:noProof/>
              <w:webHidden/>
            </w:rPr>
            <w:tab/>
            <w:t>164</w:t>
          </w:r>
        </w:p>
        <w:p w14:paraId="31886A40" w14:textId="77777777" w:rsidR="0075066B" w:rsidRDefault="0075066B">
          <w:pPr>
            <w:pStyle w:val="TOC3"/>
            <w:rPr>
              <w:rFonts w:asciiTheme="minorHAnsi" w:eastAsiaTheme="minorEastAsia" w:hAnsiTheme="minorHAnsi" w:cstheme="minorBidi"/>
              <w:noProof/>
              <w:kern w:val="2"/>
              <w:sz w:val="22"/>
              <w:szCs w:val="22"/>
              <w14:ligatures w14:val="standardContextual"/>
            </w:rPr>
          </w:pPr>
          <w:r>
            <w:rPr>
              <w:noProof/>
            </w:rPr>
            <w:t>Treasury</w:t>
          </w:r>
          <w:r>
            <w:rPr>
              <w:noProof/>
              <w:webHidden/>
            </w:rPr>
            <w:tab/>
            <w:t>177</w:t>
          </w:r>
        </w:p>
        <w:p w14:paraId="750FCFAF" w14:textId="5FB9DCF2" w:rsidR="00EA4C90" w:rsidRPr="0075066B" w:rsidRDefault="0075066B" w:rsidP="0075066B">
          <w:pPr>
            <w:pStyle w:val="TOC1"/>
            <w:rPr>
              <w:rFonts w:asciiTheme="minorHAnsi" w:eastAsiaTheme="minorEastAsia" w:hAnsiTheme="minorHAnsi" w:cstheme="minorBidi"/>
              <w:b w:val="0"/>
              <w:noProof/>
              <w:kern w:val="2"/>
              <w:sz w:val="22"/>
              <w:szCs w:val="22"/>
              <w14:ligatures w14:val="standardContextual"/>
            </w:rPr>
          </w:pPr>
          <w:r>
            <w:rPr>
              <w:noProof/>
            </w:rPr>
            <w:t>Notes</w:t>
          </w:r>
          <w:r>
            <w:rPr>
              <w:noProof/>
              <w:webHidden/>
            </w:rPr>
            <w:tab/>
            <w:t>185</w:t>
          </w:r>
          <w:r w:rsidR="00EA4C90">
            <w:rPr>
              <w:noProof/>
            </w:rPr>
            <w:fldChar w:fldCharType="end"/>
          </w:r>
        </w:p>
      </w:sdtContent>
    </w:sdt>
    <w:p w14:paraId="61B1BCCE" w14:textId="77777777" w:rsidR="00D4446E" w:rsidRPr="004551BE" w:rsidRDefault="00D4446E" w:rsidP="004551BE"/>
    <w:p w14:paraId="4B4D2B8C" w14:textId="3C56BE4A" w:rsidR="00EA4C90" w:rsidRDefault="00EA4C90" w:rsidP="002131AA">
      <w:pPr>
        <w:rPr>
          <w:rFonts w:ascii="Arial Bold" w:hAnsi="Arial Bold"/>
          <w:b/>
          <w:noProof/>
          <w:sz w:val="20"/>
        </w:rPr>
        <w:sectPr w:rsidR="00EA4C90" w:rsidSect="00120F37">
          <w:headerReference w:type="even" r:id="rId25"/>
          <w:headerReference w:type="default" r:id="rId26"/>
          <w:footerReference w:type="even" r:id="rId27"/>
          <w:footerReference w:type="default" r:id="rId28"/>
          <w:headerReference w:type="first" r:id="rId29"/>
          <w:footerReference w:type="first" r:id="rId30"/>
          <w:type w:val="oddPage"/>
          <w:pgSz w:w="11906" w:h="16838" w:code="9"/>
          <w:pgMar w:top="2835" w:right="2098" w:bottom="2466" w:left="2098" w:header="1814" w:footer="1814" w:gutter="0"/>
          <w:cols w:space="708"/>
          <w:titlePg/>
          <w:docGrid w:linePitch="360"/>
        </w:sectPr>
      </w:pPr>
    </w:p>
    <w:p w14:paraId="6A8C7798" w14:textId="77777777" w:rsidR="002131AA" w:rsidRDefault="002131AA" w:rsidP="00B14043">
      <w:pPr>
        <w:pStyle w:val="TOCHeading"/>
      </w:pPr>
      <w:r w:rsidRPr="003F7F1E">
        <w:lastRenderedPageBreak/>
        <w:t>Table of measures by portfolio</w:t>
      </w:r>
    </w:p>
    <w:p w14:paraId="4983A62D" w14:textId="77777777" w:rsidR="0075066B" w:rsidRPr="00EA4C90" w:rsidRDefault="0075066B" w:rsidP="005E3FC6">
      <w:pPr>
        <w:pStyle w:val="GhostLine"/>
      </w:pPr>
      <w:r w:rsidRPr="00EA4C90">
        <w:fldChar w:fldCharType="begin"/>
      </w:r>
      <w:r w:rsidRPr="00EA4C90">
        <w:instrText xml:space="preserve"> </w:instrText>
      </w:r>
      <w:proofErr w:type="gramStart"/>
      <w:r w:rsidRPr="00EA4C90">
        <w:instrText>RD  "</w:instrText>
      </w:r>
      <w:proofErr w:type="gramEnd"/>
      <w:r w:rsidRPr="00EA4C90">
        <w:instrText xml:space="preserve">Budget Paper No 2 - MASTER.docx" \f </w:instrText>
      </w:r>
      <w:r w:rsidRPr="00EA4C90">
        <w:fldChar w:fldCharType="end"/>
      </w:r>
      <w:r w:rsidRPr="00EA4C90">
        <w:fldChar w:fldCharType="begin"/>
      </w:r>
      <w:r w:rsidRPr="00EA4C90">
        <w:instrText xml:space="preserve"> RD  "</w:instrText>
      </w:r>
      <w:r w:rsidRPr="00C521F1">
        <w:instrText>BP2_Endnotes.docx</w:instrText>
      </w:r>
      <w:r w:rsidRPr="00EA4C90">
        <w:instrText xml:space="preserve">" \f </w:instrText>
      </w:r>
      <w:r w:rsidRPr="00EA4C90">
        <w:fldChar w:fldCharType="end"/>
      </w:r>
    </w:p>
    <w:p w14:paraId="14B2BD68" w14:textId="45F91533" w:rsidR="0075066B" w:rsidRDefault="00342EB4">
      <w:pPr>
        <w:pStyle w:val="TOC1"/>
        <w:rPr>
          <w:rFonts w:asciiTheme="minorHAnsi" w:eastAsiaTheme="minorEastAsia" w:hAnsiTheme="minorHAnsi" w:cstheme="minorBidi"/>
          <w:b w:val="0"/>
          <w:noProof/>
          <w:kern w:val="2"/>
          <w:sz w:val="22"/>
          <w:szCs w:val="22"/>
          <w14:ligatures w14:val="standardContextual"/>
        </w:rPr>
      </w:pPr>
      <w:r>
        <w:fldChar w:fldCharType="begin"/>
      </w:r>
      <w:r>
        <w:instrText xml:space="preserve"> TOC \h \z \t "Heading 1,1,MeasureTitle,3,PortfolioName,2" </w:instrText>
      </w:r>
      <w:r>
        <w:fldChar w:fldCharType="separate"/>
      </w:r>
      <w:r w:rsidR="0075066B" w:rsidRPr="005B015E">
        <w:rPr>
          <w:noProof/>
          <w:color w:val="000000"/>
        </w:rPr>
        <w:t>Part 1: Receipt Measures</w:t>
      </w:r>
      <w:r w:rsidR="0075066B">
        <w:rPr>
          <w:noProof/>
          <w:webHidden/>
        </w:rPr>
        <w:tab/>
        <w:t>1</w:t>
      </w:r>
    </w:p>
    <w:p w14:paraId="281902BE" w14:textId="77777777" w:rsidR="0075066B" w:rsidRDefault="0075066B">
      <w:pPr>
        <w:pStyle w:val="TOC2"/>
        <w:rPr>
          <w:rFonts w:asciiTheme="minorHAnsi" w:eastAsiaTheme="minorEastAsia" w:hAnsiTheme="minorHAnsi" w:cstheme="minorBidi"/>
          <w:b w:val="0"/>
          <w:noProof/>
          <w:kern w:val="2"/>
          <w:sz w:val="22"/>
          <w:szCs w:val="22"/>
          <w14:ligatures w14:val="standardContextual"/>
        </w:rPr>
      </w:pPr>
      <w:r w:rsidRPr="005B015E">
        <w:rPr>
          <w:bCs/>
          <w:noProof/>
        </w:rPr>
        <w:t>Employment and Workplace Relations</w:t>
      </w:r>
      <w:r>
        <w:rPr>
          <w:noProof/>
          <w:webHidden/>
        </w:rPr>
        <w:tab/>
        <w:t>6</w:t>
      </w:r>
    </w:p>
    <w:p w14:paraId="628B0332"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Amendments to the National Vocational Education and Training Regulator Act 2011</w:t>
      </w:r>
      <w:r>
        <w:rPr>
          <w:noProof/>
          <w:webHidden/>
        </w:rPr>
        <w:tab/>
        <w:t>6</w:t>
      </w:r>
    </w:p>
    <w:p w14:paraId="0A067CA5" w14:textId="77777777" w:rsidR="0075066B" w:rsidRDefault="0075066B">
      <w:pPr>
        <w:pStyle w:val="TOC2"/>
        <w:rPr>
          <w:rFonts w:asciiTheme="minorHAnsi" w:eastAsiaTheme="minorEastAsia" w:hAnsiTheme="minorHAnsi" w:cstheme="minorBidi"/>
          <w:b w:val="0"/>
          <w:noProof/>
          <w:kern w:val="2"/>
          <w:sz w:val="22"/>
          <w:szCs w:val="22"/>
          <w14:ligatures w14:val="standardContextual"/>
        </w:rPr>
      </w:pPr>
      <w:r w:rsidRPr="005B015E">
        <w:rPr>
          <w:bCs/>
          <w:noProof/>
        </w:rPr>
        <w:t>Home Affairs</w:t>
      </w:r>
      <w:r>
        <w:rPr>
          <w:noProof/>
          <w:webHidden/>
        </w:rPr>
        <w:tab/>
        <w:t>7</w:t>
      </w:r>
    </w:p>
    <w:p w14:paraId="35E87380"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Enhancing Productivity – abolishing nuisance tariffs</w:t>
      </w:r>
      <w:r>
        <w:rPr>
          <w:noProof/>
          <w:webHidden/>
        </w:rPr>
        <w:tab/>
        <w:t>7</w:t>
      </w:r>
    </w:p>
    <w:p w14:paraId="31A3B9C3"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noProof/>
          <w:lang w:val="en-US"/>
        </w:rPr>
        <w:t>Migration – Mobility Arrangement for Talented Early</w:t>
      </w:r>
      <w:r w:rsidRPr="005B015E">
        <w:rPr>
          <w:bCs/>
          <w:noProof/>
        </w:rPr>
        <w:noBreakHyphen/>
      </w:r>
      <w:r w:rsidRPr="005B015E">
        <w:rPr>
          <w:noProof/>
          <w:lang w:val="en-US"/>
        </w:rPr>
        <w:t>professionals Scheme (MATES) and extending the validity of the Business Visitor visa for Indian nationals</w:t>
      </w:r>
      <w:r>
        <w:rPr>
          <w:noProof/>
          <w:webHidden/>
        </w:rPr>
        <w:tab/>
        <w:t>7</w:t>
      </w:r>
    </w:p>
    <w:p w14:paraId="711A3385"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Permanent Migration Program – 2024–25 planning levels and multi</w:t>
      </w:r>
      <w:r w:rsidRPr="005B015E">
        <w:rPr>
          <w:bCs/>
          <w:noProof/>
        </w:rPr>
        <w:noBreakHyphen/>
        <w:t>year planning</w:t>
      </w:r>
      <w:r>
        <w:rPr>
          <w:noProof/>
          <w:webHidden/>
        </w:rPr>
        <w:tab/>
        <w:t>8</w:t>
      </w:r>
    </w:p>
    <w:p w14:paraId="153772AD"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Support for Ukraine – extending duty free access for goods imported from Ukraine</w:t>
      </w:r>
      <w:r>
        <w:rPr>
          <w:noProof/>
          <w:webHidden/>
        </w:rPr>
        <w:tab/>
        <w:t>9</w:t>
      </w:r>
    </w:p>
    <w:p w14:paraId="0B3705FB" w14:textId="354EF2C5"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Work and Holiday visa – visa pre</w:t>
      </w:r>
      <w:r w:rsidRPr="005B015E">
        <w:rPr>
          <w:bCs/>
          <w:noProof/>
        </w:rPr>
        <w:noBreakHyphen/>
        <w:t xml:space="preserve">application process for certain </w:t>
      </w:r>
      <w:r w:rsidR="002022EE">
        <w:rPr>
          <w:bCs/>
          <w:noProof/>
        </w:rPr>
        <w:br/>
      </w:r>
      <w:r w:rsidRPr="005B015E">
        <w:rPr>
          <w:bCs/>
          <w:noProof/>
        </w:rPr>
        <w:t>Working Holiday Maker programs</w:t>
      </w:r>
      <w:r>
        <w:rPr>
          <w:noProof/>
          <w:webHidden/>
        </w:rPr>
        <w:tab/>
        <w:t>9</w:t>
      </w:r>
    </w:p>
    <w:p w14:paraId="58ED2B53" w14:textId="033B8685" w:rsidR="0075066B" w:rsidRDefault="0075066B">
      <w:pPr>
        <w:pStyle w:val="TOC2"/>
        <w:rPr>
          <w:rFonts w:asciiTheme="minorHAnsi" w:eastAsiaTheme="minorEastAsia" w:hAnsiTheme="minorHAnsi" w:cstheme="minorBidi"/>
          <w:b w:val="0"/>
          <w:noProof/>
          <w:kern w:val="2"/>
          <w:sz w:val="22"/>
          <w:szCs w:val="22"/>
          <w14:ligatures w14:val="standardContextual"/>
        </w:rPr>
      </w:pPr>
      <w:r w:rsidRPr="005B015E">
        <w:rPr>
          <w:bCs/>
          <w:noProof/>
        </w:rPr>
        <w:t>Treasury</w:t>
      </w:r>
      <w:r>
        <w:rPr>
          <w:noProof/>
          <w:webHidden/>
        </w:rPr>
        <w:tab/>
      </w:r>
      <w:r w:rsidR="00EE4159">
        <w:rPr>
          <w:noProof/>
          <w:webHidden/>
        </w:rPr>
        <w:tab/>
      </w:r>
      <w:r w:rsidR="00EE4159">
        <w:rPr>
          <w:noProof/>
          <w:webHidden/>
        </w:rPr>
        <w:tab/>
      </w:r>
      <w:r>
        <w:rPr>
          <w:noProof/>
          <w:webHidden/>
        </w:rPr>
        <w:t>10</w:t>
      </w:r>
    </w:p>
    <w:p w14:paraId="1DA3F163"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Amendments to existing measures</w:t>
      </w:r>
      <w:r>
        <w:rPr>
          <w:noProof/>
          <w:webHidden/>
        </w:rPr>
        <w:tab/>
        <w:t>10</w:t>
      </w:r>
    </w:p>
    <w:p w14:paraId="35701B76" w14:textId="35DB3361"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 xml:space="preserve">Personal Income Tax – Cost of Living – increasing the </w:t>
      </w:r>
      <w:r w:rsidR="002022EE">
        <w:rPr>
          <w:bCs/>
          <w:noProof/>
        </w:rPr>
        <w:br/>
      </w:r>
      <w:r w:rsidRPr="005B015E">
        <w:rPr>
          <w:bCs/>
          <w:noProof/>
        </w:rPr>
        <w:t>Medicare levy low</w:t>
      </w:r>
      <w:r w:rsidRPr="005B015E">
        <w:rPr>
          <w:bCs/>
          <w:noProof/>
        </w:rPr>
        <w:noBreakHyphen/>
        <w:t>income thresholds</w:t>
      </w:r>
      <w:r>
        <w:rPr>
          <w:noProof/>
          <w:webHidden/>
        </w:rPr>
        <w:tab/>
        <w:t>12</w:t>
      </w:r>
    </w:p>
    <w:p w14:paraId="28DA560F"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Personal Income Tax – Cost of Living Tax Cuts</w:t>
      </w:r>
      <w:r>
        <w:rPr>
          <w:noProof/>
          <w:webHidden/>
        </w:rPr>
        <w:tab/>
        <w:t>12</w:t>
      </w:r>
    </w:p>
    <w:p w14:paraId="5B244F45"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Philanthropy – updates to the list of specifically listed deductible gift recipients</w:t>
      </w:r>
      <w:r>
        <w:rPr>
          <w:noProof/>
          <w:webHidden/>
        </w:rPr>
        <w:tab/>
        <w:t>13</w:t>
      </w:r>
    </w:p>
    <w:p w14:paraId="1B01F165"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noProof/>
          <w:lang w:val="en-US"/>
        </w:rPr>
        <w:t>Small Business Support – $20,000 instant asset write</w:t>
      </w:r>
      <w:r w:rsidRPr="005B015E">
        <w:rPr>
          <w:bCs/>
          <w:noProof/>
        </w:rPr>
        <w:noBreakHyphen/>
      </w:r>
      <w:r w:rsidRPr="005B015E">
        <w:rPr>
          <w:noProof/>
          <w:lang w:val="en-US"/>
        </w:rPr>
        <w:t>off</w:t>
      </w:r>
      <w:r>
        <w:rPr>
          <w:noProof/>
          <w:webHidden/>
        </w:rPr>
        <w:tab/>
        <w:t>14</w:t>
      </w:r>
    </w:p>
    <w:p w14:paraId="349675AD" w14:textId="30C443F0"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 xml:space="preserve">Strengthening Tax Compliance – extending the </w:t>
      </w:r>
      <w:r w:rsidR="002022EE">
        <w:rPr>
          <w:bCs/>
          <w:noProof/>
        </w:rPr>
        <w:br/>
      </w:r>
      <w:r w:rsidRPr="005B015E">
        <w:rPr>
          <w:bCs/>
          <w:noProof/>
        </w:rPr>
        <w:t>Personal Income Tax Compliance Program</w:t>
      </w:r>
      <w:r>
        <w:rPr>
          <w:noProof/>
          <w:webHidden/>
        </w:rPr>
        <w:tab/>
        <w:t>15</w:t>
      </w:r>
    </w:p>
    <w:p w14:paraId="0B2D3A5A"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Strengthening Tax Compliance – Australian Taxation Office Counter Fraud Strategy</w:t>
      </w:r>
      <w:r>
        <w:rPr>
          <w:noProof/>
          <w:webHidden/>
        </w:rPr>
        <w:tab/>
        <w:t>15</w:t>
      </w:r>
    </w:p>
    <w:p w14:paraId="612453A1" w14:textId="5B8EF013"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 xml:space="preserve">Strengthening Tax Compliance – extending the </w:t>
      </w:r>
      <w:r w:rsidR="006C102E">
        <w:rPr>
          <w:bCs/>
          <w:noProof/>
        </w:rPr>
        <w:br/>
      </w:r>
      <w:r w:rsidRPr="005B015E">
        <w:rPr>
          <w:bCs/>
          <w:noProof/>
        </w:rPr>
        <w:t>Shadow Economy Compliance</w:t>
      </w:r>
      <w:r w:rsidR="006C102E">
        <w:rPr>
          <w:bCs/>
          <w:noProof/>
        </w:rPr>
        <w:t xml:space="preserve"> </w:t>
      </w:r>
      <w:r w:rsidRPr="005B015E">
        <w:rPr>
          <w:bCs/>
          <w:noProof/>
        </w:rPr>
        <w:t>Program</w:t>
      </w:r>
      <w:r>
        <w:rPr>
          <w:noProof/>
          <w:webHidden/>
        </w:rPr>
        <w:tab/>
        <w:t>16</w:t>
      </w:r>
    </w:p>
    <w:p w14:paraId="49A92586"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Strengthening Tax Compliance – extending the Tax Avoidance Taskforce</w:t>
      </w:r>
      <w:r>
        <w:rPr>
          <w:noProof/>
          <w:webHidden/>
        </w:rPr>
        <w:tab/>
        <w:t>17</w:t>
      </w:r>
    </w:p>
    <w:p w14:paraId="79115DF1"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Strengthening the foreign resident capital gains tax regime</w:t>
      </w:r>
      <w:r>
        <w:rPr>
          <w:noProof/>
          <w:webHidden/>
        </w:rPr>
        <w:tab/>
        <w:t>17</w:t>
      </w:r>
    </w:p>
    <w:p w14:paraId="2A4DE5B5" w14:textId="77777777" w:rsidR="0075066B" w:rsidRDefault="0075066B">
      <w:pPr>
        <w:pStyle w:val="TOC1"/>
        <w:rPr>
          <w:rFonts w:asciiTheme="minorHAnsi" w:eastAsiaTheme="minorEastAsia" w:hAnsiTheme="minorHAnsi" w:cstheme="minorBidi"/>
          <w:b w:val="0"/>
          <w:noProof/>
          <w:kern w:val="2"/>
          <w:sz w:val="22"/>
          <w:szCs w:val="22"/>
          <w14:ligatures w14:val="standardContextual"/>
        </w:rPr>
      </w:pPr>
      <w:r w:rsidRPr="005B015E">
        <w:rPr>
          <w:noProof/>
          <w:color w:val="000000"/>
        </w:rPr>
        <w:t>Part 2: Payment Measures</w:t>
      </w:r>
      <w:r>
        <w:rPr>
          <w:noProof/>
          <w:webHidden/>
        </w:rPr>
        <w:tab/>
        <w:t>19</w:t>
      </w:r>
    </w:p>
    <w:p w14:paraId="09720DAD" w14:textId="77777777" w:rsidR="0075066B" w:rsidRDefault="0075066B">
      <w:pPr>
        <w:pStyle w:val="TOC2"/>
        <w:rPr>
          <w:rFonts w:asciiTheme="minorHAnsi" w:eastAsiaTheme="minorEastAsia" w:hAnsiTheme="minorHAnsi" w:cstheme="minorBidi"/>
          <w:b w:val="0"/>
          <w:noProof/>
          <w:kern w:val="2"/>
          <w:sz w:val="22"/>
          <w:szCs w:val="22"/>
          <w14:ligatures w14:val="standardContextual"/>
        </w:rPr>
      </w:pPr>
      <w:r w:rsidRPr="005B015E">
        <w:rPr>
          <w:bCs/>
          <w:noProof/>
        </w:rPr>
        <w:t>Agriculture, Fisheries and Forestry</w:t>
      </w:r>
      <w:r>
        <w:rPr>
          <w:noProof/>
          <w:webHidden/>
        </w:rPr>
        <w:tab/>
        <w:t>41</w:t>
      </w:r>
    </w:p>
    <w:p w14:paraId="77834CCF"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Agriculture – other priorities</w:t>
      </w:r>
      <w:r>
        <w:rPr>
          <w:noProof/>
          <w:webHidden/>
        </w:rPr>
        <w:tab/>
        <w:t>41</w:t>
      </w:r>
    </w:p>
    <w:p w14:paraId="03268C6D"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Agriculture and Land Sectors – low emissions future</w:t>
      </w:r>
      <w:r>
        <w:rPr>
          <w:noProof/>
          <w:webHidden/>
        </w:rPr>
        <w:tab/>
        <w:t>42</w:t>
      </w:r>
    </w:p>
    <w:p w14:paraId="78E5E25F" w14:textId="4025A409"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 xml:space="preserve">Future Drought Fund – better support for farmers and communities </w:t>
      </w:r>
      <w:r w:rsidR="000F6DCA">
        <w:rPr>
          <w:bCs/>
          <w:noProof/>
        </w:rPr>
        <w:br/>
      </w:r>
      <w:r w:rsidRPr="005B015E">
        <w:rPr>
          <w:bCs/>
          <w:noProof/>
        </w:rPr>
        <w:t>to manage drought and adapt to climate change</w:t>
      </w:r>
      <w:r>
        <w:rPr>
          <w:noProof/>
          <w:webHidden/>
        </w:rPr>
        <w:tab/>
        <w:t>42</w:t>
      </w:r>
    </w:p>
    <w:p w14:paraId="262A603C"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Phase Out of Live Sheep Exports by Sea – transition support</w:t>
      </w:r>
      <w:r>
        <w:rPr>
          <w:noProof/>
          <w:webHidden/>
        </w:rPr>
        <w:tab/>
        <w:t>43</w:t>
      </w:r>
    </w:p>
    <w:p w14:paraId="4166A8CE" w14:textId="77777777" w:rsidR="00835024" w:rsidRDefault="00835024">
      <w:pPr>
        <w:spacing w:before="0" w:after="160" w:line="259" w:lineRule="auto"/>
        <w:rPr>
          <w:rFonts w:ascii="Arial" w:hAnsi="Arial"/>
          <w:b/>
          <w:noProof/>
          <w:sz w:val="20"/>
          <w:lang w:val="en-US"/>
        </w:rPr>
      </w:pPr>
      <w:r>
        <w:rPr>
          <w:noProof/>
          <w:lang w:val="en-US"/>
        </w:rPr>
        <w:br w:type="page"/>
      </w:r>
    </w:p>
    <w:p w14:paraId="42BAA2CE" w14:textId="3A82A7A8" w:rsidR="0075066B" w:rsidRDefault="0075066B">
      <w:pPr>
        <w:pStyle w:val="TOC2"/>
        <w:rPr>
          <w:rFonts w:asciiTheme="minorHAnsi" w:eastAsiaTheme="minorEastAsia" w:hAnsiTheme="minorHAnsi" w:cstheme="minorBidi"/>
          <w:b w:val="0"/>
          <w:noProof/>
          <w:kern w:val="2"/>
          <w:sz w:val="22"/>
          <w:szCs w:val="22"/>
          <w14:ligatures w14:val="standardContextual"/>
        </w:rPr>
      </w:pPr>
      <w:r w:rsidRPr="005B015E">
        <w:rPr>
          <w:noProof/>
          <w:lang w:val="en-US"/>
        </w:rPr>
        <w:lastRenderedPageBreak/>
        <w:t>Attorney</w:t>
      </w:r>
      <w:r w:rsidRPr="005B015E">
        <w:rPr>
          <w:bCs/>
          <w:noProof/>
        </w:rPr>
        <w:noBreakHyphen/>
      </w:r>
      <w:r w:rsidRPr="005B015E">
        <w:rPr>
          <w:noProof/>
          <w:lang w:val="en-US"/>
        </w:rPr>
        <w:t>General's</w:t>
      </w:r>
      <w:r>
        <w:rPr>
          <w:noProof/>
          <w:webHidden/>
        </w:rPr>
        <w:tab/>
        <w:t>45</w:t>
      </w:r>
    </w:p>
    <w:p w14:paraId="0D049DD8"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noProof/>
          <w:lang w:val="en-US"/>
        </w:rPr>
        <w:t>Anti</w:t>
      </w:r>
      <w:r w:rsidRPr="005B015E">
        <w:rPr>
          <w:bCs/>
          <w:noProof/>
        </w:rPr>
        <w:noBreakHyphen/>
      </w:r>
      <w:r w:rsidRPr="005B015E">
        <w:rPr>
          <w:noProof/>
          <w:lang w:val="en-US"/>
        </w:rPr>
        <w:t>Money Laundering and Counter</w:t>
      </w:r>
      <w:r w:rsidRPr="005B015E">
        <w:rPr>
          <w:bCs/>
          <w:noProof/>
        </w:rPr>
        <w:noBreakHyphen/>
      </w:r>
      <w:r w:rsidRPr="005B015E">
        <w:rPr>
          <w:noProof/>
          <w:lang w:val="en-US"/>
        </w:rPr>
        <w:t>Terrorism Financing Reform</w:t>
      </w:r>
      <w:r>
        <w:rPr>
          <w:noProof/>
          <w:webHidden/>
        </w:rPr>
        <w:tab/>
        <w:t>45</w:t>
      </w:r>
    </w:p>
    <w:p w14:paraId="05281541"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noProof/>
          <w:lang w:val="en-US"/>
        </w:rPr>
        <w:t>Attorney</w:t>
      </w:r>
      <w:r w:rsidRPr="005B015E">
        <w:rPr>
          <w:bCs/>
          <w:noProof/>
        </w:rPr>
        <w:noBreakHyphen/>
      </w:r>
      <w:r w:rsidRPr="005B015E">
        <w:rPr>
          <w:noProof/>
          <w:lang w:val="en-US"/>
        </w:rPr>
        <w:t>General's – reprioritisation</w:t>
      </w:r>
      <w:r>
        <w:rPr>
          <w:noProof/>
          <w:webHidden/>
        </w:rPr>
        <w:tab/>
        <w:t>46</w:t>
      </w:r>
    </w:p>
    <w:p w14:paraId="6DC4116A"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noProof/>
          <w:lang w:val="en-US"/>
        </w:rPr>
        <w:t>Attorney</w:t>
      </w:r>
      <w:r w:rsidRPr="005B015E">
        <w:rPr>
          <w:bCs/>
          <w:noProof/>
        </w:rPr>
        <w:noBreakHyphen/>
      </w:r>
      <w:r w:rsidRPr="005B015E">
        <w:rPr>
          <w:noProof/>
          <w:lang w:val="en-US"/>
        </w:rPr>
        <w:t>General's Portfolio – additional resourcing</w:t>
      </w:r>
      <w:r>
        <w:rPr>
          <w:noProof/>
          <w:webHidden/>
        </w:rPr>
        <w:tab/>
        <w:t>46</w:t>
      </w:r>
    </w:p>
    <w:p w14:paraId="15DCEF32"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Enhancing First Nations Justice Policy Outcomes</w:t>
      </w:r>
      <w:r>
        <w:rPr>
          <w:noProof/>
          <w:webHidden/>
        </w:rPr>
        <w:tab/>
        <w:t>48</w:t>
      </w:r>
    </w:p>
    <w:p w14:paraId="57D102FE" w14:textId="1A66B956"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 xml:space="preserve">Establishment of the Administrative Review Tribunal and </w:t>
      </w:r>
      <w:r w:rsidR="00835024">
        <w:rPr>
          <w:bCs/>
          <w:noProof/>
        </w:rPr>
        <w:br/>
      </w:r>
      <w:r w:rsidRPr="005B015E">
        <w:rPr>
          <w:bCs/>
          <w:noProof/>
        </w:rPr>
        <w:t>Addressing Extremely High Migration Backlogs in the Courts</w:t>
      </w:r>
      <w:r>
        <w:rPr>
          <w:noProof/>
          <w:webHidden/>
        </w:rPr>
        <w:tab/>
        <w:t>49</w:t>
      </w:r>
    </w:p>
    <w:p w14:paraId="086C9C19"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National Firearms Register</w:t>
      </w:r>
      <w:r>
        <w:rPr>
          <w:noProof/>
          <w:webHidden/>
        </w:rPr>
        <w:tab/>
        <w:t>50</w:t>
      </w:r>
    </w:p>
    <w:p w14:paraId="49AD2C0B"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National Legal Assistance Partnership</w:t>
      </w:r>
      <w:r>
        <w:rPr>
          <w:noProof/>
          <w:webHidden/>
        </w:rPr>
        <w:tab/>
        <w:t>51</w:t>
      </w:r>
    </w:p>
    <w:p w14:paraId="137F8E58"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Policing Engagement and Training</w:t>
      </w:r>
      <w:r>
        <w:rPr>
          <w:noProof/>
          <w:webHidden/>
        </w:rPr>
        <w:tab/>
        <w:t>51</w:t>
      </w:r>
    </w:p>
    <w:p w14:paraId="1F849279" w14:textId="77777777" w:rsidR="0075066B" w:rsidRDefault="0075066B">
      <w:pPr>
        <w:pStyle w:val="TOC2"/>
        <w:rPr>
          <w:rFonts w:asciiTheme="minorHAnsi" w:eastAsiaTheme="minorEastAsia" w:hAnsiTheme="minorHAnsi" w:cstheme="minorBidi"/>
          <w:b w:val="0"/>
          <w:noProof/>
          <w:kern w:val="2"/>
          <w:sz w:val="22"/>
          <w:szCs w:val="22"/>
          <w14:ligatures w14:val="standardContextual"/>
        </w:rPr>
      </w:pPr>
      <w:r w:rsidRPr="005B015E">
        <w:rPr>
          <w:bCs/>
          <w:noProof/>
        </w:rPr>
        <w:t>Climate Change, Energy, the Environment and Water</w:t>
      </w:r>
      <w:r>
        <w:rPr>
          <w:noProof/>
          <w:webHidden/>
        </w:rPr>
        <w:tab/>
        <w:t>52</w:t>
      </w:r>
    </w:p>
    <w:p w14:paraId="3BF3F0E4"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Australia's International Climate Change Engagement</w:t>
      </w:r>
      <w:r>
        <w:rPr>
          <w:noProof/>
          <w:webHidden/>
        </w:rPr>
        <w:tab/>
        <w:t>52</w:t>
      </w:r>
    </w:p>
    <w:p w14:paraId="186D38DE"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noProof/>
          <w:lang w:val="en-US"/>
        </w:rPr>
        <w:t>Australian Antarctic Program – additional funding</w:t>
      </w:r>
      <w:r>
        <w:rPr>
          <w:noProof/>
          <w:webHidden/>
        </w:rPr>
        <w:tab/>
        <w:t>52</w:t>
      </w:r>
    </w:p>
    <w:p w14:paraId="312B4E8D"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Climate Change, Energy, the Environment and Water – cost recovery arrangements</w:t>
      </w:r>
      <w:r>
        <w:rPr>
          <w:noProof/>
          <w:webHidden/>
        </w:rPr>
        <w:tab/>
        <w:t>53</w:t>
      </w:r>
    </w:p>
    <w:p w14:paraId="65715003"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Commonwealth Leadership for a Safe Circular Economy – continuing delivery</w:t>
      </w:r>
      <w:r>
        <w:rPr>
          <w:noProof/>
          <w:webHidden/>
        </w:rPr>
        <w:tab/>
        <w:t>54</w:t>
      </w:r>
    </w:p>
    <w:p w14:paraId="4717664B"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Harnessing the Energy Transition to Benefit Consumers</w:t>
      </w:r>
      <w:r>
        <w:rPr>
          <w:noProof/>
          <w:webHidden/>
        </w:rPr>
        <w:tab/>
        <w:t>54</w:t>
      </w:r>
    </w:p>
    <w:p w14:paraId="67BC37F7"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Improving the Australian Carbon Credit Unit Scheme</w:t>
      </w:r>
      <w:r>
        <w:rPr>
          <w:noProof/>
          <w:webHidden/>
        </w:rPr>
        <w:tab/>
        <w:t>55</w:t>
      </w:r>
    </w:p>
    <w:p w14:paraId="3ABBEE13"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noProof/>
          <w:lang w:val="en-US"/>
        </w:rPr>
        <w:t>Inspector</w:t>
      </w:r>
      <w:r w:rsidRPr="005B015E">
        <w:rPr>
          <w:bCs/>
          <w:noProof/>
        </w:rPr>
        <w:noBreakHyphen/>
      </w:r>
      <w:r w:rsidRPr="005B015E">
        <w:rPr>
          <w:noProof/>
          <w:lang w:val="en-US"/>
        </w:rPr>
        <w:t>General of Water Compliance Legislative Functions</w:t>
      </w:r>
      <w:r>
        <w:rPr>
          <w:noProof/>
          <w:webHidden/>
        </w:rPr>
        <w:tab/>
        <w:t>56</w:t>
      </w:r>
    </w:p>
    <w:p w14:paraId="56A92598"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Jabiru Remediation – continuing delivery</w:t>
      </w:r>
      <w:r>
        <w:rPr>
          <w:noProof/>
          <w:webHidden/>
        </w:rPr>
        <w:tab/>
        <w:t>56</w:t>
      </w:r>
    </w:p>
    <w:p w14:paraId="32141821"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noProof/>
          <w:lang w:val="en-US"/>
        </w:rPr>
        <w:t>Murray</w:t>
      </w:r>
      <w:r w:rsidRPr="005B015E">
        <w:rPr>
          <w:bCs/>
          <w:noProof/>
        </w:rPr>
        <w:noBreakHyphen/>
      </w:r>
      <w:r w:rsidRPr="005B015E">
        <w:rPr>
          <w:noProof/>
          <w:lang w:val="en-US"/>
        </w:rPr>
        <w:t>Darling Basin Plan – continuing delivery</w:t>
      </w:r>
      <w:r>
        <w:rPr>
          <w:noProof/>
          <w:webHidden/>
        </w:rPr>
        <w:tab/>
        <w:t>56</w:t>
      </w:r>
    </w:p>
    <w:p w14:paraId="47EE70A5" w14:textId="71E0CB31"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 xml:space="preserve">National Water Grid Fund – responsible investment in </w:t>
      </w:r>
      <w:r w:rsidR="00835024">
        <w:rPr>
          <w:bCs/>
          <w:noProof/>
        </w:rPr>
        <w:br/>
      </w:r>
      <w:r w:rsidRPr="005B015E">
        <w:rPr>
          <w:bCs/>
          <w:noProof/>
        </w:rPr>
        <w:t>water infrastructure for the regions</w:t>
      </w:r>
      <w:r>
        <w:rPr>
          <w:noProof/>
          <w:webHidden/>
        </w:rPr>
        <w:tab/>
        <w:t>57</w:t>
      </w:r>
    </w:p>
    <w:p w14:paraId="21644ECC"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noProof/>
          <w:lang w:val="en-US"/>
        </w:rPr>
        <w:t>Nature Positive Plan – additional funding</w:t>
      </w:r>
      <w:r>
        <w:rPr>
          <w:noProof/>
          <w:webHidden/>
        </w:rPr>
        <w:tab/>
        <w:t>58</w:t>
      </w:r>
    </w:p>
    <w:p w14:paraId="202FAE52"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noProof/>
          <w:lang w:val="en-US"/>
        </w:rPr>
        <w:t>Reducing the Impact of Litter and Supporting On</w:t>
      </w:r>
      <w:r w:rsidRPr="005B015E">
        <w:rPr>
          <w:bCs/>
          <w:noProof/>
        </w:rPr>
        <w:noBreakHyphen/>
      </w:r>
      <w:r w:rsidRPr="005B015E">
        <w:rPr>
          <w:noProof/>
          <w:lang w:val="en-US"/>
        </w:rPr>
        <w:t>ground Biodiversity Actions</w:t>
      </w:r>
      <w:r>
        <w:rPr>
          <w:noProof/>
          <w:webHidden/>
        </w:rPr>
        <w:tab/>
        <w:t>59</w:t>
      </w:r>
    </w:p>
    <w:p w14:paraId="603F3AD5"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Regional cooperation initiative on carbon sequestration</w:t>
      </w:r>
      <w:r>
        <w:rPr>
          <w:noProof/>
          <w:webHidden/>
        </w:rPr>
        <w:tab/>
        <w:t>59</w:t>
      </w:r>
    </w:p>
    <w:p w14:paraId="74C0DC4F"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Sustaining Water Functions</w:t>
      </w:r>
      <w:r>
        <w:rPr>
          <w:noProof/>
          <w:webHidden/>
        </w:rPr>
        <w:tab/>
        <w:t>60</w:t>
      </w:r>
    </w:p>
    <w:p w14:paraId="25D0C839"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Tourism Reef Protection Initiative – continuing delivery</w:t>
      </w:r>
      <w:r>
        <w:rPr>
          <w:noProof/>
          <w:webHidden/>
        </w:rPr>
        <w:tab/>
        <w:t>61</w:t>
      </w:r>
    </w:p>
    <w:p w14:paraId="559E008E" w14:textId="77777777" w:rsidR="0075066B" w:rsidRDefault="0075066B">
      <w:pPr>
        <w:pStyle w:val="TOC2"/>
        <w:rPr>
          <w:rFonts w:asciiTheme="minorHAnsi" w:eastAsiaTheme="minorEastAsia" w:hAnsiTheme="minorHAnsi" w:cstheme="minorBidi"/>
          <w:b w:val="0"/>
          <w:noProof/>
          <w:kern w:val="2"/>
          <w:sz w:val="22"/>
          <w:szCs w:val="22"/>
          <w14:ligatures w14:val="standardContextual"/>
        </w:rPr>
      </w:pPr>
      <w:r>
        <w:rPr>
          <w:noProof/>
        </w:rPr>
        <w:t>Cross Portfolio</w:t>
      </w:r>
      <w:r>
        <w:rPr>
          <w:noProof/>
          <w:webHidden/>
        </w:rPr>
        <w:tab/>
        <w:t>62</w:t>
      </w:r>
    </w:p>
    <w:p w14:paraId="29883D3A"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Australian Universities Accord – tertiary education system reforms</w:t>
      </w:r>
      <w:r>
        <w:rPr>
          <w:noProof/>
          <w:webHidden/>
        </w:rPr>
        <w:tab/>
        <w:t>62</w:t>
      </w:r>
    </w:p>
    <w:p w14:paraId="6AA1944A"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Future Made in Australia – Attracting Investment in Key Industries</w:t>
      </w:r>
      <w:r>
        <w:rPr>
          <w:noProof/>
          <w:webHidden/>
        </w:rPr>
        <w:tab/>
        <w:t>65</w:t>
      </w:r>
    </w:p>
    <w:p w14:paraId="53C2B9E4"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Future Made in Australia – Investing in Innovation, Science and Digital Capabilities</w:t>
      </w:r>
      <w:r>
        <w:rPr>
          <w:noProof/>
          <w:webHidden/>
        </w:rPr>
        <w:tab/>
        <w:t>66</w:t>
      </w:r>
    </w:p>
    <w:p w14:paraId="706245F4"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Future Made in Australia – Making Australia a Renewable Energy Superpower</w:t>
      </w:r>
      <w:r>
        <w:rPr>
          <w:noProof/>
          <w:webHidden/>
        </w:rPr>
        <w:tab/>
        <w:t>67</w:t>
      </w:r>
    </w:p>
    <w:p w14:paraId="05229196"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Future Made in Australia – Promoting Sustainable Finance Markets</w:t>
      </w:r>
      <w:r>
        <w:rPr>
          <w:noProof/>
          <w:webHidden/>
        </w:rPr>
        <w:tab/>
        <w:t>70</w:t>
      </w:r>
    </w:p>
    <w:p w14:paraId="1A37E95B"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Future Made in Australia – Strengthening Approvals Processes</w:t>
      </w:r>
      <w:r>
        <w:rPr>
          <w:noProof/>
          <w:webHidden/>
        </w:rPr>
        <w:tab/>
        <w:t>71</w:t>
      </w:r>
    </w:p>
    <w:p w14:paraId="6E0014EF" w14:textId="57E0046B"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 xml:space="preserve">Future Made in Australia – Workforce and Trade Partnerships for </w:t>
      </w:r>
      <w:r w:rsidR="00835024">
        <w:rPr>
          <w:bCs/>
          <w:noProof/>
        </w:rPr>
        <w:br/>
      </w:r>
      <w:r w:rsidRPr="005B015E">
        <w:rPr>
          <w:bCs/>
          <w:noProof/>
        </w:rPr>
        <w:t>Renewable Energy Superpower Industries</w:t>
      </w:r>
      <w:r>
        <w:rPr>
          <w:noProof/>
          <w:webHidden/>
        </w:rPr>
        <w:tab/>
        <w:t>72</w:t>
      </w:r>
    </w:p>
    <w:p w14:paraId="142FFC9A"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Housing Support</w:t>
      </w:r>
      <w:r>
        <w:rPr>
          <w:noProof/>
          <w:webHidden/>
        </w:rPr>
        <w:tab/>
        <w:t>74</w:t>
      </w:r>
    </w:p>
    <w:p w14:paraId="0FFA6974"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Savings from External Labour – extension</w:t>
      </w:r>
      <w:r>
        <w:rPr>
          <w:noProof/>
          <w:webHidden/>
        </w:rPr>
        <w:tab/>
        <w:t>76</w:t>
      </w:r>
    </w:p>
    <w:p w14:paraId="17A42A35" w14:textId="77777777" w:rsidR="00835024" w:rsidRDefault="00835024">
      <w:pPr>
        <w:spacing w:before="0" w:after="160" w:line="259" w:lineRule="auto"/>
        <w:rPr>
          <w:rFonts w:ascii="Arial" w:hAnsi="Arial"/>
          <w:b/>
          <w:noProof/>
          <w:sz w:val="20"/>
          <w:lang w:val="en-US"/>
        </w:rPr>
      </w:pPr>
      <w:r>
        <w:rPr>
          <w:noProof/>
          <w:lang w:val="en-US"/>
        </w:rPr>
        <w:br w:type="page"/>
      </w:r>
    </w:p>
    <w:p w14:paraId="14AC41E3" w14:textId="5DB22E39" w:rsidR="0075066B" w:rsidRDefault="0075066B">
      <w:pPr>
        <w:pStyle w:val="TOC2"/>
        <w:rPr>
          <w:rFonts w:asciiTheme="minorHAnsi" w:eastAsiaTheme="minorEastAsia" w:hAnsiTheme="minorHAnsi" w:cstheme="minorBidi"/>
          <w:b w:val="0"/>
          <w:noProof/>
          <w:kern w:val="2"/>
          <w:sz w:val="22"/>
          <w:szCs w:val="22"/>
          <w14:ligatures w14:val="standardContextual"/>
        </w:rPr>
      </w:pPr>
      <w:r w:rsidRPr="005B015E">
        <w:rPr>
          <w:noProof/>
          <w:lang w:val="en-US"/>
        </w:rPr>
        <w:lastRenderedPageBreak/>
        <w:t>Defence</w:t>
      </w:r>
      <w:r w:rsidR="00835024">
        <w:rPr>
          <w:noProof/>
          <w:lang w:val="en-US"/>
        </w:rPr>
        <w:tab/>
      </w:r>
      <w:r w:rsidR="00835024">
        <w:rPr>
          <w:noProof/>
          <w:lang w:val="en-US"/>
        </w:rPr>
        <w:tab/>
      </w:r>
      <w:r>
        <w:rPr>
          <w:noProof/>
          <w:webHidden/>
        </w:rPr>
        <w:tab/>
        <w:t>77</w:t>
      </w:r>
    </w:p>
    <w:p w14:paraId="2F686487"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Australian War Memorial – financial sustainability</w:t>
      </w:r>
      <w:r>
        <w:rPr>
          <w:noProof/>
          <w:webHidden/>
        </w:rPr>
        <w:tab/>
        <w:t>77</w:t>
      </w:r>
    </w:p>
    <w:p w14:paraId="52E55852"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noProof/>
          <w:lang w:val="en-US"/>
        </w:rPr>
        <w:t>Commonwealth War Graves Commission – additional funding</w:t>
      </w:r>
      <w:r>
        <w:rPr>
          <w:noProof/>
          <w:webHidden/>
        </w:rPr>
        <w:tab/>
        <w:t>77</w:t>
      </w:r>
    </w:p>
    <w:p w14:paraId="437A345B"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Continuing Veterans' Access to Health and Support Programs</w:t>
      </w:r>
      <w:r>
        <w:rPr>
          <w:noProof/>
          <w:webHidden/>
        </w:rPr>
        <w:tab/>
        <w:t>77</w:t>
      </w:r>
    </w:p>
    <w:p w14:paraId="4237567C"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noProof/>
          <w:lang w:val="en-US"/>
        </w:rPr>
        <w:t>Defence Assistance – regional and global support</w:t>
      </w:r>
      <w:r>
        <w:rPr>
          <w:noProof/>
          <w:webHidden/>
        </w:rPr>
        <w:tab/>
        <w:t>78</w:t>
      </w:r>
    </w:p>
    <w:p w14:paraId="5FFD9B34"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noProof/>
          <w:lang w:val="en-US"/>
        </w:rPr>
        <w:t>Defence Export – Boxer Heavy Weapons Carrier for Germany</w:t>
      </w:r>
      <w:r>
        <w:rPr>
          <w:noProof/>
          <w:webHidden/>
        </w:rPr>
        <w:tab/>
        <w:t>79</w:t>
      </w:r>
    </w:p>
    <w:p w14:paraId="1F37F0A9"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noProof/>
          <w:lang w:val="en-US"/>
        </w:rPr>
        <w:t>Defence Industry Development Strategy</w:t>
      </w:r>
      <w:r>
        <w:rPr>
          <w:noProof/>
          <w:webHidden/>
        </w:rPr>
        <w:tab/>
        <w:t>79</w:t>
      </w:r>
    </w:p>
    <w:p w14:paraId="401843E8"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noProof/>
          <w:lang w:val="en-US"/>
        </w:rPr>
        <w:t>Defence Oversight – Parliamentary Joint Committee on Defence</w:t>
      </w:r>
      <w:r>
        <w:rPr>
          <w:noProof/>
          <w:webHidden/>
        </w:rPr>
        <w:tab/>
        <w:t>80</w:t>
      </w:r>
    </w:p>
    <w:p w14:paraId="7DF2042D"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noProof/>
          <w:lang w:val="en-US"/>
        </w:rPr>
        <w:t>Defence Service Homes Insurance Scheme Review</w:t>
      </w:r>
      <w:r>
        <w:rPr>
          <w:noProof/>
          <w:webHidden/>
        </w:rPr>
        <w:tab/>
        <w:t>80</w:t>
      </w:r>
    </w:p>
    <w:p w14:paraId="48973DF0"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noProof/>
          <w:lang w:val="en-US"/>
        </w:rPr>
        <w:t>Department of Veterans' Affairs – additional resourcing to support service delivery</w:t>
      </w:r>
      <w:r>
        <w:rPr>
          <w:noProof/>
          <w:webHidden/>
        </w:rPr>
        <w:tab/>
        <w:t>81</w:t>
      </w:r>
    </w:p>
    <w:p w14:paraId="6D30094F"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noProof/>
          <w:lang w:val="en-US"/>
        </w:rPr>
        <w:t>Implementation of the Defence Trade Controls Amendment Act 2024</w:t>
      </w:r>
      <w:r>
        <w:rPr>
          <w:noProof/>
          <w:webHidden/>
        </w:rPr>
        <w:tab/>
        <w:t>81</w:t>
      </w:r>
    </w:p>
    <w:p w14:paraId="66E215D5"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noProof/>
          <w:lang w:val="en-US"/>
        </w:rPr>
        <w:t>2024 National Defence Strategy and Integrated Investment Program</w:t>
      </w:r>
      <w:r>
        <w:rPr>
          <w:noProof/>
          <w:webHidden/>
        </w:rPr>
        <w:tab/>
        <w:t>82</w:t>
      </w:r>
    </w:p>
    <w:p w14:paraId="0A6C6938"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noProof/>
          <w:lang w:val="en-US"/>
        </w:rPr>
        <w:t>Nuclear</w:t>
      </w:r>
      <w:r w:rsidRPr="005B015E">
        <w:rPr>
          <w:bCs/>
          <w:noProof/>
        </w:rPr>
        <w:noBreakHyphen/>
      </w:r>
      <w:r w:rsidRPr="005B015E">
        <w:rPr>
          <w:noProof/>
          <w:lang w:val="en-US"/>
        </w:rPr>
        <w:t>Powered Submarine Program – workforce and supply chain investments</w:t>
      </w:r>
      <w:r>
        <w:rPr>
          <w:noProof/>
          <w:webHidden/>
        </w:rPr>
        <w:tab/>
        <w:t>82</w:t>
      </w:r>
    </w:p>
    <w:p w14:paraId="7C0D3ED7"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Reform of Veterans' Compensation Legislation</w:t>
      </w:r>
      <w:r>
        <w:rPr>
          <w:noProof/>
          <w:webHidden/>
        </w:rPr>
        <w:tab/>
        <w:t>84</w:t>
      </w:r>
    </w:p>
    <w:p w14:paraId="2330B279"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Supporting Veteran Owned Business Grant Program</w:t>
      </w:r>
      <w:r>
        <w:rPr>
          <w:noProof/>
          <w:webHidden/>
        </w:rPr>
        <w:tab/>
        <w:t>85</w:t>
      </w:r>
    </w:p>
    <w:p w14:paraId="1E3B82E2" w14:textId="0FF40381" w:rsidR="0075066B" w:rsidRDefault="0075066B">
      <w:pPr>
        <w:pStyle w:val="TOC2"/>
        <w:rPr>
          <w:rFonts w:asciiTheme="minorHAnsi" w:eastAsiaTheme="minorEastAsia" w:hAnsiTheme="minorHAnsi" w:cstheme="minorBidi"/>
          <w:b w:val="0"/>
          <w:noProof/>
          <w:kern w:val="2"/>
          <w:sz w:val="22"/>
          <w:szCs w:val="22"/>
          <w14:ligatures w14:val="standardContextual"/>
        </w:rPr>
      </w:pPr>
      <w:r w:rsidRPr="005B015E">
        <w:rPr>
          <w:bCs/>
          <w:noProof/>
        </w:rPr>
        <w:t>Education</w:t>
      </w:r>
      <w:r w:rsidR="00835024">
        <w:rPr>
          <w:bCs/>
          <w:noProof/>
        </w:rPr>
        <w:tab/>
      </w:r>
      <w:r>
        <w:rPr>
          <w:noProof/>
          <w:webHidden/>
        </w:rPr>
        <w:tab/>
        <w:t>86</w:t>
      </w:r>
    </w:p>
    <w:p w14:paraId="6C18D10B"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Child Care Subsidy Reform – further measures for strong and sustainable foundations</w:t>
      </w:r>
      <w:r>
        <w:rPr>
          <w:noProof/>
          <w:webHidden/>
        </w:rPr>
        <w:tab/>
        <w:t>86</w:t>
      </w:r>
    </w:p>
    <w:p w14:paraId="0F189500"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Closing the Gap – Education</w:t>
      </w:r>
      <w:r>
        <w:rPr>
          <w:noProof/>
          <w:webHidden/>
        </w:rPr>
        <w:tab/>
        <w:t>87</w:t>
      </w:r>
    </w:p>
    <w:p w14:paraId="3D18DA2C"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noProof/>
          <w:lang w:val="en-US"/>
        </w:rPr>
        <w:t>Inclusion Support Program – additional funding</w:t>
      </w:r>
      <w:r>
        <w:rPr>
          <w:noProof/>
          <w:webHidden/>
        </w:rPr>
        <w:tab/>
        <w:t>88</w:t>
      </w:r>
    </w:p>
    <w:p w14:paraId="7D769429"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School Education Support</w:t>
      </w:r>
      <w:r>
        <w:rPr>
          <w:noProof/>
          <w:webHidden/>
        </w:rPr>
        <w:tab/>
        <w:t>88</w:t>
      </w:r>
    </w:p>
    <w:p w14:paraId="491EE25A" w14:textId="77777777" w:rsidR="0075066B" w:rsidRDefault="0075066B">
      <w:pPr>
        <w:pStyle w:val="TOC2"/>
        <w:rPr>
          <w:rFonts w:asciiTheme="minorHAnsi" w:eastAsiaTheme="minorEastAsia" w:hAnsiTheme="minorHAnsi" w:cstheme="minorBidi"/>
          <w:b w:val="0"/>
          <w:noProof/>
          <w:kern w:val="2"/>
          <w:sz w:val="22"/>
          <w:szCs w:val="22"/>
          <w14:ligatures w14:val="standardContextual"/>
        </w:rPr>
      </w:pPr>
      <w:r w:rsidRPr="005B015E">
        <w:rPr>
          <w:bCs/>
          <w:noProof/>
        </w:rPr>
        <w:t>Employment and Workplace Relations</w:t>
      </w:r>
      <w:r>
        <w:rPr>
          <w:noProof/>
          <w:webHidden/>
        </w:rPr>
        <w:tab/>
        <w:t>90</w:t>
      </w:r>
    </w:p>
    <w:p w14:paraId="40DE8178"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Australian Apprenticeships Incentive System – further support</w:t>
      </w:r>
      <w:r>
        <w:rPr>
          <w:noProof/>
          <w:webHidden/>
        </w:rPr>
        <w:tab/>
        <w:t>90</w:t>
      </w:r>
    </w:p>
    <w:p w14:paraId="3319AC37"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noProof/>
          <w:lang w:val="en-US"/>
        </w:rPr>
        <w:t>Employment and Workplace Relations – reprioritisation</w:t>
      </w:r>
      <w:r>
        <w:rPr>
          <w:noProof/>
          <w:webHidden/>
        </w:rPr>
        <w:tab/>
        <w:t>90</w:t>
      </w:r>
    </w:p>
    <w:p w14:paraId="7AF088BA"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Employment Services Reform</w:t>
      </w:r>
      <w:r>
        <w:rPr>
          <w:noProof/>
          <w:webHidden/>
        </w:rPr>
        <w:tab/>
        <w:t>91</w:t>
      </w:r>
    </w:p>
    <w:p w14:paraId="78BA4419"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Engineered Stone Import Prohibition</w:t>
      </w:r>
      <w:r>
        <w:rPr>
          <w:noProof/>
          <w:webHidden/>
        </w:rPr>
        <w:tab/>
        <w:t>92</w:t>
      </w:r>
    </w:p>
    <w:p w14:paraId="1CD36F17"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Extending Broome Employment Services</w:t>
      </w:r>
      <w:r>
        <w:rPr>
          <w:noProof/>
          <w:webHidden/>
        </w:rPr>
        <w:tab/>
        <w:t>93</w:t>
      </w:r>
    </w:p>
    <w:p w14:paraId="76599081"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First Nations Prison to Employment Program</w:t>
      </w:r>
      <w:r>
        <w:rPr>
          <w:noProof/>
          <w:webHidden/>
        </w:rPr>
        <w:tab/>
        <w:t>93</w:t>
      </w:r>
    </w:p>
    <w:p w14:paraId="6509AC2F"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Further Support for the Vocational Education and Training System</w:t>
      </w:r>
      <w:r>
        <w:rPr>
          <w:noProof/>
          <w:webHidden/>
        </w:rPr>
        <w:tab/>
        <w:t>94</w:t>
      </w:r>
    </w:p>
    <w:p w14:paraId="3F1F62B6"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Promoting TAFE and VET Pathways</w:t>
      </w:r>
      <w:r>
        <w:rPr>
          <w:noProof/>
          <w:webHidden/>
        </w:rPr>
        <w:tab/>
        <w:t>95</w:t>
      </w:r>
    </w:p>
    <w:p w14:paraId="321ABF94"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Workplace Relations</w:t>
      </w:r>
      <w:r>
        <w:rPr>
          <w:noProof/>
          <w:webHidden/>
        </w:rPr>
        <w:tab/>
        <w:t>95</w:t>
      </w:r>
    </w:p>
    <w:p w14:paraId="473453FA" w14:textId="23D09AB7" w:rsidR="0075066B" w:rsidRDefault="0075066B">
      <w:pPr>
        <w:pStyle w:val="TOC2"/>
        <w:rPr>
          <w:rFonts w:asciiTheme="minorHAnsi" w:eastAsiaTheme="minorEastAsia" w:hAnsiTheme="minorHAnsi" w:cstheme="minorBidi"/>
          <w:b w:val="0"/>
          <w:noProof/>
          <w:kern w:val="2"/>
          <w:sz w:val="22"/>
          <w:szCs w:val="22"/>
          <w14:ligatures w14:val="standardContextual"/>
        </w:rPr>
      </w:pPr>
      <w:r w:rsidRPr="005B015E">
        <w:rPr>
          <w:bCs/>
          <w:noProof/>
        </w:rPr>
        <w:t>Finance</w:t>
      </w:r>
      <w:r w:rsidR="00835024">
        <w:rPr>
          <w:bCs/>
          <w:noProof/>
        </w:rPr>
        <w:tab/>
      </w:r>
      <w:r w:rsidR="00835024">
        <w:rPr>
          <w:bCs/>
          <w:noProof/>
        </w:rPr>
        <w:tab/>
      </w:r>
      <w:r>
        <w:rPr>
          <w:noProof/>
          <w:webHidden/>
        </w:rPr>
        <w:tab/>
        <w:t>97</w:t>
      </w:r>
    </w:p>
    <w:p w14:paraId="3D86750A"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Digital ID</w:t>
      </w:r>
      <w:r>
        <w:rPr>
          <w:noProof/>
          <w:webHidden/>
        </w:rPr>
        <w:tab/>
        <w:t>97</w:t>
      </w:r>
    </w:p>
    <w:p w14:paraId="6A44C497"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Equity Injection for Australian Naval Infrastructure</w:t>
      </w:r>
      <w:r>
        <w:rPr>
          <w:noProof/>
          <w:webHidden/>
        </w:rPr>
        <w:tab/>
        <w:t>98</w:t>
      </w:r>
    </w:p>
    <w:p w14:paraId="6B36CB64"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noProof/>
          <w:lang w:val="en-US"/>
        </w:rPr>
        <w:t>Finance Portfolio – additional resourcing</w:t>
      </w:r>
      <w:r>
        <w:rPr>
          <w:noProof/>
          <w:webHidden/>
        </w:rPr>
        <w:tab/>
        <w:t>99</w:t>
      </w:r>
    </w:p>
    <w:p w14:paraId="3025A2CE"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Initial funding for the Independent Parliamentary Standards Commission</w:t>
      </w:r>
      <w:r>
        <w:rPr>
          <w:noProof/>
          <w:webHidden/>
        </w:rPr>
        <w:tab/>
        <w:t>100</w:t>
      </w:r>
    </w:p>
    <w:p w14:paraId="2EE38CD5"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noProof/>
          <w:lang w:val="en-US"/>
        </w:rPr>
        <w:t>Parliamentary Expenses Management System – additional funding</w:t>
      </w:r>
      <w:r>
        <w:rPr>
          <w:noProof/>
          <w:webHidden/>
        </w:rPr>
        <w:tab/>
        <w:t>100</w:t>
      </w:r>
    </w:p>
    <w:p w14:paraId="6A9E929B"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Snowy Hydro Limited</w:t>
      </w:r>
      <w:r>
        <w:rPr>
          <w:noProof/>
          <w:webHidden/>
        </w:rPr>
        <w:tab/>
        <w:t>101</w:t>
      </w:r>
    </w:p>
    <w:p w14:paraId="766BF80F" w14:textId="77777777" w:rsidR="00835024" w:rsidRDefault="00835024">
      <w:pPr>
        <w:spacing w:before="0" w:after="160" w:line="259" w:lineRule="auto"/>
        <w:rPr>
          <w:rFonts w:ascii="Arial" w:hAnsi="Arial"/>
          <w:b/>
          <w:bCs/>
          <w:noProof/>
          <w:sz w:val="20"/>
        </w:rPr>
      </w:pPr>
      <w:r>
        <w:rPr>
          <w:bCs/>
          <w:noProof/>
        </w:rPr>
        <w:br w:type="page"/>
      </w:r>
    </w:p>
    <w:p w14:paraId="606B2C3C" w14:textId="14CC231E" w:rsidR="0075066B" w:rsidRDefault="0075066B">
      <w:pPr>
        <w:pStyle w:val="TOC2"/>
        <w:rPr>
          <w:rFonts w:asciiTheme="minorHAnsi" w:eastAsiaTheme="minorEastAsia" w:hAnsiTheme="minorHAnsi" w:cstheme="minorBidi"/>
          <w:b w:val="0"/>
          <w:noProof/>
          <w:kern w:val="2"/>
          <w:sz w:val="22"/>
          <w:szCs w:val="22"/>
          <w14:ligatures w14:val="standardContextual"/>
        </w:rPr>
      </w:pPr>
      <w:r w:rsidRPr="005B015E">
        <w:rPr>
          <w:bCs/>
          <w:noProof/>
        </w:rPr>
        <w:lastRenderedPageBreak/>
        <w:t>Foreign Affairs and Trade</w:t>
      </w:r>
      <w:r>
        <w:rPr>
          <w:noProof/>
          <w:webHidden/>
        </w:rPr>
        <w:tab/>
        <w:t>102</w:t>
      </w:r>
    </w:p>
    <w:p w14:paraId="0A8CD12B"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noProof/>
          <w:lang w:val="en-US"/>
        </w:rPr>
        <w:t>Australia</w:t>
      </w:r>
      <w:r w:rsidRPr="005B015E">
        <w:rPr>
          <w:bCs/>
          <w:noProof/>
        </w:rPr>
        <w:noBreakHyphen/>
      </w:r>
      <w:r w:rsidRPr="005B015E">
        <w:rPr>
          <w:noProof/>
          <w:lang w:val="en-US"/>
        </w:rPr>
        <w:t>France Enhanced Relations</w:t>
      </w:r>
      <w:r>
        <w:rPr>
          <w:noProof/>
          <w:webHidden/>
        </w:rPr>
        <w:tab/>
        <w:t>102</w:t>
      </w:r>
    </w:p>
    <w:p w14:paraId="57410A27"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Enhancing Pacific Infrastructure and Engagement</w:t>
      </w:r>
      <w:r>
        <w:rPr>
          <w:noProof/>
          <w:webHidden/>
        </w:rPr>
        <w:tab/>
        <w:t>103</w:t>
      </w:r>
    </w:p>
    <w:p w14:paraId="752F6876"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Fast</w:t>
      </w:r>
      <w:r w:rsidRPr="005B015E">
        <w:rPr>
          <w:bCs/>
          <w:noProof/>
        </w:rPr>
        <w:noBreakHyphen/>
        <w:t>Track Passport – establishment</w:t>
      </w:r>
      <w:r>
        <w:rPr>
          <w:noProof/>
          <w:webHidden/>
        </w:rPr>
        <w:tab/>
        <w:t>104</w:t>
      </w:r>
    </w:p>
    <w:p w14:paraId="36C75F18"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International Climate Finance</w:t>
      </w:r>
      <w:r>
        <w:rPr>
          <w:noProof/>
          <w:webHidden/>
        </w:rPr>
        <w:tab/>
        <w:t>104</w:t>
      </w:r>
    </w:p>
    <w:p w14:paraId="1997E8AC"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Maintaining Support for an Effective Foreign Service</w:t>
      </w:r>
      <w:r>
        <w:rPr>
          <w:noProof/>
          <w:webHidden/>
        </w:rPr>
        <w:tab/>
        <w:t>105</w:t>
      </w:r>
    </w:p>
    <w:p w14:paraId="73C5D6DD"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Middle East Crisis Response</w:t>
      </w:r>
      <w:r>
        <w:rPr>
          <w:noProof/>
          <w:webHidden/>
        </w:rPr>
        <w:tab/>
        <w:t>105</w:t>
      </w:r>
    </w:p>
    <w:p w14:paraId="07D0C7F6"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noProof/>
          <w:lang w:val="en-US"/>
        </w:rPr>
        <w:t>Southeast Asia Engagement – additional funding</w:t>
      </w:r>
      <w:r>
        <w:rPr>
          <w:noProof/>
          <w:webHidden/>
        </w:rPr>
        <w:tab/>
        <w:t>106</w:t>
      </w:r>
    </w:p>
    <w:p w14:paraId="6F93DC97"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noProof/>
          <w:lang w:val="en-US"/>
        </w:rPr>
        <w:t>Trade and Tourism Strategies – additional funding</w:t>
      </w:r>
      <w:r>
        <w:rPr>
          <w:noProof/>
          <w:webHidden/>
        </w:rPr>
        <w:tab/>
        <w:t>107</w:t>
      </w:r>
    </w:p>
    <w:p w14:paraId="16827DDA" w14:textId="77777777" w:rsidR="0075066B" w:rsidRDefault="0075066B">
      <w:pPr>
        <w:pStyle w:val="TOC2"/>
        <w:rPr>
          <w:rFonts w:asciiTheme="minorHAnsi" w:eastAsiaTheme="minorEastAsia" w:hAnsiTheme="minorHAnsi" w:cstheme="minorBidi"/>
          <w:b w:val="0"/>
          <w:noProof/>
          <w:kern w:val="2"/>
          <w:sz w:val="22"/>
          <w:szCs w:val="22"/>
          <w14:ligatures w14:val="standardContextual"/>
        </w:rPr>
      </w:pPr>
      <w:r w:rsidRPr="005B015E">
        <w:rPr>
          <w:bCs/>
          <w:noProof/>
        </w:rPr>
        <w:t>Health and Aged Care</w:t>
      </w:r>
      <w:r>
        <w:rPr>
          <w:noProof/>
          <w:webHidden/>
        </w:rPr>
        <w:tab/>
        <w:t>109</w:t>
      </w:r>
    </w:p>
    <w:p w14:paraId="2722C460"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2024 Channel Nine Brisbane Telethon</w:t>
      </w:r>
      <w:r>
        <w:rPr>
          <w:noProof/>
          <w:webHidden/>
        </w:rPr>
        <w:tab/>
        <w:t>109</w:t>
      </w:r>
    </w:p>
    <w:p w14:paraId="7BD468D8"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Australian Institute of Sport Site Redevelopment</w:t>
      </w:r>
      <w:r>
        <w:rPr>
          <w:noProof/>
          <w:webHidden/>
        </w:rPr>
        <w:tab/>
        <w:t>109</w:t>
      </w:r>
    </w:p>
    <w:p w14:paraId="1EC71BBC"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Ensuring Service Delivery at Hummingbird House</w:t>
      </w:r>
      <w:r>
        <w:rPr>
          <w:noProof/>
          <w:webHidden/>
        </w:rPr>
        <w:tab/>
        <w:t>110</w:t>
      </w:r>
    </w:p>
    <w:p w14:paraId="577FB91D"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Funding for the Alfred Hospital</w:t>
      </w:r>
      <w:r>
        <w:rPr>
          <w:noProof/>
          <w:webHidden/>
        </w:rPr>
        <w:tab/>
        <w:t>110</w:t>
      </w:r>
    </w:p>
    <w:p w14:paraId="59ED61C1"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Health Workforce</w:t>
      </w:r>
      <w:r>
        <w:rPr>
          <w:noProof/>
          <w:webHidden/>
        </w:rPr>
        <w:tab/>
        <w:t>111</w:t>
      </w:r>
    </w:p>
    <w:p w14:paraId="02CC0940"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Improving Aged Care Support</w:t>
      </w:r>
      <w:r>
        <w:rPr>
          <w:noProof/>
          <w:webHidden/>
        </w:rPr>
        <w:tab/>
        <w:t>112</w:t>
      </w:r>
    </w:p>
    <w:p w14:paraId="688B9172"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Improving Cancer Outcomes</w:t>
      </w:r>
      <w:r>
        <w:rPr>
          <w:noProof/>
          <w:webHidden/>
        </w:rPr>
        <w:tab/>
        <w:t>113</w:t>
      </w:r>
    </w:p>
    <w:p w14:paraId="4D57C145"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Management of Torres Strait and Papua New Guinea Cross Border Health Issues</w:t>
      </w:r>
      <w:r>
        <w:rPr>
          <w:noProof/>
          <w:webHidden/>
        </w:rPr>
        <w:tab/>
        <w:t>114</w:t>
      </w:r>
    </w:p>
    <w:p w14:paraId="3A9E5267"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Medical Research</w:t>
      </w:r>
      <w:r>
        <w:rPr>
          <w:noProof/>
          <w:webHidden/>
        </w:rPr>
        <w:tab/>
        <w:t>115</w:t>
      </w:r>
    </w:p>
    <w:p w14:paraId="66CC0731"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Mental Health</w:t>
      </w:r>
      <w:r>
        <w:rPr>
          <w:noProof/>
          <w:webHidden/>
        </w:rPr>
        <w:tab/>
        <w:t>116</w:t>
      </w:r>
    </w:p>
    <w:p w14:paraId="3C3CD178"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noProof/>
          <w:lang w:val="en-US"/>
        </w:rPr>
        <w:t>National Joint Replacement Registry – additional funding</w:t>
      </w:r>
      <w:r>
        <w:rPr>
          <w:noProof/>
          <w:webHidden/>
        </w:rPr>
        <w:tab/>
        <w:t>117</w:t>
      </w:r>
    </w:p>
    <w:p w14:paraId="043CCD4D"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National Strategies for Bloodborne Viruses and Sexually Transmissible Infections – continuation and expansion</w:t>
      </w:r>
      <w:r>
        <w:rPr>
          <w:noProof/>
          <w:webHidden/>
        </w:rPr>
        <w:tab/>
        <w:t>118</w:t>
      </w:r>
    </w:p>
    <w:p w14:paraId="2B9CBB3F"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Pharmaceutical Benefits Scheme (PBS) – new and amended listings</w:t>
      </w:r>
      <w:r>
        <w:rPr>
          <w:noProof/>
          <w:webHidden/>
        </w:rPr>
        <w:tab/>
        <w:t>119</w:t>
      </w:r>
    </w:p>
    <w:p w14:paraId="36C8232C"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Portfolio Administrative Matters</w:t>
      </w:r>
      <w:r>
        <w:rPr>
          <w:noProof/>
          <w:webHidden/>
        </w:rPr>
        <w:tab/>
        <w:t>120</w:t>
      </w:r>
    </w:p>
    <w:p w14:paraId="36FA2D2C"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Preventive Health</w:t>
      </w:r>
      <w:r>
        <w:rPr>
          <w:noProof/>
          <w:webHidden/>
        </w:rPr>
        <w:tab/>
        <w:t>121</w:t>
      </w:r>
    </w:p>
    <w:p w14:paraId="36A3B0D3"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noProof/>
          <w:lang w:val="en-US"/>
        </w:rPr>
        <w:t>Response to HIV Taskforce Recommendations – eliminating HIV in Australia</w:t>
      </w:r>
      <w:r>
        <w:rPr>
          <w:noProof/>
          <w:webHidden/>
        </w:rPr>
        <w:tab/>
        <w:t>123</w:t>
      </w:r>
    </w:p>
    <w:p w14:paraId="40C35F33"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Securing Cheaper Medicines</w:t>
      </w:r>
      <w:r>
        <w:rPr>
          <w:noProof/>
          <w:webHidden/>
        </w:rPr>
        <w:tab/>
        <w:t>124</w:t>
      </w:r>
    </w:p>
    <w:p w14:paraId="22280B7C"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Sport Integrity Australia – funding support</w:t>
      </w:r>
      <w:r>
        <w:rPr>
          <w:noProof/>
          <w:webHidden/>
        </w:rPr>
        <w:tab/>
        <w:t>125</w:t>
      </w:r>
    </w:p>
    <w:p w14:paraId="754D535C"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Strengthening Medicare</w:t>
      </w:r>
      <w:r>
        <w:rPr>
          <w:noProof/>
          <w:webHidden/>
        </w:rPr>
        <w:tab/>
        <w:t>126</w:t>
      </w:r>
    </w:p>
    <w:p w14:paraId="3283DCEB"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noProof/>
          <w:lang w:val="en-US"/>
        </w:rPr>
        <w:t>Strengthening Medicare – Medicare Urgent Care Clinics – additional funding</w:t>
      </w:r>
      <w:r>
        <w:rPr>
          <w:noProof/>
          <w:webHidden/>
        </w:rPr>
        <w:tab/>
        <w:t>128</w:t>
      </w:r>
    </w:p>
    <w:p w14:paraId="07BEFDD0" w14:textId="603837A3"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noProof/>
          <w:lang w:val="en-US"/>
        </w:rPr>
        <w:t xml:space="preserve">Strengthening Medicare – an effective and clinically appropriate </w:t>
      </w:r>
      <w:r w:rsidR="00B8570A">
        <w:rPr>
          <w:noProof/>
          <w:lang w:val="en-US"/>
        </w:rPr>
        <w:br/>
      </w:r>
      <w:r w:rsidRPr="005B015E">
        <w:rPr>
          <w:noProof/>
          <w:lang w:val="en-US"/>
        </w:rPr>
        <w:t>Medicare Benefits Schedule (MBS)</w:t>
      </w:r>
      <w:r>
        <w:rPr>
          <w:noProof/>
          <w:webHidden/>
        </w:rPr>
        <w:tab/>
        <w:t>129</w:t>
      </w:r>
    </w:p>
    <w:p w14:paraId="451BD141"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Supporting Ongoing Access to Vaccines</w:t>
      </w:r>
      <w:r>
        <w:rPr>
          <w:noProof/>
          <w:webHidden/>
        </w:rPr>
        <w:tab/>
        <w:t>130</w:t>
      </w:r>
    </w:p>
    <w:p w14:paraId="57378965"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Supporting Sports Participation</w:t>
      </w:r>
      <w:r>
        <w:rPr>
          <w:noProof/>
          <w:webHidden/>
        </w:rPr>
        <w:tab/>
        <w:t>131</w:t>
      </w:r>
    </w:p>
    <w:p w14:paraId="089EDF48"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Women's Health</w:t>
      </w:r>
      <w:r>
        <w:rPr>
          <w:noProof/>
          <w:webHidden/>
        </w:rPr>
        <w:tab/>
        <w:t>132</w:t>
      </w:r>
    </w:p>
    <w:p w14:paraId="15916862" w14:textId="77777777" w:rsidR="00B8570A" w:rsidRDefault="00B8570A">
      <w:pPr>
        <w:spacing w:before="0" w:after="160" w:line="259" w:lineRule="auto"/>
        <w:rPr>
          <w:rFonts w:ascii="Arial" w:hAnsi="Arial"/>
          <w:b/>
          <w:bCs/>
          <w:noProof/>
          <w:sz w:val="20"/>
        </w:rPr>
      </w:pPr>
      <w:r>
        <w:rPr>
          <w:bCs/>
          <w:noProof/>
        </w:rPr>
        <w:br w:type="page"/>
      </w:r>
    </w:p>
    <w:p w14:paraId="51E87CBC" w14:textId="67BB3FF4" w:rsidR="0075066B" w:rsidRDefault="0075066B">
      <w:pPr>
        <w:pStyle w:val="TOC2"/>
        <w:rPr>
          <w:rFonts w:asciiTheme="minorHAnsi" w:eastAsiaTheme="minorEastAsia" w:hAnsiTheme="minorHAnsi" w:cstheme="minorBidi"/>
          <w:b w:val="0"/>
          <w:noProof/>
          <w:kern w:val="2"/>
          <w:sz w:val="22"/>
          <w:szCs w:val="22"/>
          <w14:ligatures w14:val="standardContextual"/>
        </w:rPr>
      </w:pPr>
      <w:r w:rsidRPr="005B015E">
        <w:rPr>
          <w:bCs/>
          <w:noProof/>
        </w:rPr>
        <w:lastRenderedPageBreak/>
        <w:t>Home Affairs</w:t>
      </w:r>
      <w:r>
        <w:rPr>
          <w:noProof/>
          <w:webHidden/>
        </w:rPr>
        <w:tab/>
        <w:t>134</w:t>
      </w:r>
    </w:p>
    <w:p w14:paraId="5F061F3F"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Civil Maritime Critical Security Capabilities</w:t>
      </w:r>
      <w:r>
        <w:rPr>
          <w:noProof/>
          <w:webHidden/>
        </w:rPr>
        <w:tab/>
        <w:t>134</w:t>
      </w:r>
    </w:p>
    <w:p w14:paraId="08E9A3C2"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Department of Home Affairs – supplementation</w:t>
      </w:r>
      <w:r>
        <w:rPr>
          <w:noProof/>
          <w:webHidden/>
        </w:rPr>
        <w:tab/>
        <w:t>134</w:t>
      </w:r>
    </w:p>
    <w:p w14:paraId="063C0439"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Disaster Support</w:t>
      </w:r>
      <w:r>
        <w:rPr>
          <w:noProof/>
          <w:webHidden/>
        </w:rPr>
        <w:tab/>
        <w:t>135</w:t>
      </w:r>
    </w:p>
    <w:p w14:paraId="477AC1C5"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noProof/>
          <w:lang w:val="en-US"/>
        </w:rPr>
        <w:t>Infrastructure Upgrades at Yongah Hill Immigration Detention Centre</w:t>
      </w:r>
      <w:r>
        <w:rPr>
          <w:noProof/>
          <w:webHidden/>
        </w:rPr>
        <w:tab/>
        <w:t>135</w:t>
      </w:r>
    </w:p>
    <w:p w14:paraId="4B686BD9"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Migration System Reforms</w:t>
      </w:r>
      <w:r>
        <w:rPr>
          <w:noProof/>
          <w:webHidden/>
        </w:rPr>
        <w:tab/>
        <w:t>136</w:t>
      </w:r>
    </w:p>
    <w:p w14:paraId="7FFE3008"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noProof/>
          <w:lang w:val="en-US"/>
        </w:rPr>
        <w:t>National Security Agencies – additional funding</w:t>
      </w:r>
      <w:r>
        <w:rPr>
          <w:noProof/>
          <w:webHidden/>
        </w:rPr>
        <w:tab/>
        <w:t>137</w:t>
      </w:r>
    </w:p>
    <w:p w14:paraId="558598B1"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Reforms to Migrant and Refugee Settlement Services</w:t>
      </w:r>
      <w:r>
        <w:rPr>
          <w:noProof/>
          <w:webHidden/>
        </w:rPr>
        <w:tab/>
        <w:t>138</w:t>
      </w:r>
    </w:p>
    <w:p w14:paraId="013FACD3" w14:textId="065E2AEE"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noProof/>
          <w:lang w:val="en-US"/>
        </w:rPr>
        <w:t xml:space="preserve">Support to Individuals from Israel and Occupied Palestinian Territories </w:t>
      </w:r>
      <w:r w:rsidR="00B8570A">
        <w:rPr>
          <w:noProof/>
          <w:lang w:val="en-US"/>
        </w:rPr>
        <w:br/>
      </w:r>
      <w:r w:rsidRPr="005B015E">
        <w:rPr>
          <w:noProof/>
          <w:lang w:val="en-US"/>
        </w:rPr>
        <w:t>affected by the Hamas</w:t>
      </w:r>
      <w:r w:rsidRPr="005B015E">
        <w:rPr>
          <w:bCs/>
          <w:noProof/>
        </w:rPr>
        <w:noBreakHyphen/>
      </w:r>
      <w:r w:rsidRPr="005B015E">
        <w:rPr>
          <w:noProof/>
          <w:lang w:val="en-US"/>
        </w:rPr>
        <w:t>Israel conflict</w:t>
      </w:r>
      <w:r>
        <w:rPr>
          <w:noProof/>
          <w:webHidden/>
        </w:rPr>
        <w:tab/>
        <w:t>139</w:t>
      </w:r>
    </w:p>
    <w:p w14:paraId="02D5CB0F"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Tobacco – illicit tobacco compliance</w:t>
      </w:r>
      <w:r>
        <w:rPr>
          <w:noProof/>
          <w:webHidden/>
        </w:rPr>
        <w:tab/>
        <w:t>139</w:t>
      </w:r>
    </w:p>
    <w:p w14:paraId="5EDBBEF6" w14:textId="77777777" w:rsidR="0075066B" w:rsidRDefault="0075066B">
      <w:pPr>
        <w:pStyle w:val="TOC2"/>
        <w:rPr>
          <w:rFonts w:asciiTheme="minorHAnsi" w:eastAsiaTheme="minorEastAsia" w:hAnsiTheme="minorHAnsi" w:cstheme="minorBidi"/>
          <w:b w:val="0"/>
          <w:noProof/>
          <w:kern w:val="2"/>
          <w:sz w:val="22"/>
          <w:szCs w:val="22"/>
          <w14:ligatures w14:val="standardContextual"/>
        </w:rPr>
      </w:pPr>
      <w:r w:rsidRPr="005B015E">
        <w:rPr>
          <w:bCs/>
          <w:noProof/>
        </w:rPr>
        <w:t>Industry, Science and Resources</w:t>
      </w:r>
      <w:r>
        <w:rPr>
          <w:noProof/>
          <w:webHidden/>
        </w:rPr>
        <w:tab/>
        <w:t>140</w:t>
      </w:r>
    </w:p>
    <w:p w14:paraId="2F39D7C4"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Investing in the Future of Industry and Science</w:t>
      </w:r>
      <w:r>
        <w:rPr>
          <w:noProof/>
          <w:webHidden/>
        </w:rPr>
        <w:tab/>
        <w:t>140</w:t>
      </w:r>
    </w:p>
    <w:p w14:paraId="5917571D"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Supporting Safe and Responsible AI</w:t>
      </w:r>
      <w:r>
        <w:rPr>
          <w:noProof/>
          <w:webHidden/>
        </w:rPr>
        <w:tab/>
        <w:t>141</w:t>
      </w:r>
    </w:p>
    <w:p w14:paraId="6F75D65D" w14:textId="65A1B032"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 xml:space="preserve">Supporting Safety and Responsible Decommissioning in the </w:t>
      </w:r>
      <w:r w:rsidR="00B8570A">
        <w:rPr>
          <w:bCs/>
          <w:noProof/>
        </w:rPr>
        <w:br/>
      </w:r>
      <w:r w:rsidRPr="005B015E">
        <w:rPr>
          <w:bCs/>
          <w:noProof/>
        </w:rPr>
        <w:t>Offshore Resources Sector</w:t>
      </w:r>
      <w:r>
        <w:rPr>
          <w:noProof/>
          <w:webHidden/>
        </w:rPr>
        <w:tab/>
        <w:t>142</w:t>
      </w:r>
    </w:p>
    <w:p w14:paraId="16AD9E08"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Update on Radioactive Waste Management</w:t>
      </w:r>
      <w:r>
        <w:rPr>
          <w:noProof/>
          <w:webHidden/>
        </w:rPr>
        <w:tab/>
        <w:t>143</w:t>
      </w:r>
    </w:p>
    <w:p w14:paraId="1D945048" w14:textId="37AD0A0A" w:rsidR="0075066B" w:rsidRDefault="0075066B" w:rsidP="00B2324B">
      <w:pPr>
        <w:pStyle w:val="TOC2"/>
        <w:ind w:left="0" w:firstLine="0"/>
        <w:rPr>
          <w:rFonts w:asciiTheme="minorHAnsi" w:eastAsiaTheme="minorEastAsia" w:hAnsiTheme="minorHAnsi" w:cstheme="minorBidi"/>
          <w:b w:val="0"/>
          <w:noProof/>
          <w:kern w:val="2"/>
          <w:sz w:val="22"/>
          <w:szCs w:val="22"/>
          <w14:ligatures w14:val="standardContextual"/>
        </w:rPr>
      </w:pPr>
      <w:r w:rsidRPr="005B015E">
        <w:rPr>
          <w:noProof/>
          <w:lang w:val="en-US"/>
        </w:rPr>
        <w:t xml:space="preserve">Infrastructure, Transport, Regional Development, </w:t>
      </w:r>
      <w:r w:rsidR="00B2324B">
        <w:rPr>
          <w:noProof/>
          <w:lang w:val="en-US"/>
        </w:rPr>
        <w:br/>
      </w:r>
      <w:r w:rsidRPr="005B015E">
        <w:rPr>
          <w:noProof/>
          <w:lang w:val="en-US"/>
        </w:rPr>
        <w:t>Communications and the Arts</w:t>
      </w:r>
      <w:r>
        <w:rPr>
          <w:noProof/>
          <w:webHidden/>
        </w:rPr>
        <w:tab/>
        <w:t>144</w:t>
      </w:r>
    </w:p>
    <w:p w14:paraId="5DD8968C"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Building a Better Future Through Considered Infrastructure Investment</w:t>
      </w:r>
      <w:r>
        <w:rPr>
          <w:noProof/>
          <w:webHidden/>
        </w:rPr>
        <w:tab/>
        <w:t>144</w:t>
      </w:r>
    </w:p>
    <w:p w14:paraId="59146222"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Delivering a Strategic Fleet</w:t>
      </w:r>
      <w:r>
        <w:rPr>
          <w:noProof/>
          <w:webHidden/>
        </w:rPr>
        <w:tab/>
        <w:t>146</w:t>
      </w:r>
    </w:p>
    <w:p w14:paraId="7E05940E"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Enabling Western Sydney International Airport</w:t>
      </w:r>
      <w:r>
        <w:rPr>
          <w:noProof/>
          <w:webHidden/>
        </w:rPr>
        <w:tab/>
        <w:t>147</w:t>
      </w:r>
    </w:p>
    <w:p w14:paraId="370DD7E5"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First Nations Digital Inclusion</w:t>
      </w:r>
      <w:r>
        <w:rPr>
          <w:noProof/>
          <w:webHidden/>
        </w:rPr>
        <w:tab/>
        <w:t>148</w:t>
      </w:r>
    </w:p>
    <w:p w14:paraId="29203AF1"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Funding for the Territories</w:t>
      </w:r>
      <w:r>
        <w:rPr>
          <w:noProof/>
          <w:webHidden/>
        </w:rPr>
        <w:tab/>
        <w:t>148</w:t>
      </w:r>
    </w:p>
    <w:p w14:paraId="548205B8"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New Vehicle Efficiency Standard Implementation</w:t>
      </w:r>
      <w:r>
        <w:rPr>
          <w:noProof/>
          <w:webHidden/>
        </w:rPr>
        <w:tab/>
        <w:t>149</w:t>
      </w:r>
    </w:p>
    <w:p w14:paraId="1B223957"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Online Safety</w:t>
      </w:r>
      <w:r>
        <w:rPr>
          <w:noProof/>
          <w:webHidden/>
        </w:rPr>
        <w:tab/>
        <w:t>150</w:t>
      </w:r>
    </w:p>
    <w:p w14:paraId="0AFE7BC0"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noProof/>
          <w:lang w:val="en-US"/>
        </w:rPr>
        <w:t>Qtopia Sydney</w:t>
      </w:r>
      <w:r>
        <w:rPr>
          <w:noProof/>
          <w:webHidden/>
        </w:rPr>
        <w:tab/>
        <w:t>150</w:t>
      </w:r>
    </w:p>
    <w:p w14:paraId="5FDE309E"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Revive – National Cultural Policy</w:t>
      </w:r>
      <w:r>
        <w:rPr>
          <w:noProof/>
          <w:webHidden/>
        </w:rPr>
        <w:tab/>
        <w:t>151</w:t>
      </w:r>
    </w:p>
    <w:p w14:paraId="69FBFC41"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noProof/>
          <w:lang w:val="en-US"/>
        </w:rPr>
        <w:t>Supporting Connectivity, Media and Communications</w:t>
      </w:r>
      <w:r>
        <w:rPr>
          <w:noProof/>
          <w:webHidden/>
        </w:rPr>
        <w:tab/>
        <w:t>152</w:t>
      </w:r>
    </w:p>
    <w:p w14:paraId="0309482C"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Supporting Transport Priorities</w:t>
      </w:r>
      <w:r>
        <w:rPr>
          <w:noProof/>
          <w:webHidden/>
        </w:rPr>
        <w:tab/>
        <w:t>153</w:t>
      </w:r>
    </w:p>
    <w:p w14:paraId="16226B72"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Urban Agenda and Community Programs</w:t>
      </w:r>
      <w:r>
        <w:rPr>
          <w:noProof/>
          <w:webHidden/>
        </w:rPr>
        <w:tab/>
        <w:t>154</w:t>
      </w:r>
    </w:p>
    <w:p w14:paraId="4180B561" w14:textId="77777777" w:rsidR="0075066B" w:rsidRDefault="0075066B">
      <w:pPr>
        <w:pStyle w:val="TOC2"/>
        <w:rPr>
          <w:rFonts w:asciiTheme="minorHAnsi" w:eastAsiaTheme="minorEastAsia" w:hAnsiTheme="minorHAnsi" w:cstheme="minorBidi"/>
          <w:b w:val="0"/>
          <w:noProof/>
          <w:kern w:val="2"/>
          <w:sz w:val="22"/>
          <w:szCs w:val="22"/>
          <w14:ligatures w14:val="standardContextual"/>
        </w:rPr>
      </w:pPr>
      <w:r w:rsidRPr="005B015E">
        <w:rPr>
          <w:bCs/>
          <w:noProof/>
        </w:rPr>
        <w:t>Parliament</w:t>
      </w:r>
      <w:r>
        <w:rPr>
          <w:noProof/>
          <w:webHidden/>
        </w:rPr>
        <w:tab/>
        <w:t>155</w:t>
      </w:r>
    </w:p>
    <w:p w14:paraId="01BB273A"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noProof/>
          <w:lang w:val="en-US"/>
        </w:rPr>
        <w:t>Parliamentary Departments – additional resourcing</w:t>
      </w:r>
      <w:r>
        <w:rPr>
          <w:noProof/>
          <w:webHidden/>
        </w:rPr>
        <w:tab/>
        <w:t>155</w:t>
      </w:r>
    </w:p>
    <w:p w14:paraId="20B54296" w14:textId="77777777" w:rsidR="00DF6A5A" w:rsidRDefault="00DF6A5A">
      <w:pPr>
        <w:spacing w:before="0" w:after="160" w:line="259" w:lineRule="auto"/>
        <w:rPr>
          <w:rFonts w:ascii="Arial" w:hAnsi="Arial"/>
          <w:b/>
          <w:noProof/>
          <w:sz w:val="20"/>
        </w:rPr>
      </w:pPr>
      <w:r>
        <w:rPr>
          <w:noProof/>
        </w:rPr>
        <w:br w:type="page"/>
      </w:r>
    </w:p>
    <w:p w14:paraId="03DC9F83" w14:textId="689113E6" w:rsidR="0075066B" w:rsidRDefault="0075066B" w:rsidP="00DF6A5A">
      <w:pPr>
        <w:pStyle w:val="TOC2"/>
        <w:rPr>
          <w:rFonts w:asciiTheme="minorHAnsi" w:eastAsiaTheme="minorEastAsia" w:hAnsiTheme="minorHAnsi" w:cstheme="minorBidi"/>
          <w:noProof/>
          <w:kern w:val="2"/>
          <w:sz w:val="22"/>
          <w:szCs w:val="22"/>
          <w14:ligatures w14:val="standardContextual"/>
        </w:rPr>
      </w:pPr>
      <w:r w:rsidRPr="005B015E">
        <w:rPr>
          <w:noProof/>
        </w:rPr>
        <w:lastRenderedPageBreak/>
        <w:t xml:space="preserve">Prime </w:t>
      </w:r>
      <w:r w:rsidRPr="00DF6A5A">
        <w:t>Minister</w:t>
      </w:r>
      <w:r w:rsidRPr="005B015E">
        <w:rPr>
          <w:noProof/>
        </w:rPr>
        <w:t xml:space="preserve"> and Cabinet</w:t>
      </w:r>
      <w:r>
        <w:rPr>
          <w:noProof/>
          <w:webHidden/>
        </w:rPr>
        <w:tab/>
        <w:t>156</w:t>
      </w:r>
    </w:p>
    <w:p w14:paraId="41E003FD"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APS Capability Reinvestment Fund: 2024–25 projects funded under round two</w:t>
      </w:r>
      <w:r>
        <w:rPr>
          <w:noProof/>
          <w:webHidden/>
        </w:rPr>
        <w:tab/>
        <w:t>156</w:t>
      </w:r>
    </w:p>
    <w:p w14:paraId="4A05CF80"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noProof/>
          <w:lang w:val="en-US"/>
        </w:rPr>
        <w:t>Ending Gender</w:t>
      </w:r>
      <w:r w:rsidRPr="005B015E">
        <w:rPr>
          <w:bCs/>
          <w:noProof/>
        </w:rPr>
        <w:noBreakHyphen/>
      </w:r>
      <w:r w:rsidRPr="005B015E">
        <w:rPr>
          <w:noProof/>
          <w:lang w:val="en-US"/>
        </w:rPr>
        <w:t>Based Violence – additional resourcing</w:t>
      </w:r>
      <w:r>
        <w:rPr>
          <w:noProof/>
          <w:webHidden/>
        </w:rPr>
        <w:tab/>
        <w:t>157</w:t>
      </w:r>
    </w:p>
    <w:p w14:paraId="5BF640CF"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bCs/>
          <w:noProof/>
        </w:rPr>
        <w:t>Further Investment to Closing the Gap</w:t>
      </w:r>
      <w:r>
        <w:rPr>
          <w:noProof/>
          <w:webHidden/>
        </w:rPr>
        <w:tab/>
        <w:t>158</w:t>
      </w:r>
    </w:p>
    <w:p w14:paraId="112120D7"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rFonts w:cs="Book Antiqua"/>
          <w:noProof/>
          <w:lang w:val="en-US"/>
        </w:rPr>
        <w:t>National Australia Day Council – additional resourcing</w:t>
      </w:r>
      <w:r>
        <w:rPr>
          <w:noProof/>
          <w:webHidden/>
        </w:rPr>
        <w:tab/>
        <w:t>159</w:t>
      </w:r>
    </w:p>
    <w:p w14:paraId="3EF59134" w14:textId="77777777" w:rsidR="0075066B" w:rsidRDefault="0075066B">
      <w:pPr>
        <w:pStyle w:val="TOC3"/>
        <w:rPr>
          <w:rFonts w:asciiTheme="minorHAnsi" w:eastAsiaTheme="minorEastAsia" w:hAnsiTheme="minorHAnsi" w:cstheme="minorBidi"/>
          <w:noProof/>
          <w:kern w:val="2"/>
          <w:sz w:val="22"/>
          <w:szCs w:val="22"/>
          <w14:ligatures w14:val="standardContextual"/>
        </w:rPr>
      </w:pPr>
      <w:r>
        <w:rPr>
          <w:noProof/>
        </w:rPr>
        <w:t>Net Zero Economy</w:t>
      </w:r>
      <w:r>
        <w:rPr>
          <w:noProof/>
          <w:webHidden/>
        </w:rPr>
        <w:tab/>
        <w:t>159</w:t>
      </w:r>
    </w:p>
    <w:p w14:paraId="6DD03B19" w14:textId="77777777" w:rsidR="0075066B" w:rsidRDefault="0075066B">
      <w:pPr>
        <w:pStyle w:val="TOC3"/>
        <w:rPr>
          <w:rFonts w:asciiTheme="minorHAnsi" w:eastAsiaTheme="minorEastAsia" w:hAnsiTheme="minorHAnsi" w:cstheme="minorBidi"/>
          <w:noProof/>
          <w:kern w:val="2"/>
          <w:sz w:val="22"/>
          <w:szCs w:val="22"/>
          <w14:ligatures w14:val="standardContextual"/>
        </w:rPr>
      </w:pPr>
      <w:r>
        <w:rPr>
          <w:noProof/>
        </w:rPr>
        <w:t>Northern Territory Homelands and Housing</w:t>
      </w:r>
      <w:r>
        <w:rPr>
          <w:noProof/>
          <w:webHidden/>
        </w:rPr>
        <w:tab/>
        <w:t>160</w:t>
      </w:r>
    </w:p>
    <w:p w14:paraId="68782BA9"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noProof/>
          <w:lang w:val="en-US"/>
        </w:rPr>
        <w:t>Prime Minister and Cabinet – additional resourcing</w:t>
      </w:r>
      <w:r>
        <w:rPr>
          <w:noProof/>
          <w:webHidden/>
        </w:rPr>
        <w:tab/>
        <w:t>161</w:t>
      </w:r>
    </w:p>
    <w:p w14:paraId="652FDCB7" w14:textId="77777777" w:rsidR="0075066B" w:rsidRDefault="0075066B">
      <w:pPr>
        <w:pStyle w:val="TOC3"/>
        <w:rPr>
          <w:rFonts w:asciiTheme="minorHAnsi" w:eastAsiaTheme="minorEastAsia" w:hAnsiTheme="minorHAnsi" w:cstheme="minorBidi"/>
          <w:noProof/>
          <w:kern w:val="2"/>
          <w:sz w:val="22"/>
          <w:szCs w:val="22"/>
          <w14:ligatures w14:val="standardContextual"/>
        </w:rPr>
      </w:pPr>
      <w:r>
        <w:rPr>
          <w:noProof/>
        </w:rPr>
        <w:t>Remote Jobs and Economic Development Program</w:t>
      </w:r>
      <w:r>
        <w:rPr>
          <w:noProof/>
          <w:webHidden/>
        </w:rPr>
        <w:tab/>
        <w:t>162</w:t>
      </w:r>
    </w:p>
    <w:p w14:paraId="78334F04"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noProof/>
          <w:lang w:val="en-US"/>
        </w:rPr>
        <w:t>Youpla Support Program – continuation</w:t>
      </w:r>
      <w:r>
        <w:rPr>
          <w:noProof/>
          <w:webHidden/>
        </w:rPr>
        <w:tab/>
        <w:t>163</w:t>
      </w:r>
    </w:p>
    <w:p w14:paraId="636B33ED" w14:textId="77777777" w:rsidR="0075066B" w:rsidRDefault="0075066B">
      <w:pPr>
        <w:pStyle w:val="TOC2"/>
        <w:rPr>
          <w:rFonts w:asciiTheme="minorHAnsi" w:eastAsiaTheme="minorEastAsia" w:hAnsiTheme="minorHAnsi" w:cstheme="minorBidi"/>
          <w:b w:val="0"/>
          <w:noProof/>
          <w:kern w:val="2"/>
          <w:sz w:val="22"/>
          <w:szCs w:val="22"/>
          <w14:ligatures w14:val="standardContextual"/>
        </w:rPr>
      </w:pPr>
      <w:r>
        <w:rPr>
          <w:noProof/>
        </w:rPr>
        <w:t>Social Services</w:t>
      </w:r>
      <w:r>
        <w:rPr>
          <w:noProof/>
          <w:webHidden/>
        </w:rPr>
        <w:tab/>
        <w:t>164</w:t>
      </w:r>
    </w:p>
    <w:p w14:paraId="22B40575" w14:textId="64C83AC6"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noProof/>
          <w:lang w:val="en-US"/>
        </w:rPr>
        <w:t xml:space="preserve">A Higher Rate of JobSeeker Payment for Participants with a </w:t>
      </w:r>
      <w:r w:rsidR="00DF6A5A">
        <w:rPr>
          <w:noProof/>
          <w:lang w:val="en-US"/>
        </w:rPr>
        <w:br/>
      </w:r>
      <w:r w:rsidRPr="005B015E">
        <w:rPr>
          <w:noProof/>
          <w:lang w:val="en-US"/>
        </w:rPr>
        <w:t>Partial Capacity to Work (0</w:t>
      </w:r>
      <w:r>
        <w:rPr>
          <w:noProof/>
        </w:rPr>
        <w:noBreakHyphen/>
      </w:r>
      <w:r w:rsidRPr="005B015E">
        <w:rPr>
          <w:noProof/>
          <w:lang w:val="en-US"/>
        </w:rPr>
        <w:t>14 hours)</w:t>
      </w:r>
      <w:r>
        <w:rPr>
          <w:noProof/>
          <w:webHidden/>
        </w:rPr>
        <w:tab/>
        <w:t>164</w:t>
      </w:r>
    </w:p>
    <w:p w14:paraId="6F4224BB" w14:textId="77777777" w:rsidR="0075066B" w:rsidRDefault="0075066B">
      <w:pPr>
        <w:pStyle w:val="TOC3"/>
        <w:rPr>
          <w:rFonts w:asciiTheme="minorHAnsi" w:eastAsiaTheme="minorEastAsia" w:hAnsiTheme="minorHAnsi" w:cstheme="minorBidi"/>
          <w:noProof/>
          <w:kern w:val="2"/>
          <w:sz w:val="22"/>
          <w:szCs w:val="22"/>
          <w14:ligatures w14:val="standardContextual"/>
        </w:rPr>
      </w:pPr>
      <w:r>
        <w:rPr>
          <w:noProof/>
        </w:rPr>
        <w:t>A Stronger and More Diverse and Independent Community Sector</w:t>
      </w:r>
      <w:r>
        <w:rPr>
          <w:noProof/>
          <w:webHidden/>
        </w:rPr>
        <w:tab/>
        <w:t>164</w:t>
      </w:r>
    </w:p>
    <w:p w14:paraId="578801DC"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noProof/>
          <w:lang w:val="en-US"/>
        </w:rPr>
        <w:t>Additional Funding to Expand Jindelara Cottage Ulladulla</w:t>
      </w:r>
      <w:r>
        <w:rPr>
          <w:noProof/>
          <w:webHidden/>
        </w:rPr>
        <w:tab/>
        <w:t>165</w:t>
      </w:r>
    </w:p>
    <w:p w14:paraId="17BC2C5E"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noProof/>
          <w:lang w:val="en-US"/>
        </w:rPr>
        <w:t>Australian Orphanage Museum – additional funding</w:t>
      </w:r>
      <w:r>
        <w:rPr>
          <w:noProof/>
          <w:webHidden/>
        </w:rPr>
        <w:tab/>
        <w:t>165</w:t>
      </w:r>
    </w:p>
    <w:p w14:paraId="28FEC4A7" w14:textId="77777777" w:rsidR="0075066B" w:rsidRDefault="0075066B">
      <w:pPr>
        <w:pStyle w:val="TOC3"/>
        <w:rPr>
          <w:rFonts w:asciiTheme="minorHAnsi" w:eastAsiaTheme="minorEastAsia" w:hAnsiTheme="minorHAnsi" w:cstheme="minorBidi"/>
          <w:noProof/>
          <w:kern w:val="2"/>
          <w:sz w:val="22"/>
          <w:szCs w:val="22"/>
          <w14:ligatures w14:val="standardContextual"/>
        </w:rPr>
      </w:pPr>
      <w:r>
        <w:rPr>
          <w:noProof/>
        </w:rPr>
        <w:t>Carer Payment – increased flexibility</w:t>
      </w:r>
      <w:r>
        <w:rPr>
          <w:noProof/>
          <w:webHidden/>
        </w:rPr>
        <w:tab/>
        <w:t>166</w:t>
      </w:r>
    </w:p>
    <w:p w14:paraId="50CAFE7A"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noProof/>
          <w:lang w:val="en-US"/>
        </w:rPr>
        <w:t>Commonwealth Government</w:t>
      </w:r>
      <w:r>
        <w:rPr>
          <w:noProof/>
        </w:rPr>
        <w:noBreakHyphen/>
      </w:r>
      <w:r w:rsidRPr="005B015E">
        <w:rPr>
          <w:noProof/>
          <w:lang w:val="en-US"/>
        </w:rPr>
        <w:t>Funded Paid Parental Leave – enhancement</w:t>
      </w:r>
      <w:r>
        <w:rPr>
          <w:noProof/>
          <w:webHidden/>
        </w:rPr>
        <w:tab/>
        <w:t>166</w:t>
      </w:r>
    </w:p>
    <w:p w14:paraId="169176EC"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noProof/>
          <w:lang w:val="en-US"/>
        </w:rPr>
        <w:t>Commonwealth Rent Assistance – increase the maximum rates</w:t>
      </w:r>
      <w:r>
        <w:rPr>
          <w:noProof/>
          <w:webHidden/>
        </w:rPr>
        <w:tab/>
        <w:t>167</w:t>
      </w:r>
    </w:p>
    <w:p w14:paraId="658C0516" w14:textId="77777777" w:rsidR="0075066B" w:rsidRDefault="0075066B">
      <w:pPr>
        <w:pStyle w:val="TOC3"/>
        <w:rPr>
          <w:rFonts w:asciiTheme="minorHAnsi" w:eastAsiaTheme="minorEastAsia" w:hAnsiTheme="minorHAnsi" w:cstheme="minorBidi"/>
          <w:noProof/>
          <w:kern w:val="2"/>
          <w:sz w:val="22"/>
          <w:szCs w:val="22"/>
          <w14:ligatures w14:val="standardContextual"/>
        </w:rPr>
      </w:pPr>
      <w:r>
        <w:rPr>
          <w:noProof/>
        </w:rPr>
        <w:t>Disability Employment Services Reform</w:t>
      </w:r>
      <w:r>
        <w:rPr>
          <w:noProof/>
          <w:webHidden/>
        </w:rPr>
        <w:tab/>
        <w:t>168</w:t>
      </w:r>
    </w:p>
    <w:p w14:paraId="47AC1687" w14:textId="77777777" w:rsidR="0075066B" w:rsidRDefault="0075066B">
      <w:pPr>
        <w:pStyle w:val="TOC3"/>
        <w:rPr>
          <w:rFonts w:asciiTheme="minorHAnsi" w:eastAsiaTheme="minorEastAsia" w:hAnsiTheme="minorHAnsi" w:cstheme="minorBidi"/>
          <w:noProof/>
          <w:kern w:val="2"/>
          <w:sz w:val="22"/>
          <w:szCs w:val="22"/>
          <w14:ligatures w14:val="standardContextual"/>
        </w:rPr>
      </w:pPr>
      <w:r>
        <w:rPr>
          <w:noProof/>
        </w:rPr>
        <w:t>Early Years Strategy – aligning investment</w:t>
      </w:r>
      <w:r>
        <w:rPr>
          <w:noProof/>
          <w:webHidden/>
        </w:rPr>
        <w:tab/>
        <w:t>168</w:t>
      </w:r>
    </w:p>
    <w:p w14:paraId="2FE90459" w14:textId="7083A64D" w:rsidR="0075066B" w:rsidRDefault="0075066B">
      <w:pPr>
        <w:pStyle w:val="TOC3"/>
        <w:rPr>
          <w:rFonts w:asciiTheme="minorHAnsi" w:eastAsiaTheme="minorEastAsia" w:hAnsiTheme="minorHAnsi" w:cstheme="minorBidi"/>
          <w:noProof/>
          <w:kern w:val="2"/>
          <w:sz w:val="22"/>
          <w:szCs w:val="22"/>
          <w14:ligatures w14:val="standardContextual"/>
        </w:rPr>
      </w:pPr>
      <w:r>
        <w:rPr>
          <w:noProof/>
        </w:rPr>
        <w:t xml:space="preserve">Endorsement of the Social Security Agreement between </w:t>
      </w:r>
      <w:r w:rsidR="00DF6A5A">
        <w:rPr>
          <w:noProof/>
        </w:rPr>
        <w:br/>
      </w:r>
      <w:r>
        <w:rPr>
          <w:noProof/>
        </w:rPr>
        <w:t>Australia and the Oriental Republic of Uruguay</w:t>
      </w:r>
      <w:r>
        <w:rPr>
          <w:noProof/>
          <w:webHidden/>
        </w:rPr>
        <w:tab/>
        <w:t>169</w:t>
      </w:r>
    </w:p>
    <w:p w14:paraId="195892DE"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noProof/>
          <w:lang w:val="en-US"/>
        </w:rPr>
        <w:t>Financial Wellbeing and Capability Activity – additional funding</w:t>
      </w:r>
      <w:r>
        <w:rPr>
          <w:noProof/>
          <w:webHidden/>
        </w:rPr>
        <w:tab/>
        <w:t>169</w:t>
      </w:r>
    </w:p>
    <w:p w14:paraId="7606FB87" w14:textId="77777777" w:rsidR="0075066B" w:rsidRDefault="0075066B">
      <w:pPr>
        <w:pStyle w:val="TOC3"/>
        <w:rPr>
          <w:rFonts w:asciiTheme="minorHAnsi" w:eastAsiaTheme="minorEastAsia" w:hAnsiTheme="minorHAnsi" w:cstheme="minorBidi"/>
          <w:noProof/>
          <w:kern w:val="2"/>
          <w:sz w:val="22"/>
          <w:szCs w:val="22"/>
          <w14:ligatures w14:val="standardContextual"/>
        </w:rPr>
      </w:pPr>
      <w:r>
        <w:rPr>
          <w:noProof/>
        </w:rPr>
        <w:t>Freeze Social Security Deeming Rates</w:t>
      </w:r>
      <w:r>
        <w:rPr>
          <w:noProof/>
          <w:webHidden/>
        </w:rPr>
        <w:tab/>
        <w:t>170</w:t>
      </w:r>
    </w:p>
    <w:p w14:paraId="04EC62AE" w14:textId="77777777" w:rsidR="0075066B" w:rsidRDefault="0075066B">
      <w:pPr>
        <w:pStyle w:val="TOC3"/>
        <w:rPr>
          <w:rFonts w:asciiTheme="minorHAnsi" w:eastAsiaTheme="minorEastAsia" w:hAnsiTheme="minorHAnsi" w:cstheme="minorBidi"/>
          <w:noProof/>
          <w:kern w:val="2"/>
          <w:sz w:val="22"/>
          <w:szCs w:val="22"/>
          <w14:ligatures w14:val="standardContextual"/>
        </w:rPr>
      </w:pPr>
      <w:r>
        <w:rPr>
          <w:noProof/>
        </w:rPr>
        <w:t>Impact of the Douglas Decision on Social Security Means Testing</w:t>
      </w:r>
      <w:r>
        <w:rPr>
          <w:noProof/>
          <w:webHidden/>
        </w:rPr>
        <w:tab/>
        <w:t>171</w:t>
      </w:r>
    </w:p>
    <w:p w14:paraId="7B9271C4" w14:textId="058FD927" w:rsidR="0075066B" w:rsidRDefault="0075066B">
      <w:pPr>
        <w:pStyle w:val="TOC3"/>
        <w:rPr>
          <w:rFonts w:asciiTheme="minorHAnsi" w:eastAsiaTheme="minorEastAsia" w:hAnsiTheme="minorHAnsi" w:cstheme="minorBidi"/>
          <w:noProof/>
          <w:kern w:val="2"/>
          <w:sz w:val="22"/>
          <w:szCs w:val="22"/>
          <w14:ligatures w14:val="standardContextual"/>
        </w:rPr>
      </w:pPr>
      <w:r>
        <w:rPr>
          <w:noProof/>
        </w:rPr>
        <w:t xml:space="preserve">National Commissioner for Aboriginal and Torres Strait Islander </w:t>
      </w:r>
      <w:r w:rsidR="00DF6A5A">
        <w:rPr>
          <w:noProof/>
        </w:rPr>
        <w:br/>
      </w:r>
      <w:r>
        <w:rPr>
          <w:noProof/>
        </w:rPr>
        <w:t>Children and Young People</w:t>
      </w:r>
      <w:r>
        <w:rPr>
          <w:noProof/>
          <w:webHidden/>
        </w:rPr>
        <w:tab/>
        <w:t>171</w:t>
      </w:r>
    </w:p>
    <w:p w14:paraId="3C237420" w14:textId="77777777" w:rsidR="0075066B" w:rsidRDefault="0075066B">
      <w:pPr>
        <w:pStyle w:val="TOC3"/>
        <w:rPr>
          <w:rFonts w:asciiTheme="minorHAnsi" w:eastAsiaTheme="minorEastAsia" w:hAnsiTheme="minorHAnsi" w:cstheme="minorBidi"/>
          <w:noProof/>
          <w:kern w:val="2"/>
          <w:sz w:val="22"/>
          <w:szCs w:val="22"/>
          <w14:ligatures w14:val="standardContextual"/>
        </w:rPr>
      </w:pPr>
      <w:r>
        <w:rPr>
          <w:noProof/>
        </w:rPr>
        <w:t>National Disability Insurance Scheme – getting the NDIS back on track</w:t>
      </w:r>
      <w:r>
        <w:rPr>
          <w:noProof/>
          <w:webHidden/>
        </w:rPr>
        <w:tab/>
        <w:t>172</w:t>
      </w:r>
    </w:p>
    <w:p w14:paraId="372AB649" w14:textId="77777777" w:rsidR="0075066B" w:rsidRDefault="0075066B">
      <w:pPr>
        <w:pStyle w:val="TOC3"/>
        <w:rPr>
          <w:rFonts w:asciiTheme="minorHAnsi" w:eastAsiaTheme="minorEastAsia" w:hAnsiTheme="minorHAnsi" w:cstheme="minorBidi"/>
          <w:noProof/>
          <w:kern w:val="2"/>
          <w:sz w:val="22"/>
          <w:szCs w:val="22"/>
          <w14:ligatures w14:val="standardContextual"/>
        </w:rPr>
      </w:pPr>
      <w:r>
        <w:rPr>
          <w:noProof/>
        </w:rPr>
        <w:t>National Redress Scheme – further support</w:t>
      </w:r>
      <w:r>
        <w:rPr>
          <w:noProof/>
          <w:webHidden/>
        </w:rPr>
        <w:tab/>
        <w:t>174</w:t>
      </w:r>
    </w:p>
    <w:p w14:paraId="7C9FCD02" w14:textId="77777777" w:rsidR="0075066B" w:rsidRDefault="0075066B">
      <w:pPr>
        <w:pStyle w:val="TOC3"/>
        <w:rPr>
          <w:rFonts w:asciiTheme="minorHAnsi" w:eastAsiaTheme="minorEastAsia" w:hAnsiTheme="minorHAnsi" w:cstheme="minorBidi"/>
          <w:noProof/>
          <w:kern w:val="2"/>
          <w:sz w:val="22"/>
          <w:szCs w:val="22"/>
          <w14:ligatures w14:val="standardContextual"/>
        </w:rPr>
      </w:pPr>
      <w:r>
        <w:rPr>
          <w:noProof/>
        </w:rPr>
        <w:t>Outcomes Fund</w:t>
      </w:r>
      <w:r>
        <w:rPr>
          <w:noProof/>
          <w:webHidden/>
        </w:rPr>
        <w:tab/>
        <w:t>174</w:t>
      </w:r>
    </w:p>
    <w:p w14:paraId="1988B24D"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noProof/>
          <w:lang w:val="en-US"/>
        </w:rPr>
        <w:t>Services Australia – additional resourcing</w:t>
      </w:r>
      <w:r>
        <w:rPr>
          <w:noProof/>
          <w:webHidden/>
        </w:rPr>
        <w:tab/>
        <w:t>175</w:t>
      </w:r>
    </w:p>
    <w:p w14:paraId="2C2CEF18" w14:textId="564E5FF3"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noProof/>
          <w:lang w:val="en-US"/>
        </w:rPr>
        <w:t xml:space="preserve">The Leaving Violence Program – financial support for </w:t>
      </w:r>
      <w:r w:rsidR="005E3FC6">
        <w:rPr>
          <w:noProof/>
          <w:lang w:val="en-US"/>
        </w:rPr>
        <w:br/>
      </w:r>
      <w:r w:rsidRPr="005B015E">
        <w:rPr>
          <w:noProof/>
          <w:lang w:val="en-US"/>
        </w:rPr>
        <w:t>victim</w:t>
      </w:r>
      <w:r>
        <w:rPr>
          <w:noProof/>
        </w:rPr>
        <w:noBreakHyphen/>
      </w:r>
      <w:r w:rsidRPr="005B015E">
        <w:rPr>
          <w:noProof/>
          <w:lang w:val="en-US"/>
        </w:rPr>
        <w:t>survivors of intimate partner violence</w:t>
      </w:r>
      <w:r>
        <w:rPr>
          <w:noProof/>
          <w:webHidden/>
        </w:rPr>
        <w:tab/>
        <w:t>176</w:t>
      </w:r>
    </w:p>
    <w:p w14:paraId="4F63DCEB" w14:textId="77777777" w:rsidR="005E3FC6" w:rsidRDefault="005E3FC6">
      <w:pPr>
        <w:spacing w:before="0" w:after="160" w:line="259" w:lineRule="auto"/>
        <w:rPr>
          <w:rFonts w:ascii="Arial" w:hAnsi="Arial"/>
          <w:b/>
          <w:noProof/>
          <w:sz w:val="20"/>
        </w:rPr>
      </w:pPr>
      <w:r>
        <w:rPr>
          <w:noProof/>
        </w:rPr>
        <w:br w:type="page"/>
      </w:r>
    </w:p>
    <w:p w14:paraId="52DD2B42" w14:textId="53EFCF3E" w:rsidR="0075066B" w:rsidRDefault="0075066B">
      <w:pPr>
        <w:pStyle w:val="TOC2"/>
        <w:rPr>
          <w:rFonts w:asciiTheme="minorHAnsi" w:eastAsiaTheme="minorEastAsia" w:hAnsiTheme="minorHAnsi" w:cstheme="minorBidi"/>
          <w:b w:val="0"/>
          <w:noProof/>
          <w:kern w:val="2"/>
          <w:sz w:val="22"/>
          <w:szCs w:val="22"/>
          <w14:ligatures w14:val="standardContextual"/>
        </w:rPr>
      </w:pPr>
      <w:r>
        <w:rPr>
          <w:noProof/>
        </w:rPr>
        <w:lastRenderedPageBreak/>
        <w:t>Treasury</w:t>
      </w:r>
      <w:r>
        <w:rPr>
          <w:noProof/>
          <w:webHidden/>
        </w:rPr>
        <w:tab/>
      </w:r>
      <w:r w:rsidR="005E3FC6">
        <w:rPr>
          <w:noProof/>
          <w:webHidden/>
        </w:rPr>
        <w:tab/>
      </w:r>
      <w:r w:rsidR="005E3FC6">
        <w:rPr>
          <w:noProof/>
          <w:webHidden/>
        </w:rPr>
        <w:tab/>
      </w:r>
      <w:r>
        <w:rPr>
          <w:noProof/>
          <w:webHidden/>
        </w:rPr>
        <w:t>177</w:t>
      </w:r>
    </w:p>
    <w:p w14:paraId="09D15E05"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noProof/>
          <w:lang w:val="en-US"/>
        </w:rPr>
        <w:t>ABS – delivering Census and modernising operations</w:t>
      </w:r>
      <w:r>
        <w:rPr>
          <w:noProof/>
          <w:webHidden/>
        </w:rPr>
        <w:tab/>
        <w:t>177</w:t>
      </w:r>
    </w:p>
    <w:p w14:paraId="40108D87" w14:textId="77777777" w:rsidR="0075066B" w:rsidRDefault="0075066B">
      <w:pPr>
        <w:pStyle w:val="TOC3"/>
        <w:rPr>
          <w:rFonts w:asciiTheme="minorHAnsi" w:eastAsiaTheme="minorEastAsia" w:hAnsiTheme="minorHAnsi" w:cstheme="minorBidi"/>
          <w:noProof/>
          <w:kern w:val="2"/>
          <w:sz w:val="22"/>
          <w:szCs w:val="22"/>
          <w14:ligatures w14:val="standardContextual"/>
        </w:rPr>
      </w:pPr>
      <w:r>
        <w:rPr>
          <w:noProof/>
        </w:rPr>
        <w:t>Competition Reform</w:t>
      </w:r>
      <w:r>
        <w:rPr>
          <w:noProof/>
          <w:webHidden/>
        </w:rPr>
        <w:tab/>
        <w:t>178</w:t>
      </w:r>
    </w:p>
    <w:p w14:paraId="56125839" w14:textId="77777777" w:rsidR="0075066B" w:rsidRDefault="0075066B">
      <w:pPr>
        <w:pStyle w:val="TOC3"/>
        <w:rPr>
          <w:rFonts w:asciiTheme="minorHAnsi" w:eastAsiaTheme="minorEastAsia" w:hAnsiTheme="minorHAnsi" w:cstheme="minorBidi"/>
          <w:noProof/>
          <w:kern w:val="2"/>
          <w:sz w:val="22"/>
          <w:szCs w:val="22"/>
          <w14:ligatures w14:val="standardContextual"/>
        </w:rPr>
      </w:pPr>
      <w:r>
        <w:rPr>
          <w:noProof/>
        </w:rPr>
        <w:t>Cyber Security of Regulators and Improving Registers</w:t>
      </w:r>
      <w:r>
        <w:rPr>
          <w:noProof/>
          <w:webHidden/>
        </w:rPr>
        <w:tab/>
        <w:t>179</w:t>
      </w:r>
    </w:p>
    <w:p w14:paraId="18CF56EE" w14:textId="77777777" w:rsidR="0075066B" w:rsidRDefault="0075066B">
      <w:pPr>
        <w:pStyle w:val="TOC3"/>
        <w:rPr>
          <w:rFonts w:asciiTheme="minorHAnsi" w:eastAsiaTheme="minorEastAsia" w:hAnsiTheme="minorHAnsi" w:cstheme="minorBidi"/>
          <w:noProof/>
          <w:kern w:val="2"/>
          <w:sz w:val="22"/>
          <w:szCs w:val="22"/>
          <w14:ligatures w14:val="standardContextual"/>
        </w:rPr>
      </w:pPr>
      <w:r>
        <w:rPr>
          <w:noProof/>
        </w:rPr>
        <w:t>Energy Bill Relief Fund – extension and expansion</w:t>
      </w:r>
      <w:r>
        <w:rPr>
          <w:noProof/>
          <w:webHidden/>
        </w:rPr>
        <w:tab/>
        <w:t>179</w:t>
      </w:r>
    </w:p>
    <w:p w14:paraId="6546A23B" w14:textId="77777777" w:rsidR="0075066B" w:rsidRDefault="0075066B">
      <w:pPr>
        <w:pStyle w:val="TOC3"/>
        <w:rPr>
          <w:rFonts w:asciiTheme="minorHAnsi" w:eastAsiaTheme="minorEastAsia" w:hAnsiTheme="minorHAnsi" w:cstheme="minorBidi"/>
          <w:noProof/>
          <w:kern w:val="2"/>
          <w:sz w:val="22"/>
          <w:szCs w:val="22"/>
          <w14:ligatures w14:val="standardContextual"/>
        </w:rPr>
      </w:pPr>
      <w:r>
        <w:rPr>
          <w:noProof/>
        </w:rPr>
        <w:t>Fighting Scams</w:t>
      </w:r>
      <w:r>
        <w:rPr>
          <w:noProof/>
          <w:webHidden/>
        </w:rPr>
        <w:tab/>
        <w:t>180</w:t>
      </w:r>
    </w:p>
    <w:p w14:paraId="61CA8CFF" w14:textId="77777777" w:rsidR="0075066B" w:rsidRDefault="0075066B">
      <w:pPr>
        <w:pStyle w:val="TOC3"/>
        <w:rPr>
          <w:rFonts w:asciiTheme="minorHAnsi" w:eastAsiaTheme="minorEastAsia" w:hAnsiTheme="minorHAnsi" w:cstheme="minorBidi"/>
          <w:noProof/>
          <w:kern w:val="2"/>
          <w:sz w:val="22"/>
          <w:szCs w:val="22"/>
          <w14:ligatures w14:val="standardContextual"/>
        </w:rPr>
      </w:pPr>
      <w:r>
        <w:rPr>
          <w:noProof/>
        </w:rPr>
        <w:t>International Assistance</w:t>
      </w:r>
      <w:r>
        <w:rPr>
          <w:noProof/>
          <w:webHidden/>
        </w:rPr>
        <w:tab/>
        <w:t>181</w:t>
      </w:r>
    </w:p>
    <w:p w14:paraId="328FEB21" w14:textId="77777777" w:rsidR="0075066B" w:rsidRDefault="0075066B">
      <w:pPr>
        <w:pStyle w:val="TOC3"/>
        <w:rPr>
          <w:rFonts w:asciiTheme="minorHAnsi" w:eastAsiaTheme="minorEastAsia" w:hAnsiTheme="minorHAnsi" w:cstheme="minorBidi"/>
          <w:noProof/>
          <w:kern w:val="2"/>
          <w:sz w:val="22"/>
          <w:szCs w:val="22"/>
          <w14:ligatures w14:val="standardContextual"/>
        </w:rPr>
      </w:pPr>
      <w:r w:rsidRPr="005B015E">
        <w:rPr>
          <w:noProof/>
          <w:lang w:val="en-US"/>
        </w:rPr>
        <w:t>Modernising Digital Assets and Payments Regulation</w:t>
      </w:r>
      <w:r>
        <w:rPr>
          <w:noProof/>
          <w:webHidden/>
        </w:rPr>
        <w:tab/>
        <w:t>182</w:t>
      </w:r>
    </w:p>
    <w:p w14:paraId="563C1852" w14:textId="77777777" w:rsidR="0075066B" w:rsidRDefault="0075066B">
      <w:pPr>
        <w:pStyle w:val="TOC3"/>
        <w:rPr>
          <w:rFonts w:asciiTheme="minorHAnsi" w:eastAsiaTheme="minorEastAsia" w:hAnsiTheme="minorHAnsi" w:cstheme="minorBidi"/>
          <w:noProof/>
          <w:kern w:val="2"/>
          <w:sz w:val="22"/>
          <w:szCs w:val="22"/>
          <w14:ligatures w14:val="standardContextual"/>
        </w:rPr>
      </w:pPr>
      <w:r>
        <w:rPr>
          <w:noProof/>
        </w:rPr>
        <w:t>Supporting Small Businesses</w:t>
      </w:r>
      <w:r>
        <w:rPr>
          <w:noProof/>
          <w:webHidden/>
        </w:rPr>
        <w:tab/>
        <w:t>182</w:t>
      </w:r>
    </w:p>
    <w:p w14:paraId="5A7DD8A1" w14:textId="77777777" w:rsidR="0075066B" w:rsidRDefault="0075066B">
      <w:pPr>
        <w:pStyle w:val="TOC3"/>
        <w:rPr>
          <w:noProof/>
          <w:webHidden/>
        </w:rPr>
      </w:pPr>
      <w:r w:rsidRPr="005B015E">
        <w:rPr>
          <w:noProof/>
          <w:lang w:val="en-US"/>
        </w:rPr>
        <w:t>Treasury Portfolio – additional resourcing</w:t>
      </w:r>
      <w:r>
        <w:rPr>
          <w:noProof/>
          <w:webHidden/>
        </w:rPr>
        <w:tab/>
        <w:t>183</w:t>
      </w:r>
    </w:p>
    <w:p w14:paraId="58112E24" w14:textId="77777777" w:rsidR="005E3FC6" w:rsidRPr="005E3FC6" w:rsidRDefault="005E3FC6" w:rsidP="005E3FC6">
      <w:pPr>
        <w:rPr>
          <w:rFonts w:eastAsiaTheme="minorEastAsia"/>
        </w:rPr>
      </w:pPr>
    </w:p>
    <w:p w14:paraId="2052CB02" w14:textId="095F85D2" w:rsidR="00616FEC" w:rsidRDefault="00342EB4" w:rsidP="00EA4C90">
      <w:pPr>
        <w:spacing w:before="0" w:after="0"/>
      </w:pPr>
      <w:r>
        <w:fldChar w:fldCharType="end"/>
      </w:r>
    </w:p>
    <w:sectPr w:rsidR="00616FEC" w:rsidSect="004242CF">
      <w:headerReference w:type="even" r:id="rId31"/>
      <w:headerReference w:type="default" r:id="rId32"/>
      <w:footerReference w:type="even" r:id="rId33"/>
      <w:footerReference w:type="default" r:id="rId34"/>
      <w:headerReference w:type="first" r:id="rId35"/>
      <w:footerReference w:type="first" r:id="rId36"/>
      <w:type w:val="oddPage"/>
      <w:pgSz w:w="11906" w:h="16838" w:code="9"/>
      <w:pgMar w:top="2835" w:right="2098" w:bottom="2466" w:left="2098" w:header="1814" w:footer="1814" w:gutter="0"/>
      <w:pgNumType w:fmt="lowerRoman"/>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10D20" w14:textId="77777777" w:rsidR="00BC44F3" w:rsidRDefault="00BC44F3" w:rsidP="00E40261">
      <w:pPr>
        <w:spacing w:after="0" w:line="240" w:lineRule="auto"/>
      </w:pPr>
      <w:r>
        <w:separator/>
      </w:r>
    </w:p>
  </w:endnote>
  <w:endnote w:type="continuationSeparator" w:id="0">
    <w:p w14:paraId="04D0CDFF" w14:textId="77777777" w:rsidR="00BC44F3" w:rsidRDefault="00BC44F3" w:rsidP="00E40261">
      <w:pPr>
        <w:spacing w:after="0" w:line="240" w:lineRule="auto"/>
      </w:pPr>
      <w:r>
        <w:continuationSeparator/>
      </w:r>
    </w:p>
  </w:endnote>
  <w:endnote w:type="continuationNotice" w:id="1">
    <w:p w14:paraId="6F64EC62" w14:textId="77777777" w:rsidR="00BC44F3" w:rsidRDefault="00BC44F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8945C" w14:textId="1137C448" w:rsidR="002131AA" w:rsidRDefault="002131AA"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r w:rsidR="00351BE8">
      <w:fldChar w:fldCharType="begin"/>
    </w:r>
    <w:r w:rsidR="00351BE8">
      <w:instrText xml:space="preserve"> SUBJECT   \* MERGEFORMAT </w:instrText>
    </w:r>
    <w:r w:rsidR="00351BE8">
      <w:fldChar w:fldCharType="separate"/>
    </w:r>
    <w:r w:rsidR="005E1EE3">
      <w:t>Preliminaries</w:t>
    </w:r>
    <w:r w:rsidR="00351BE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ECC8" w14:textId="5DC94DBA" w:rsidR="002131AA" w:rsidRDefault="00351BE8" w:rsidP="002A6A16">
    <w:pPr>
      <w:pStyle w:val="FooterOdd"/>
    </w:pPr>
    <w:r>
      <w:fldChar w:fldCharType="begin"/>
    </w:r>
    <w:r>
      <w:instrText xml:space="preserve"> SUBJECT   \* MERGEFORMAT </w:instrText>
    </w:r>
    <w:r>
      <w:fldChar w:fldCharType="separate"/>
    </w:r>
    <w:r w:rsidR="005E1EE3">
      <w:t>Preliminaries</w:t>
    </w:r>
    <w:r>
      <w:fldChar w:fldCharType="end"/>
    </w:r>
    <w:r w:rsidR="002131AA" w:rsidRPr="00B3705D">
      <w:t xml:space="preserve">  |  </w:t>
    </w:r>
    <w:r w:rsidR="002131AA" w:rsidRPr="00B3705D">
      <w:rPr>
        <w:b/>
        <w:bCs/>
      </w:rPr>
      <w:t xml:space="preserve">Page </w:t>
    </w:r>
    <w:r w:rsidR="002131AA" w:rsidRPr="00B3705D">
      <w:rPr>
        <w:b/>
        <w:bCs/>
      </w:rPr>
      <w:fldChar w:fldCharType="begin"/>
    </w:r>
    <w:r w:rsidR="002131AA" w:rsidRPr="00B3705D">
      <w:rPr>
        <w:b/>
        <w:bCs/>
      </w:rPr>
      <w:instrText xml:space="preserve"> PAGE  \* Arabic  \* MERGEFORMAT </w:instrText>
    </w:r>
    <w:r w:rsidR="002131AA" w:rsidRPr="00B3705D">
      <w:rPr>
        <w:b/>
        <w:bCs/>
      </w:rPr>
      <w:fldChar w:fldCharType="separate"/>
    </w:r>
    <w:r w:rsidR="002131AA">
      <w:rPr>
        <w:b/>
        <w:bCs/>
      </w:rPr>
      <w:t>1</w:t>
    </w:r>
    <w:r w:rsidR="002131AA"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954F3" w14:textId="77777777" w:rsidR="002131AA" w:rsidRDefault="002131AA" w:rsidP="00360947">
    <w:pPr>
      <w:pStyle w:val="FooterOdd"/>
    </w:pPr>
    <w:r w:rsidRPr="00B3705D">
      <w:t xml:space="preserve"> </w:t>
    </w:r>
    <w:r w:rsidRPr="00B3705D">
      <w:rPr>
        <w:b/>
        <w:bCs/>
      </w:rPr>
      <w:t xml:space="preserve">Page </w:t>
    </w:r>
    <w:r>
      <w:rPr>
        <w:b/>
        <w:bCs/>
      </w:rPr>
      <w:fldChar w:fldCharType="begin"/>
    </w:r>
    <w:r>
      <w:rPr>
        <w:b/>
        <w:bCs/>
      </w:rPr>
      <w:instrText xml:space="preserve"> PAGE  \* roman  \* MERGEFORMAT </w:instrText>
    </w:r>
    <w:r>
      <w:rPr>
        <w:b/>
        <w:bCs/>
      </w:rPr>
      <w:fldChar w:fldCharType="separate"/>
    </w:r>
    <w:r>
      <w:rPr>
        <w:b/>
        <w:bCs/>
        <w:noProof/>
      </w:rPr>
      <w:t>vii</w:t>
    </w:r>
    <w:r>
      <w:rP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E741" w14:textId="77777777" w:rsidR="002131AA" w:rsidRDefault="002131AA" w:rsidP="00360947">
    <w:pPr>
      <w:pStyle w:val="FooterEven"/>
    </w:pPr>
    <w:r w:rsidRPr="00B3705D">
      <w:rPr>
        <w:b/>
      </w:rPr>
      <w:t xml:space="preserve">Page </w:t>
    </w:r>
    <w:r>
      <w:rPr>
        <w:b/>
        <w:bCs/>
      </w:rPr>
      <w:fldChar w:fldCharType="begin"/>
    </w:r>
    <w:r>
      <w:rPr>
        <w:b/>
        <w:bCs/>
      </w:rPr>
      <w:instrText xml:space="preserve"> PAGE  \* roman  \* MERGEFORMAT </w:instrText>
    </w:r>
    <w:r>
      <w:rPr>
        <w:b/>
        <w:bCs/>
      </w:rPr>
      <w:fldChar w:fldCharType="separate"/>
    </w:r>
    <w:r>
      <w:rPr>
        <w:b/>
        <w:bCs/>
        <w:noProof/>
      </w:rPr>
      <w:t>vi</w:t>
    </w:r>
    <w:r>
      <w:rPr>
        <w:b/>
        <w:bCs/>
      </w:rPr>
      <w:fldChar w:fldCharType="end"/>
    </w:r>
    <w:r w:rsidRPr="00B3705D">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F0621" w14:textId="77777777" w:rsidR="002131AA" w:rsidRDefault="002131AA" w:rsidP="002A6A16">
    <w:pPr>
      <w:pStyle w:val="FooterOdd"/>
    </w:pPr>
    <w:r w:rsidRPr="00B3705D">
      <w:t xml:space="preserve"> </w:t>
    </w:r>
    <w:r w:rsidRPr="00B3705D">
      <w:rPr>
        <w:b/>
        <w:bCs/>
      </w:rPr>
      <w:t xml:space="preserve">Page </w:t>
    </w:r>
    <w:r>
      <w:rPr>
        <w:b/>
        <w:bCs/>
      </w:rPr>
      <w:fldChar w:fldCharType="begin"/>
    </w:r>
    <w:r>
      <w:rPr>
        <w:b/>
        <w:bCs/>
      </w:rPr>
      <w:instrText xml:space="preserve"> PAGE  \* roman  \* MERGEFORMAT </w:instrText>
    </w:r>
    <w:r>
      <w:rPr>
        <w:b/>
        <w:bCs/>
      </w:rPr>
      <w:fldChar w:fldCharType="separate"/>
    </w:r>
    <w:r>
      <w:rPr>
        <w:b/>
        <w:bCs/>
        <w:noProof/>
      </w:rPr>
      <w:t>vii</w:t>
    </w:r>
    <w:r>
      <w:rPr>
        <w:b/>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83532" w14:textId="77777777" w:rsidR="002131AA" w:rsidRDefault="002131AA" w:rsidP="00360947">
    <w:pPr>
      <w:pStyle w:val="FooterOdd"/>
    </w:pPr>
    <w:r w:rsidRPr="00B3705D">
      <w:t xml:space="preserve"> </w:t>
    </w:r>
    <w:r w:rsidRPr="00B3705D">
      <w:rPr>
        <w:b/>
        <w:bCs/>
      </w:rPr>
      <w:t xml:space="preserve">Page </w:t>
    </w:r>
    <w:r>
      <w:rPr>
        <w:b/>
        <w:bCs/>
      </w:rPr>
      <w:fldChar w:fldCharType="begin"/>
    </w:r>
    <w:r>
      <w:rPr>
        <w:b/>
        <w:bCs/>
      </w:rPr>
      <w:instrText xml:space="preserve"> PAGE  \* roman  \* MERGEFORMAT </w:instrText>
    </w:r>
    <w:r>
      <w:rPr>
        <w:b/>
        <w:bCs/>
      </w:rPr>
      <w:fldChar w:fldCharType="separate"/>
    </w:r>
    <w:r>
      <w:rPr>
        <w:b/>
        <w:bCs/>
        <w:noProof/>
      </w:rPr>
      <w:t>x</w:t>
    </w:r>
    <w:r>
      <w:rPr>
        <w:b/>
        <w:bC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743D" w14:textId="7CD63FC2" w:rsidR="00FB5DDD" w:rsidRDefault="00FB5DDD" w:rsidP="00360947">
    <w:pPr>
      <w:pStyle w:val="FooterEven"/>
    </w:pPr>
    <w:r w:rsidRPr="00B3705D">
      <w:rPr>
        <w:b/>
      </w:rPr>
      <w:t xml:space="preserve">Page </w:t>
    </w:r>
    <w:r w:rsidR="002131AA">
      <w:rPr>
        <w:b/>
        <w:bCs/>
      </w:rPr>
      <w:fldChar w:fldCharType="begin"/>
    </w:r>
    <w:r w:rsidR="002131AA">
      <w:rPr>
        <w:b/>
        <w:bCs/>
      </w:rPr>
      <w:instrText xml:space="preserve"> PAGE  \* roman  \* MERGEFORMAT </w:instrText>
    </w:r>
    <w:r w:rsidR="002131AA">
      <w:rPr>
        <w:b/>
        <w:bCs/>
      </w:rPr>
      <w:fldChar w:fldCharType="separate"/>
    </w:r>
    <w:r w:rsidR="002131AA">
      <w:rPr>
        <w:b/>
        <w:bCs/>
        <w:noProof/>
      </w:rPr>
      <w:t>viii</w:t>
    </w:r>
    <w:r w:rsidR="002131AA">
      <w:rPr>
        <w:b/>
        <w:bCs/>
      </w:rPr>
      <w:fldChar w:fldCharType="end"/>
    </w:r>
    <w:r w:rsidR="00A374EF">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74CE5" w14:textId="62735CF0" w:rsidR="00FB5DDD" w:rsidRDefault="00FB5DDD" w:rsidP="002A6A16">
    <w:pPr>
      <w:pStyle w:val="FooterOdd"/>
    </w:pPr>
    <w:r w:rsidRPr="00B3705D">
      <w:rPr>
        <w:b/>
        <w:bCs/>
      </w:rPr>
      <w:t xml:space="preserve">Page </w:t>
    </w:r>
    <w:r w:rsidR="002131AA">
      <w:rPr>
        <w:b/>
        <w:bCs/>
      </w:rPr>
      <w:fldChar w:fldCharType="begin"/>
    </w:r>
    <w:r w:rsidR="002131AA">
      <w:rPr>
        <w:b/>
        <w:bCs/>
      </w:rPr>
      <w:instrText xml:space="preserve"> PAGE  \* roman  \* MERGEFORMAT </w:instrText>
    </w:r>
    <w:r w:rsidR="002131AA">
      <w:rPr>
        <w:b/>
        <w:bCs/>
      </w:rPr>
      <w:fldChar w:fldCharType="separate"/>
    </w:r>
    <w:r w:rsidR="002131AA">
      <w:rPr>
        <w:b/>
        <w:bCs/>
        <w:noProof/>
      </w:rPr>
      <w:t>ix</w:t>
    </w:r>
    <w:r w:rsidR="002131AA">
      <w:rPr>
        <w:b/>
        <w:bCs/>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DDF31" w14:textId="55E46C5F" w:rsidR="00FB5DDD" w:rsidRDefault="00FB5DDD" w:rsidP="00360947">
    <w:pPr>
      <w:pStyle w:val="FooterOdd"/>
    </w:pPr>
    <w:r w:rsidRPr="00B3705D">
      <w:rPr>
        <w:b/>
        <w:bCs/>
      </w:rPr>
      <w:t xml:space="preserve">Page </w:t>
    </w:r>
    <w:r w:rsidR="002131AA">
      <w:rPr>
        <w:b/>
        <w:bCs/>
      </w:rPr>
      <w:fldChar w:fldCharType="begin"/>
    </w:r>
    <w:r w:rsidR="002131AA">
      <w:rPr>
        <w:b/>
        <w:bCs/>
      </w:rPr>
      <w:instrText xml:space="preserve"> PAGE  \* roman  \* MERGEFORMAT </w:instrText>
    </w:r>
    <w:r w:rsidR="002131AA">
      <w:rPr>
        <w:b/>
        <w:bCs/>
      </w:rPr>
      <w:fldChar w:fldCharType="separate"/>
    </w:r>
    <w:r w:rsidR="002131AA">
      <w:rPr>
        <w:b/>
        <w:bCs/>
        <w:noProof/>
      </w:rPr>
      <w:t>x</w:t>
    </w:r>
    <w:r w:rsidR="002131AA">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5C3F6" w14:textId="77777777" w:rsidR="00BC44F3" w:rsidRPr="003C1CA4" w:rsidRDefault="00BC44F3"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699EAF19" w14:textId="77777777" w:rsidR="00BC44F3" w:rsidRDefault="00BC44F3" w:rsidP="00E40261">
      <w:pPr>
        <w:spacing w:after="0" w:line="240" w:lineRule="auto"/>
      </w:pPr>
      <w:r>
        <w:continuationSeparator/>
      </w:r>
    </w:p>
  </w:footnote>
  <w:footnote w:type="continuationNotice" w:id="1">
    <w:p w14:paraId="0EAB563A" w14:textId="77777777" w:rsidR="00BC44F3" w:rsidRDefault="00BC44F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32942" w14:textId="77777777" w:rsidR="002131AA" w:rsidRPr="00AA5439" w:rsidRDefault="002131AA" w:rsidP="00AA543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2131AA" w14:paraId="11F4D44B" w14:textId="77777777" w:rsidTr="008C56E1">
      <w:trPr>
        <w:trHeight w:hRule="exact" w:val="340"/>
      </w:trPr>
      <w:tc>
        <w:tcPr>
          <w:tcW w:w="7797" w:type="dxa"/>
        </w:tcPr>
        <w:p w14:paraId="03F2BACC" w14:textId="0133AA5D" w:rsidR="002131AA" w:rsidRPr="008C56E1" w:rsidRDefault="002131AA" w:rsidP="008C56E1">
          <w:pPr>
            <w:pStyle w:val="HeaderEven"/>
          </w:pPr>
          <w:r w:rsidRPr="008C56E1">
            <w:rPr>
              <w:noProof/>
              <w:position w:val="-8"/>
            </w:rPr>
            <w:drawing>
              <wp:inline distT="0" distB="0" distL="0" distR="0" wp14:anchorId="582617C9" wp14:editId="486B56DB">
                <wp:extent cx="2804400" cy="633600"/>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4400" cy="633600"/>
                        </a:xfrm>
                        <a:prstGeom prst="rect">
                          <a:avLst/>
                        </a:prstGeom>
                      </pic:spPr>
                    </pic:pic>
                  </a:graphicData>
                </a:graphic>
              </wp:inline>
            </w:drawing>
          </w:r>
          <w:r w:rsidRPr="008C56E1">
            <w:t xml:space="preserve">  |  </w:t>
          </w:r>
          <w:r w:rsidR="00351BE8">
            <w:fldChar w:fldCharType="begin"/>
          </w:r>
          <w:r w:rsidR="00351BE8">
            <w:instrText xml:space="preserve"> TITLE   \* MERGEFORMAT </w:instrText>
          </w:r>
          <w:r w:rsidR="00351BE8">
            <w:fldChar w:fldCharType="separate"/>
          </w:r>
          <w:r w:rsidR="005E1EE3">
            <w:t>Budget Paper No. 2</w:t>
          </w:r>
          <w:r w:rsidR="00351BE8">
            <w:fldChar w:fldCharType="end"/>
          </w:r>
        </w:p>
      </w:tc>
    </w:tr>
  </w:tbl>
  <w:p w14:paraId="7880ECDA" w14:textId="77777777" w:rsidR="002131AA" w:rsidRPr="00AA5439" w:rsidRDefault="002131AA" w:rsidP="00AA5439">
    <w:pPr>
      <w:pStyle w:val="HeaderEven"/>
      <w:rPr>
        <w:sz w:val="2"/>
        <w:szCs w:val="4"/>
      </w:rPr>
    </w:pPr>
  </w:p>
  <w:p w14:paraId="050B5C76" w14:textId="77777777" w:rsidR="002131AA" w:rsidRPr="007703C7" w:rsidRDefault="002131AA" w:rsidP="007703C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385CA" w14:textId="77777777" w:rsidR="002131AA" w:rsidRPr="000635BE" w:rsidRDefault="002131AA" w:rsidP="000635BE">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2131AA" w14:paraId="408F3F60" w14:textId="77777777" w:rsidTr="002A6A16">
      <w:trPr>
        <w:trHeight w:hRule="exact" w:val="340"/>
      </w:trPr>
      <w:tc>
        <w:tcPr>
          <w:tcW w:w="7797" w:type="dxa"/>
        </w:tcPr>
        <w:p w14:paraId="66009CE1" w14:textId="557B5C54" w:rsidR="002131AA" w:rsidRDefault="00351BE8" w:rsidP="000635BE">
          <w:pPr>
            <w:pStyle w:val="HeaderOdd"/>
          </w:pPr>
          <w:r>
            <w:fldChar w:fldCharType="begin"/>
          </w:r>
          <w:r>
            <w:instrText xml:space="preserve"> TITLE   \* MERGEFORMAT </w:instrText>
          </w:r>
          <w:r>
            <w:fldChar w:fldCharType="separate"/>
          </w:r>
          <w:r w:rsidR="005E1EE3">
            <w:t>Budget Paper No. 2</w:t>
          </w:r>
          <w:r>
            <w:fldChar w:fldCharType="end"/>
          </w:r>
          <w:r w:rsidR="002131AA">
            <w:t xml:space="preserve">  |  </w:t>
          </w:r>
          <w:r w:rsidR="002131AA" w:rsidRPr="00D47C6E">
            <w:rPr>
              <w:noProof/>
              <w:position w:val="-6"/>
            </w:rPr>
            <w:drawing>
              <wp:anchor distT="0" distB="0" distL="114300" distR="114300" simplePos="1" relativeHeight="251658241" behindDoc="0" locked="0" layoutInCell="1" allowOverlap="1" wp14:anchorId="58EFEB6B" wp14:editId="07275C3D">
                <wp:simplePos x="0" y="0"/>
                <mc:AlternateContent>
                  <mc:Choice Requires="wp14">
                    <wp:positionH relativeFrom="column">
                      <wp14:pctPosHOffset>-1000100</wp14:pctPosHOffset>
                    </wp:positionH>
                  </mc:Choice>
                  <mc:Fallback>
                    <wp:positionH relativeFrom="page">
                      <wp:posOffset>0</wp:posOffset>
                    </wp:positionH>
                  </mc:Fallback>
                </mc:AlternateContent>
                <mc:AlternateContent>
                  <mc:Choice Requires="wp14">
                    <wp:positionV relativeFrom="paragraph">
                      <wp14:pctPosVOffset>-1000100</wp14:pctPosVOffset>
                    </wp:positionV>
                  </mc:Choice>
                  <mc:Fallback>
                    <wp:positionV relativeFrom="page">
                      <wp:posOffset>0</wp:posOffset>
                    </wp:positionV>
                  </mc:Fallback>
                </mc:AlternateContent>
                <wp:extent cx="860400" cy="144000"/>
                <wp:effectExtent l="0" t="0" r="0" b="889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0400" cy="144000"/>
                        </a:xfrm>
                        <a:prstGeom prst="rect">
                          <a:avLst/>
                        </a:prstGeom>
                      </pic:spPr>
                    </pic:pic>
                  </a:graphicData>
                </a:graphic>
                <wp14:sizeRelH relativeFrom="margin">
                  <wp14:pctWidth>0</wp14:pctWidth>
                </wp14:sizeRelH>
                <wp14:sizeRelV relativeFrom="margin">
                  <wp14:pctHeight>0</wp14:pctHeight>
                </wp14:sizeRelV>
              </wp:anchor>
            </w:drawing>
          </w:r>
        </w:p>
      </w:tc>
    </w:tr>
  </w:tbl>
  <w:p w14:paraId="527F2555" w14:textId="77777777" w:rsidR="002131AA" w:rsidRPr="00AA5439" w:rsidRDefault="002131AA" w:rsidP="00AA5439">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3C8C8" w14:textId="77777777" w:rsidR="002131AA" w:rsidRDefault="002131AA">
    <w:pPr>
      <w:pStyle w:val="Header"/>
      <w:rPr>
        <w:sz w:val="2"/>
        <w:szCs w:val="2"/>
      </w:rPr>
    </w:pPr>
  </w:p>
  <w:p w14:paraId="579A9CD0" w14:textId="77777777" w:rsidR="002131AA" w:rsidRDefault="002131AA">
    <w:pPr>
      <w:pStyle w:val="Header"/>
      <w:rPr>
        <w:sz w:val="2"/>
        <w:szCs w:val="2"/>
      </w:rPr>
    </w:pPr>
  </w:p>
  <w:p w14:paraId="617EB093" w14:textId="77777777" w:rsidR="002131AA" w:rsidRPr="005B2F30" w:rsidRDefault="002131AA">
    <w:pPr>
      <w:pStyle w:val="Heade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53BA" w14:textId="77777777" w:rsidR="002131AA" w:rsidRPr="00AA5439" w:rsidRDefault="002131AA" w:rsidP="00AA543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2131AA" w14:paraId="15F4C9AF" w14:textId="77777777" w:rsidTr="008C56E1">
      <w:trPr>
        <w:trHeight w:hRule="exact" w:val="340"/>
      </w:trPr>
      <w:tc>
        <w:tcPr>
          <w:tcW w:w="7797" w:type="dxa"/>
        </w:tcPr>
        <w:p w14:paraId="488AF564" w14:textId="398BE913" w:rsidR="002131AA" w:rsidRPr="008C56E1" w:rsidRDefault="002131AA" w:rsidP="008C56E1">
          <w:pPr>
            <w:pStyle w:val="HeaderEven"/>
          </w:pPr>
          <w:r w:rsidRPr="008C56E1">
            <w:rPr>
              <w:noProof/>
              <w:position w:val="-8"/>
            </w:rPr>
            <w:drawing>
              <wp:inline distT="0" distB="0" distL="0" distR="0" wp14:anchorId="0C0A4703" wp14:editId="0152F012">
                <wp:extent cx="878400" cy="198000"/>
                <wp:effectExtent l="0" t="0" r="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r w:rsidRPr="008C56E1">
            <w:t xml:space="preserve">  |  </w:t>
          </w:r>
          <w:r w:rsidR="00351BE8">
            <w:fldChar w:fldCharType="begin"/>
          </w:r>
          <w:r w:rsidR="00351BE8">
            <w:instrText xml:space="preserve"> TITLE   \* MERGEFORMAT </w:instrText>
          </w:r>
          <w:r w:rsidR="00351BE8">
            <w:fldChar w:fldCharType="separate"/>
          </w:r>
          <w:r w:rsidR="005E1EE3">
            <w:t>Budget Paper No. 2</w:t>
          </w:r>
          <w:r w:rsidR="00351BE8">
            <w:fldChar w:fldCharType="end"/>
          </w:r>
        </w:p>
      </w:tc>
    </w:tr>
  </w:tbl>
  <w:p w14:paraId="6AE9F592" w14:textId="77777777" w:rsidR="002131AA" w:rsidRPr="00AA5439" w:rsidRDefault="002131AA" w:rsidP="00AA5439">
    <w:pPr>
      <w:pStyle w:val="HeaderEven"/>
      <w:rPr>
        <w:sz w:val="2"/>
        <w:szCs w:val="4"/>
      </w:rPr>
    </w:pPr>
  </w:p>
  <w:p w14:paraId="2C7EC851" w14:textId="77777777" w:rsidR="002131AA" w:rsidRPr="007703C7" w:rsidRDefault="002131AA" w:rsidP="007703C7">
    <w:pPr>
      <w:pStyle w:val="Header"/>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B741" w14:textId="77777777" w:rsidR="002131AA" w:rsidRPr="000635BE" w:rsidRDefault="002131AA" w:rsidP="000635BE">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2131AA" w14:paraId="459B2FD8" w14:textId="77777777" w:rsidTr="002A6A16">
      <w:trPr>
        <w:trHeight w:hRule="exact" w:val="340"/>
      </w:trPr>
      <w:tc>
        <w:tcPr>
          <w:tcW w:w="7797" w:type="dxa"/>
        </w:tcPr>
        <w:p w14:paraId="2FA41A8C" w14:textId="13AC76C5" w:rsidR="002131AA" w:rsidRDefault="00351BE8" w:rsidP="000635BE">
          <w:pPr>
            <w:pStyle w:val="HeaderOdd"/>
          </w:pPr>
          <w:r>
            <w:fldChar w:fldCharType="begin"/>
          </w:r>
          <w:r>
            <w:instrText xml:space="preserve"> TITLE   \* MERGEFORMAT </w:instrText>
          </w:r>
          <w:r>
            <w:fldChar w:fldCharType="separate"/>
          </w:r>
          <w:r w:rsidR="005E1EE3">
            <w:t>Budget Paper No. 2</w:t>
          </w:r>
          <w:r>
            <w:fldChar w:fldCharType="end"/>
          </w:r>
          <w:r w:rsidR="002131AA">
            <w:t xml:space="preserve">  |  </w:t>
          </w:r>
          <w:r w:rsidR="002131AA" w:rsidRPr="00D47C6E">
            <w:rPr>
              <w:noProof/>
              <w:position w:val="-6"/>
            </w:rPr>
            <w:drawing>
              <wp:inline distT="0" distB="0" distL="0" distR="0" wp14:anchorId="65D09BEF" wp14:editId="0EFAFEEA">
                <wp:extent cx="860400" cy="144000"/>
                <wp:effectExtent l="0" t="0" r="0" b="889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 name="Picture 21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0400" cy="144000"/>
                        </a:xfrm>
                        <a:prstGeom prst="rect">
                          <a:avLst/>
                        </a:prstGeom>
                      </pic:spPr>
                    </pic:pic>
                  </a:graphicData>
                </a:graphic>
              </wp:inline>
            </w:drawing>
          </w:r>
        </w:p>
      </w:tc>
    </w:tr>
  </w:tbl>
  <w:p w14:paraId="6D875A24" w14:textId="77777777" w:rsidR="002131AA" w:rsidRPr="00AA5439" w:rsidRDefault="002131AA" w:rsidP="00AA5439">
    <w:pPr>
      <w:pStyle w:val="Heade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3417D" w14:textId="77777777" w:rsidR="002131AA" w:rsidRDefault="002131AA">
    <w:pPr>
      <w:pStyle w:val="Header"/>
      <w:rPr>
        <w:sz w:val="2"/>
        <w:szCs w:val="2"/>
      </w:rPr>
    </w:pPr>
  </w:p>
  <w:p w14:paraId="561425CF" w14:textId="77777777" w:rsidR="002131AA" w:rsidRDefault="002131AA">
    <w:pPr>
      <w:pStyle w:val="Header"/>
      <w:rPr>
        <w:sz w:val="2"/>
        <w:szCs w:val="2"/>
      </w:rPr>
    </w:pPr>
  </w:p>
  <w:p w14:paraId="5DFB6863" w14:textId="77777777" w:rsidR="002131AA" w:rsidRPr="005B2F30" w:rsidRDefault="002131AA">
    <w:pPr>
      <w:pStyle w:val="Header"/>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6EB48" w14:textId="632D09DA" w:rsidR="00FB5DDD" w:rsidRPr="00AA5439" w:rsidRDefault="00FB5DDD" w:rsidP="00AA543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B5DDD" w14:paraId="32A05A83" w14:textId="77777777">
      <w:trPr>
        <w:trHeight w:hRule="exact" w:val="340"/>
      </w:trPr>
      <w:tc>
        <w:tcPr>
          <w:tcW w:w="7797" w:type="dxa"/>
        </w:tcPr>
        <w:p w14:paraId="7B5CCFE4" w14:textId="0E59078D" w:rsidR="00FB5DDD" w:rsidRPr="008C56E1" w:rsidRDefault="00FB5DDD" w:rsidP="00F60EA1">
          <w:pPr>
            <w:pStyle w:val="HeaderEven"/>
          </w:pPr>
          <w:r w:rsidRPr="008C56E1">
            <w:rPr>
              <w:noProof/>
              <w:position w:val="-8"/>
            </w:rPr>
            <w:drawing>
              <wp:inline distT="0" distB="0" distL="0" distR="0" wp14:anchorId="0F612F16" wp14:editId="1B83368E">
                <wp:extent cx="874979" cy="198000"/>
                <wp:effectExtent l="0" t="0" r="1905" b="0"/>
                <wp:docPr id="75" name="Pictur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r w:rsidR="00351BE8">
            <w:fldChar w:fldCharType="begin"/>
          </w:r>
          <w:r w:rsidR="00351BE8">
            <w:instrText xml:space="preserve"> TITLE   \* MERGEFORMAT </w:instrText>
          </w:r>
          <w:r w:rsidR="00351BE8">
            <w:fldChar w:fldCharType="separate"/>
          </w:r>
          <w:r w:rsidR="005E1EE3">
            <w:t>Budget Paper No. 2</w:t>
          </w:r>
          <w:r w:rsidR="00351BE8">
            <w:fldChar w:fldCharType="end"/>
          </w:r>
        </w:p>
      </w:tc>
    </w:tr>
  </w:tbl>
  <w:p w14:paraId="4CBD10A8" w14:textId="77777777" w:rsidR="00FB5DDD" w:rsidRPr="00AA5439" w:rsidRDefault="00FB5DDD" w:rsidP="00AA5439">
    <w:pPr>
      <w:pStyle w:val="HeaderEven"/>
      <w:rPr>
        <w:sz w:val="2"/>
        <w:szCs w:val="4"/>
      </w:rPr>
    </w:pPr>
  </w:p>
  <w:p w14:paraId="0C34D84C" w14:textId="77777777" w:rsidR="00FB5DDD" w:rsidRPr="007703C7" w:rsidRDefault="00FB5DDD" w:rsidP="007703C7">
    <w:pPr>
      <w:pStyle w:val="Header"/>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EC0E3" w14:textId="65DB85CD" w:rsidR="00FB5DDD" w:rsidRPr="000635BE" w:rsidRDefault="00FB5DDD" w:rsidP="000635BE">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D12666" w14:paraId="33C4EB04" w14:textId="77777777">
      <w:trPr>
        <w:trHeight w:hRule="exact" w:val="340"/>
      </w:trPr>
      <w:tc>
        <w:tcPr>
          <w:tcW w:w="7797" w:type="dxa"/>
          <w:tcMar>
            <w:left w:w="108" w:type="dxa"/>
            <w:right w:w="108" w:type="dxa"/>
          </w:tcMar>
        </w:tcPr>
        <w:p w14:paraId="0C18F03C" w14:textId="318B3841" w:rsidR="00D12666" w:rsidRPr="00D13BF9" w:rsidRDefault="00351BE8" w:rsidP="00D13BF9">
          <w:pPr>
            <w:pStyle w:val="HeaderOdd"/>
          </w:pPr>
          <w:r>
            <w:fldChar w:fldCharType="begin"/>
          </w:r>
          <w:r>
            <w:instrText xml:space="preserve"> TITLE   \* MERGEFORMAT </w:instrText>
          </w:r>
          <w:r>
            <w:fldChar w:fldCharType="separate"/>
          </w:r>
          <w:r w:rsidR="005E1EE3">
            <w:t>Budget Paper No. 2</w:t>
          </w:r>
          <w:r>
            <w:fldChar w:fldCharType="end"/>
          </w:r>
          <w:r w:rsidR="00D12666" w:rsidRPr="00D13BF9">
            <w:t xml:space="preserve">  |  </w:t>
          </w:r>
          <w:r w:rsidR="00D12666" w:rsidRPr="00C9389A">
            <w:rPr>
              <w:noProof/>
              <w:position w:val="-8"/>
            </w:rPr>
            <w:drawing>
              <wp:inline distT="0" distB="0" distL="0" distR="0" wp14:anchorId="2478BB4B" wp14:editId="13D0AA4C">
                <wp:extent cx="878400" cy="198000"/>
                <wp:effectExtent l="0" t="0" r="0" b="0"/>
                <wp:docPr id="71" name="Picture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023B9CAE" w14:textId="77777777" w:rsidR="00FB5DDD" w:rsidRPr="00AA5439" w:rsidRDefault="00FB5DDD" w:rsidP="00AA5439">
    <w:pPr>
      <w:pStyle w:val="Header"/>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675DB" w14:textId="34840621" w:rsidR="00FB5DDD" w:rsidRDefault="00FB5DDD">
    <w:pPr>
      <w:pStyle w:val="Header"/>
      <w:rPr>
        <w:sz w:val="2"/>
        <w:szCs w:val="2"/>
      </w:rPr>
    </w:pPr>
  </w:p>
  <w:p w14:paraId="3C044A85" w14:textId="77777777" w:rsidR="00FB5DDD" w:rsidRDefault="00FB5DDD">
    <w:pPr>
      <w:pStyle w:val="Header"/>
      <w:rPr>
        <w:sz w:val="2"/>
        <w:szCs w:val="2"/>
      </w:rPr>
    </w:pPr>
  </w:p>
  <w:p w14:paraId="412024FF" w14:textId="77777777" w:rsidR="00FB5DDD" w:rsidRPr="005B2F30" w:rsidRDefault="00FB5DDD">
    <w:pPr>
      <w:pStyle w:val="Header"/>
      <w:rPr>
        <w:sz w:val="2"/>
        <w:szCs w:val="2"/>
      </w:rPr>
    </w:pPr>
    <w:r w:rsidRPr="00692105">
      <w:rPr>
        <w:noProof/>
        <w:sz w:val="32"/>
        <w:szCs w:val="32"/>
      </w:rPr>
      <mc:AlternateContent>
        <mc:Choice Requires="wps">
          <w:drawing>
            <wp:anchor distT="0" distB="0" distL="114300" distR="114300" simplePos="0" relativeHeight="251658240" behindDoc="0" locked="0" layoutInCell="1" allowOverlap="1" wp14:anchorId="0E474AA1" wp14:editId="6006C4CC">
              <wp:simplePos x="0" y="0"/>
              <wp:positionH relativeFrom="column">
                <wp:posOffset>7560945</wp:posOffset>
              </wp:positionH>
              <wp:positionV relativeFrom="margin">
                <wp:align>bottom</wp:align>
              </wp:positionV>
              <wp:extent cx="399600" cy="4896000"/>
              <wp:effectExtent l="0" t="0" r="635" b="0"/>
              <wp:wrapNone/>
              <wp:docPr id="70" name="Text Box 70"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AC892" w14:textId="41E2D824" w:rsidR="00FB5DDD" w:rsidRPr="00137C7E" w:rsidRDefault="00351BE8" w:rsidP="001D33D6">
                          <w:pPr>
                            <w:pStyle w:val="HeaderOdd"/>
                          </w:pPr>
                          <w:r>
                            <w:fldChar w:fldCharType="begin"/>
                          </w:r>
                          <w:r>
                            <w:instrText xml:space="preserve"> TITLE   \* MERGEFORMAT </w:instrText>
                          </w:r>
                          <w:r>
                            <w:fldChar w:fldCharType="separate"/>
                          </w:r>
                          <w:r w:rsidR="005E1EE3">
                            <w:t>Budget Paper No. 2</w:t>
                          </w:r>
                          <w:r>
                            <w:fldChar w:fldCharType="end"/>
                          </w:r>
                          <w:r w:rsidR="00FB5DDD">
                            <w:t xml:space="preserve">  |  </w:t>
                          </w:r>
                          <w:r w:rsidR="00FB5DDD" w:rsidRPr="000635BE">
                            <w:rPr>
                              <w:rFonts w:ascii="Arial Bold" w:hAnsi="Arial Bold"/>
                              <w:b/>
                              <w:bCs/>
                              <w:noProof/>
                              <w:position w:val="-10"/>
                            </w:rPr>
                            <w:drawing>
                              <wp:inline distT="0" distB="0" distL="0" distR="0" wp14:anchorId="47B29600" wp14:editId="2DCFE4A4">
                                <wp:extent cx="1000760" cy="228609"/>
                                <wp:effectExtent l="5080" t="0" r="0" b="0"/>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000760" cy="228609"/>
                                        </a:xfrm>
                                        <a:prstGeom prst="rect">
                                          <a:avLst/>
                                        </a:prstGeom>
                                        <a:noFill/>
                                      </pic:spPr>
                                    </pic:pic>
                                  </a:graphicData>
                                </a:graphic>
                              </wp:inline>
                            </w:drawing>
                          </w:r>
                        </w:p>
                      </w:txbxContent>
                    </wps:txbx>
                    <wps:bodyPr rot="0" vert="vert" wrap="square" lIns="0" tIns="0" rIns="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474AA1" id="_x0000_t202" coordsize="21600,21600" o:spt="202" path="m,l,21600r21600,l21600,xe">
              <v:stroke joinstyle="miter"/>
              <v:path gradientshapeok="t" o:connecttype="rect"/>
            </v:shapetype>
            <v:shape id="Text Box 70" o:spid="_x0000_s1026" type="#_x0000_t202" alt="Landscape Odd Header" style="position:absolute;margin-left:595.35pt;margin-top:0;width:31.45pt;height:385.5pt;z-index:251658240;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" stroked="f">
              <v:textbox style="layout-flow:vertical" inset="0,0,0,.2mm">
                <w:txbxContent>
                  <w:p w14:paraId="789AC892" w14:textId="41E2D824" w:rsidR="00FB5DDD" w:rsidRPr="00137C7E" w:rsidRDefault="00A05637" w:rsidP="001D33D6">
                    <w:pPr>
                      <w:pStyle w:val="HeaderOdd"/>
                    </w:pPr>
                    <w:fldSimple w:instr=" TITLE   \* MERGEFORMAT ">
                      <w:r w:rsidR="005E1EE3">
                        <w:t>Budget Paper No. 2</w:t>
                      </w:r>
                    </w:fldSimple>
                    <w:r w:rsidR="00FB5DDD">
                      <w:t xml:space="preserve">  |  </w:t>
                    </w:r>
                    <w:r w:rsidR="00FB5DDD" w:rsidRPr="000635BE">
                      <w:rPr>
                        <w:rFonts w:ascii="Arial Bold" w:hAnsi="Arial Bold"/>
                        <w:b/>
                        <w:bCs/>
                        <w:noProof/>
                        <w:position w:val="-10"/>
                      </w:rPr>
                      <w:drawing>
                        <wp:inline distT="0" distB="0" distL="0" distR="0" wp14:anchorId="47B29600" wp14:editId="2DCFE4A4">
                          <wp:extent cx="1000760" cy="228609"/>
                          <wp:effectExtent l="5080" t="0" r="0" b="0"/>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rot="5400000">
                                    <a:off x="0" y="0"/>
                                    <a:ext cx="1000760" cy="228609"/>
                                  </a:xfrm>
                                  <a:prstGeom prst="rect">
                                    <a:avLst/>
                                  </a:prstGeom>
                                  <a:noFill/>
                                </pic:spPr>
                              </pic:pic>
                            </a:graphicData>
                          </a:graphic>
                        </wp:inline>
                      </w:drawing>
                    </w:r>
                  </w:p>
                </w:txbxContent>
              </v:textbox>
              <w10:wrap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747C41"/>
    <w:multiLevelType w:val="multilevel"/>
    <w:tmpl w:val="DB6444EE"/>
    <w:lvl w:ilvl="0">
      <w:start w:val="1"/>
      <w:numFmt w:val="bullet"/>
      <w:lvlRestart w:val="0"/>
      <w:lvlText w:val="•"/>
      <w:lvlJc w:val="left"/>
      <w:pPr>
        <w:tabs>
          <w:tab w:val="num" w:pos="283"/>
        </w:tabs>
        <w:ind w:left="283" w:hanging="283"/>
      </w:pPr>
      <w:rPr>
        <w:rFonts w:ascii="Times New Roman" w:hAnsi="Times New Roman" w:cs="Times New Roman"/>
        <w:b w:val="0"/>
        <w:i w:val="0"/>
        <w:color w:val="000000"/>
        <w:sz w:val="20"/>
      </w:rPr>
    </w:lvl>
    <w:lvl w:ilvl="1">
      <w:start w:val="1"/>
      <w:numFmt w:val="bullet"/>
      <w:lvlText w:val="–"/>
      <w:lvlJc w:val="left"/>
      <w:pPr>
        <w:tabs>
          <w:tab w:val="num" w:pos="567"/>
        </w:tabs>
        <w:ind w:left="567" w:hanging="284"/>
      </w:pPr>
      <w:rPr>
        <w:rFonts w:ascii="Times New Roman" w:hAnsi="Times New Roman" w:cs="Times New Roman"/>
        <w:b w:val="0"/>
        <w:i w:val="0"/>
        <w:color w:val="000000"/>
      </w:rPr>
    </w:lvl>
    <w:lvl w:ilvl="2">
      <w:start w:val="1"/>
      <w:numFmt w:val="bullet"/>
      <w:lvlText w:val=":"/>
      <w:lvlJc w:val="left"/>
      <w:pPr>
        <w:tabs>
          <w:tab w:val="num" w:pos="850"/>
        </w:tabs>
        <w:ind w:left="850" w:hanging="283"/>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11"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3"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5"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16cid:durableId="1403410866">
    <w:abstractNumId w:val="14"/>
  </w:num>
  <w:num w:numId="2" w16cid:durableId="70975900">
    <w:abstractNumId w:val="12"/>
  </w:num>
  <w:num w:numId="3" w16cid:durableId="1903564601">
    <w:abstractNumId w:val="11"/>
  </w:num>
  <w:num w:numId="4" w16cid:durableId="778522229">
    <w:abstractNumId w:val="13"/>
  </w:num>
  <w:num w:numId="5" w16cid:durableId="308556280">
    <w:abstractNumId w:val="15"/>
  </w:num>
  <w:num w:numId="6" w16cid:durableId="772752326">
    <w:abstractNumId w:val="11"/>
  </w:num>
  <w:num w:numId="7" w16cid:durableId="541596858">
    <w:abstractNumId w:val="11"/>
  </w:num>
  <w:num w:numId="8" w16cid:durableId="322590933">
    <w:abstractNumId w:val="9"/>
  </w:num>
  <w:num w:numId="9" w16cid:durableId="1723669811">
    <w:abstractNumId w:val="7"/>
  </w:num>
  <w:num w:numId="10" w16cid:durableId="235865475">
    <w:abstractNumId w:val="6"/>
  </w:num>
  <w:num w:numId="11" w16cid:durableId="1066297075">
    <w:abstractNumId w:val="5"/>
  </w:num>
  <w:num w:numId="12" w16cid:durableId="10422456">
    <w:abstractNumId w:val="4"/>
  </w:num>
  <w:num w:numId="13" w16cid:durableId="4594083">
    <w:abstractNumId w:val="8"/>
  </w:num>
  <w:num w:numId="14" w16cid:durableId="961616114">
    <w:abstractNumId w:val="3"/>
  </w:num>
  <w:num w:numId="15" w16cid:durableId="760225057">
    <w:abstractNumId w:val="2"/>
  </w:num>
  <w:num w:numId="16" w16cid:durableId="1531915683">
    <w:abstractNumId w:val="1"/>
  </w:num>
  <w:num w:numId="17" w16cid:durableId="288900107">
    <w:abstractNumId w:val="0"/>
  </w:num>
  <w:num w:numId="18" w16cid:durableId="131681990">
    <w:abstractNumId w:val="13"/>
  </w:num>
  <w:num w:numId="19" w16cid:durableId="5211629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44135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91259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proofState w:spelling="clean" w:grammar="clean"/>
  <w:attachedTemplate r:id="rId1"/>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2131AA"/>
    <w:rsid w:val="000004EA"/>
    <w:rsid w:val="00011DBB"/>
    <w:rsid w:val="00013EA8"/>
    <w:rsid w:val="00017CEB"/>
    <w:rsid w:val="00024BA4"/>
    <w:rsid w:val="00035D8D"/>
    <w:rsid w:val="000546EB"/>
    <w:rsid w:val="00054F97"/>
    <w:rsid w:val="00060FCE"/>
    <w:rsid w:val="000622DA"/>
    <w:rsid w:val="000635BE"/>
    <w:rsid w:val="0008151C"/>
    <w:rsid w:val="00081C6D"/>
    <w:rsid w:val="0008399A"/>
    <w:rsid w:val="0008597F"/>
    <w:rsid w:val="00090AA2"/>
    <w:rsid w:val="000B38A8"/>
    <w:rsid w:val="000B420E"/>
    <w:rsid w:val="000B6875"/>
    <w:rsid w:val="000C1CC3"/>
    <w:rsid w:val="000D78F4"/>
    <w:rsid w:val="000E105B"/>
    <w:rsid w:val="000E149B"/>
    <w:rsid w:val="000E51F2"/>
    <w:rsid w:val="000F6DCA"/>
    <w:rsid w:val="00103050"/>
    <w:rsid w:val="00103F65"/>
    <w:rsid w:val="0011175D"/>
    <w:rsid w:val="001207D9"/>
    <w:rsid w:val="00120F37"/>
    <w:rsid w:val="00140158"/>
    <w:rsid w:val="001472CA"/>
    <w:rsid w:val="00156C55"/>
    <w:rsid w:val="00160928"/>
    <w:rsid w:val="00172CFE"/>
    <w:rsid w:val="0019115B"/>
    <w:rsid w:val="00191DBB"/>
    <w:rsid w:val="00196656"/>
    <w:rsid w:val="001970E6"/>
    <w:rsid w:val="001A5A92"/>
    <w:rsid w:val="001A7712"/>
    <w:rsid w:val="001B0233"/>
    <w:rsid w:val="001C29BA"/>
    <w:rsid w:val="001C33F4"/>
    <w:rsid w:val="001C3AEA"/>
    <w:rsid w:val="001C5E21"/>
    <w:rsid w:val="001D33D6"/>
    <w:rsid w:val="001D762D"/>
    <w:rsid w:val="001E641F"/>
    <w:rsid w:val="001E6FD3"/>
    <w:rsid w:val="001F08E1"/>
    <w:rsid w:val="001F7CC4"/>
    <w:rsid w:val="002022EE"/>
    <w:rsid w:val="00206A05"/>
    <w:rsid w:val="002131AA"/>
    <w:rsid w:val="002147CB"/>
    <w:rsid w:val="00217311"/>
    <w:rsid w:val="0023354A"/>
    <w:rsid w:val="00236429"/>
    <w:rsid w:val="00237F04"/>
    <w:rsid w:val="00242462"/>
    <w:rsid w:val="00242479"/>
    <w:rsid w:val="0024521A"/>
    <w:rsid w:val="00250208"/>
    <w:rsid w:val="00263893"/>
    <w:rsid w:val="00264BD0"/>
    <w:rsid w:val="00266313"/>
    <w:rsid w:val="00267200"/>
    <w:rsid w:val="00281716"/>
    <w:rsid w:val="00292A37"/>
    <w:rsid w:val="00295B2E"/>
    <w:rsid w:val="002974D6"/>
    <w:rsid w:val="002A6A16"/>
    <w:rsid w:val="002B6106"/>
    <w:rsid w:val="002C2097"/>
    <w:rsid w:val="002C3DEB"/>
    <w:rsid w:val="002C596C"/>
    <w:rsid w:val="002C5D81"/>
    <w:rsid w:val="002D71E7"/>
    <w:rsid w:val="002D789E"/>
    <w:rsid w:val="002E4A8C"/>
    <w:rsid w:val="002E638A"/>
    <w:rsid w:val="002E7B71"/>
    <w:rsid w:val="002F40F3"/>
    <w:rsid w:val="00302798"/>
    <w:rsid w:val="00305105"/>
    <w:rsid w:val="00305E1C"/>
    <w:rsid w:val="00315F3D"/>
    <w:rsid w:val="003303B0"/>
    <w:rsid w:val="003421CD"/>
    <w:rsid w:val="00342EB4"/>
    <w:rsid w:val="0034322C"/>
    <w:rsid w:val="003451F5"/>
    <w:rsid w:val="00345F5F"/>
    <w:rsid w:val="003478ED"/>
    <w:rsid w:val="003506C0"/>
    <w:rsid w:val="00351396"/>
    <w:rsid w:val="00351BE8"/>
    <w:rsid w:val="00360947"/>
    <w:rsid w:val="00376330"/>
    <w:rsid w:val="00377927"/>
    <w:rsid w:val="00381D29"/>
    <w:rsid w:val="00382E3D"/>
    <w:rsid w:val="0039092C"/>
    <w:rsid w:val="00391DD5"/>
    <w:rsid w:val="003A3AC2"/>
    <w:rsid w:val="003B3670"/>
    <w:rsid w:val="003B753F"/>
    <w:rsid w:val="003C1580"/>
    <w:rsid w:val="003C1CA4"/>
    <w:rsid w:val="003C1E2A"/>
    <w:rsid w:val="003F31E5"/>
    <w:rsid w:val="003F42F4"/>
    <w:rsid w:val="00410AC2"/>
    <w:rsid w:val="00414D61"/>
    <w:rsid w:val="004233DE"/>
    <w:rsid w:val="004242CF"/>
    <w:rsid w:val="004409EB"/>
    <w:rsid w:val="00447E2C"/>
    <w:rsid w:val="004551BE"/>
    <w:rsid w:val="00461699"/>
    <w:rsid w:val="0046391C"/>
    <w:rsid w:val="004778AA"/>
    <w:rsid w:val="0048563A"/>
    <w:rsid w:val="004C3F27"/>
    <w:rsid w:val="004F3FD9"/>
    <w:rsid w:val="004F4A25"/>
    <w:rsid w:val="004F60DD"/>
    <w:rsid w:val="00500BC9"/>
    <w:rsid w:val="00512BCF"/>
    <w:rsid w:val="00513FCE"/>
    <w:rsid w:val="005151D9"/>
    <w:rsid w:val="00522739"/>
    <w:rsid w:val="00532259"/>
    <w:rsid w:val="00544615"/>
    <w:rsid w:val="005476BD"/>
    <w:rsid w:val="00551E91"/>
    <w:rsid w:val="005642C7"/>
    <w:rsid w:val="00580067"/>
    <w:rsid w:val="00593FC8"/>
    <w:rsid w:val="005A43A4"/>
    <w:rsid w:val="005A6F5F"/>
    <w:rsid w:val="005A73C9"/>
    <w:rsid w:val="005B2F30"/>
    <w:rsid w:val="005B3010"/>
    <w:rsid w:val="005C3754"/>
    <w:rsid w:val="005C6A4E"/>
    <w:rsid w:val="005D23CB"/>
    <w:rsid w:val="005D5821"/>
    <w:rsid w:val="005D619F"/>
    <w:rsid w:val="005D6ADA"/>
    <w:rsid w:val="005E1EE3"/>
    <w:rsid w:val="005E3FC6"/>
    <w:rsid w:val="005E4F85"/>
    <w:rsid w:val="005E792C"/>
    <w:rsid w:val="0060305C"/>
    <w:rsid w:val="00603593"/>
    <w:rsid w:val="006061E0"/>
    <w:rsid w:val="00614554"/>
    <w:rsid w:val="00614FC4"/>
    <w:rsid w:val="00616FEC"/>
    <w:rsid w:val="00621E05"/>
    <w:rsid w:val="00622CDB"/>
    <w:rsid w:val="0063760F"/>
    <w:rsid w:val="00644136"/>
    <w:rsid w:val="00653D2B"/>
    <w:rsid w:val="006551AB"/>
    <w:rsid w:val="006568AA"/>
    <w:rsid w:val="0066419C"/>
    <w:rsid w:val="00664F1B"/>
    <w:rsid w:val="00666EAE"/>
    <w:rsid w:val="00677EBB"/>
    <w:rsid w:val="00680768"/>
    <w:rsid w:val="00682D05"/>
    <w:rsid w:val="00690300"/>
    <w:rsid w:val="00692105"/>
    <w:rsid w:val="00692BED"/>
    <w:rsid w:val="006948E3"/>
    <w:rsid w:val="006B75BC"/>
    <w:rsid w:val="006C102E"/>
    <w:rsid w:val="006C1494"/>
    <w:rsid w:val="006C3E1F"/>
    <w:rsid w:val="006C4809"/>
    <w:rsid w:val="006C4A90"/>
    <w:rsid w:val="006D4A4D"/>
    <w:rsid w:val="006E7F46"/>
    <w:rsid w:val="006F0424"/>
    <w:rsid w:val="00702304"/>
    <w:rsid w:val="00702A74"/>
    <w:rsid w:val="0072449F"/>
    <w:rsid w:val="00732853"/>
    <w:rsid w:val="00737E95"/>
    <w:rsid w:val="00740755"/>
    <w:rsid w:val="0074527D"/>
    <w:rsid w:val="0075066B"/>
    <w:rsid w:val="00754CF2"/>
    <w:rsid w:val="00755F34"/>
    <w:rsid w:val="007674AD"/>
    <w:rsid w:val="007703C7"/>
    <w:rsid w:val="00783F2F"/>
    <w:rsid w:val="00787DEE"/>
    <w:rsid w:val="00791275"/>
    <w:rsid w:val="007913DD"/>
    <w:rsid w:val="00792F0C"/>
    <w:rsid w:val="00796391"/>
    <w:rsid w:val="007B788A"/>
    <w:rsid w:val="007C0527"/>
    <w:rsid w:val="007C1467"/>
    <w:rsid w:val="007D13EE"/>
    <w:rsid w:val="007D3A17"/>
    <w:rsid w:val="007D5AEF"/>
    <w:rsid w:val="00824E07"/>
    <w:rsid w:val="008253FB"/>
    <w:rsid w:val="008261B3"/>
    <w:rsid w:val="00835024"/>
    <w:rsid w:val="008604FE"/>
    <w:rsid w:val="00881D59"/>
    <w:rsid w:val="00885620"/>
    <w:rsid w:val="00886587"/>
    <w:rsid w:val="008A0DA1"/>
    <w:rsid w:val="008B2E4B"/>
    <w:rsid w:val="008C18AC"/>
    <w:rsid w:val="008C2AAD"/>
    <w:rsid w:val="008C56E1"/>
    <w:rsid w:val="008D3CA1"/>
    <w:rsid w:val="008D3EF8"/>
    <w:rsid w:val="008D45DE"/>
    <w:rsid w:val="008D71E5"/>
    <w:rsid w:val="008E37DF"/>
    <w:rsid w:val="008E7225"/>
    <w:rsid w:val="008F01EE"/>
    <w:rsid w:val="008F1D09"/>
    <w:rsid w:val="008F55F8"/>
    <w:rsid w:val="00906FE1"/>
    <w:rsid w:val="00907F2D"/>
    <w:rsid w:val="0093363A"/>
    <w:rsid w:val="009345C5"/>
    <w:rsid w:val="00934DD5"/>
    <w:rsid w:val="0094345F"/>
    <w:rsid w:val="00943C8B"/>
    <w:rsid w:val="00945C29"/>
    <w:rsid w:val="00950043"/>
    <w:rsid w:val="00952447"/>
    <w:rsid w:val="0095269D"/>
    <w:rsid w:val="009526DA"/>
    <w:rsid w:val="009804F5"/>
    <w:rsid w:val="0098629D"/>
    <w:rsid w:val="00997029"/>
    <w:rsid w:val="009A553C"/>
    <w:rsid w:val="009A7DCC"/>
    <w:rsid w:val="009B2CFA"/>
    <w:rsid w:val="009C0538"/>
    <w:rsid w:val="009C316E"/>
    <w:rsid w:val="009C37E9"/>
    <w:rsid w:val="009C3A40"/>
    <w:rsid w:val="009C46F8"/>
    <w:rsid w:val="009C4905"/>
    <w:rsid w:val="009D3936"/>
    <w:rsid w:val="009D44CF"/>
    <w:rsid w:val="009D5272"/>
    <w:rsid w:val="009D7662"/>
    <w:rsid w:val="009D7780"/>
    <w:rsid w:val="009E766A"/>
    <w:rsid w:val="009F4D67"/>
    <w:rsid w:val="00A04475"/>
    <w:rsid w:val="00A05637"/>
    <w:rsid w:val="00A05F9D"/>
    <w:rsid w:val="00A11F5D"/>
    <w:rsid w:val="00A26245"/>
    <w:rsid w:val="00A267BA"/>
    <w:rsid w:val="00A268AC"/>
    <w:rsid w:val="00A27919"/>
    <w:rsid w:val="00A31C9E"/>
    <w:rsid w:val="00A36880"/>
    <w:rsid w:val="00A374EF"/>
    <w:rsid w:val="00A43FED"/>
    <w:rsid w:val="00A512E7"/>
    <w:rsid w:val="00A52AFA"/>
    <w:rsid w:val="00A667D0"/>
    <w:rsid w:val="00A819BF"/>
    <w:rsid w:val="00A838CE"/>
    <w:rsid w:val="00A85845"/>
    <w:rsid w:val="00A87063"/>
    <w:rsid w:val="00A91642"/>
    <w:rsid w:val="00AA5439"/>
    <w:rsid w:val="00AA71F1"/>
    <w:rsid w:val="00AB5E51"/>
    <w:rsid w:val="00AB63E5"/>
    <w:rsid w:val="00AC199B"/>
    <w:rsid w:val="00AC2BEE"/>
    <w:rsid w:val="00AC2FED"/>
    <w:rsid w:val="00AC6E3E"/>
    <w:rsid w:val="00AD68DA"/>
    <w:rsid w:val="00AE5C54"/>
    <w:rsid w:val="00AF6C71"/>
    <w:rsid w:val="00B02246"/>
    <w:rsid w:val="00B051A6"/>
    <w:rsid w:val="00B14043"/>
    <w:rsid w:val="00B2324B"/>
    <w:rsid w:val="00B26C0C"/>
    <w:rsid w:val="00B42464"/>
    <w:rsid w:val="00B62ED2"/>
    <w:rsid w:val="00B65FE9"/>
    <w:rsid w:val="00B666F0"/>
    <w:rsid w:val="00B742E3"/>
    <w:rsid w:val="00B75873"/>
    <w:rsid w:val="00B8570A"/>
    <w:rsid w:val="00B91AED"/>
    <w:rsid w:val="00B95135"/>
    <w:rsid w:val="00B96A23"/>
    <w:rsid w:val="00BA7246"/>
    <w:rsid w:val="00BB207D"/>
    <w:rsid w:val="00BB52EC"/>
    <w:rsid w:val="00BB5B98"/>
    <w:rsid w:val="00BC44F3"/>
    <w:rsid w:val="00BC4E72"/>
    <w:rsid w:val="00BE2420"/>
    <w:rsid w:val="00BE60E0"/>
    <w:rsid w:val="00BE712B"/>
    <w:rsid w:val="00BF5E88"/>
    <w:rsid w:val="00C01D71"/>
    <w:rsid w:val="00C060D7"/>
    <w:rsid w:val="00C21110"/>
    <w:rsid w:val="00C33129"/>
    <w:rsid w:val="00C34C9C"/>
    <w:rsid w:val="00C4293F"/>
    <w:rsid w:val="00C44195"/>
    <w:rsid w:val="00C461BE"/>
    <w:rsid w:val="00C472EA"/>
    <w:rsid w:val="00C521F1"/>
    <w:rsid w:val="00C57B0A"/>
    <w:rsid w:val="00C601D0"/>
    <w:rsid w:val="00C64CC1"/>
    <w:rsid w:val="00C75ABC"/>
    <w:rsid w:val="00C93398"/>
    <w:rsid w:val="00C9389A"/>
    <w:rsid w:val="00C94AB7"/>
    <w:rsid w:val="00CB6153"/>
    <w:rsid w:val="00CC6004"/>
    <w:rsid w:val="00CE3CEF"/>
    <w:rsid w:val="00CF32E6"/>
    <w:rsid w:val="00D02CD8"/>
    <w:rsid w:val="00D066CD"/>
    <w:rsid w:val="00D12666"/>
    <w:rsid w:val="00D13BF9"/>
    <w:rsid w:val="00D1656D"/>
    <w:rsid w:val="00D1685E"/>
    <w:rsid w:val="00D27078"/>
    <w:rsid w:val="00D270F4"/>
    <w:rsid w:val="00D274C3"/>
    <w:rsid w:val="00D4446E"/>
    <w:rsid w:val="00D47C6E"/>
    <w:rsid w:val="00D5569F"/>
    <w:rsid w:val="00D55D00"/>
    <w:rsid w:val="00D81A31"/>
    <w:rsid w:val="00D82B0F"/>
    <w:rsid w:val="00D90EA6"/>
    <w:rsid w:val="00D93796"/>
    <w:rsid w:val="00D9571C"/>
    <w:rsid w:val="00DA1DFB"/>
    <w:rsid w:val="00DA42A3"/>
    <w:rsid w:val="00DA58C6"/>
    <w:rsid w:val="00DB513A"/>
    <w:rsid w:val="00DB5635"/>
    <w:rsid w:val="00DC0AEE"/>
    <w:rsid w:val="00DE504B"/>
    <w:rsid w:val="00DE71D2"/>
    <w:rsid w:val="00DF5A91"/>
    <w:rsid w:val="00DF6A5A"/>
    <w:rsid w:val="00E11FA8"/>
    <w:rsid w:val="00E11FAE"/>
    <w:rsid w:val="00E2067E"/>
    <w:rsid w:val="00E35BBF"/>
    <w:rsid w:val="00E40261"/>
    <w:rsid w:val="00E404C5"/>
    <w:rsid w:val="00E4685E"/>
    <w:rsid w:val="00E47746"/>
    <w:rsid w:val="00E66821"/>
    <w:rsid w:val="00E70282"/>
    <w:rsid w:val="00E71045"/>
    <w:rsid w:val="00E80210"/>
    <w:rsid w:val="00E85029"/>
    <w:rsid w:val="00E91643"/>
    <w:rsid w:val="00EA4C90"/>
    <w:rsid w:val="00EA52E4"/>
    <w:rsid w:val="00EB6597"/>
    <w:rsid w:val="00EE4159"/>
    <w:rsid w:val="00EE4527"/>
    <w:rsid w:val="00EF0B90"/>
    <w:rsid w:val="00EF1B7E"/>
    <w:rsid w:val="00EF338C"/>
    <w:rsid w:val="00EF4C8A"/>
    <w:rsid w:val="00F11365"/>
    <w:rsid w:val="00F15C65"/>
    <w:rsid w:val="00F15EE3"/>
    <w:rsid w:val="00F362DE"/>
    <w:rsid w:val="00F51DA2"/>
    <w:rsid w:val="00F60EA1"/>
    <w:rsid w:val="00F84F40"/>
    <w:rsid w:val="00F968E1"/>
    <w:rsid w:val="00FA7D31"/>
    <w:rsid w:val="00FB5331"/>
    <w:rsid w:val="00FB5DDD"/>
    <w:rsid w:val="00FC6B0E"/>
    <w:rsid w:val="00FC7371"/>
    <w:rsid w:val="00FD4A0E"/>
    <w:rsid w:val="00FE48A3"/>
    <w:rsid w:val="00FF75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6FAAF"/>
  <w15:chartTrackingRefBased/>
  <w15:docId w15:val="{C7F7A7E3-5524-4D95-AFFF-2E6EB2C5F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666"/>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D12666"/>
    <w:pPr>
      <w:spacing w:after="240"/>
      <w:outlineLvl w:val="0"/>
    </w:pPr>
    <w:rPr>
      <w:rFonts w:ascii="Arial Bold" w:hAnsi="Arial Bold"/>
      <w:b/>
      <w:kern w:val="34"/>
      <w:sz w:val="36"/>
    </w:rPr>
  </w:style>
  <w:style w:type="paragraph" w:styleId="Heading2">
    <w:name w:val="heading 2"/>
    <w:basedOn w:val="HeadingBase"/>
    <w:next w:val="Normal"/>
    <w:link w:val="Heading2Char"/>
    <w:qFormat/>
    <w:rsid w:val="00D12666"/>
    <w:pPr>
      <w:spacing w:before="240" w:after="240"/>
      <w:outlineLvl w:val="1"/>
    </w:pPr>
    <w:rPr>
      <w:rFonts w:ascii="Arial Bold" w:hAnsi="Arial Bold"/>
      <w:b/>
      <w:sz w:val="26"/>
    </w:rPr>
  </w:style>
  <w:style w:type="paragraph" w:styleId="Heading3">
    <w:name w:val="heading 3"/>
    <w:basedOn w:val="HeadingBase"/>
    <w:next w:val="Normal"/>
    <w:link w:val="Heading3Char"/>
    <w:qFormat/>
    <w:rsid w:val="00D12666"/>
    <w:pPr>
      <w:spacing w:before="120" w:after="120"/>
      <w:outlineLvl w:val="2"/>
    </w:pPr>
    <w:rPr>
      <w:rFonts w:ascii="Arial Bold" w:hAnsi="Arial Bold"/>
      <w:b/>
      <w:sz w:val="22"/>
    </w:rPr>
  </w:style>
  <w:style w:type="paragraph" w:styleId="Heading4">
    <w:name w:val="heading 4"/>
    <w:basedOn w:val="HeadingBase"/>
    <w:next w:val="Normal"/>
    <w:link w:val="Heading4Char"/>
    <w:qFormat/>
    <w:rsid w:val="00D12666"/>
    <w:pPr>
      <w:spacing w:after="120"/>
      <w:outlineLvl w:val="3"/>
    </w:pPr>
    <w:rPr>
      <w:rFonts w:ascii="Arial Bold" w:hAnsi="Arial Bold"/>
      <w:b/>
      <w:sz w:val="20"/>
    </w:rPr>
  </w:style>
  <w:style w:type="paragraph" w:styleId="Heading5">
    <w:name w:val="heading 5"/>
    <w:basedOn w:val="HeadingBase"/>
    <w:next w:val="Normal"/>
    <w:link w:val="Heading5Char"/>
    <w:qFormat/>
    <w:rsid w:val="00D12666"/>
    <w:pPr>
      <w:spacing w:after="120"/>
      <w:outlineLvl w:val="4"/>
    </w:pPr>
    <w:rPr>
      <w:bCs/>
      <w:i/>
      <w:iCs/>
      <w:sz w:val="20"/>
      <w:szCs w:val="26"/>
    </w:rPr>
  </w:style>
  <w:style w:type="paragraph" w:styleId="Heading6">
    <w:name w:val="heading 6"/>
    <w:basedOn w:val="HeadingBase"/>
    <w:next w:val="Normal"/>
    <w:link w:val="Heading6Char"/>
    <w:rsid w:val="00D12666"/>
    <w:pPr>
      <w:spacing w:after="120"/>
      <w:outlineLvl w:val="5"/>
    </w:pPr>
    <w:rPr>
      <w:bCs/>
      <w:sz w:val="20"/>
      <w:szCs w:val="22"/>
    </w:rPr>
  </w:style>
  <w:style w:type="paragraph" w:styleId="Heading7">
    <w:name w:val="heading 7"/>
    <w:basedOn w:val="HeadingBase"/>
    <w:next w:val="Normal"/>
    <w:link w:val="Heading7Char"/>
    <w:rsid w:val="00D12666"/>
    <w:pPr>
      <w:spacing w:before="120"/>
      <w:outlineLvl w:val="6"/>
    </w:pPr>
    <w:rPr>
      <w:sz w:val="20"/>
      <w:szCs w:val="24"/>
    </w:rPr>
  </w:style>
  <w:style w:type="paragraph" w:styleId="Heading8">
    <w:name w:val="heading 8"/>
    <w:basedOn w:val="HeadingBase"/>
    <w:next w:val="Normal"/>
    <w:link w:val="Heading8Char"/>
    <w:rsid w:val="00D1266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D12666"/>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D12666"/>
    <w:pPr>
      <w:tabs>
        <w:tab w:val="center" w:pos="4153"/>
        <w:tab w:val="right" w:pos="8306"/>
      </w:tabs>
    </w:pPr>
  </w:style>
  <w:style w:type="character" w:customStyle="1" w:styleId="HeaderChar">
    <w:name w:val="Header Char"/>
    <w:basedOn w:val="DefaultParagraphFont"/>
    <w:link w:val="Header"/>
    <w:rsid w:val="00D12666"/>
    <w:rPr>
      <w:rFonts w:ascii="Arial" w:eastAsia="Times New Roman" w:hAnsi="Arial" w:cs="Times New Roman"/>
      <w:color w:val="002A54" w:themeColor="text2"/>
      <w:sz w:val="18"/>
      <w:szCs w:val="20"/>
      <w:lang w:eastAsia="en-AU"/>
    </w:rPr>
  </w:style>
  <w:style w:type="paragraph" w:styleId="Footer">
    <w:name w:val="footer"/>
    <w:basedOn w:val="FooterBase"/>
    <w:link w:val="FooterChar"/>
    <w:rsid w:val="00D12666"/>
    <w:pPr>
      <w:tabs>
        <w:tab w:val="center" w:pos="4153"/>
        <w:tab w:val="right" w:pos="8306"/>
      </w:tabs>
    </w:pPr>
  </w:style>
  <w:style w:type="character" w:customStyle="1" w:styleId="FooterChar">
    <w:name w:val="Footer Char"/>
    <w:basedOn w:val="DefaultParagraphFont"/>
    <w:link w:val="Footer"/>
    <w:rsid w:val="00D12666"/>
    <w:rPr>
      <w:rFonts w:ascii="Arial" w:eastAsia="Times New Roman" w:hAnsi="Arial" w:cs="Times New Roman"/>
      <w:color w:val="002A54" w:themeColor="text2"/>
      <w:sz w:val="20"/>
      <w:szCs w:val="20"/>
      <w:lang w:eastAsia="en-AU"/>
    </w:rPr>
  </w:style>
  <w:style w:type="paragraph" w:customStyle="1" w:styleId="SecurityClassificationHeader">
    <w:name w:val="Security Classification Header"/>
    <w:link w:val="SecurityClassificationHeaderChar"/>
    <w:rsid w:val="00D12666"/>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D12666"/>
    <w:rPr>
      <w:rFonts w:ascii="Calibri" w:eastAsia="Times New Roman" w:hAnsi="Calibri" w:cs="Calibri"/>
      <w:b/>
      <w:caps/>
      <w:color w:val="002A54" w:themeColor="text2"/>
      <w:sz w:val="24"/>
      <w:szCs w:val="20"/>
      <w:lang w:eastAsia="en-AU"/>
    </w:rPr>
  </w:style>
  <w:style w:type="paragraph" w:customStyle="1" w:styleId="SecurityClassificationFooter">
    <w:name w:val="Security Classification Footer"/>
    <w:link w:val="SecurityClassificationFooterChar"/>
    <w:rsid w:val="00D12666"/>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D12666"/>
    <w:rPr>
      <w:rFonts w:ascii="Calibri" w:eastAsia="Times New Roman" w:hAnsi="Calibri" w:cs="Calibri"/>
      <w:b/>
      <w:caps/>
      <w:color w:val="002A54" w:themeColor="text2"/>
      <w:sz w:val="24"/>
      <w:szCs w:val="20"/>
      <w:lang w:eastAsia="en-AU"/>
    </w:rPr>
  </w:style>
  <w:style w:type="paragraph" w:customStyle="1" w:styleId="DLMSecurityHeader">
    <w:name w:val="DLM Security Header"/>
    <w:link w:val="DLMSecurityHeaderChar"/>
    <w:rsid w:val="00D12666"/>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D12666"/>
    <w:rPr>
      <w:rFonts w:ascii="Calibri" w:eastAsia="Times New Roman" w:hAnsi="Calibri" w:cs="Calibri"/>
      <w:b/>
      <w:caps/>
      <w:color w:val="002A54" w:themeColor="text2"/>
      <w:sz w:val="24"/>
      <w:szCs w:val="20"/>
      <w:lang w:eastAsia="en-AU"/>
    </w:rPr>
  </w:style>
  <w:style w:type="paragraph" w:customStyle="1" w:styleId="DLMSecurityFooter">
    <w:name w:val="DLM Security Footer"/>
    <w:link w:val="DLMSecurityFooterChar"/>
    <w:rsid w:val="00D12666"/>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D12666"/>
    <w:rPr>
      <w:rFonts w:ascii="Calibri" w:eastAsia="Times New Roman" w:hAnsi="Calibri" w:cs="Calibri"/>
      <w:b/>
      <w:caps/>
      <w:color w:val="002A54" w:themeColor="text2"/>
      <w:sz w:val="24"/>
      <w:szCs w:val="20"/>
      <w:lang w:eastAsia="en-AU"/>
    </w:rPr>
  </w:style>
  <w:style w:type="paragraph" w:customStyle="1" w:styleId="Classification">
    <w:name w:val="Classification"/>
    <w:basedOn w:val="HeadingBase"/>
    <w:rsid w:val="00D12666"/>
    <w:pPr>
      <w:jc w:val="center"/>
    </w:pPr>
    <w:rPr>
      <w:rFonts w:ascii="Arial Bold" w:hAnsi="Arial Bold"/>
      <w:b/>
      <w:caps/>
      <w:sz w:val="22"/>
    </w:rPr>
  </w:style>
  <w:style w:type="paragraph" w:customStyle="1" w:styleId="FileProperties">
    <w:name w:val="File Properties"/>
    <w:basedOn w:val="Normal"/>
    <w:rsid w:val="00D12666"/>
    <w:pPr>
      <w:spacing w:before="0"/>
    </w:pPr>
    <w:rPr>
      <w:i/>
    </w:rPr>
  </w:style>
  <w:style w:type="paragraph" w:customStyle="1" w:styleId="AlphaParagraph">
    <w:name w:val="Alpha Paragraph"/>
    <w:basedOn w:val="Normal"/>
    <w:rsid w:val="00D12666"/>
    <w:pPr>
      <w:numPr>
        <w:numId w:val="1"/>
      </w:numPr>
      <w:tabs>
        <w:tab w:val="clear" w:pos="567"/>
        <w:tab w:val="num" w:pos="360"/>
      </w:tabs>
      <w:ind w:left="0" w:firstLine="0"/>
    </w:pPr>
  </w:style>
  <w:style w:type="paragraph" w:customStyle="1" w:styleId="HeadingBase">
    <w:name w:val="Heading Base"/>
    <w:rsid w:val="00D12666"/>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D12666"/>
    <w:rPr>
      <w:bCs/>
      <w:color w:val="002A54" w:themeColor="text2"/>
      <w:szCs w:val="52"/>
    </w:rPr>
  </w:style>
  <w:style w:type="paragraph" w:customStyle="1" w:styleId="BoxText">
    <w:name w:val="Box Text"/>
    <w:basedOn w:val="Normal"/>
    <w:qFormat/>
    <w:rsid w:val="00D12666"/>
    <w:pPr>
      <w:spacing w:before="120" w:after="120" w:line="240" w:lineRule="auto"/>
    </w:pPr>
  </w:style>
  <w:style w:type="paragraph" w:customStyle="1" w:styleId="BoxBullet">
    <w:name w:val="Box Bullet"/>
    <w:basedOn w:val="BoxText"/>
    <w:rsid w:val="00D12666"/>
    <w:pPr>
      <w:numPr>
        <w:numId w:val="2"/>
      </w:numPr>
    </w:pPr>
  </w:style>
  <w:style w:type="paragraph" w:customStyle="1" w:styleId="BoxHeading">
    <w:name w:val="Box Heading"/>
    <w:basedOn w:val="HeadingBase"/>
    <w:next w:val="BoxText"/>
    <w:rsid w:val="00D12666"/>
    <w:pPr>
      <w:spacing w:before="120" w:after="120"/>
    </w:pPr>
    <w:rPr>
      <w:b/>
      <w:sz w:val="20"/>
    </w:rPr>
  </w:style>
  <w:style w:type="character" w:customStyle="1" w:styleId="Heading6Char">
    <w:name w:val="Heading 6 Char"/>
    <w:basedOn w:val="DefaultParagraphFont"/>
    <w:link w:val="Heading6"/>
    <w:rsid w:val="00D12666"/>
    <w:rPr>
      <w:rFonts w:ascii="Arial" w:eastAsia="Times New Roman" w:hAnsi="Arial" w:cs="Times New Roman"/>
      <w:bCs/>
      <w:sz w:val="20"/>
      <w:lang w:eastAsia="en-AU"/>
    </w:rPr>
  </w:style>
  <w:style w:type="paragraph" w:customStyle="1" w:styleId="Bullet">
    <w:name w:val="Bullet"/>
    <w:basedOn w:val="Normal"/>
    <w:qFormat/>
    <w:rsid w:val="00D12666"/>
    <w:pPr>
      <w:numPr>
        <w:numId w:val="3"/>
      </w:numPr>
      <w:spacing w:after="160"/>
      <w:ind w:left="284" w:hanging="284"/>
    </w:pPr>
  </w:style>
  <w:style w:type="paragraph" w:styleId="Caption">
    <w:name w:val="caption"/>
    <w:basedOn w:val="Normal"/>
    <w:next w:val="Normal"/>
    <w:rsid w:val="00D12666"/>
    <w:rPr>
      <w:b/>
      <w:bCs/>
    </w:rPr>
  </w:style>
  <w:style w:type="paragraph" w:customStyle="1" w:styleId="ChartandTableFootnote">
    <w:name w:val="Chart and Table Footnote"/>
    <w:basedOn w:val="HeadingBase"/>
    <w:next w:val="Normal"/>
    <w:rsid w:val="00D12666"/>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rsid w:val="00D12666"/>
    <w:pPr>
      <w:keepNext w:val="0"/>
      <w:numPr>
        <w:numId w:val="20"/>
      </w:numPr>
      <w:spacing w:before="30"/>
    </w:pPr>
    <w:rPr>
      <w:color w:val="000000"/>
      <w:sz w:val="16"/>
    </w:rPr>
  </w:style>
  <w:style w:type="paragraph" w:customStyle="1" w:styleId="ChartandTableFootnoteSmall">
    <w:name w:val="Chart and Table Footnote Small"/>
    <w:basedOn w:val="HeadingBase"/>
    <w:next w:val="Normal"/>
    <w:rsid w:val="00D12666"/>
    <w:pPr>
      <w:keepNext w:val="0"/>
      <w:tabs>
        <w:tab w:val="left" w:pos="284"/>
      </w:tabs>
      <w:jc w:val="both"/>
    </w:pPr>
    <w:rPr>
      <w:color w:val="000000"/>
      <w:sz w:val="15"/>
    </w:rPr>
  </w:style>
  <w:style w:type="paragraph" w:customStyle="1" w:styleId="ChartGraphic">
    <w:name w:val="Chart Graphic"/>
    <w:basedOn w:val="HeadingBase"/>
    <w:rsid w:val="00D12666"/>
    <w:rPr>
      <w:sz w:val="20"/>
    </w:rPr>
  </w:style>
  <w:style w:type="paragraph" w:customStyle="1" w:styleId="TableLine">
    <w:name w:val="Table Line"/>
    <w:basedOn w:val="Normal"/>
    <w:next w:val="Normal"/>
    <w:autoRedefine/>
    <w:rsid w:val="00D12666"/>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D12666"/>
    <w:pPr>
      <w:spacing w:after="60"/>
    </w:pPr>
    <w:rPr>
      <w:sz w:val="19"/>
    </w:rPr>
  </w:style>
  <w:style w:type="character" w:styleId="CommentReference">
    <w:name w:val="annotation reference"/>
    <w:basedOn w:val="DefaultParagraphFont"/>
    <w:semiHidden/>
    <w:rsid w:val="00D12666"/>
    <w:rPr>
      <w:sz w:val="16"/>
      <w:szCs w:val="16"/>
    </w:rPr>
  </w:style>
  <w:style w:type="paragraph" w:styleId="CommentText">
    <w:name w:val="annotation text"/>
    <w:basedOn w:val="Normal"/>
    <w:link w:val="CommentTextChar"/>
    <w:semiHidden/>
    <w:rsid w:val="00D12666"/>
  </w:style>
  <w:style w:type="character" w:customStyle="1" w:styleId="CommentTextChar">
    <w:name w:val="Comment Text Char"/>
    <w:basedOn w:val="DefaultParagraphFont"/>
    <w:link w:val="CommentText"/>
    <w:semiHidden/>
    <w:rsid w:val="00D12666"/>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D12666"/>
    <w:rPr>
      <w:b/>
      <w:bCs/>
    </w:rPr>
  </w:style>
  <w:style w:type="character" w:customStyle="1" w:styleId="CommentSubjectChar">
    <w:name w:val="Comment Subject Char"/>
    <w:basedOn w:val="CommentTextChar"/>
    <w:link w:val="CommentSubject"/>
    <w:semiHidden/>
    <w:rsid w:val="00D12666"/>
    <w:rPr>
      <w:rFonts w:ascii="Book Antiqua" w:eastAsia="Times New Roman" w:hAnsi="Book Antiqua" w:cs="Times New Roman"/>
      <w:b/>
      <w:bCs/>
      <w:sz w:val="19"/>
      <w:szCs w:val="20"/>
      <w:lang w:eastAsia="en-AU"/>
    </w:rPr>
  </w:style>
  <w:style w:type="paragraph" w:customStyle="1" w:styleId="ContentsHeading">
    <w:name w:val="Contents Heading"/>
    <w:basedOn w:val="Heading1"/>
    <w:next w:val="Normal"/>
    <w:rsid w:val="00D12666"/>
    <w:pPr>
      <w:spacing w:after="720"/>
      <w:outlineLvl w:val="9"/>
    </w:pPr>
  </w:style>
  <w:style w:type="character" w:styleId="Strong">
    <w:name w:val="Strong"/>
    <w:basedOn w:val="DefaultParagraphFont"/>
    <w:uiPriority w:val="22"/>
    <w:qFormat/>
    <w:rsid w:val="00D12666"/>
    <w:rPr>
      <w:b/>
      <w:bCs/>
      <w:color w:val="002A54" w:themeColor="text2"/>
    </w:rPr>
  </w:style>
  <w:style w:type="paragraph" w:customStyle="1" w:styleId="Dash">
    <w:name w:val="Dash"/>
    <w:basedOn w:val="Normal"/>
    <w:qFormat/>
    <w:rsid w:val="00D12666"/>
    <w:pPr>
      <w:numPr>
        <w:ilvl w:val="1"/>
        <w:numId w:val="3"/>
      </w:numPr>
      <w:tabs>
        <w:tab w:val="left" w:pos="567"/>
      </w:tabs>
    </w:pPr>
  </w:style>
  <w:style w:type="paragraph" w:styleId="DocumentMap">
    <w:name w:val="Document Map"/>
    <w:basedOn w:val="Normal"/>
    <w:link w:val="DocumentMapChar"/>
    <w:semiHidden/>
    <w:rsid w:val="00D12666"/>
    <w:pPr>
      <w:shd w:val="clear" w:color="auto" w:fill="000080"/>
    </w:pPr>
    <w:rPr>
      <w:rFonts w:ascii="Tahoma" w:hAnsi="Tahoma" w:cs="Tahoma"/>
    </w:rPr>
  </w:style>
  <w:style w:type="character" w:customStyle="1" w:styleId="DocumentMapChar">
    <w:name w:val="Document Map Char"/>
    <w:basedOn w:val="DefaultParagraphFont"/>
    <w:link w:val="DocumentMap"/>
    <w:semiHidden/>
    <w:rsid w:val="00D12666"/>
    <w:rPr>
      <w:rFonts w:ascii="Tahoma" w:eastAsia="Times New Roman" w:hAnsi="Tahoma" w:cs="Tahoma"/>
      <w:sz w:val="19"/>
      <w:szCs w:val="20"/>
      <w:shd w:val="clear" w:color="auto" w:fill="000080"/>
      <w:lang w:eastAsia="en-AU"/>
    </w:rPr>
  </w:style>
  <w:style w:type="paragraph" w:customStyle="1" w:styleId="DoubleDot">
    <w:name w:val="Double Dot"/>
    <w:basedOn w:val="Normal"/>
    <w:rsid w:val="00D12666"/>
    <w:pPr>
      <w:numPr>
        <w:ilvl w:val="2"/>
        <w:numId w:val="3"/>
      </w:numPr>
      <w:tabs>
        <w:tab w:val="clear" w:pos="850"/>
        <w:tab w:val="num" w:pos="360"/>
        <w:tab w:val="left" w:pos="851"/>
      </w:tabs>
    </w:pPr>
  </w:style>
  <w:style w:type="paragraph" w:customStyle="1" w:styleId="FigureHeading">
    <w:name w:val="Figure Heading"/>
    <w:basedOn w:val="HeadingBase"/>
    <w:next w:val="ChartGraphic"/>
    <w:rsid w:val="00D12666"/>
    <w:pPr>
      <w:spacing w:before="120" w:after="20"/>
    </w:pPr>
    <w:rPr>
      <w:b/>
      <w:sz w:val="20"/>
    </w:rPr>
  </w:style>
  <w:style w:type="paragraph" w:customStyle="1" w:styleId="FooterBase">
    <w:name w:val="Footer Base"/>
    <w:rsid w:val="00D12666"/>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D12666"/>
    <w:pPr>
      <w:pBdr>
        <w:top w:val="single" w:sz="4" w:space="10" w:color="002A54" w:themeColor="text2"/>
      </w:pBdr>
      <w:jc w:val="left"/>
    </w:pPr>
    <w:rPr>
      <w:sz w:val="18"/>
    </w:rPr>
  </w:style>
  <w:style w:type="paragraph" w:customStyle="1" w:styleId="FooterOdd">
    <w:name w:val="Footer Odd"/>
    <w:basedOn w:val="Footer"/>
    <w:qFormat/>
    <w:rsid w:val="00D12666"/>
    <w:pPr>
      <w:pBdr>
        <w:top w:val="single" w:sz="4" w:space="10" w:color="002A54" w:themeColor="text2"/>
      </w:pBdr>
      <w:jc w:val="right"/>
    </w:pPr>
    <w:rPr>
      <w:sz w:val="18"/>
    </w:rPr>
  </w:style>
  <w:style w:type="character" w:styleId="FootnoteReference">
    <w:name w:val="footnote reference"/>
    <w:basedOn w:val="DefaultParagraphFont"/>
    <w:rsid w:val="00D12666"/>
    <w:rPr>
      <w:vertAlign w:val="superscript"/>
    </w:rPr>
  </w:style>
  <w:style w:type="paragraph" w:styleId="FootnoteText">
    <w:name w:val="footnote text"/>
    <w:basedOn w:val="Normal"/>
    <w:link w:val="FootnoteTextChar"/>
    <w:rsid w:val="00D12666"/>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D12666"/>
    <w:rPr>
      <w:rFonts w:ascii="Book Antiqua" w:eastAsia="Times New Roman" w:hAnsi="Book Antiqua" w:cs="Times New Roman"/>
      <w:sz w:val="18"/>
      <w:szCs w:val="20"/>
      <w:lang w:eastAsia="en-AU"/>
    </w:rPr>
  </w:style>
  <w:style w:type="character" w:customStyle="1" w:styleId="FramedHeader">
    <w:name w:val="Framed Header"/>
    <w:basedOn w:val="DefaultParagraphFont"/>
    <w:rsid w:val="00D12666"/>
    <w:rPr>
      <w:rFonts w:ascii="Book Antiqua" w:hAnsi="Book Antiqua"/>
      <w:i/>
      <w:dstrike w:val="0"/>
      <w:color w:val="auto"/>
      <w:sz w:val="20"/>
      <w:vertAlign w:val="baseline"/>
    </w:rPr>
  </w:style>
  <w:style w:type="paragraph" w:customStyle="1" w:styleId="HeaderBase">
    <w:name w:val="Header Base"/>
    <w:rsid w:val="00D12666"/>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1B0233"/>
    <w:rPr>
      <w:sz w:val="16"/>
    </w:rPr>
  </w:style>
  <w:style w:type="paragraph" w:customStyle="1" w:styleId="HeaderOdd">
    <w:name w:val="Header Odd"/>
    <w:basedOn w:val="HeaderBase"/>
    <w:rsid w:val="001B0233"/>
    <w:pPr>
      <w:jc w:val="right"/>
    </w:pPr>
    <w:rPr>
      <w:sz w:val="16"/>
    </w:rPr>
  </w:style>
  <w:style w:type="character" w:customStyle="1" w:styleId="Heading1Char">
    <w:name w:val="Heading 1 Char"/>
    <w:basedOn w:val="DefaultParagraphFont"/>
    <w:link w:val="Heading1"/>
    <w:rsid w:val="00D12666"/>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D12666"/>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D12666"/>
    <w:rPr>
      <w:rFonts w:ascii="Arial Bold" w:eastAsia="Times New Roman" w:hAnsi="Arial Bold" w:cs="Times New Roman"/>
      <w:b/>
      <w:szCs w:val="20"/>
      <w:lang w:eastAsia="en-AU"/>
    </w:rPr>
  </w:style>
  <w:style w:type="paragraph" w:customStyle="1" w:styleId="Heading3noTOC">
    <w:name w:val="Heading 3 no TOC"/>
    <w:basedOn w:val="Heading3"/>
    <w:rsid w:val="00D12666"/>
    <w:pPr>
      <w:outlineLvl w:val="9"/>
    </w:pPr>
  </w:style>
  <w:style w:type="character" w:customStyle="1" w:styleId="Heading4Char">
    <w:name w:val="Heading 4 Char"/>
    <w:basedOn w:val="DefaultParagraphFont"/>
    <w:link w:val="Heading4"/>
    <w:rsid w:val="00D12666"/>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D12666"/>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D12666"/>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D12666"/>
    <w:rPr>
      <w:rFonts w:ascii="Times New Roman" w:eastAsia="Times New Roman" w:hAnsi="Times New Roman" w:cs="Times New Roman"/>
      <w:i/>
      <w:iCs/>
      <w:sz w:val="16"/>
      <w:szCs w:val="24"/>
      <w:lang w:eastAsia="en-AU"/>
    </w:rPr>
  </w:style>
  <w:style w:type="character" w:customStyle="1" w:styleId="HiddenSequenceCode">
    <w:name w:val="Hidden Sequence Code"/>
    <w:basedOn w:val="DefaultParagraphFont"/>
    <w:rsid w:val="00D12666"/>
    <w:rPr>
      <w:rFonts w:ascii="Times New Roman" w:hAnsi="Times New Roman"/>
      <w:vanish/>
      <w:sz w:val="16"/>
    </w:rPr>
  </w:style>
  <w:style w:type="character" w:styleId="Hyperlink">
    <w:name w:val="Hyperlink"/>
    <w:basedOn w:val="DefaultParagraphFont"/>
    <w:uiPriority w:val="99"/>
    <w:unhideWhenUsed/>
    <w:rsid w:val="00D12666"/>
    <w:rPr>
      <w:color w:val="auto"/>
      <w:u w:val="single"/>
    </w:rPr>
  </w:style>
  <w:style w:type="paragraph" w:styleId="Index4">
    <w:name w:val="index 4"/>
    <w:basedOn w:val="Normal"/>
    <w:next w:val="Normal"/>
    <w:autoRedefine/>
    <w:semiHidden/>
    <w:rsid w:val="00D12666"/>
    <w:pPr>
      <w:ind w:left="800" w:hanging="200"/>
    </w:pPr>
  </w:style>
  <w:style w:type="paragraph" w:styleId="Index5">
    <w:name w:val="index 5"/>
    <w:basedOn w:val="Normal"/>
    <w:next w:val="Normal"/>
    <w:autoRedefine/>
    <w:semiHidden/>
    <w:rsid w:val="00D12666"/>
    <w:pPr>
      <w:ind w:left="1000" w:hanging="200"/>
    </w:pPr>
  </w:style>
  <w:style w:type="paragraph" w:styleId="Index6">
    <w:name w:val="index 6"/>
    <w:basedOn w:val="Normal"/>
    <w:next w:val="Normal"/>
    <w:autoRedefine/>
    <w:semiHidden/>
    <w:rsid w:val="00D12666"/>
    <w:pPr>
      <w:ind w:left="1200" w:hanging="200"/>
    </w:pPr>
  </w:style>
  <w:style w:type="paragraph" w:styleId="Index7">
    <w:name w:val="index 7"/>
    <w:basedOn w:val="Normal"/>
    <w:next w:val="Normal"/>
    <w:autoRedefine/>
    <w:semiHidden/>
    <w:rsid w:val="00D12666"/>
    <w:pPr>
      <w:ind w:left="1400" w:hanging="200"/>
    </w:pPr>
  </w:style>
  <w:style w:type="paragraph" w:styleId="Index8">
    <w:name w:val="index 8"/>
    <w:basedOn w:val="Normal"/>
    <w:next w:val="Normal"/>
    <w:autoRedefine/>
    <w:semiHidden/>
    <w:rsid w:val="00D12666"/>
    <w:pPr>
      <w:ind w:left="1600" w:hanging="200"/>
    </w:pPr>
  </w:style>
  <w:style w:type="paragraph" w:styleId="Index9">
    <w:name w:val="index 9"/>
    <w:basedOn w:val="Normal"/>
    <w:next w:val="Normal"/>
    <w:autoRedefine/>
    <w:semiHidden/>
    <w:rsid w:val="00D12666"/>
    <w:pPr>
      <w:ind w:left="1800" w:hanging="200"/>
    </w:pPr>
  </w:style>
  <w:style w:type="paragraph" w:styleId="MacroText">
    <w:name w:val="macro"/>
    <w:link w:val="MacroTextChar"/>
    <w:unhideWhenUsed/>
    <w:rsid w:val="00D1266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D12666"/>
    <w:rPr>
      <w:rFonts w:ascii="Courier New" w:eastAsia="Times New Roman" w:hAnsi="Courier New" w:cs="Courier New"/>
      <w:sz w:val="20"/>
      <w:szCs w:val="20"/>
      <w:lang w:eastAsia="en-AU"/>
    </w:rPr>
  </w:style>
  <w:style w:type="paragraph" w:styleId="NormalIndent">
    <w:name w:val="Normal Indent"/>
    <w:basedOn w:val="Normal"/>
    <w:rsid w:val="00D12666"/>
    <w:pPr>
      <w:ind w:left="567"/>
    </w:pPr>
  </w:style>
  <w:style w:type="paragraph" w:customStyle="1" w:styleId="NoteTableHeading">
    <w:name w:val="Note Table Heading"/>
    <w:basedOn w:val="HeadingBase"/>
    <w:next w:val="Normal"/>
    <w:rsid w:val="00D12666"/>
    <w:pPr>
      <w:spacing w:before="240"/>
    </w:pPr>
    <w:rPr>
      <w:b/>
      <w:sz w:val="20"/>
    </w:rPr>
  </w:style>
  <w:style w:type="paragraph" w:customStyle="1" w:styleId="OverviewParagraph">
    <w:name w:val="Overview Paragraph"/>
    <w:basedOn w:val="Normal"/>
    <w:rsid w:val="00D12666"/>
    <w:pPr>
      <w:spacing w:before="120" w:after="120" w:line="240" w:lineRule="auto"/>
    </w:pPr>
  </w:style>
  <w:style w:type="character" w:styleId="PageNumber">
    <w:name w:val="page number"/>
    <w:basedOn w:val="DefaultParagraphFont"/>
    <w:rsid w:val="00D12666"/>
    <w:rPr>
      <w:rFonts w:ascii="Arial" w:hAnsi="Arial" w:cs="Arial"/>
    </w:rPr>
  </w:style>
  <w:style w:type="paragraph" w:customStyle="1" w:styleId="SingleParagraph">
    <w:name w:val="Single Paragraph"/>
    <w:basedOn w:val="Normal"/>
    <w:rsid w:val="00D12666"/>
    <w:pPr>
      <w:spacing w:before="0" w:after="0"/>
    </w:pPr>
  </w:style>
  <w:style w:type="paragraph" w:customStyle="1" w:styleId="Source">
    <w:name w:val="Source"/>
    <w:basedOn w:val="Normal"/>
    <w:rsid w:val="00D12666"/>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D12666"/>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D12666"/>
    <w:pPr>
      <w:jc w:val="center"/>
    </w:pPr>
  </w:style>
  <w:style w:type="paragraph" w:customStyle="1" w:styleId="TableColumnHeadingLeft">
    <w:name w:val="Table Column Heading Left"/>
    <w:basedOn w:val="TableColumnHeadingBase"/>
    <w:next w:val="Normal"/>
    <w:rsid w:val="00D12666"/>
  </w:style>
  <w:style w:type="paragraph" w:customStyle="1" w:styleId="TableColumnHeadingRight">
    <w:name w:val="Table Column Heading Right"/>
    <w:basedOn w:val="TableColumnHeadingBase"/>
    <w:next w:val="Normal"/>
    <w:rsid w:val="00D12666"/>
    <w:pPr>
      <w:jc w:val="right"/>
    </w:pPr>
  </w:style>
  <w:style w:type="paragraph" w:customStyle="1" w:styleId="TableGraphic">
    <w:name w:val="Table Graphic"/>
    <w:basedOn w:val="Normal"/>
    <w:next w:val="Normal"/>
    <w:rsid w:val="00D12666"/>
    <w:pPr>
      <w:spacing w:after="0" w:line="240" w:lineRule="auto"/>
      <w:ind w:right="-113"/>
    </w:pPr>
  </w:style>
  <w:style w:type="table" w:styleId="TableGrid">
    <w:name w:val="Table Grid"/>
    <w:basedOn w:val="TableNormal"/>
    <w:rsid w:val="00D12666"/>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D12666"/>
    <w:pPr>
      <w:spacing w:before="120" w:after="20"/>
    </w:pPr>
    <w:rPr>
      <w:b/>
      <w:sz w:val="20"/>
    </w:rPr>
  </w:style>
  <w:style w:type="paragraph" w:customStyle="1" w:styleId="TableHeadingcontinued">
    <w:name w:val="Table Heading continued"/>
    <w:basedOn w:val="HeadingBase"/>
    <w:next w:val="TableGraphic"/>
    <w:rsid w:val="00D12666"/>
    <w:pPr>
      <w:spacing w:before="120" w:after="20"/>
    </w:pPr>
    <w:rPr>
      <w:rFonts w:ascii="Arial Bold" w:hAnsi="Arial Bold"/>
      <w:b/>
      <w:sz w:val="20"/>
    </w:rPr>
  </w:style>
  <w:style w:type="paragraph" w:styleId="TableofFigures">
    <w:name w:val="table of figures"/>
    <w:basedOn w:val="Normal"/>
    <w:next w:val="Normal"/>
    <w:uiPriority w:val="99"/>
    <w:rsid w:val="00D12666"/>
  </w:style>
  <w:style w:type="paragraph" w:customStyle="1" w:styleId="TableTextBase">
    <w:name w:val="Table Text Base"/>
    <w:basedOn w:val="Normal"/>
    <w:rsid w:val="00D12666"/>
    <w:pPr>
      <w:spacing w:before="20" w:after="20" w:line="240" w:lineRule="auto"/>
    </w:pPr>
    <w:rPr>
      <w:rFonts w:ascii="Arial" w:hAnsi="Arial"/>
      <w:sz w:val="16"/>
    </w:rPr>
  </w:style>
  <w:style w:type="paragraph" w:customStyle="1" w:styleId="TableTextCentred">
    <w:name w:val="Table Text Centred"/>
    <w:basedOn w:val="TableTextBase"/>
    <w:rsid w:val="00D12666"/>
    <w:pPr>
      <w:jc w:val="center"/>
    </w:pPr>
  </w:style>
  <w:style w:type="paragraph" w:customStyle="1" w:styleId="TableTextIndented">
    <w:name w:val="Table Text Indented"/>
    <w:basedOn w:val="TableTextBase"/>
    <w:rsid w:val="00D12666"/>
    <w:pPr>
      <w:ind w:left="284"/>
    </w:pPr>
  </w:style>
  <w:style w:type="paragraph" w:customStyle="1" w:styleId="TableTextLeft">
    <w:name w:val="Table Text Left"/>
    <w:basedOn w:val="TableTextBase"/>
    <w:rsid w:val="00D12666"/>
  </w:style>
  <w:style w:type="paragraph" w:customStyle="1" w:styleId="TableTextRight">
    <w:name w:val="Table Text Right"/>
    <w:basedOn w:val="TableTextBase"/>
    <w:rsid w:val="00D12666"/>
    <w:pPr>
      <w:jc w:val="right"/>
    </w:pPr>
  </w:style>
  <w:style w:type="paragraph" w:styleId="TOAHeading">
    <w:name w:val="toa heading"/>
    <w:basedOn w:val="Normal"/>
    <w:next w:val="Normal"/>
    <w:rsid w:val="00D12666"/>
    <w:pPr>
      <w:spacing w:before="120"/>
    </w:pPr>
    <w:rPr>
      <w:rFonts w:ascii="Arial" w:hAnsi="Arial" w:cs="Arial"/>
      <w:b/>
      <w:bCs/>
      <w:sz w:val="24"/>
      <w:szCs w:val="24"/>
    </w:rPr>
  </w:style>
  <w:style w:type="paragraph" w:styleId="TOC1">
    <w:name w:val="toc 1"/>
    <w:basedOn w:val="HeaderBase"/>
    <w:next w:val="Normal"/>
    <w:uiPriority w:val="39"/>
    <w:rsid w:val="00B14043"/>
    <w:pPr>
      <w:keepNext/>
      <w:tabs>
        <w:tab w:val="right" w:leader="dot" w:pos="7700"/>
      </w:tabs>
      <w:spacing w:before="240"/>
      <w:ind w:right="851"/>
    </w:pPr>
    <w:rPr>
      <w:b/>
      <w:color w:val="auto"/>
      <w:sz w:val="20"/>
    </w:rPr>
  </w:style>
  <w:style w:type="paragraph" w:styleId="TOC2">
    <w:name w:val="toc 2"/>
    <w:basedOn w:val="HeadingBase"/>
    <w:next w:val="Normal"/>
    <w:uiPriority w:val="39"/>
    <w:rsid w:val="008A0DA1"/>
    <w:pPr>
      <w:keepNext w:val="0"/>
      <w:tabs>
        <w:tab w:val="left" w:pos="992"/>
        <w:tab w:val="right" w:leader="dot" w:pos="7700"/>
      </w:tabs>
      <w:spacing w:before="240" w:after="60"/>
      <w:ind w:left="851" w:right="851" w:hanging="851"/>
    </w:pPr>
    <w:rPr>
      <w:b/>
      <w:sz w:val="20"/>
    </w:rPr>
  </w:style>
  <w:style w:type="paragraph" w:styleId="TOC3">
    <w:name w:val="toc 3"/>
    <w:basedOn w:val="HeadingBase"/>
    <w:next w:val="Normal"/>
    <w:uiPriority w:val="39"/>
    <w:unhideWhenUsed/>
    <w:rsid w:val="00B666F0"/>
    <w:pPr>
      <w:tabs>
        <w:tab w:val="right" w:leader="dot" w:pos="7700"/>
      </w:tabs>
      <w:spacing w:before="40"/>
      <w:ind w:right="851"/>
    </w:pPr>
    <w:rPr>
      <w:sz w:val="18"/>
    </w:rPr>
  </w:style>
  <w:style w:type="paragraph" w:styleId="TOC5">
    <w:name w:val="toc 5"/>
    <w:basedOn w:val="Normal"/>
    <w:next w:val="Normal"/>
    <w:autoRedefine/>
    <w:uiPriority w:val="2"/>
    <w:semiHidden/>
    <w:rsid w:val="00D12666"/>
    <w:pPr>
      <w:tabs>
        <w:tab w:val="left" w:pos="851"/>
        <w:tab w:val="right" w:leader="dot" w:pos="7700"/>
      </w:tabs>
      <w:ind w:left="896" w:hanging="896"/>
    </w:pPr>
    <w:rPr>
      <w:rFonts w:ascii="Arial" w:hAnsi="Arial"/>
      <w:noProof/>
      <w:color w:val="002B54"/>
    </w:rPr>
  </w:style>
  <w:style w:type="paragraph" w:styleId="TOC6">
    <w:name w:val="toc 6"/>
    <w:basedOn w:val="TOC1"/>
    <w:next w:val="Normal"/>
    <w:uiPriority w:val="2"/>
    <w:semiHidden/>
    <w:rsid w:val="00D12666"/>
    <w:pPr>
      <w:tabs>
        <w:tab w:val="left" w:pos="851"/>
      </w:tabs>
      <w:ind w:left="851" w:hanging="851"/>
    </w:pPr>
    <w:rPr>
      <w:color w:val="000000"/>
    </w:rPr>
  </w:style>
  <w:style w:type="paragraph" w:styleId="TOC7">
    <w:name w:val="toc 7"/>
    <w:basedOn w:val="Normal"/>
    <w:next w:val="Normal"/>
    <w:autoRedefine/>
    <w:uiPriority w:val="2"/>
    <w:semiHidden/>
    <w:rsid w:val="00D12666"/>
    <w:pPr>
      <w:ind w:left="1200"/>
    </w:pPr>
  </w:style>
  <w:style w:type="paragraph" w:styleId="TOC8">
    <w:name w:val="toc 8"/>
    <w:basedOn w:val="Normal"/>
    <w:next w:val="Normal"/>
    <w:autoRedefine/>
    <w:uiPriority w:val="2"/>
    <w:semiHidden/>
    <w:rsid w:val="00D12666"/>
    <w:pPr>
      <w:ind w:left="1400"/>
    </w:pPr>
  </w:style>
  <w:style w:type="paragraph" w:styleId="TOC9">
    <w:name w:val="toc 9"/>
    <w:basedOn w:val="Normal"/>
    <w:next w:val="Normal"/>
    <w:autoRedefine/>
    <w:uiPriority w:val="2"/>
    <w:semiHidden/>
    <w:rsid w:val="00D12666"/>
    <w:pPr>
      <w:ind w:left="1600"/>
    </w:pPr>
  </w:style>
  <w:style w:type="paragraph" w:customStyle="1" w:styleId="TPHeading1">
    <w:name w:val="TP Heading 1"/>
    <w:basedOn w:val="HeadingBase"/>
    <w:semiHidden/>
    <w:rsid w:val="00D12666"/>
    <w:pPr>
      <w:spacing w:before="60" w:after="60"/>
      <w:ind w:left="1134"/>
    </w:pPr>
    <w:rPr>
      <w:rFonts w:ascii="Arial Bold" w:hAnsi="Arial Bold"/>
      <w:b/>
      <w:caps/>
      <w:spacing w:val="-10"/>
      <w:sz w:val="28"/>
    </w:rPr>
  </w:style>
  <w:style w:type="paragraph" w:customStyle="1" w:styleId="TPHeading2">
    <w:name w:val="TP Heading 2"/>
    <w:basedOn w:val="HeadingBase"/>
    <w:semiHidden/>
    <w:rsid w:val="00D12666"/>
    <w:pPr>
      <w:ind w:left="1134"/>
    </w:pPr>
    <w:rPr>
      <w:caps/>
      <w:spacing w:val="-10"/>
      <w:sz w:val="28"/>
    </w:rPr>
  </w:style>
  <w:style w:type="paragraph" w:customStyle="1" w:styleId="TPHeading3">
    <w:name w:val="TP Heading 3"/>
    <w:basedOn w:val="HeadingBase"/>
    <w:semiHidden/>
    <w:rsid w:val="00D12666"/>
    <w:pPr>
      <w:ind w:left="1134"/>
    </w:pPr>
    <w:rPr>
      <w:caps/>
      <w:spacing w:val="-10"/>
    </w:rPr>
  </w:style>
  <w:style w:type="paragraph" w:customStyle="1" w:styleId="TPHeading3bold">
    <w:name w:val="TP Heading 3 bold"/>
    <w:basedOn w:val="TPHeading3"/>
    <w:semiHidden/>
    <w:rsid w:val="00D12666"/>
    <w:rPr>
      <w:rFonts w:cs="Arial"/>
      <w:b/>
      <w:sz w:val="22"/>
      <w:szCs w:val="22"/>
    </w:rPr>
  </w:style>
  <w:style w:type="paragraph" w:customStyle="1" w:styleId="TPHEADING3boldspace">
    <w:name w:val="TP HEADING 3 bold space"/>
    <w:basedOn w:val="TPHeading3bold"/>
    <w:semiHidden/>
    <w:rsid w:val="00D12666"/>
    <w:pPr>
      <w:spacing w:after="120"/>
    </w:pPr>
  </w:style>
  <w:style w:type="paragraph" w:customStyle="1" w:styleId="TPHEADING3space">
    <w:name w:val="TP HEADING 3 space"/>
    <w:basedOn w:val="TPHeading3"/>
    <w:semiHidden/>
    <w:rsid w:val="00D12666"/>
    <w:pPr>
      <w:spacing w:before="120" w:after="120"/>
    </w:pPr>
    <w:rPr>
      <w:rFonts w:cs="Arial"/>
      <w:sz w:val="22"/>
      <w:szCs w:val="22"/>
    </w:rPr>
  </w:style>
  <w:style w:type="paragraph" w:customStyle="1" w:styleId="TPHeading4">
    <w:name w:val="TP Heading 4"/>
    <w:basedOn w:val="TPHeading3"/>
    <w:semiHidden/>
    <w:rsid w:val="00D12666"/>
    <w:rPr>
      <w:sz w:val="20"/>
    </w:rPr>
  </w:style>
  <w:style w:type="paragraph" w:customStyle="1" w:styleId="TPHEADING4space">
    <w:name w:val="TP HEADING 4 space"/>
    <w:basedOn w:val="TPHEADING3space"/>
    <w:semiHidden/>
    <w:rsid w:val="00D12666"/>
  </w:style>
  <w:style w:type="paragraph" w:customStyle="1" w:styleId="ChartLine">
    <w:name w:val="Chart Line"/>
    <w:basedOn w:val="Normal"/>
    <w:autoRedefine/>
    <w:qFormat/>
    <w:rsid w:val="00D12666"/>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D12666"/>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D12666"/>
    <w:rPr>
      <w:sz w:val="16"/>
    </w:rPr>
  </w:style>
  <w:style w:type="paragraph" w:customStyle="1" w:styleId="Box-continuedon">
    <w:name w:val="Box - continued on"/>
    <w:basedOn w:val="Normal"/>
    <w:qFormat/>
    <w:rsid w:val="00D12666"/>
    <w:pPr>
      <w:jc w:val="right"/>
    </w:pPr>
    <w:rPr>
      <w:rFonts w:asciiTheme="majorHAnsi" w:hAnsiTheme="majorHAnsi" w:cstheme="majorHAnsi"/>
      <w:i/>
      <w:iCs/>
      <w:sz w:val="18"/>
      <w:szCs w:val="24"/>
    </w:rPr>
  </w:style>
  <w:style w:type="paragraph" w:customStyle="1" w:styleId="BoxHeading2">
    <w:name w:val="Box Heading 2"/>
    <w:basedOn w:val="BoxHeading"/>
    <w:autoRedefine/>
    <w:rsid w:val="00D12666"/>
    <w:pPr>
      <w:spacing w:after="0"/>
    </w:pPr>
    <w:rPr>
      <w:b w:val="0"/>
      <w:bCs/>
      <w:szCs w:val="14"/>
    </w:rPr>
  </w:style>
  <w:style w:type="character" w:customStyle="1" w:styleId="Heading9Char">
    <w:name w:val="Heading 9 Char"/>
    <w:basedOn w:val="DefaultParagraphFont"/>
    <w:link w:val="Heading9"/>
    <w:uiPriority w:val="9"/>
    <w:rsid w:val="00D12666"/>
    <w:rPr>
      <w:rFonts w:ascii="Cambria" w:eastAsia="Times New Roman" w:hAnsi="Cambria" w:cs="Times New Roman"/>
      <w:lang w:eastAsia="en-AU"/>
    </w:rPr>
  </w:style>
  <w:style w:type="paragraph" w:customStyle="1" w:styleId="GhostLine">
    <w:name w:val="Ghost Line"/>
    <w:basedOn w:val="NoSpacing"/>
    <w:qFormat/>
    <w:rsid w:val="00D12666"/>
    <w:pPr>
      <w:jc w:val="both"/>
    </w:pPr>
    <w:rPr>
      <w:rFonts w:ascii="Book Antiqua" w:hAnsi="Book Antiqua"/>
      <w:sz w:val="2"/>
    </w:rPr>
  </w:style>
  <w:style w:type="paragraph" w:styleId="NoSpacing">
    <w:name w:val="No Spacing"/>
    <w:uiPriority w:val="1"/>
    <w:qFormat/>
    <w:rsid w:val="00D12666"/>
    <w:pPr>
      <w:spacing w:after="0" w:line="240" w:lineRule="auto"/>
    </w:pPr>
    <w:rPr>
      <w:rFonts w:eastAsia="Times New Roman" w:cs="Times New Roman"/>
      <w:sz w:val="19"/>
      <w:szCs w:val="20"/>
      <w:lang w:eastAsia="en-AU"/>
    </w:rPr>
  </w:style>
  <w:style w:type="paragraph" w:styleId="NormalWeb">
    <w:name w:val="Normal (Web)"/>
    <w:basedOn w:val="Normal"/>
    <w:uiPriority w:val="99"/>
    <w:semiHidden/>
    <w:unhideWhenUsed/>
    <w:rsid w:val="00F15EE3"/>
    <w:rPr>
      <w:rFonts w:ascii="Times New Roman" w:hAnsi="Times New Roman"/>
      <w:sz w:val="24"/>
      <w:szCs w:val="24"/>
    </w:rPr>
  </w:style>
  <w:style w:type="character" w:styleId="UnresolvedMention">
    <w:name w:val="Unresolved Mention"/>
    <w:basedOn w:val="DefaultParagraphFont"/>
    <w:uiPriority w:val="99"/>
    <w:semiHidden/>
    <w:unhideWhenUsed/>
    <w:rsid w:val="00E2067E"/>
    <w:rPr>
      <w:color w:val="605E5C"/>
      <w:shd w:val="clear" w:color="auto" w:fill="E1DFDD"/>
    </w:rPr>
  </w:style>
  <w:style w:type="paragraph" w:styleId="Revision">
    <w:name w:val="Revision"/>
    <w:hidden/>
    <w:uiPriority w:val="99"/>
    <w:semiHidden/>
    <w:rsid w:val="00191DBB"/>
    <w:pPr>
      <w:spacing w:after="0" w:line="240" w:lineRule="auto"/>
    </w:pPr>
    <w:rPr>
      <w:rFonts w:ascii="Book Antiqua" w:eastAsia="Times New Roman" w:hAnsi="Book Antiqua" w:cs="Times New Roman"/>
      <w:sz w:val="19"/>
      <w:szCs w:val="20"/>
      <w:lang w:eastAsia="en-AU"/>
    </w:rPr>
  </w:style>
  <w:style w:type="paragraph" w:customStyle="1" w:styleId="MeasureTitle">
    <w:name w:val="MeasureTitle"/>
    <w:basedOn w:val="Heading5"/>
    <w:rsid w:val="005D619F"/>
    <w:pPr>
      <w:spacing w:before="360"/>
    </w:pPr>
    <w:rPr>
      <w:b/>
      <w:bCs w:val="0"/>
      <w:i w:val="0"/>
      <w:iCs w:val="0"/>
      <w:color w:val="000000"/>
      <w:szCs w:val="20"/>
    </w:rPr>
  </w:style>
  <w:style w:type="paragraph" w:customStyle="1" w:styleId="PortfolioName">
    <w:name w:val="PortfolioName"/>
    <w:basedOn w:val="Heading3"/>
    <w:rsid w:val="005D619F"/>
    <w:pPr>
      <w:spacing w:before="240" w:after="240"/>
    </w:pPr>
    <w:rPr>
      <w:color w:val="000000"/>
      <w:sz w:val="26"/>
    </w:rPr>
  </w:style>
  <w:style w:type="paragraph" w:styleId="TOCHeading">
    <w:name w:val="TOC Heading"/>
    <w:basedOn w:val="Heading1"/>
    <w:next w:val="Normal"/>
    <w:uiPriority w:val="39"/>
    <w:unhideWhenUsed/>
    <w:qFormat/>
    <w:rsid w:val="008A0DA1"/>
    <w:pPr>
      <w:keepLines/>
      <w:spacing w:before="240" w:after="0" w:line="259" w:lineRule="auto"/>
      <w:outlineLvl w:val="9"/>
    </w:pPr>
    <w:rPr>
      <w:rFonts w:asciiTheme="majorHAnsi" w:eastAsiaTheme="majorEastAsia" w:hAnsiTheme="majorHAnsi" w:cstheme="majorBidi"/>
      <w:b w:val="0"/>
      <w:color w:val="002A54" w:themeColor="text2"/>
      <w:kern w:val="0"/>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4.0/legalcode" TargetMode="External"/><Relationship Id="rId18" Type="http://schemas.openxmlformats.org/officeDocument/2006/relationships/hyperlink" Target="http://www.budget.gov.au" TargetMode="External"/><Relationship Id="rId26" Type="http://schemas.openxmlformats.org/officeDocument/2006/relationships/header" Target="header5.xml"/><Relationship Id="rId21" Type="http://schemas.openxmlformats.org/officeDocument/2006/relationships/footer" Target="footer1.xml"/><Relationship Id="rId34"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hyperlink" Target="http://creativecommons.org/licenses/by/4.0/" TargetMode="External"/><Relationship Id="rId17" Type="http://schemas.openxmlformats.org/officeDocument/2006/relationships/hyperlink" Target="mailto:media@treasury.gov.au" TargetMode="External"/><Relationship Id="rId25" Type="http://schemas.openxmlformats.org/officeDocument/2006/relationships/header" Target="header4.xm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mc.gov.au/honours-and-symbols/commonwealth-coat-arms" TargetMode="External"/><Relationship Id="rId20" Type="http://schemas.openxmlformats.org/officeDocument/2006/relationships/header" Target="head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creativecommons.org/licenses/by/4.0/" TargetMode="External"/><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eader" Target="header9.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5.png"/></Relationships>
</file>

<file path=word/_rels/header8.xml.rels><?xml version="1.0" encoding="UTF-8" standalone="yes"?>
<Relationships xmlns="http://schemas.openxmlformats.org/package/2006/relationships"><Relationship Id="rId1" Type="http://schemas.openxmlformats.org/officeDocument/2006/relationships/image" Target="media/image5.png"/></Relationships>
</file>

<file path=word/_rels/header9.xml.rels><?xml version="1.0" encoding="UTF-8" standalone="yes"?>
<Relationships xmlns="http://schemas.openxmlformats.org/package/2006/relationships"><Relationship Id="rId2" Type="http://schemas.openxmlformats.org/officeDocument/2006/relationships/image" Target="media/image60.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Budget%20Template.dotm" TargetMode="Externa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28" ma:contentTypeDescription="Create a new document." ma:contentTypeScope="" ma:versionID="7571fde376dbe1ffea08831cec20a6be">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3b7f4dd7f9a17a6f45efef350b3b244b"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Image" minOccurs="0"/>
                <xsd:element ref="ns2:MediaServiceMetadata" minOccurs="0"/>
                <xsd:element ref="ns2:MediaServiceFastMetadata" minOccurs="0"/>
                <xsd:element ref="ns2:MediaServiceAutoKeyPoints" minOccurs="0"/>
                <xsd:element ref="ns2:MediaServiceKeyPoints" minOccurs="0"/>
                <xsd:element ref="ns2:Status" minOccurs="0"/>
                <xsd:element ref="ns2:Note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_Flow_SignoffStatus" minOccurs="0"/>
                <xsd:element ref="ns2:MediaLengthInSeconds" minOccurs="0"/>
                <xsd:element ref="ns2:lcf76f155ced4ddcb4097134ff3c332f" minOccurs="0"/>
                <xsd:element ref="ns3:TaxCatchAll" minOccurs="0"/>
                <xsd:element ref="ns3:Date_x005f_x0020_of_x005f_x0020_Creation" minOccurs="0"/>
                <xsd:element ref="ns2:MediaServiceObjectDetectorVersions" minOccurs="0"/>
                <xsd:element ref="ns2:MediaServiceSearchProperties" minOccurs="0"/>
                <xsd:element ref="ns2:MudmapEVID" minOccurs="0"/>
                <xsd:element ref="ns2:Lett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Image" ma:index="3" nillable="true" ma:displayName="Image" ma:format="Thumbnail" ma:internalName="Image" ma:readOnly="false">
      <xsd:simpleType>
        <xsd:restriction base="dms:Unknow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Status" ma:index="12" nillable="true" ma:displayName="Status" ma:format="Dropdown" ma:hidden="true" ma:internalName="Status" ma:readOnly="false">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13" nillable="true" ma:displayName="Notes" ma:format="Dropdown" ma:hidden="true" ma:internalName="Notes" ma:readOnly="fals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element name="_Flow_SignoffStatus" ma:index="24" nillable="true" ma:displayName="Sign-off status" ma:format="Dropdown" ma:hidden="true" ma:internalName="Sign_x002d_off_x0020_status">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udmapEVID" ma:index="33" nillable="true" ma:displayName="Mudmap EV ID" ma:description="This is the ID in column A of the live Mudmap" ma:format="Dropdown" ma:internalName="MudmapEVID">
      <xsd:simpleType>
        <xsd:restriction base="dms:Text">
          <xsd:maxLength value="255"/>
        </xsd:restriction>
      </xsd:simpleType>
    </xsd:element>
    <xsd:element name="LetterID" ma:index="34" nillable="true" ma:displayName="Letter ID" ma:format="Dropdown" ma:internalName="Let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eed413a1-1c23-4ed2-af48-854dd5cd0a31}" ma:internalName="TaxCatchAll" ma:readOnly="false" ma:showField="CatchAllData" ma:web="244fe85f-b655-4145-9b20-543b75dc1c24">
      <xsd:complexType>
        <xsd:complexContent>
          <xsd:extension base="dms:MultiChoiceLookup">
            <xsd:sequence>
              <xsd:element name="Value" type="dms:Lookup" maxOccurs="unbounded" minOccurs="0" nillable="true"/>
            </xsd:sequence>
          </xsd:extension>
        </xsd:complexContent>
      </xsd:complexType>
    </xsd:element>
    <xsd:element name="Date_x005f_x0020_of_x005f_x0020_Creation" ma:index="30" nillable="true" ma:displayName="Date of Creation" ma:format="DateOnly" ma:internalName="Date_x0020_of_x0020_Cre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9115ddca-c623-419f-a3c0-6a1c58c4dac8" xsi:nil="true"/>
    <_ip_UnifiedCompliancePolicyProperties xmlns="http://schemas.microsoft.com/sharepoint/v3" xsi:nil="true"/>
    <MudmapEVID xmlns="9115ddca-c623-419f-a3c0-6a1c58c4dac8" xsi:nil="true"/>
    <TaxCatchAll xmlns="244fe85f-b655-4145-9b20-543b75dc1c24" xsi:nil="true"/>
    <Status xmlns="9115ddca-c623-419f-a3c0-6a1c58c4dac8" xsi:nil="true"/>
    <lcf76f155ced4ddcb4097134ff3c332f xmlns="9115ddca-c623-419f-a3c0-6a1c58c4dac8">
      <Terms xmlns="http://schemas.microsoft.com/office/infopath/2007/PartnerControls"/>
    </lcf76f155ced4ddcb4097134ff3c332f>
    <LetterID xmlns="9115ddca-c623-419f-a3c0-6a1c58c4dac8" xsi:nil="true"/>
    <Notes xmlns="9115ddca-c623-419f-a3c0-6a1c58c4dac8" xsi:nil="true"/>
    <Date_x005f_x0020_of_x005f_x0020_Creation xmlns="244fe85f-b655-4145-9b20-543b75dc1c24" xsi:nil="true"/>
    <Image xmlns="9115ddca-c623-419f-a3c0-6a1c58c4dac8" xsi:nil="true"/>
  </documentManagement>
</p:properties>
</file>

<file path=customXml/itemProps1.xml><?xml version="1.0" encoding="utf-8"?>
<ds:datastoreItem xmlns:ds="http://schemas.openxmlformats.org/officeDocument/2006/customXml" ds:itemID="{FBEA0E6E-DDD3-4B74-9A0A-2BA97FBF30C3}">
  <ds:schemaRefs>
    <ds:schemaRef ds:uri="http://schemas.microsoft.com/sharepoint/v3/contenttype/forms"/>
  </ds:schemaRefs>
</ds:datastoreItem>
</file>

<file path=customXml/itemProps2.xml><?xml version="1.0" encoding="utf-8"?>
<ds:datastoreItem xmlns:ds="http://schemas.openxmlformats.org/officeDocument/2006/customXml" ds:itemID="{28E3B494-7205-4309-A58C-9FF2D971EF03}">
  <ds:schemaRefs>
    <ds:schemaRef ds:uri="http://schemas.openxmlformats.org/officeDocument/2006/bibliography"/>
  </ds:schemaRefs>
</ds:datastoreItem>
</file>

<file path=customXml/itemProps3.xml><?xml version="1.0" encoding="utf-8"?>
<ds:datastoreItem xmlns:ds="http://schemas.openxmlformats.org/officeDocument/2006/customXml" ds:itemID="{864B94A0-D8B9-4FCC-8FEA-9B63B3874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7C46E2-0CB1-449B-85DA-F9647265F808}">
  <ds:schemaRefs>
    <ds:schemaRef ds:uri="http://purl.org/dc/dcmitype/"/>
    <ds:schemaRef ds:uri="http://schemas.microsoft.com/office/2006/documentManagement/types"/>
    <ds:schemaRef ds:uri="http://schemas.microsoft.com/sharepoint/v3"/>
    <ds:schemaRef ds:uri="http://purl.org/dc/elements/1.1/"/>
    <ds:schemaRef ds:uri="http://www.w3.org/XML/1998/namespace"/>
    <ds:schemaRef ds:uri="9115ddca-c623-419f-a3c0-6a1c58c4dac8"/>
    <ds:schemaRef ds:uri="http://schemas.microsoft.com/office/infopath/2007/PartnerControls"/>
    <ds:schemaRef ds:uri="http://schemas.openxmlformats.org/package/2006/metadata/core-properties"/>
    <ds:schemaRef ds:uri="244fe85f-b655-4145-9b20-543b75dc1c24"/>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Budget Template.dotm</Template>
  <TotalTime>185</TotalTime>
  <Pages>13</Pages>
  <Words>2275</Words>
  <Characters>12585</Characters>
  <Application>Microsoft Office Word</Application>
  <DocSecurity>0</DocSecurity>
  <Lines>662</Lines>
  <Paragraphs>512</Paragraphs>
  <ScaleCrop>false</ScaleCrop>
  <HeadingPairs>
    <vt:vector size="2" baseType="variant">
      <vt:variant>
        <vt:lpstr>Title</vt:lpstr>
      </vt:variant>
      <vt:variant>
        <vt:i4>1</vt:i4>
      </vt:variant>
    </vt:vector>
  </HeadingPairs>
  <TitlesOfParts>
    <vt:vector size="1" baseType="lpstr">
      <vt:lpstr>Budget Paper No. 2</vt:lpstr>
    </vt:vector>
  </TitlesOfParts>
  <Company>Australian Government - The Treasury</Company>
  <LinksUpToDate>false</LinksUpToDate>
  <CharactersWithSpaces>14348</CharactersWithSpaces>
  <SharedDoc>false</SharedDoc>
  <HLinks>
    <vt:vector size="42" baseType="variant">
      <vt:variant>
        <vt:i4>1507383</vt:i4>
      </vt:variant>
      <vt:variant>
        <vt:i4>20</vt:i4>
      </vt:variant>
      <vt:variant>
        <vt:i4>0</vt:i4>
      </vt:variant>
      <vt:variant>
        <vt:i4>5</vt:i4>
      </vt:variant>
      <vt:variant>
        <vt:lpwstr/>
      </vt:variant>
      <vt:variant>
        <vt:lpwstr>_Toc166147401</vt:lpwstr>
      </vt:variant>
      <vt:variant>
        <vt:i4>5374022</vt:i4>
      </vt:variant>
      <vt:variant>
        <vt:i4>15</vt:i4>
      </vt:variant>
      <vt:variant>
        <vt:i4>0</vt:i4>
      </vt:variant>
      <vt:variant>
        <vt:i4>5</vt:i4>
      </vt:variant>
      <vt:variant>
        <vt:lpwstr>http://www.budget.gov.au/</vt:lpwstr>
      </vt:variant>
      <vt:variant>
        <vt:lpwstr/>
      </vt:variant>
      <vt:variant>
        <vt:i4>105</vt:i4>
      </vt:variant>
      <vt:variant>
        <vt:i4>12</vt:i4>
      </vt:variant>
      <vt:variant>
        <vt:i4>0</vt:i4>
      </vt:variant>
      <vt:variant>
        <vt:i4>5</vt:i4>
      </vt:variant>
      <vt:variant>
        <vt:lpwstr>mailto:media@treasury.gov.au</vt:lpwstr>
      </vt:variant>
      <vt:variant>
        <vt:lpwstr/>
      </vt:variant>
      <vt:variant>
        <vt:i4>65560</vt:i4>
      </vt:variant>
      <vt:variant>
        <vt:i4>9</vt:i4>
      </vt:variant>
      <vt:variant>
        <vt:i4>0</vt:i4>
      </vt:variant>
      <vt:variant>
        <vt:i4>5</vt:i4>
      </vt:variant>
      <vt:variant>
        <vt:lpwstr>https://www.pmc.gov.au/honours-and-symbols/commonwealth-coat-arms</vt:lpwstr>
      </vt:variant>
      <vt:variant>
        <vt:lpwstr/>
      </vt:variant>
      <vt:variant>
        <vt:i4>6488166</vt:i4>
      </vt:variant>
      <vt:variant>
        <vt:i4>6</vt:i4>
      </vt:variant>
      <vt:variant>
        <vt:i4>0</vt:i4>
      </vt:variant>
      <vt:variant>
        <vt:i4>5</vt:i4>
      </vt:variant>
      <vt:variant>
        <vt:lpwstr>http://creativecommons.org/licenses/by/4.0/</vt:lpwstr>
      </vt:variant>
      <vt:variant>
        <vt:lpwstr/>
      </vt:variant>
      <vt:variant>
        <vt:i4>917578</vt:i4>
      </vt:variant>
      <vt:variant>
        <vt:i4>3</vt:i4>
      </vt:variant>
      <vt:variant>
        <vt:i4>0</vt:i4>
      </vt:variant>
      <vt:variant>
        <vt:i4>5</vt:i4>
      </vt:variant>
      <vt:variant>
        <vt:lpwstr>http://creativecommons.org/licenses/by/4.0/legalcode</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Paper No. 2</dc:title>
  <dc:subject>Preliminaries</dc:subject>
  <dc:creator>Australian Government</dc:creator>
  <cp:keywords/>
  <dc:description/>
  <cp:lastModifiedBy>van der Hoeven, Megan</cp:lastModifiedBy>
  <cp:revision>121</cp:revision>
  <cp:lastPrinted>2024-05-12T04:34:00Z</cp:lastPrinted>
  <dcterms:created xsi:type="dcterms:W3CDTF">2024-02-29T16:30:00Z</dcterms:created>
  <dcterms:modified xsi:type="dcterms:W3CDTF">2024-05-13T05:04:00Z</dcterms:modified>
</cp:coreProperties>
</file>